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D37FD" w14:textId="77777777" w:rsidR="00824B02" w:rsidRDefault="00C54855" w:rsidP="00824B02">
      <w:pPr>
        <w:pStyle w:val="BDocStart"/>
      </w:pPr>
      <w:sdt>
        <w:sdtPr>
          <w:tag w:val="unit.start.head"/>
          <w:id w:val="1500471374"/>
          <w:lock w:val="sdtLocked"/>
          <w:placeholder>
            <w:docPart w:val="6098028BC67746A6ADA80923FDFC9208"/>
          </w:placeholder>
          <w15:appearance w15:val="hidden"/>
        </w:sdtPr>
        <w:sdtEndPr/>
        <w:sdtContent>
          <w:r w:rsidR="00824B02">
            <w:t>Unit.Start</w:t>
          </w:r>
        </w:sdtContent>
      </w:sdt>
    </w:p>
    <w:sdt>
      <w:sdtPr>
        <w:rPr>
          <w:rStyle w:val="BContentControl"/>
        </w:rPr>
        <w:alias w:val="unit.start"/>
        <w:tag w:val="Unit1"/>
        <w:id w:val="752862299"/>
        <w:placeholder>
          <w:docPart w:val="DefaultPlaceholder_-1854013440"/>
        </w:placeholder>
        <w15:appearance w15:val="tags"/>
      </w:sdtPr>
      <w:sdtEndPr>
        <w:rPr>
          <w:rStyle w:val="DefaultParagraphFont"/>
          <w:rFonts w:ascii="Times New Roman" w:hAnsi="Times New Roman"/>
          <w:sz w:val="24"/>
          <w:shd w:val="clear" w:color="auto" w:fill="auto"/>
        </w:rPr>
      </w:sdtEndPr>
      <w:sdtContent>
        <w:bookmarkStart w:id="0" w:name="Unit1" w:displacedByCustomXml="prev"/>
        <w:p w14:paraId="4ED9A81F" w14:textId="77777777" w:rsidR="00824B02" w:rsidRDefault="00C54855" w:rsidP="00824B02">
          <w:pPr>
            <w:pStyle w:val="BNormal"/>
          </w:pPr>
          <w:sdt>
            <w:sdtPr>
              <w:rPr>
                <w:rStyle w:val="BContentControl"/>
              </w:rPr>
              <w:alias w:val="acct.code"/>
              <w:tag w:val="acct.code"/>
              <w:id w:val="-106666740"/>
              <w:lock w:val="sdtLocked"/>
              <w:placeholder>
                <w:docPart w:val="11ABD2EE41E74B549823129A309FC3D3"/>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824B02">
                <w:rPr>
                  <w:rStyle w:val="BContentControl"/>
                </w:rPr>
                <w:t>FLSA4M21</w:t>
              </w:r>
            </w:sdtContent>
          </w:sdt>
          <w:sdt>
            <w:sdtPr>
              <w:rPr>
                <w:rStyle w:val="BContentControl"/>
              </w:rPr>
              <w:alias w:val="bna.id.prefix"/>
              <w:tag w:val="bna.id.prefix"/>
              <w:id w:val="-367607274"/>
              <w:lock w:val="sdtLocked"/>
              <w:placeholder>
                <w:docPart w:val="5BE20C60D65A4356AD78345DE30AD8D2"/>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824B02">
                <w:rPr>
                  <w:rStyle w:val="BContentControl"/>
                </w:rPr>
                <w:t>5</w:t>
              </w:r>
            </w:sdtContent>
          </w:sdt>
          <w:r w:rsidR="00824B02" w:rsidRPr="00824B02">
            <w:rPr>
              <w:rStyle w:val="BContentControl"/>
            </w:rPr>
            <w:t xml:space="preserve"> </w:t>
          </w:r>
          <w:sdt>
            <w:sdtPr>
              <w:rPr>
                <w:rStyle w:val="BContentControl"/>
              </w:rPr>
              <w:alias w:val="class.code*"/>
              <w:tag w:val="class.code"/>
              <w:id w:val="2121718965"/>
              <w:lock w:val="sdtLocked"/>
              <w:placeholder>
                <w:docPart w:val="88626758831A42AA9DD1472A97295EEA"/>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824B02">
                <w:rPr>
                  <w:rStyle w:val="BContentControl"/>
                </w:rPr>
                <w:t>A</w:t>
              </w:r>
            </w:sdtContent>
          </w:sdt>
          <w:r w:rsidR="00824B02" w:rsidRPr="00824B02">
            <w:rPr>
              <w:rStyle w:val="BContentControl"/>
            </w:rPr>
            <w:t xml:space="preserve"> </w:t>
          </w:r>
          <w:sdt>
            <w:sdtPr>
              <w:rPr>
                <w:rStyle w:val="BContentControl"/>
              </w:rPr>
              <w:alias w:val="class.name*"/>
              <w:tag w:val="class.name"/>
              <w:id w:val="687564152"/>
              <w:lock w:val="sdtLocked"/>
              <w:placeholder>
                <w:docPart w:val="C2A639048A2E4B8B8DE96CF07A4F152B"/>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824B02">
                <w:rPr>
                  <w:rStyle w:val="BContentControl"/>
                </w:rPr>
                <w:t>Book Body</w:t>
              </w:r>
            </w:sdtContent>
          </w:sdt>
          <w:r w:rsidR="00824B02" w:rsidRPr="00824B02">
            <w:rPr>
              <w:rStyle w:val="BContentControl"/>
            </w:rPr>
            <w:t xml:space="preserve"> </w:t>
          </w:r>
          <w:sdt>
            <w:sdtPr>
              <w:rPr>
                <w:rStyle w:val="BContentControl"/>
              </w:rPr>
              <w:alias w:val="copyright.owner"/>
              <w:tag w:val="copyright.owner"/>
              <w:id w:val="2081324761"/>
              <w:lock w:val="sdtLocked"/>
              <w:placeholder>
                <w:docPart w:val="1BAC17A5839A4CA3AEFDF1455F8B75D4"/>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824B02" w:rsidRPr="00824B02">
                <w:rPr>
                  <w:rStyle w:val="BContentControl"/>
                </w:rPr>
                <w:t>enter text</w:t>
              </w:r>
            </w:sdtContent>
          </w:sdt>
          <w:r w:rsidR="00824B02" w:rsidRPr="00824B02">
            <w:rPr>
              <w:rStyle w:val="BContentControl"/>
            </w:rPr>
            <w:t xml:space="preserve"> </w:t>
          </w:r>
          <w:sdt>
            <w:sdtPr>
              <w:rPr>
                <w:rStyle w:val="BContentControl"/>
              </w:rPr>
              <w:alias w:val="date"/>
              <w:tag w:val="date"/>
              <w:id w:val="1832558450"/>
              <w:lock w:val="sdtLocked"/>
              <w:placeholder>
                <w:docPart w:val="1121660E37514013BDB1072B863C2675"/>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824B02">
                <w:rPr>
                  <w:rStyle w:val="BContentControl"/>
                </w:rPr>
                <w:t>2025-04-04</w:t>
              </w:r>
            </w:sdtContent>
          </w:sdt>
          <w:r w:rsidR="00824B02" w:rsidRPr="00824B02">
            <w:rPr>
              <w:rStyle w:val="BContentControl"/>
            </w:rPr>
            <w:t xml:space="preserve"> </w:t>
          </w:r>
          <w:sdt>
            <w:sdtPr>
              <w:rPr>
                <w:rStyle w:val="BContentControl"/>
              </w:rPr>
              <w:alias w:val="folio"/>
              <w:tag w:val="folio"/>
              <w:id w:val="-1718343022"/>
              <w:lock w:val="sdtLocked"/>
              <w:placeholder>
                <w:docPart w:val="FDDECE8440374C67B33C696BE6C212A4"/>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824B02">
                <w:rPr>
                  <w:rStyle w:val="BContentControl"/>
                </w:rPr>
                <w:t>5-1</w:t>
              </w:r>
            </w:sdtContent>
          </w:sdt>
          <w:r w:rsidR="00824B02" w:rsidRPr="00824B02">
            <w:rPr>
              <w:rStyle w:val="BContentControl"/>
            </w:rPr>
            <w:t xml:space="preserve"> </w:t>
          </w:r>
          <w:sdt>
            <w:sdtPr>
              <w:rPr>
                <w:rStyle w:val="BContentControl"/>
              </w:rPr>
              <w:alias w:val="part.name"/>
              <w:tag w:val="part.name"/>
              <w:id w:val="79340475"/>
              <w:lock w:val="sdtLocked"/>
              <w:placeholder>
                <w:docPart w:val="666E9616467140EE939B8DFD5D332123"/>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824B02" w:rsidRPr="00824B02">
                <w:rPr>
                  <w:rStyle w:val="BContentControl"/>
                </w:rPr>
                <w:t>enter text</w:t>
              </w:r>
            </w:sdtContent>
          </w:sdt>
          <w:r w:rsidR="00824B02" w:rsidRPr="00824B02">
            <w:rPr>
              <w:rStyle w:val="BContentControl"/>
            </w:rPr>
            <w:t xml:space="preserve"> </w:t>
          </w:r>
          <w:sdt>
            <w:sdtPr>
              <w:rPr>
                <w:rStyle w:val="BContentControl"/>
              </w:rPr>
              <w:alias w:val="part.num"/>
              <w:tag w:val="part.num"/>
              <w:id w:val="-395434894"/>
              <w:lock w:val="sdtLocked"/>
              <w:placeholder>
                <w:docPart w:val="BD266BFA7CEE47FC87CBD4375651AC06"/>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824B02" w:rsidRPr="00824B02">
                <w:rPr>
                  <w:rStyle w:val="BContentControl"/>
                </w:rPr>
                <w:t>enter text</w:t>
              </w:r>
            </w:sdtContent>
          </w:sdt>
          <w:r w:rsidR="00824B02" w:rsidRPr="00824B02">
            <w:rPr>
              <w:rStyle w:val="BContentControl"/>
            </w:rPr>
            <w:t xml:space="preserve"> </w:t>
          </w:r>
          <w:sdt>
            <w:sdtPr>
              <w:rPr>
                <w:rStyle w:val="BContentControl"/>
              </w:rPr>
              <w:alias w:val="subpart.name"/>
              <w:tag w:val="subpart.name"/>
              <w:id w:val="1893310365"/>
              <w:lock w:val="sdtLocked"/>
              <w:placeholder>
                <w:docPart w:val="E5222BCC58364FDC946BCBD602141B56"/>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824B02" w:rsidRPr="00824B02">
                <w:rPr>
                  <w:rStyle w:val="BContentControl"/>
                </w:rPr>
                <w:t>enter text</w:t>
              </w:r>
            </w:sdtContent>
          </w:sdt>
          <w:r w:rsidR="00824B02" w:rsidRPr="00824B02">
            <w:rPr>
              <w:rStyle w:val="BContentControl"/>
            </w:rPr>
            <w:t xml:space="preserve"> </w:t>
          </w:r>
          <w:sdt>
            <w:sdtPr>
              <w:rPr>
                <w:rStyle w:val="BContentControl"/>
              </w:rPr>
              <w:alias w:val="pdm.name"/>
              <w:tag w:val="pdm.name"/>
              <w:id w:val="-1325962599"/>
              <w:lock w:val="sdtLocked"/>
              <w:placeholder>
                <w:docPart w:val="807A0685B19748BAB9FF5218AD9D195E"/>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824B02">
                <w:rPr>
                  <w:rStyle w:val="BContentControl"/>
                </w:rPr>
                <w:t>Chap05</w:t>
              </w:r>
            </w:sdtContent>
          </w:sdt>
          <w:r w:rsidR="00824B02" w:rsidRPr="00824B02">
            <w:rPr>
              <w:rStyle w:val="BContentControl"/>
            </w:rPr>
            <w:t xml:space="preserve"> </w:t>
          </w:r>
          <w:sdt>
            <w:sdtPr>
              <w:rPr>
                <w:rStyle w:val="BContentControl"/>
              </w:rPr>
              <w:alias w:val="publication.name"/>
              <w:tag w:val="publication.name"/>
              <w:id w:val="2047100819"/>
              <w:lock w:val="sdtLocked"/>
              <w:placeholder>
                <w:docPart w:val="CB8B7183F6D64CEFA28A643E07546D3D"/>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824B02">
                <w:rPr>
                  <w:rStyle w:val="BContentControl"/>
                </w:rPr>
                <w:t>The Fair Labor Standards Act Fourth Edition</w:t>
              </w:r>
            </w:sdtContent>
          </w:sdt>
          <w:r w:rsidR="00824B02" w:rsidRPr="00824B02">
            <w:rPr>
              <w:rStyle w:val="BContentControl"/>
            </w:rPr>
            <w:t xml:space="preserve"> </w:t>
          </w:r>
          <w:sdt>
            <w:sdtPr>
              <w:rPr>
                <w:rStyle w:val="BContentControl"/>
              </w:rPr>
              <w:alias w:val="service.code*"/>
              <w:tag w:val="mUnit1"/>
              <w:id w:val="-663547880"/>
              <w:lock w:val="sdtLocked"/>
              <w:placeholder>
                <w:docPart w:val="5955FB453B5746D4A8A15817D14B398F"/>
              </w:placeholder>
              <w:dataBinding w:prefixMappings="xmlns:ns0='http://www.bna.com/gateway/unit.start' " w:xpath="/ns0:document[1]/ns0:unit.start[1]/@service.code" w:storeItemID="{B04FCA99-13B0-422B-ADC9-9491644FA79D}"/>
              <w15:appearance w15:val="tags"/>
              <w:dropDownList w:lastValue="flsa-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824B02">
                <w:rPr>
                  <w:rStyle w:val="BContentControl"/>
                </w:rPr>
                <w:t>flsa-book</w:t>
              </w:r>
            </w:sdtContent>
          </w:sdt>
          <w:r w:rsidR="00824B02" w:rsidRPr="00824B02">
            <w:rPr>
              <w:rStyle w:val="BContentControl"/>
            </w:rPr>
            <w:t xml:space="preserve"> </w:t>
          </w:r>
          <w:sdt>
            <w:sdtPr>
              <w:rPr>
                <w:rStyle w:val="BContentControl"/>
              </w:rPr>
              <w:alias w:val="supplement"/>
              <w:tag w:val="supplement"/>
              <w:id w:val="1278525118"/>
              <w:lock w:val="sdtLocked"/>
              <w:placeholder>
                <w:docPart w:val="D4DBD441B15A4C3595C9C3BE117234F0"/>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824B02">
                <w:rPr>
                  <w:rStyle w:val="BContentControl"/>
                </w:rPr>
                <w:t>0</w:t>
              </w:r>
            </w:sdtContent>
          </w:sdt>
          <w:r w:rsidR="00824B02" w:rsidRPr="00824B02">
            <w:rPr>
              <w:rStyle w:val="BContentControl"/>
            </w:rPr>
            <w:t xml:space="preserve"> </w:t>
          </w:r>
          <w:sdt>
            <w:sdtPr>
              <w:rPr>
                <w:rStyle w:val="BContentControl"/>
              </w:rPr>
              <w:alias w:val="unit.code"/>
              <w:tag w:val="unit.code"/>
              <w:id w:val="934563331"/>
              <w:lock w:val="sdtLocked"/>
              <w:placeholder>
                <w:docPart w:val="C93179BAD9184610886AE1D8B4F6F015"/>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824B02">
                <w:rPr>
                  <w:rStyle w:val="BContentControl"/>
                </w:rPr>
                <w:t>main0005</w:t>
              </w:r>
            </w:sdtContent>
          </w:sdt>
          <w:r w:rsidR="00824B02" w:rsidRPr="00824B02">
            <w:rPr>
              <w:rStyle w:val="BContentControl"/>
            </w:rPr>
            <w:t xml:space="preserve"> </w:t>
          </w:r>
          <w:sdt>
            <w:sdtPr>
              <w:rPr>
                <w:rStyle w:val="BContentControl"/>
              </w:rPr>
              <w:alias w:val="unit.name*"/>
              <w:tag w:val="unit.name"/>
              <w:id w:val="340139950"/>
              <w:lock w:val="sdtLocked"/>
              <w:placeholder>
                <w:docPart w:val="74B1E812182C478CA31A9BB304F1A78A"/>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824B02">
                <w:rPr>
                  <w:rStyle w:val="BContentControl"/>
                </w:rPr>
                <w:t>Chapter 5. White-Collar Exemptions</w:t>
              </w:r>
            </w:sdtContent>
          </w:sdt>
          <w:r w:rsidR="00824B02" w:rsidRPr="00824B02">
            <w:rPr>
              <w:rStyle w:val="BContentControl"/>
            </w:rPr>
            <w:t xml:space="preserve"> </w:t>
          </w:r>
          <w:sdt>
            <w:sdtPr>
              <w:rPr>
                <w:rStyle w:val="BContentControl"/>
              </w:rPr>
              <w:alias w:val="volume.num"/>
              <w:tag w:val="volume.num"/>
              <w:id w:val="-563417372"/>
              <w:lock w:val="sdtLocked"/>
              <w:placeholder>
                <w:docPart w:val="29E689ED88814FA2A42C6A5FCFAE94A9"/>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824B02">
                <w:rPr>
                  <w:rStyle w:val="BContentControl"/>
                </w:rPr>
                <w:t>I</w:t>
              </w:r>
            </w:sdtContent>
          </w:sdt>
        </w:p>
        <w:bookmarkEnd w:id="0" w:displacedByCustomXml="next"/>
      </w:sdtContent>
    </w:sdt>
    <w:p w14:paraId="0F13847B" w14:textId="77777777" w:rsidR="00824B02" w:rsidRPr="00824B02" w:rsidRDefault="00C54855" w:rsidP="00824B02">
      <w:pPr>
        <w:pStyle w:val="BDocStart"/>
      </w:pPr>
      <w:sdt>
        <w:sdtPr>
          <w:tag w:val="DocStart"/>
          <w:id w:val="462161485"/>
          <w:lock w:val="sdtLocked"/>
          <w:placeholder>
            <w:docPart w:val="B97A54291ABB47E6965744ECAA898139"/>
          </w:placeholder>
          <w15:appearance w15:val="hidden"/>
        </w:sdtPr>
        <w:sdtEndPr/>
        <w:sdtContent>
          <w:r w:rsidR="00824B02">
            <w:t>Document</w:t>
          </w:r>
        </w:sdtContent>
      </w:sdt>
    </w:p>
    <w:p w14:paraId="7ACE26A4" w14:textId="77777777" w:rsidR="00201F3F" w:rsidRPr="00CD0FEB" w:rsidRDefault="00201F3F" w:rsidP="00B428D0">
      <w:pPr>
        <w:pStyle w:val="01ChapterNumber"/>
        <w:rPr>
          <w:color w:val="auto"/>
        </w:rPr>
      </w:pPr>
      <w:r w:rsidRPr="00CD0FEB">
        <w:rPr>
          <w:color w:val="auto"/>
        </w:rPr>
        <w:t>Chapter 5</w:t>
      </w:r>
    </w:p>
    <w:p w14:paraId="51AD581D" w14:textId="77777777" w:rsidR="00201F3F" w:rsidRPr="00CD0FEB" w:rsidRDefault="00201F3F" w:rsidP="00B219DD">
      <w:pPr>
        <w:pStyle w:val="02ChapterTitle"/>
        <w:rPr>
          <w:rFonts w:eastAsiaTheme="minorHAnsi"/>
          <w:b w:val="0"/>
          <w:bCs/>
          <w:color w:val="auto"/>
        </w:rPr>
      </w:pPr>
      <w:r w:rsidRPr="00CD0FEB">
        <w:rPr>
          <w:color w:val="auto"/>
        </w:rPr>
        <w:t>WHITE-COLLAR EXEMPTIONS</w:t>
      </w:r>
    </w:p>
    <w:p w14:paraId="021A382A" w14:textId="4FE26D87" w:rsidR="00201F3F" w:rsidRPr="009D4E10" w:rsidRDefault="00201F3F" w:rsidP="00BD6118">
      <w:pPr>
        <w:pStyle w:val="10BTextWithoutIndent"/>
        <w:spacing w:before="0" w:after="0"/>
        <w:rPr>
          <w:rFonts w:eastAsiaTheme="minorHAnsi"/>
          <w:i/>
          <w:iCs/>
          <w:color w:val="000000"/>
        </w:rPr>
      </w:pPr>
      <w:r w:rsidRPr="009D4E10">
        <w:rPr>
          <w:rFonts w:eastAsiaTheme="minorHAnsi"/>
          <w:i/>
          <w:iCs/>
          <w:color w:val="000000"/>
        </w:rPr>
        <w:t>Author:</w:t>
      </w:r>
      <w:r w:rsidRPr="009D4E10">
        <w:rPr>
          <w:rFonts w:eastAsiaTheme="minorHAnsi"/>
          <w:b/>
          <w:bCs/>
          <w:i/>
          <w:iCs/>
          <w:color w:val="000000"/>
        </w:rPr>
        <w:t xml:space="preserve"> </w:t>
      </w:r>
      <w:hyperlink r:id="rId13" w:history="1">
        <w:r w:rsidRPr="009D4E10">
          <w:rPr>
            <w:rStyle w:val="Hyperlink"/>
            <w:rFonts w:eastAsiaTheme="minorHAnsi"/>
            <w:b/>
            <w:bCs/>
            <w:i/>
            <w:iCs/>
          </w:rPr>
          <w:t>Lawrence Peikes,</w:t>
        </w:r>
      </w:hyperlink>
      <w:r w:rsidRPr="009D4E10">
        <w:rPr>
          <w:rFonts w:eastAsiaTheme="minorHAnsi"/>
          <w:i/>
          <w:iCs/>
          <w:color w:val="000000"/>
        </w:rPr>
        <w:t xml:space="preserve"> Wiggin and Dana LLP, Stamford, CT (Fourth Edition, 2021 Update, 2022 Update, 2023 Update; 2024 Update)</w:t>
      </w:r>
    </w:p>
    <w:p w14:paraId="42E95EC0" w14:textId="77777777" w:rsidR="00201F3F" w:rsidRPr="009D4E10" w:rsidRDefault="00201F3F" w:rsidP="00D160D3">
      <w:pPr>
        <w:pStyle w:val="10BTextWithoutIndent"/>
        <w:spacing w:before="0" w:after="0"/>
        <w:rPr>
          <w:rFonts w:eastAsiaTheme="minorHAnsi"/>
          <w:color w:val="000000"/>
        </w:rPr>
      </w:pPr>
    </w:p>
    <w:p w14:paraId="0DE4CE23" w14:textId="77777777" w:rsidR="00201F3F" w:rsidRPr="009D4E10" w:rsidRDefault="00201F3F" w:rsidP="00A74DCC">
      <w:pPr>
        <w:pStyle w:val="10BTextWithoutIndent"/>
        <w:spacing w:before="0" w:after="0"/>
        <w:rPr>
          <w:rFonts w:eastAsiaTheme="minorHAnsi"/>
          <w:i/>
          <w:iCs/>
          <w:color w:val="000000"/>
        </w:rPr>
      </w:pPr>
      <w:r w:rsidRPr="009D4E10">
        <w:rPr>
          <w:rFonts w:eastAsiaTheme="minorHAnsi"/>
          <w:i/>
          <w:iCs/>
          <w:color w:val="000000"/>
        </w:rPr>
        <w:t>Primary Editors:</w:t>
      </w:r>
      <w:r w:rsidRPr="009D4E10">
        <w:rPr>
          <w:rFonts w:eastAsiaTheme="minorHAnsi"/>
          <w:b/>
          <w:bCs/>
          <w:i/>
          <w:iCs/>
          <w:color w:val="000000"/>
        </w:rPr>
        <w:t xml:space="preserve"> </w:t>
      </w:r>
      <w:hyperlink r:id="rId14" w:history="1">
        <w:r w:rsidRPr="009D4E10">
          <w:rPr>
            <w:rStyle w:val="Hyperlink"/>
            <w:rFonts w:eastAsiaTheme="minorHAnsi"/>
            <w:b/>
            <w:bCs/>
            <w:i/>
            <w:iCs/>
          </w:rPr>
          <w:t>Gregory K. McGillivary,</w:t>
        </w:r>
      </w:hyperlink>
      <w:r w:rsidRPr="009D4E10">
        <w:rPr>
          <w:rFonts w:eastAsiaTheme="minorHAnsi"/>
          <w:i/>
          <w:iCs/>
          <w:color w:val="000000"/>
        </w:rPr>
        <w:t xml:space="preserve"> McGillivary Steele Elkin LLP, Washington, DC (Fourth Edition); </w:t>
      </w:r>
      <w:hyperlink r:id="rId15" w:history="1">
        <w:r w:rsidRPr="009D4E10">
          <w:rPr>
            <w:rStyle w:val="Hyperlink"/>
            <w:rFonts w:eastAsiaTheme="minorHAnsi"/>
            <w:b/>
            <w:bCs/>
            <w:i/>
            <w:iCs/>
          </w:rPr>
          <w:t>Douglas M. Werman,</w:t>
        </w:r>
      </w:hyperlink>
      <w:r w:rsidRPr="009D4E10">
        <w:rPr>
          <w:rFonts w:eastAsiaTheme="minorHAnsi"/>
          <w:i/>
          <w:iCs/>
          <w:color w:val="000000"/>
        </w:rPr>
        <w:t xml:space="preserve"> Werman Salas PC, Chicago, IL (2021 Update, 2023 Update; 2024 Update); </w:t>
      </w:r>
      <w:hyperlink r:id="rId16" w:history="1">
        <w:r w:rsidRPr="009D4E10">
          <w:rPr>
            <w:rStyle w:val="Hyperlink"/>
            <w:rFonts w:eastAsiaTheme="minorHAnsi"/>
            <w:b/>
            <w:bCs/>
            <w:i/>
            <w:iCs/>
          </w:rPr>
          <w:t>Jason C. Marsili,</w:t>
        </w:r>
      </w:hyperlink>
      <w:r w:rsidRPr="009D4E10">
        <w:rPr>
          <w:rFonts w:eastAsiaTheme="minorHAnsi"/>
          <w:i/>
          <w:iCs/>
          <w:color w:val="000000"/>
        </w:rPr>
        <w:t xml:space="preserve"> Rosen Marsili Rapp LLP, Los Angeles, CA (2022 Update)</w:t>
      </w:r>
    </w:p>
    <w:p w14:paraId="1DC4CBCA" w14:textId="77777777" w:rsidR="00201F3F" w:rsidRDefault="00201F3F" w:rsidP="00A74DCC">
      <w:pPr>
        <w:pStyle w:val="10BTextWithoutIndent"/>
        <w:spacing w:before="0" w:after="0"/>
        <w:rPr>
          <w:rFonts w:eastAsiaTheme="minorHAnsi"/>
          <w:i/>
          <w:iCs/>
          <w:color w:val="000000"/>
        </w:rPr>
      </w:pPr>
    </w:p>
    <w:p w14:paraId="21CACB44" w14:textId="77777777" w:rsidR="00201F3F" w:rsidRPr="00CD0FEB" w:rsidRDefault="00201F3F" w:rsidP="00B219DD">
      <w:pPr>
        <w:pStyle w:val="10BTextWithoutIndent"/>
        <w:spacing w:before="0" w:after="0"/>
        <w:rPr>
          <w:i/>
          <w:iCs/>
          <w:sz w:val="22"/>
        </w:rPr>
      </w:pPr>
      <w:r w:rsidRPr="00CD0FEB">
        <w:rPr>
          <w:i/>
          <w:iCs/>
        </w:rPr>
        <w:t>This chapter is current through May 202</w:t>
      </w:r>
      <w:r>
        <w:rPr>
          <w:i/>
          <w:iCs/>
        </w:rPr>
        <w:t>3</w:t>
      </w:r>
      <w:r w:rsidRPr="00CD0FEB">
        <w:rPr>
          <w:i/>
          <w:iCs/>
        </w:rPr>
        <w:t>, with major case law developments through May 202</w:t>
      </w:r>
      <w:r>
        <w:rPr>
          <w:i/>
          <w:iCs/>
        </w:rPr>
        <w:t>4</w:t>
      </w:r>
      <w:r w:rsidRPr="00CD0FEB">
        <w:rPr>
          <w:i/>
          <w:iCs/>
        </w:rPr>
        <w:t xml:space="preserve"> and regulatory developments through August 202</w:t>
      </w:r>
      <w:r>
        <w:rPr>
          <w:i/>
          <w:iCs/>
        </w:rPr>
        <w:t>4</w:t>
      </w:r>
      <w:r w:rsidRPr="00CD0FEB">
        <w:rPr>
          <w:i/>
          <w:iCs/>
        </w:rPr>
        <w:t>.</w:t>
      </w:r>
    </w:p>
    <w:p w14:paraId="7BE4C318" w14:textId="77777777" w:rsidR="00201F3F" w:rsidRPr="00B219DD" w:rsidRDefault="00201F3F" w:rsidP="00A74DCC">
      <w:pPr>
        <w:pStyle w:val="10BTextWithoutIndent"/>
        <w:spacing w:before="0" w:after="0"/>
        <w:rPr>
          <w:rFonts w:eastAsiaTheme="minorHAnsi"/>
          <w:i/>
          <w:iCs/>
        </w:rPr>
      </w:pPr>
    </w:p>
    <w:p w14:paraId="121D764B" w14:textId="77777777" w:rsidR="00201F3F" w:rsidRPr="00CD0FEB" w:rsidRDefault="00201F3F" w:rsidP="00D160D3">
      <w:pPr>
        <w:autoSpaceDE w:val="0"/>
        <w:autoSpaceDN w:val="0"/>
        <w:adjustRightInd w:val="0"/>
        <w:spacing w:line="260" w:lineRule="atLeast"/>
        <w:textAlignment w:val="center"/>
        <w:rPr>
          <w:i/>
          <w:iCs/>
        </w:rPr>
      </w:pPr>
    </w:p>
    <w:p w14:paraId="0F4FD76B" w14:textId="77777777" w:rsidR="00201F3F" w:rsidRPr="00CD0FEB" w:rsidRDefault="00201F3F" w:rsidP="00B428D0">
      <w:pPr>
        <w:pStyle w:val="03TableofContents"/>
        <w:rPr>
          <w:color w:val="auto"/>
        </w:rPr>
      </w:pPr>
      <w:r w:rsidRPr="00CD0FEB">
        <w:rPr>
          <w:color w:val="auto"/>
        </w:rPr>
        <w:t>I.</w:t>
      </w:r>
      <w:r w:rsidRPr="00CD0FEB">
        <w:rPr>
          <w:color w:val="auto"/>
        </w:rPr>
        <w:tab/>
        <w:t xml:space="preserve">Overview </w:t>
      </w:r>
    </w:p>
    <w:p w14:paraId="0507D1E2" w14:textId="77777777" w:rsidR="00201F3F" w:rsidRPr="00CD0FEB" w:rsidRDefault="00201F3F" w:rsidP="00B428D0">
      <w:pPr>
        <w:pStyle w:val="03TableofContents"/>
        <w:rPr>
          <w:color w:val="auto"/>
        </w:rPr>
      </w:pPr>
      <w:r w:rsidRPr="00CD0FEB">
        <w:rPr>
          <w:color w:val="auto"/>
        </w:rPr>
        <w:t>II.</w:t>
      </w:r>
      <w:r w:rsidRPr="00CD0FEB">
        <w:rPr>
          <w:color w:val="auto"/>
        </w:rPr>
        <w:tab/>
        <w:t xml:space="preserve">Brief History of the 541 Regulations </w:t>
      </w:r>
    </w:p>
    <w:p w14:paraId="180B6C73"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541 Regulations from 1938 to 2003 </w:t>
      </w:r>
    </w:p>
    <w:p w14:paraId="094C24BD"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2004 Amendments to the 541 Regulations </w:t>
      </w:r>
    </w:p>
    <w:p w14:paraId="492A1989" w14:textId="77777777" w:rsidR="00201F3F" w:rsidRPr="00CD0FEB" w:rsidRDefault="00201F3F" w:rsidP="00B428D0">
      <w:pPr>
        <w:pStyle w:val="03TableofContents"/>
        <w:ind w:firstLine="720"/>
        <w:rPr>
          <w:color w:val="auto"/>
        </w:rPr>
      </w:pPr>
      <w:r w:rsidRPr="00CD0FEB">
        <w:rPr>
          <w:color w:val="auto"/>
        </w:rPr>
        <w:t>C.</w:t>
      </w:r>
      <w:r w:rsidRPr="00CD0FEB">
        <w:rPr>
          <w:color w:val="auto"/>
        </w:rPr>
        <w:tab/>
        <w:t xml:space="preserve">2016 Amendments to the White-Collar Regulations </w:t>
      </w:r>
    </w:p>
    <w:p w14:paraId="6F22836B"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2020 Amendments to the White-Collar Regulations </w:t>
      </w:r>
    </w:p>
    <w:p w14:paraId="1A189A3B" w14:textId="77777777" w:rsidR="00201F3F" w:rsidRPr="00CD0FEB" w:rsidRDefault="00201F3F" w:rsidP="00B428D0">
      <w:pPr>
        <w:pStyle w:val="03TableofContents"/>
        <w:rPr>
          <w:color w:val="auto"/>
        </w:rPr>
      </w:pPr>
      <w:r w:rsidRPr="00CD0FEB">
        <w:rPr>
          <w:color w:val="auto"/>
        </w:rPr>
        <w:t>III.</w:t>
      </w:r>
      <w:r w:rsidRPr="00CD0FEB">
        <w:rPr>
          <w:color w:val="auto"/>
        </w:rPr>
        <w:tab/>
        <w:t xml:space="preserve">Legal Principles That Govern the Analysis of the White-Collar Exemptions </w:t>
      </w:r>
    </w:p>
    <w:p w14:paraId="3CE194BD" w14:textId="77777777" w:rsidR="00201F3F" w:rsidRPr="00CD0FEB" w:rsidRDefault="00201F3F" w:rsidP="00B428D0">
      <w:pPr>
        <w:pStyle w:val="03TableofContents"/>
        <w:ind w:firstLine="720"/>
        <w:rPr>
          <w:color w:val="auto"/>
        </w:rPr>
      </w:pPr>
      <w:r w:rsidRPr="00CD0FEB">
        <w:rPr>
          <w:smallCaps/>
          <w:color w:val="auto"/>
        </w:rPr>
        <w:t>A.</w:t>
      </w:r>
      <w:r w:rsidRPr="00CD0FEB">
        <w:rPr>
          <w:smallCaps/>
          <w:color w:val="auto"/>
        </w:rPr>
        <w:tab/>
      </w:r>
      <w:r w:rsidRPr="00CD0FEB">
        <w:rPr>
          <w:color w:val="auto"/>
        </w:rPr>
        <w:t xml:space="preserve">Construction and Burden of Proof </w:t>
      </w:r>
    </w:p>
    <w:p w14:paraId="3513DF31"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Compensation Form and Amount </w:t>
      </w:r>
    </w:p>
    <w:p w14:paraId="56662E0C" w14:textId="77777777" w:rsidR="00201F3F" w:rsidRPr="00CD0FEB" w:rsidRDefault="00201F3F" w:rsidP="00B428D0">
      <w:pPr>
        <w:pStyle w:val="03TableofContents"/>
        <w:ind w:firstLine="720"/>
        <w:rPr>
          <w:color w:val="auto"/>
        </w:rPr>
      </w:pPr>
      <w:r w:rsidRPr="00CD0FEB">
        <w:rPr>
          <w:color w:val="auto"/>
        </w:rPr>
        <w:t>C.</w:t>
      </w:r>
      <w:r w:rsidRPr="00CD0FEB">
        <w:rPr>
          <w:color w:val="auto"/>
        </w:rPr>
        <w:tab/>
        <w:t xml:space="preserve">Primary Duty </w:t>
      </w:r>
    </w:p>
    <w:p w14:paraId="290154A2"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General </w:t>
      </w:r>
    </w:p>
    <w:p w14:paraId="33188F43" w14:textId="77777777" w:rsidR="00201F3F" w:rsidRPr="00CD0FEB" w:rsidRDefault="00201F3F" w:rsidP="00B428D0">
      <w:pPr>
        <w:pStyle w:val="03TableofContents"/>
        <w:ind w:left="720" w:firstLine="720"/>
        <w:rPr>
          <w:color w:val="auto"/>
        </w:rPr>
      </w:pPr>
      <w:r w:rsidRPr="00CD0FEB">
        <w:rPr>
          <w:color w:val="auto"/>
        </w:rPr>
        <w:t>2.</w:t>
      </w:r>
      <w:r w:rsidRPr="00CD0FEB">
        <w:rPr>
          <w:color w:val="auto"/>
        </w:rPr>
        <w:tab/>
        <w:t xml:space="preserve">“Directly and Closely Related” </w:t>
      </w:r>
    </w:p>
    <w:p w14:paraId="503CD0F6" w14:textId="77777777" w:rsidR="00201F3F" w:rsidRPr="00CD0FEB" w:rsidRDefault="00201F3F" w:rsidP="00B428D0">
      <w:pPr>
        <w:pStyle w:val="03TableofContents"/>
        <w:ind w:left="720" w:firstLine="720"/>
        <w:rPr>
          <w:color w:val="auto"/>
        </w:rPr>
      </w:pPr>
      <w:r w:rsidRPr="00CD0FEB">
        <w:rPr>
          <w:color w:val="auto"/>
        </w:rPr>
        <w:t>3.</w:t>
      </w:r>
      <w:r w:rsidRPr="00CD0FEB">
        <w:rPr>
          <w:color w:val="auto"/>
        </w:rPr>
        <w:tab/>
        <w:t xml:space="preserve">Emergency Tasks </w:t>
      </w:r>
    </w:p>
    <w:p w14:paraId="48293C1E" w14:textId="77777777" w:rsidR="00201F3F" w:rsidRPr="00CD0FEB" w:rsidRDefault="00201F3F" w:rsidP="00B428D0">
      <w:pPr>
        <w:pStyle w:val="03TableofContents"/>
        <w:ind w:left="720" w:firstLine="720"/>
        <w:rPr>
          <w:color w:val="auto"/>
        </w:rPr>
      </w:pPr>
      <w:r w:rsidRPr="00CD0FEB">
        <w:rPr>
          <w:color w:val="auto"/>
        </w:rPr>
        <w:t>4.</w:t>
      </w:r>
      <w:r w:rsidRPr="00CD0FEB">
        <w:rPr>
          <w:color w:val="auto"/>
        </w:rPr>
        <w:tab/>
        <w:t xml:space="preserve">Occasional Tasks </w:t>
      </w:r>
    </w:p>
    <w:p w14:paraId="70F42110" w14:textId="77777777" w:rsidR="00201F3F" w:rsidRPr="00CD0FEB" w:rsidRDefault="00201F3F" w:rsidP="00B428D0">
      <w:pPr>
        <w:pStyle w:val="03TableofContents"/>
        <w:ind w:left="720" w:firstLine="720"/>
        <w:rPr>
          <w:color w:val="auto"/>
        </w:rPr>
      </w:pPr>
      <w:r w:rsidRPr="00CD0FEB">
        <w:rPr>
          <w:color w:val="auto"/>
        </w:rPr>
        <w:t>5.</w:t>
      </w:r>
      <w:r w:rsidRPr="00CD0FEB">
        <w:rPr>
          <w:color w:val="auto"/>
        </w:rPr>
        <w:tab/>
        <w:t xml:space="preserve">Combination Exemption </w:t>
      </w:r>
    </w:p>
    <w:p w14:paraId="60A55EAB"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Trainees </w:t>
      </w:r>
    </w:p>
    <w:p w14:paraId="432DA9B3" w14:textId="77777777" w:rsidR="00201F3F" w:rsidRPr="00CD0FEB" w:rsidRDefault="00201F3F" w:rsidP="00B428D0">
      <w:pPr>
        <w:pStyle w:val="03TableofContents"/>
        <w:rPr>
          <w:color w:val="auto"/>
        </w:rPr>
      </w:pPr>
      <w:r w:rsidRPr="00CD0FEB">
        <w:rPr>
          <w:color w:val="auto"/>
        </w:rPr>
        <w:t>IV.</w:t>
      </w:r>
      <w:r w:rsidRPr="00CD0FEB">
        <w:rPr>
          <w:color w:val="auto"/>
        </w:rPr>
        <w:tab/>
        <w:t xml:space="preserve">The Salary Basis Test </w:t>
      </w:r>
    </w:p>
    <w:p w14:paraId="49D4213A"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Background </w:t>
      </w:r>
    </w:p>
    <w:p w14:paraId="6A0B88CE"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Requirements of the Salary Basis Test </w:t>
      </w:r>
    </w:p>
    <w:p w14:paraId="578C45C3"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Salary Basis Test Generally </w:t>
      </w:r>
    </w:p>
    <w:p w14:paraId="3B5D3E81" w14:textId="77777777" w:rsidR="00201F3F" w:rsidRPr="00CD0FEB" w:rsidRDefault="00201F3F" w:rsidP="00B428D0">
      <w:pPr>
        <w:pStyle w:val="03TableofContents"/>
        <w:ind w:left="720" w:firstLine="720"/>
        <w:rPr>
          <w:color w:val="auto"/>
        </w:rPr>
      </w:pPr>
      <w:r w:rsidRPr="00CD0FEB">
        <w:rPr>
          <w:color w:val="auto"/>
        </w:rPr>
        <w:t>2.</w:t>
      </w:r>
      <w:r w:rsidRPr="00CD0FEB">
        <w:rPr>
          <w:color w:val="auto"/>
        </w:rPr>
        <w:tab/>
        <w:t xml:space="preserve">Additional Compensation Above the Weekly Minimum </w:t>
      </w:r>
    </w:p>
    <w:p w14:paraId="0333AD97" w14:textId="77777777" w:rsidR="00201F3F" w:rsidRPr="00CD0FEB" w:rsidRDefault="00201F3F" w:rsidP="00B428D0">
      <w:pPr>
        <w:pStyle w:val="03TableofContents"/>
        <w:ind w:firstLine="720"/>
        <w:rPr>
          <w:color w:val="auto"/>
        </w:rPr>
      </w:pPr>
      <w:r w:rsidRPr="00CD0FEB">
        <w:rPr>
          <w:color w:val="auto"/>
        </w:rPr>
        <w:t>C.</w:t>
      </w:r>
      <w:r w:rsidRPr="00CD0FEB">
        <w:rPr>
          <w:color w:val="auto"/>
        </w:rPr>
        <w:tab/>
        <w:t xml:space="preserve">Permissible Deductions From Salary </w:t>
      </w:r>
    </w:p>
    <w:p w14:paraId="70971B59"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Personal Absences of a Day or More </w:t>
      </w:r>
    </w:p>
    <w:p w14:paraId="70010697" w14:textId="77777777" w:rsidR="00201F3F" w:rsidRPr="00CD0FEB" w:rsidRDefault="00201F3F" w:rsidP="00B428D0">
      <w:pPr>
        <w:pStyle w:val="03TableofContents"/>
        <w:ind w:left="2160" w:hanging="720"/>
        <w:rPr>
          <w:color w:val="auto"/>
        </w:rPr>
      </w:pPr>
      <w:r w:rsidRPr="00CD0FEB">
        <w:rPr>
          <w:color w:val="auto"/>
        </w:rPr>
        <w:t>2.</w:t>
      </w:r>
      <w:r w:rsidRPr="00CD0FEB">
        <w:rPr>
          <w:color w:val="auto"/>
        </w:rPr>
        <w:tab/>
        <w:t xml:space="preserve">Deductions From Salary for Absences of a Day or More Due to Sickness or Disability </w:t>
      </w:r>
    </w:p>
    <w:p w14:paraId="7266B6EE" w14:textId="77777777" w:rsidR="00201F3F" w:rsidRPr="00CD0FEB" w:rsidRDefault="00201F3F" w:rsidP="00B428D0">
      <w:pPr>
        <w:pStyle w:val="03TableofContents"/>
        <w:ind w:left="720" w:firstLine="720"/>
        <w:rPr>
          <w:color w:val="auto"/>
        </w:rPr>
      </w:pPr>
      <w:r w:rsidRPr="00CD0FEB">
        <w:rPr>
          <w:color w:val="auto"/>
        </w:rPr>
        <w:lastRenderedPageBreak/>
        <w:t>3.</w:t>
      </w:r>
      <w:r w:rsidRPr="00CD0FEB">
        <w:rPr>
          <w:color w:val="auto"/>
        </w:rPr>
        <w:tab/>
        <w:t xml:space="preserve">Disciplinary Deductions </w:t>
      </w:r>
    </w:p>
    <w:p w14:paraId="6984ADD6" w14:textId="77777777" w:rsidR="00201F3F" w:rsidRPr="00CD0FEB" w:rsidRDefault="00201F3F" w:rsidP="00B428D0">
      <w:pPr>
        <w:pStyle w:val="03TableofContents"/>
        <w:ind w:left="2880" w:hanging="720"/>
        <w:rPr>
          <w:color w:val="auto"/>
        </w:rPr>
      </w:pPr>
      <w:r w:rsidRPr="00CD0FEB">
        <w:rPr>
          <w:color w:val="auto"/>
        </w:rPr>
        <w:t>a.</w:t>
      </w:r>
      <w:r w:rsidRPr="00CD0FEB">
        <w:rPr>
          <w:color w:val="auto"/>
        </w:rPr>
        <w:tab/>
        <w:t xml:space="preserve">Deductions in the Form of Penalties Imposed for Violations of Safety Rules of Major Significance </w:t>
      </w:r>
    </w:p>
    <w:p w14:paraId="220DE1CE" w14:textId="77777777" w:rsidR="00201F3F" w:rsidRPr="00CD0FEB" w:rsidRDefault="00201F3F" w:rsidP="00B428D0">
      <w:pPr>
        <w:pStyle w:val="03TableofContents"/>
        <w:ind w:left="1440" w:firstLine="720"/>
        <w:rPr>
          <w:color w:val="auto"/>
        </w:rPr>
      </w:pPr>
      <w:r w:rsidRPr="00CD0FEB">
        <w:rPr>
          <w:color w:val="auto"/>
        </w:rPr>
        <w:t>b.</w:t>
      </w:r>
      <w:r w:rsidRPr="00CD0FEB">
        <w:rPr>
          <w:color w:val="auto"/>
        </w:rPr>
        <w:tab/>
        <w:t xml:space="preserve">Disciplinary Suspensions for Violations of Work Rules </w:t>
      </w:r>
    </w:p>
    <w:p w14:paraId="099C675E" w14:textId="77777777" w:rsidR="00201F3F" w:rsidRPr="00CD0FEB" w:rsidRDefault="00201F3F" w:rsidP="00B428D0">
      <w:pPr>
        <w:pStyle w:val="03TableofContents"/>
        <w:ind w:left="720" w:firstLine="720"/>
        <w:rPr>
          <w:color w:val="auto"/>
        </w:rPr>
      </w:pPr>
      <w:r w:rsidRPr="00CD0FEB">
        <w:rPr>
          <w:color w:val="auto"/>
        </w:rPr>
        <w:t>4.</w:t>
      </w:r>
      <w:r w:rsidRPr="00CD0FEB">
        <w:rPr>
          <w:color w:val="auto"/>
        </w:rPr>
        <w:tab/>
        <w:t xml:space="preserve">Initial and Terminal Weeks of Employment </w:t>
      </w:r>
    </w:p>
    <w:p w14:paraId="50363838" w14:textId="77777777" w:rsidR="00201F3F" w:rsidRPr="00CD0FEB" w:rsidRDefault="00201F3F" w:rsidP="00B428D0">
      <w:pPr>
        <w:pStyle w:val="03TableofContents"/>
        <w:ind w:left="720" w:firstLine="720"/>
        <w:rPr>
          <w:color w:val="auto"/>
        </w:rPr>
      </w:pPr>
      <w:r w:rsidRPr="00CD0FEB">
        <w:rPr>
          <w:color w:val="auto"/>
        </w:rPr>
        <w:t>5.</w:t>
      </w:r>
      <w:r w:rsidRPr="00CD0FEB">
        <w:rPr>
          <w:color w:val="auto"/>
        </w:rPr>
        <w:tab/>
        <w:t xml:space="preserve">Absences for Leave Under the Family and Medical Leave Act </w:t>
      </w:r>
    </w:p>
    <w:p w14:paraId="4B17A997" w14:textId="77777777" w:rsidR="00201F3F" w:rsidRPr="00CD0FEB" w:rsidRDefault="00201F3F" w:rsidP="00B428D0">
      <w:pPr>
        <w:pStyle w:val="03TableofContents"/>
        <w:ind w:left="720" w:firstLine="720"/>
        <w:rPr>
          <w:color w:val="auto"/>
        </w:rPr>
      </w:pPr>
      <w:r w:rsidRPr="00CD0FEB">
        <w:rPr>
          <w:color w:val="auto"/>
        </w:rPr>
        <w:t>6.</w:t>
      </w:r>
      <w:r w:rsidRPr="00CD0FEB">
        <w:rPr>
          <w:color w:val="auto"/>
        </w:rPr>
        <w:tab/>
        <w:t xml:space="preserve">Deductions From Leave Accounts </w:t>
      </w:r>
    </w:p>
    <w:p w14:paraId="65D1D940"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Permissible Reductions in an Exempt Employee’s Salary </w:t>
      </w:r>
    </w:p>
    <w:p w14:paraId="3E884C75" w14:textId="77777777" w:rsidR="00201F3F" w:rsidRPr="00CD0FEB" w:rsidRDefault="00201F3F" w:rsidP="00B428D0">
      <w:pPr>
        <w:pStyle w:val="03TableofContents"/>
        <w:ind w:firstLine="720"/>
        <w:rPr>
          <w:color w:val="auto"/>
        </w:rPr>
      </w:pPr>
      <w:r w:rsidRPr="00CD0FEB">
        <w:rPr>
          <w:color w:val="auto"/>
        </w:rPr>
        <w:t>E.</w:t>
      </w:r>
      <w:r w:rsidRPr="00CD0FEB">
        <w:rPr>
          <w:color w:val="auto"/>
        </w:rPr>
        <w:tab/>
        <w:t xml:space="preserve">Impermissible Deductions From an Employee’s Salary </w:t>
      </w:r>
    </w:p>
    <w:p w14:paraId="0DEA070A"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Absences Occasioned by the Employer </w:t>
      </w:r>
    </w:p>
    <w:p w14:paraId="661CB8A3" w14:textId="77777777" w:rsidR="00201F3F" w:rsidRPr="00CD0FEB" w:rsidRDefault="00201F3F" w:rsidP="00B428D0">
      <w:pPr>
        <w:pStyle w:val="03TableofContents"/>
        <w:ind w:left="2160" w:hanging="720"/>
        <w:rPr>
          <w:color w:val="auto"/>
        </w:rPr>
      </w:pPr>
      <w:r w:rsidRPr="00CD0FEB">
        <w:rPr>
          <w:color w:val="auto"/>
        </w:rPr>
        <w:t>2.</w:t>
      </w:r>
      <w:r w:rsidRPr="00CD0FEB">
        <w:rPr>
          <w:color w:val="auto"/>
        </w:rPr>
        <w:tab/>
        <w:t xml:space="preserve">Absences Due to Jury Duty, Attendance as a Witness, or Temporary Military Leave </w:t>
      </w:r>
    </w:p>
    <w:p w14:paraId="76E43348" w14:textId="77777777" w:rsidR="00201F3F" w:rsidRPr="00CD0FEB" w:rsidRDefault="00201F3F" w:rsidP="00B428D0">
      <w:pPr>
        <w:pStyle w:val="03TableofContents"/>
        <w:ind w:left="720" w:firstLine="720"/>
        <w:rPr>
          <w:color w:val="auto"/>
        </w:rPr>
      </w:pPr>
      <w:r w:rsidRPr="00CD0FEB">
        <w:rPr>
          <w:color w:val="auto"/>
        </w:rPr>
        <w:t>3.</w:t>
      </w:r>
      <w:r w:rsidRPr="00CD0FEB">
        <w:rPr>
          <w:color w:val="auto"/>
        </w:rPr>
        <w:tab/>
        <w:t xml:space="preserve">Absences of Less Than One Day </w:t>
      </w:r>
    </w:p>
    <w:p w14:paraId="2B904AD7" w14:textId="77777777" w:rsidR="00201F3F" w:rsidRPr="00CD0FEB" w:rsidRDefault="00201F3F" w:rsidP="00B428D0">
      <w:pPr>
        <w:pStyle w:val="03TableofContents"/>
        <w:ind w:firstLine="720"/>
        <w:rPr>
          <w:color w:val="auto"/>
        </w:rPr>
      </w:pPr>
      <w:r w:rsidRPr="00CD0FEB">
        <w:rPr>
          <w:color w:val="auto"/>
        </w:rPr>
        <w:t>F.</w:t>
      </w:r>
      <w:r w:rsidRPr="00CD0FEB">
        <w:rPr>
          <w:color w:val="auto"/>
        </w:rPr>
        <w:tab/>
        <w:t xml:space="preserve">Effect of Improper Deductions </w:t>
      </w:r>
    </w:p>
    <w:p w14:paraId="5993F358"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Generally </w:t>
      </w:r>
    </w:p>
    <w:p w14:paraId="1BEB5D9F" w14:textId="77777777" w:rsidR="00201F3F" w:rsidRPr="00CD0FEB" w:rsidRDefault="00201F3F" w:rsidP="00B428D0">
      <w:pPr>
        <w:pStyle w:val="03TableofContents"/>
        <w:ind w:left="720" w:firstLine="720"/>
        <w:rPr>
          <w:color w:val="auto"/>
        </w:rPr>
      </w:pPr>
      <w:r w:rsidRPr="00CD0FEB">
        <w:rPr>
          <w:color w:val="auto"/>
        </w:rPr>
        <w:t>2.</w:t>
      </w:r>
      <w:r w:rsidRPr="00CD0FEB">
        <w:rPr>
          <w:color w:val="auto"/>
        </w:rPr>
        <w:tab/>
        <w:t xml:space="preserve">Effect of Improper Deductions on Status of Other Employees </w:t>
      </w:r>
    </w:p>
    <w:p w14:paraId="2F7370C2" w14:textId="77777777" w:rsidR="00201F3F" w:rsidRPr="00CD0FEB" w:rsidRDefault="00201F3F" w:rsidP="00B428D0">
      <w:pPr>
        <w:pStyle w:val="03TableofContents"/>
        <w:ind w:left="720" w:firstLine="720"/>
        <w:rPr>
          <w:color w:val="auto"/>
        </w:rPr>
      </w:pPr>
      <w:r w:rsidRPr="00CD0FEB">
        <w:rPr>
          <w:color w:val="auto"/>
        </w:rPr>
        <w:t>3.</w:t>
      </w:r>
      <w:r w:rsidRPr="00CD0FEB">
        <w:rPr>
          <w:color w:val="auto"/>
        </w:rPr>
        <w:tab/>
        <w:t xml:space="preserve">Isolated or Inadvertent Deductions </w:t>
      </w:r>
    </w:p>
    <w:p w14:paraId="7AB98DB4" w14:textId="77777777" w:rsidR="00201F3F" w:rsidRPr="00CD0FEB" w:rsidRDefault="00201F3F" w:rsidP="00B428D0">
      <w:pPr>
        <w:pStyle w:val="03TableofContents"/>
        <w:ind w:left="720" w:firstLine="720"/>
        <w:rPr>
          <w:color w:val="auto"/>
        </w:rPr>
      </w:pPr>
      <w:r w:rsidRPr="00CD0FEB">
        <w:rPr>
          <w:color w:val="auto"/>
        </w:rPr>
        <w:t>4.</w:t>
      </w:r>
      <w:r w:rsidRPr="00CD0FEB">
        <w:rPr>
          <w:color w:val="auto"/>
        </w:rPr>
        <w:tab/>
        <w:t xml:space="preserve">Employer “Safe Harbor” </w:t>
      </w:r>
    </w:p>
    <w:p w14:paraId="3B7E1A51" w14:textId="77777777" w:rsidR="00201F3F" w:rsidRPr="00CD0FEB" w:rsidRDefault="00201F3F" w:rsidP="00B428D0">
      <w:pPr>
        <w:pStyle w:val="03TableofContents"/>
        <w:ind w:firstLine="720"/>
        <w:rPr>
          <w:color w:val="auto"/>
        </w:rPr>
      </w:pPr>
      <w:r w:rsidRPr="00CD0FEB">
        <w:rPr>
          <w:color w:val="auto"/>
        </w:rPr>
        <w:t>G.</w:t>
      </w:r>
      <w:r w:rsidRPr="00CD0FEB">
        <w:rPr>
          <w:color w:val="auto"/>
        </w:rPr>
        <w:tab/>
        <w:t xml:space="preserve">Fee Basis Alternative for Professional and Administrative Exemptions </w:t>
      </w:r>
    </w:p>
    <w:p w14:paraId="6FC46CDD" w14:textId="77777777" w:rsidR="00201F3F" w:rsidRPr="00CD0FEB" w:rsidRDefault="00201F3F" w:rsidP="00B428D0">
      <w:pPr>
        <w:pStyle w:val="03TableofContents"/>
        <w:rPr>
          <w:color w:val="auto"/>
        </w:rPr>
      </w:pPr>
      <w:r w:rsidRPr="00CD0FEB">
        <w:rPr>
          <w:color w:val="auto"/>
        </w:rPr>
        <w:t>V.</w:t>
      </w:r>
      <w:r w:rsidRPr="00CD0FEB">
        <w:rPr>
          <w:color w:val="auto"/>
        </w:rPr>
        <w:tab/>
        <w:t xml:space="preserve">The Executive Exemption </w:t>
      </w:r>
    </w:p>
    <w:p w14:paraId="5D915983"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Management Duties </w:t>
      </w:r>
    </w:p>
    <w:p w14:paraId="2C23E0EA"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Primary Duty of Managing </w:t>
      </w:r>
    </w:p>
    <w:p w14:paraId="7778412E"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Performing Management Duties </w:t>
      </w:r>
    </w:p>
    <w:p w14:paraId="5B696930" w14:textId="77777777" w:rsidR="00201F3F" w:rsidRPr="00CD0FEB" w:rsidRDefault="00201F3F" w:rsidP="00B428D0">
      <w:pPr>
        <w:pStyle w:val="03TableofContents"/>
        <w:ind w:left="720" w:firstLine="720"/>
        <w:rPr>
          <w:color w:val="auto"/>
        </w:rPr>
      </w:pPr>
      <w:r w:rsidRPr="00CD0FEB">
        <w:rPr>
          <w:color w:val="auto"/>
        </w:rPr>
        <w:t>2.</w:t>
      </w:r>
      <w:r w:rsidRPr="00CD0FEB">
        <w:rPr>
          <w:color w:val="auto"/>
        </w:rPr>
        <w:tab/>
        <w:t xml:space="preserve">Performing Management Duties Less Than 50 Percent of the Time </w:t>
      </w:r>
    </w:p>
    <w:p w14:paraId="75F52A6E" w14:textId="77777777" w:rsidR="00201F3F" w:rsidRPr="00CD0FEB" w:rsidRDefault="00201F3F" w:rsidP="00B428D0">
      <w:pPr>
        <w:pStyle w:val="03TableofContents"/>
        <w:ind w:left="1440" w:hanging="720"/>
        <w:rPr>
          <w:color w:val="auto"/>
        </w:rPr>
      </w:pPr>
      <w:r w:rsidRPr="00CD0FEB">
        <w:rPr>
          <w:color w:val="auto"/>
        </w:rPr>
        <w:t>C.</w:t>
      </w:r>
      <w:r w:rsidRPr="00CD0FEB">
        <w:rPr>
          <w:color w:val="auto"/>
        </w:rPr>
        <w:tab/>
        <w:t xml:space="preserve">“The Enterprise” or “a Customarily Recognized Department or Subdivision” Thereof </w:t>
      </w:r>
    </w:p>
    <w:p w14:paraId="5969AF8D"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“Customarily and Regularly Direct the Work of Two or More Other Employees” </w:t>
      </w:r>
    </w:p>
    <w:p w14:paraId="46809C26" w14:textId="77777777" w:rsidR="00201F3F" w:rsidRPr="00CD0FEB" w:rsidRDefault="00201F3F" w:rsidP="00B428D0">
      <w:pPr>
        <w:pStyle w:val="03TableofContents"/>
        <w:ind w:left="1440" w:hanging="720"/>
        <w:rPr>
          <w:color w:val="auto"/>
        </w:rPr>
      </w:pPr>
      <w:r w:rsidRPr="00CD0FEB">
        <w:rPr>
          <w:color w:val="auto"/>
        </w:rPr>
        <w:t>E.</w:t>
      </w:r>
      <w:r w:rsidRPr="00CD0FEB">
        <w:rPr>
          <w:color w:val="auto"/>
        </w:rPr>
        <w:tab/>
        <w:t xml:space="preserve">Authority With Respect to Significant Personnel Matters or Input Must Be </w:t>
      </w:r>
      <w:r w:rsidRPr="00CD0FEB">
        <w:rPr>
          <w:color w:val="auto"/>
        </w:rPr>
        <w:br/>
        <w:t xml:space="preserve">“Given Particular Weight” </w:t>
      </w:r>
    </w:p>
    <w:p w14:paraId="4EF3352C" w14:textId="77777777" w:rsidR="00201F3F" w:rsidRPr="00CD0FEB" w:rsidRDefault="00201F3F" w:rsidP="00B428D0">
      <w:pPr>
        <w:pStyle w:val="03TableofContents"/>
        <w:ind w:firstLine="720"/>
        <w:rPr>
          <w:color w:val="auto"/>
        </w:rPr>
      </w:pPr>
      <w:r w:rsidRPr="00CD0FEB">
        <w:rPr>
          <w:color w:val="auto"/>
        </w:rPr>
        <w:t>F.</w:t>
      </w:r>
      <w:r w:rsidRPr="00CD0FEB">
        <w:rPr>
          <w:color w:val="auto"/>
        </w:rPr>
        <w:tab/>
        <w:t xml:space="preserve">Business Owners </w:t>
      </w:r>
    </w:p>
    <w:p w14:paraId="634BAAE1" w14:textId="77777777" w:rsidR="00201F3F" w:rsidRPr="00CD0FEB" w:rsidRDefault="00201F3F" w:rsidP="00B428D0">
      <w:pPr>
        <w:pStyle w:val="03TableofContents"/>
        <w:ind w:firstLine="720"/>
        <w:rPr>
          <w:color w:val="auto"/>
        </w:rPr>
      </w:pPr>
      <w:r w:rsidRPr="00CD0FEB">
        <w:rPr>
          <w:color w:val="auto"/>
        </w:rPr>
        <w:t>G.</w:t>
      </w:r>
      <w:r w:rsidRPr="00CD0FEB">
        <w:rPr>
          <w:color w:val="auto"/>
        </w:rPr>
        <w:tab/>
        <w:t xml:space="preserve">Working Supervisor </w:t>
      </w:r>
    </w:p>
    <w:p w14:paraId="68E76808" w14:textId="77777777" w:rsidR="00201F3F" w:rsidRPr="00CD0FEB" w:rsidRDefault="00201F3F" w:rsidP="00B428D0">
      <w:pPr>
        <w:pStyle w:val="03TableofContents"/>
        <w:rPr>
          <w:color w:val="auto"/>
        </w:rPr>
      </w:pPr>
      <w:r w:rsidRPr="00CD0FEB">
        <w:rPr>
          <w:color w:val="auto"/>
        </w:rPr>
        <w:t>VI.</w:t>
      </w:r>
      <w:r w:rsidRPr="00CD0FEB">
        <w:rPr>
          <w:color w:val="auto"/>
        </w:rPr>
        <w:tab/>
        <w:t xml:space="preserve">The Administrative Exemption </w:t>
      </w:r>
    </w:p>
    <w:p w14:paraId="108EE322"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“Office or Non-Manual Work” </w:t>
      </w:r>
    </w:p>
    <w:p w14:paraId="54AC5C3A"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“Directly Related to Management or General Business Operations” </w:t>
      </w:r>
    </w:p>
    <w:p w14:paraId="735B04D8" w14:textId="77777777" w:rsidR="00201F3F" w:rsidRPr="00CD0FEB" w:rsidRDefault="00201F3F" w:rsidP="00B428D0">
      <w:pPr>
        <w:pStyle w:val="03TableofContents"/>
        <w:ind w:firstLine="720"/>
        <w:rPr>
          <w:color w:val="auto"/>
        </w:rPr>
      </w:pPr>
      <w:r w:rsidRPr="00CD0FEB">
        <w:rPr>
          <w:color w:val="auto"/>
        </w:rPr>
        <w:t>C.</w:t>
      </w:r>
      <w:r w:rsidRPr="00CD0FEB">
        <w:rPr>
          <w:color w:val="auto"/>
        </w:rPr>
        <w:tab/>
        <w:t xml:space="preserve">“Discretion and Independent Judgment” </w:t>
      </w:r>
    </w:p>
    <w:p w14:paraId="05D5C244"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Regulatory Application of Principles to Specific Job Categories </w:t>
      </w:r>
    </w:p>
    <w:p w14:paraId="748A5E7A"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 xml:space="preserve">Insurance Claims Adjusters—29 C.F.R. §541.203(a) </w:t>
      </w:r>
    </w:p>
    <w:p w14:paraId="7B575BDD" w14:textId="77777777" w:rsidR="00201F3F" w:rsidRPr="00CD0FEB" w:rsidRDefault="00201F3F" w:rsidP="00B428D0">
      <w:pPr>
        <w:pStyle w:val="03TableofContents"/>
        <w:ind w:left="720" w:firstLine="720"/>
        <w:rPr>
          <w:color w:val="auto"/>
        </w:rPr>
      </w:pPr>
      <w:r w:rsidRPr="00CD0FEB">
        <w:rPr>
          <w:color w:val="auto"/>
        </w:rPr>
        <w:t>2.</w:t>
      </w:r>
      <w:r w:rsidRPr="00CD0FEB">
        <w:rPr>
          <w:color w:val="auto"/>
        </w:rPr>
        <w:tab/>
        <w:t xml:space="preserve">Financial Services Industry Employees—29 C.F.R. §541.203(b) </w:t>
      </w:r>
    </w:p>
    <w:p w14:paraId="616C1CB4" w14:textId="77777777" w:rsidR="00201F3F" w:rsidRPr="00CD0FEB" w:rsidRDefault="00201F3F" w:rsidP="00B428D0">
      <w:pPr>
        <w:pStyle w:val="03TableofContents"/>
        <w:ind w:left="720" w:firstLine="720"/>
        <w:rPr>
          <w:color w:val="auto"/>
        </w:rPr>
      </w:pPr>
      <w:r w:rsidRPr="00CD0FEB">
        <w:rPr>
          <w:color w:val="auto"/>
        </w:rPr>
        <w:t>3.</w:t>
      </w:r>
      <w:r w:rsidRPr="00CD0FEB">
        <w:rPr>
          <w:color w:val="auto"/>
        </w:rPr>
        <w:tab/>
        <w:t xml:space="preserve">Team Leaders—29 C.F.R. §541.203(c) </w:t>
      </w:r>
    </w:p>
    <w:p w14:paraId="0B960321" w14:textId="77777777" w:rsidR="00201F3F" w:rsidRPr="00CD0FEB" w:rsidRDefault="00201F3F" w:rsidP="00B428D0">
      <w:pPr>
        <w:pStyle w:val="03TableofContents"/>
        <w:ind w:left="720" w:firstLine="720"/>
        <w:rPr>
          <w:color w:val="auto"/>
        </w:rPr>
      </w:pPr>
      <w:r w:rsidRPr="00CD0FEB">
        <w:rPr>
          <w:color w:val="auto"/>
        </w:rPr>
        <w:t>4.</w:t>
      </w:r>
      <w:r w:rsidRPr="00CD0FEB">
        <w:rPr>
          <w:color w:val="auto"/>
        </w:rPr>
        <w:tab/>
        <w:t xml:space="preserve">Executive Assistants—29 C.F.R. §541.203(d) </w:t>
      </w:r>
    </w:p>
    <w:p w14:paraId="1502C562" w14:textId="77777777" w:rsidR="00201F3F" w:rsidRPr="00CD0FEB" w:rsidRDefault="00201F3F" w:rsidP="00B428D0">
      <w:pPr>
        <w:pStyle w:val="03TableofContents"/>
        <w:ind w:left="720" w:firstLine="720"/>
        <w:rPr>
          <w:color w:val="auto"/>
        </w:rPr>
      </w:pPr>
      <w:r w:rsidRPr="00CD0FEB">
        <w:rPr>
          <w:color w:val="auto"/>
        </w:rPr>
        <w:t>5.</w:t>
      </w:r>
      <w:r w:rsidRPr="00CD0FEB">
        <w:rPr>
          <w:color w:val="auto"/>
        </w:rPr>
        <w:tab/>
        <w:t xml:space="preserve">Human Resources Personnel—29 C.F.R. §541.203(e) </w:t>
      </w:r>
    </w:p>
    <w:p w14:paraId="265B0384" w14:textId="77777777" w:rsidR="00201F3F" w:rsidRPr="00CD0FEB" w:rsidRDefault="00201F3F" w:rsidP="00B428D0">
      <w:pPr>
        <w:pStyle w:val="03TableofContents"/>
        <w:ind w:left="720" w:firstLine="720"/>
        <w:rPr>
          <w:color w:val="auto"/>
        </w:rPr>
      </w:pPr>
      <w:r w:rsidRPr="00CD0FEB">
        <w:rPr>
          <w:color w:val="auto"/>
        </w:rPr>
        <w:t>6.</w:t>
      </w:r>
      <w:r w:rsidRPr="00CD0FEB">
        <w:rPr>
          <w:color w:val="auto"/>
        </w:rPr>
        <w:tab/>
        <w:t xml:space="preserve">Purchasing Agents—29 C.F.R. §541.203(f) </w:t>
      </w:r>
    </w:p>
    <w:p w14:paraId="0CA29A4D" w14:textId="77777777" w:rsidR="00201F3F" w:rsidRPr="00CD0FEB" w:rsidRDefault="00201F3F" w:rsidP="00B428D0">
      <w:pPr>
        <w:pStyle w:val="03TableofContents"/>
        <w:ind w:left="720" w:firstLine="720"/>
        <w:rPr>
          <w:color w:val="auto"/>
        </w:rPr>
      </w:pPr>
      <w:r w:rsidRPr="00CD0FEB">
        <w:rPr>
          <w:color w:val="auto"/>
        </w:rPr>
        <w:t>7.</w:t>
      </w:r>
      <w:r w:rsidRPr="00CD0FEB">
        <w:rPr>
          <w:color w:val="auto"/>
        </w:rPr>
        <w:tab/>
        <w:t xml:space="preserve">Inspectors—29 C.F.R. §541.203(g) </w:t>
      </w:r>
    </w:p>
    <w:p w14:paraId="55062A0D" w14:textId="77777777" w:rsidR="00201F3F" w:rsidRPr="00CD0FEB" w:rsidRDefault="00201F3F" w:rsidP="00B428D0">
      <w:pPr>
        <w:pStyle w:val="03TableofContents"/>
        <w:ind w:left="720" w:firstLine="720"/>
        <w:rPr>
          <w:color w:val="auto"/>
        </w:rPr>
      </w:pPr>
      <w:r w:rsidRPr="00CD0FEB">
        <w:rPr>
          <w:color w:val="auto"/>
        </w:rPr>
        <w:t>8.</w:t>
      </w:r>
      <w:r w:rsidRPr="00CD0FEB">
        <w:rPr>
          <w:color w:val="auto"/>
        </w:rPr>
        <w:tab/>
        <w:t xml:space="preserve">Examiners/Graders—29 C.F.R. §541.203(h) </w:t>
      </w:r>
    </w:p>
    <w:p w14:paraId="688829C2" w14:textId="77777777" w:rsidR="00201F3F" w:rsidRPr="00CD0FEB" w:rsidRDefault="00201F3F" w:rsidP="00B428D0">
      <w:pPr>
        <w:pStyle w:val="03TableofContents"/>
        <w:ind w:left="720" w:firstLine="720"/>
        <w:rPr>
          <w:color w:val="auto"/>
        </w:rPr>
      </w:pPr>
      <w:r w:rsidRPr="00CD0FEB">
        <w:rPr>
          <w:color w:val="auto"/>
        </w:rPr>
        <w:t>9.</w:t>
      </w:r>
      <w:r w:rsidRPr="00CD0FEB">
        <w:rPr>
          <w:color w:val="auto"/>
        </w:rPr>
        <w:tab/>
        <w:t xml:space="preserve">Buyers—29 C.F.R. §541.203(i) </w:t>
      </w:r>
    </w:p>
    <w:p w14:paraId="4AB6ED0A" w14:textId="77777777" w:rsidR="00201F3F" w:rsidRPr="00CD0FEB" w:rsidRDefault="00201F3F" w:rsidP="00B428D0">
      <w:pPr>
        <w:pStyle w:val="03TableofContents"/>
        <w:ind w:left="720" w:firstLine="720"/>
        <w:rPr>
          <w:color w:val="auto"/>
        </w:rPr>
      </w:pPr>
      <w:r w:rsidRPr="00CD0FEB">
        <w:rPr>
          <w:color w:val="auto"/>
        </w:rPr>
        <w:t>10.</w:t>
      </w:r>
      <w:r w:rsidRPr="00CD0FEB">
        <w:rPr>
          <w:color w:val="auto"/>
        </w:rPr>
        <w:tab/>
        <w:t xml:space="preserve">Investigators—29 C.F.R. §541.203(j) </w:t>
      </w:r>
    </w:p>
    <w:p w14:paraId="66B0723F" w14:textId="77777777" w:rsidR="00201F3F" w:rsidRPr="00CD0FEB" w:rsidRDefault="00201F3F" w:rsidP="00B428D0">
      <w:pPr>
        <w:pStyle w:val="03TableofContents"/>
        <w:ind w:firstLine="720"/>
        <w:rPr>
          <w:color w:val="auto"/>
        </w:rPr>
      </w:pPr>
      <w:r w:rsidRPr="00CD0FEB">
        <w:rPr>
          <w:color w:val="auto"/>
        </w:rPr>
        <w:t>E.</w:t>
      </w:r>
      <w:r w:rsidRPr="00CD0FEB">
        <w:rPr>
          <w:color w:val="auto"/>
        </w:rPr>
        <w:tab/>
        <w:t xml:space="preserve">“Educational Establishments” </w:t>
      </w:r>
    </w:p>
    <w:p w14:paraId="1A1BBE05" w14:textId="77777777" w:rsidR="00201F3F" w:rsidRPr="00CD0FEB" w:rsidRDefault="00201F3F" w:rsidP="00B428D0">
      <w:pPr>
        <w:pStyle w:val="03TableofContents"/>
        <w:rPr>
          <w:color w:val="auto"/>
        </w:rPr>
      </w:pPr>
      <w:r w:rsidRPr="00CD0FEB">
        <w:rPr>
          <w:color w:val="auto"/>
        </w:rPr>
        <w:t>VII.</w:t>
      </w:r>
      <w:r w:rsidRPr="00CD0FEB">
        <w:rPr>
          <w:color w:val="auto"/>
        </w:rPr>
        <w:tab/>
        <w:t xml:space="preserve">The Professional Exemption </w:t>
      </w:r>
    </w:p>
    <w:p w14:paraId="35558535"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Learned Professionals </w:t>
      </w:r>
    </w:p>
    <w:p w14:paraId="2CE40F5B" w14:textId="77777777" w:rsidR="00201F3F" w:rsidRPr="00CD0FEB" w:rsidRDefault="00201F3F" w:rsidP="00B428D0">
      <w:pPr>
        <w:pStyle w:val="03TableofContents"/>
        <w:ind w:left="720" w:firstLine="720"/>
        <w:rPr>
          <w:color w:val="auto"/>
        </w:rPr>
      </w:pPr>
      <w:r w:rsidRPr="00CD0FEB">
        <w:rPr>
          <w:color w:val="auto"/>
        </w:rPr>
        <w:t>1.</w:t>
      </w:r>
      <w:r w:rsidRPr="00CD0FEB">
        <w:rPr>
          <w:color w:val="auto"/>
        </w:rPr>
        <w:tab/>
        <w:t>“Work Requiring Advanced Knowledge”</w:t>
      </w:r>
    </w:p>
    <w:p w14:paraId="442DEC60" w14:textId="77777777" w:rsidR="00201F3F" w:rsidRPr="00CD0FEB" w:rsidRDefault="00201F3F" w:rsidP="00B428D0">
      <w:pPr>
        <w:pStyle w:val="03TableofContents"/>
        <w:ind w:left="720" w:firstLine="720"/>
        <w:rPr>
          <w:color w:val="auto"/>
        </w:rPr>
      </w:pPr>
      <w:r w:rsidRPr="00CD0FEB">
        <w:rPr>
          <w:color w:val="auto"/>
        </w:rPr>
        <w:t>2.</w:t>
      </w:r>
      <w:r w:rsidRPr="00CD0FEB">
        <w:rPr>
          <w:color w:val="auto"/>
        </w:rPr>
        <w:tab/>
        <w:t xml:space="preserve">“Field of Science or Learning” </w:t>
      </w:r>
    </w:p>
    <w:p w14:paraId="30D2024E" w14:textId="77777777" w:rsidR="00201F3F" w:rsidRPr="00CD0FEB" w:rsidRDefault="00201F3F" w:rsidP="00B428D0">
      <w:pPr>
        <w:pStyle w:val="03TableofContents"/>
        <w:ind w:left="2160" w:hanging="720"/>
        <w:rPr>
          <w:color w:val="auto"/>
        </w:rPr>
      </w:pPr>
      <w:r w:rsidRPr="00CD0FEB">
        <w:rPr>
          <w:color w:val="auto"/>
        </w:rPr>
        <w:t>3.</w:t>
      </w:r>
      <w:r w:rsidRPr="00CD0FEB">
        <w:rPr>
          <w:color w:val="auto"/>
        </w:rPr>
        <w:tab/>
        <w:t xml:space="preserve">“Customarily Acquired by a Prolonged Course of Specialized Intellectual Instruction” </w:t>
      </w:r>
    </w:p>
    <w:p w14:paraId="03AF459A" w14:textId="77777777" w:rsidR="00201F3F" w:rsidRPr="00CD0FEB" w:rsidRDefault="00201F3F" w:rsidP="00B428D0">
      <w:pPr>
        <w:pStyle w:val="03TableofContents"/>
        <w:ind w:left="720" w:firstLine="720"/>
        <w:rPr>
          <w:color w:val="auto"/>
        </w:rPr>
      </w:pPr>
      <w:r w:rsidRPr="00CD0FEB">
        <w:rPr>
          <w:color w:val="auto"/>
        </w:rPr>
        <w:t>4.</w:t>
      </w:r>
      <w:r w:rsidRPr="00CD0FEB">
        <w:rPr>
          <w:color w:val="auto"/>
        </w:rPr>
        <w:tab/>
        <w:t xml:space="preserve">Regulatory Guidance on Specific Learned Professional Occupations </w:t>
      </w:r>
    </w:p>
    <w:p w14:paraId="760DE18F" w14:textId="77777777" w:rsidR="00201F3F" w:rsidRPr="00CD0FEB" w:rsidRDefault="00201F3F" w:rsidP="00B428D0">
      <w:pPr>
        <w:pStyle w:val="03TableofContents"/>
        <w:ind w:left="2880" w:hanging="720"/>
        <w:rPr>
          <w:color w:val="auto"/>
        </w:rPr>
      </w:pPr>
      <w:r w:rsidRPr="00CD0FEB">
        <w:rPr>
          <w:color w:val="auto"/>
        </w:rPr>
        <w:t>a.</w:t>
      </w:r>
      <w:r w:rsidRPr="00CD0FEB">
        <w:rPr>
          <w:color w:val="auto"/>
        </w:rPr>
        <w:tab/>
        <w:t xml:space="preserve">Registered or Certified Medical Technologists—29 C.F.R. §541.301(e)(1) </w:t>
      </w:r>
    </w:p>
    <w:p w14:paraId="0D932922" w14:textId="77777777" w:rsidR="00201F3F" w:rsidRPr="00CD0FEB" w:rsidRDefault="00201F3F" w:rsidP="00B428D0">
      <w:pPr>
        <w:pStyle w:val="03TableofContents"/>
        <w:ind w:left="1440" w:firstLine="720"/>
        <w:rPr>
          <w:color w:val="auto"/>
        </w:rPr>
      </w:pPr>
      <w:r w:rsidRPr="00CD0FEB">
        <w:rPr>
          <w:color w:val="auto"/>
        </w:rPr>
        <w:lastRenderedPageBreak/>
        <w:t>b.</w:t>
      </w:r>
      <w:r w:rsidRPr="00CD0FEB">
        <w:rPr>
          <w:color w:val="auto"/>
        </w:rPr>
        <w:tab/>
        <w:t xml:space="preserve">Nurses—29 C.F.R. §541.301(e)(2) </w:t>
      </w:r>
    </w:p>
    <w:p w14:paraId="619DAC54" w14:textId="77777777" w:rsidR="00201F3F" w:rsidRPr="00CD0FEB" w:rsidRDefault="00201F3F" w:rsidP="00B428D0">
      <w:pPr>
        <w:pStyle w:val="03TableofContents"/>
        <w:ind w:left="1440" w:firstLine="720"/>
        <w:rPr>
          <w:color w:val="auto"/>
        </w:rPr>
      </w:pPr>
      <w:r w:rsidRPr="00CD0FEB">
        <w:rPr>
          <w:color w:val="auto"/>
        </w:rPr>
        <w:t>c.</w:t>
      </w:r>
      <w:r w:rsidRPr="00CD0FEB">
        <w:rPr>
          <w:color w:val="auto"/>
        </w:rPr>
        <w:tab/>
        <w:t xml:space="preserve">Dental Hygienists—29 C.F.R. §541.301(e)(3) </w:t>
      </w:r>
    </w:p>
    <w:p w14:paraId="78E90E72" w14:textId="77777777" w:rsidR="00201F3F" w:rsidRPr="00CD0FEB" w:rsidRDefault="00201F3F" w:rsidP="00B428D0">
      <w:pPr>
        <w:pStyle w:val="03TableofContents"/>
        <w:ind w:left="1440" w:firstLine="720"/>
        <w:rPr>
          <w:color w:val="auto"/>
        </w:rPr>
      </w:pPr>
      <w:r w:rsidRPr="00CD0FEB">
        <w:rPr>
          <w:color w:val="auto"/>
        </w:rPr>
        <w:t>d.</w:t>
      </w:r>
      <w:r w:rsidRPr="00CD0FEB">
        <w:rPr>
          <w:color w:val="auto"/>
        </w:rPr>
        <w:tab/>
        <w:t xml:space="preserve">Physician Assistants—29 C.F.R. §541.301(e)(4) </w:t>
      </w:r>
    </w:p>
    <w:p w14:paraId="1FDC15E4" w14:textId="77777777" w:rsidR="00201F3F" w:rsidRPr="00CD0FEB" w:rsidRDefault="00201F3F" w:rsidP="00B428D0">
      <w:pPr>
        <w:pStyle w:val="03TableofContents"/>
        <w:ind w:left="1440" w:firstLine="720"/>
        <w:rPr>
          <w:color w:val="auto"/>
        </w:rPr>
      </w:pPr>
      <w:r w:rsidRPr="00CD0FEB">
        <w:rPr>
          <w:color w:val="auto"/>
        </w:rPr>
        <w:t>e.</w:t>
      </w:r>
      <w:r w:rsidRPr="00CD0FEB">
        <w:rPr>
          <w:color w:val="auto"/>
        </w:rPr>
        <w:tab/>
        <w:t xml:space="preserve">Accountants—29 C.F.R. §541.301(e)(5) </w:t>
      </w:r>
    </w:p>
    <w:p w14:paraId="594083A6" w14:textId="77777777" w:rsidR="00201F3F" w:rsidRPr="00A14ABA" w:rsidRDefault="00201F3F" w:rsidP="00B428D0">
      <w:pPr>
        <w:pStyle w:val="03TableofContents"/>
        <w:ind w:left="1440" w:firstLine="720"/>
        <w:rPr>
          <w:color w:val="auto"/>
        </w:rPr>
      </w:pPr>
      <w:r w:rsidRPr="00A14ABA">
        <w:rPr>
          <w:color w:val="auto"/>
        </w:rPr>
        <w:t>f.</w:t>
      </w:r>
      <w:r w:rsidRPr="00A14ABA">
        <w:rPr>
          <w:color w:val="auto"/>
        </w:rPr>
        <w:tab/>
        <w:t xml:space="preserve">Chefs—29 C.F.R. §541.301(e)(6) </w:t>
      </w:r>
    </w:p>
    <w:p w14:paraId="1B075D82" w14:textId="77777777" w:rsidR="00201F3F" w:rsidRPr="00A14ABA" w:rsidRDefault="00201F3F" w:rsidP="00B428D0">
      <w:pPr>
        <w:pStyle w:val="03TableofContents"/>
        <w:ind w:left="1440" w:firstLine="720"/>
        <w:rPr>
          <w:color w:val="auto"/>
        </w:rPr>
      </w:pPr>
      <w:r w:rsidRPr="00A14ABA">
        <w:rPr>
          <w:color w:val="auto"/>
        </w:rPr>
        <w:t>g.</w:t>
      </w:r>
      <w:r w:rsidRPr="00A14ABA">
        <w:rPr>
          <w:color w:val="auto"/>
        </w:rPr>
        <w:tab/>
        <w:t xml:space="preserve">Paralegals—29 C.F.R. §541.301(e)(7) </w:t>
      </w:r>
    </w:p>
    <w:p w14:paraId="049B14C7" w14:textId="77777777" w:rsidR="00201F3F" w:rsidRPr="00CD0FEB" w:rsidRDefault="00201F3F" w:rsidP="00B428D0">
      <w:pPr>
        <w:pStyle w:val="03TableofContents"/>
        <w:ind w:left="1440" w:firstLine="720"/>
        <w:rPr>
          <w:color w:val="auto"/>
        </w:rPr>
      </w:pPr>
      <w:r w:rsidRPr="00CD0FEB">
        <w:rPr>
          <w:color w:val="auto"/>
        </w:rPr>
        <w:t>h.</w:t>
      </w:r>
      <w:r w:rsidRPr="00CD0FEB">
        <w:rPr>
          <w:color w:val="auto"/>
        </w:rPr>
        <w:tab/>
        <w:t xml:space="preserve">Athletic Trainers—29 C.F.R. §541.301(e)(8) </w:t>
      </w:r>
    </w:p>
    <w:p w14:paraId="4C78D3E2" w14:textId="77777777" w:rsidR="00201F3F" w:rsidRPr="00CD0FEB" w:rsidRDefault="00201F3F" w:rsidP="00B428D0">
      <w:pPr>
        <w:pStyle w:val="03TableofContents"/>
        <w:ind w:left="1440" w:firstLine="720"/>
        <w:rPr>
          <w:color w:val="auto"/>
        </w:rPr>
      </w:pPr>
      <w:r w:rsidRPr="00CD0FEB">
        <w:rPr>
          <w:color w:val="auto"/>
        </w:rPr>
        <w:t>i.</w:t>
      </w:r>
      <w:r w:rsidRPr="00CD0FEB">
        <w:rPr>
          <w:color w:val="auto"/>
        </w:rPr>
        <w:tab/>
        <w:t xml:space="preserve">Funeral Directors or Embalmers—29 C.F.R. §541.301(e)(9) </w:t>
      </w:r>
    </w:p>
    <w:p w14:paraId="52656AC7" w14:textId="77777777" w:rsidR="00201F3F" w:rsidRPr="00CD0FEB" w:rsidRDefault="00201F3F" w:rsidP="00B428D0">
      <w:pPr>
        <w:pStyle w:val="03TableofContents"/>
        <w:ind w:left="1440" w:firstLine="720"/>
        <w:rPr>
          <w:color w:val="auto"/>
        </w:rPr>
      </w:pPr>
      <w:r w:rsidRPr="00CD0FEB">
        <w:rPr>
          <w:color w:val="auto"/>
        </w:rPr>
        <w:t>j.</w:t>
      </w:r>
      <w:r w:rsidRPr="00CD0FEB">
        <w:rPr>
          <w:color w:val="auto"/>
        </w:rPr>
        <w:tab/>
        <w:t>Potential Newly Certified Occupations—29 C.F.R. §541.301(f)</w:t>
      </w:r>
    </w:p>
    <w:p w14:paraId="17BE40CB"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Creative Professionals </w:t>
      </w:r>
    </w:p>
    <w:p w14:paraId="78C85FD1" w14:textId="77777777" w:rsidR="00201F3F" w:rsidRPr="00CD0FEB" w:rsidRDefault="00201F3F" w:rsidP="00B428D0">
      <w:pPr>
        <w:pStyle w:val="03TableofContents"/>
        <w:ind w:firstLine="720"/>
        <w:rPr>
          <w:color w:val="auto"/>
        </w:rPr>
      </w:pPr>
      <w:r w:rsidRPr="00CD0FEB">
        <w:rPr>
          <w:color w:val="auto"/>
        </w:rPr>
        <w:t>C.</w:t>
      </w:r>
      <w:r w:rsidRPr="00CD0FEB">
        <w:rPr>
          <w:color w:val="auto"/>
        </w:rPr>
        <w:tab/>
        <w:t xml:space="preserve">Teachers </w:t>
      </w:r>
    </w:p>
    <w:p w14:paraId="3A10DE58"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Employees Engaged in the Practice of Law or Medicine </w:t>
      </w:r>
    </w:p>
    <w:p w14:paraId="342EB4E7" w14:textId="77777777" w:rsidR="00201F3F" w:rsidRPr="00CD0FEB" w:rsidRDefault="00201F3F" w:rsidP="00B428D0">
      <w:pPr>
        <w:pStyle w:val="03TableofContents"/>
        <w:rPr>
          <w:color w:val="auto"/>
        </w:rPr>
      </w:pPr>
      <w:r w:rsidRPr="00CD0FEB">
        <w:rPr>
          <w:color w:val="auto"/>
        </w:rPr>
        <w:t>VIII.</w:t>
      </w:r>
      <w:r w:rsidRPr="00CD0FEB">
        <w:rPr>
          <w:color w:val="auto"/>
        </w:rPr>
        <w:tab/>
        <w:t xml:space="preserve">Highly Compensated Employees </w:t>
      </w:r>
    </w:p>
    <w:p w14:paraId="7EDEE113"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Compensation Requirements </w:t>
      </w:r>
    </w:p>
    <w:p w14:paraId="476D89F7" w14:textId="77777777" w:rsidR="00201F3F" w:rsidRPr="00CD0FEB" w:rsidRDefault="00201F3F" w:rsidP="00B428D0">
      <w:pPr>
        <w:pStyle w:val="03TableofContents"/>
        <w:ind w:firstLine="720"/>
        <w:rPr>
          <w:color w:val="auto"/>
        </w:rPr>
      </w:pPr>
      <w:r w:rsidRPr="00CD0FEB">
        <w:rPr>
          <w:color w:val="auto"/>
        </w:rPr>
        <w:t>B.</w:t>
      </w:r>
      <w:r w:rsidRPr="00CD0FEB">
        <w:rPr>
          <w:color w:val="auto"/>
        </w:rPr>
        <w:tab/>
        <w:t xml:space="preserve">Duties Requirements </w:t>
      </w:r>
    </w:p>
    <w:p w14:paraId="5052B081" w14:textId="77777777" w:rsidR="00201F3F" w:rsidRPr="00CD0FEB" w:rsidRDefault="00201F3F" w:rsidP="00B428D0">
      <w:pPr>
        <w:pStyle w:val="03TableofContents"/>
        <w:rPr>
          <w:color w:val="auto"/>
        </w:rPr>
      </w:pPr>
      <w:r w:rsidRPr="00CD0FEB">
        <w:rPr>
          <w:caps/>
          <w:color w:val="auto"/>
        </w:rPr>
        <w:t>IX.</w:t>
      </w:r>
      <w:r w:rsidRPr="00CD0FEB">
        <w:rPr>
          <w:caps/>
          <w:color w:val="auto"/>
        </w:rPr>
        <w:tab/>
      </w:r>
      <w:r w:rsidRPr="00CD0FEB">
        <w:rPr>
          <w:color w:val="auto"/>
        </w:rPr>
        <w:t xml:space="preserve">Computer-Related Occupations </w:t>
      </w:r>
    </w:p>
    <w:p w14:paraId="0F4A34A9" w14:textId="77777777" w:rsidR="00201F3F" w:rsidRPr="00CD0FEB" w:rsidRDefault="00201F3F" w:rsidP="00B428D0">
      <w:pPr>
        <w:pStyle w:val="03TableofContents"/>
        <w:rPr>
          <w:color w:val="auto"/>
        </w:rPr>
      </w:pPr>
      <w:r w:rsidRPr="00CD0FEB">
        <w:rPr>
          <w:color w:val="auto"/>
        </w:rPr>
        <w:t>X.</w:t>
      </w:r>
      <w:r w:rsidRPr="00CD0FEB">
        <w:rPr>
          <w:color w:val="auto"/>
        </w:rPr>
        <w:tab/>
        <w:t xml:space="preserve">The Outside Sales Exemption </w:t>
      </w:r>
    </w:p>
    <w:p w14:paraId="2CD2EB2C" w14:textId="77777777" w:rsidR="00201F3F" w:rsidRPr="00CD0FEB" w:rsidRDefault="00201F3F" w:rsidP="00B428D0">
      <w:pPr>
        <w:pStyle w:val="03TableofContents"/>
        <w:ind w:firstLine="720"/>
        <w:rPr>
          <w:color w:val="auto"/>
        </w:rPr>
      </w:pPr>
      <w:r w:rsidRPr="00CD0FEB">
        <w:rPr>
          <w:color w:val="auto"/>
        </w:rPr>
        <w:t>A.</w:t>
      </w:r>
      <w:r w:rsidRPr="00CD0FEB">
        <w:rPr>
          <w:color w:val="auto"/>
        </w:rPr>
        <w:tab/>
        <w:t xml:space="preserve">“Making Sales” </w:t>
      </w:r>
    </w:p>
    <w:p w14:paraId="3294BE2B" w14:textId="77777777" w:rsidR="00201F3F" w:rsidRPr="00CD0FEB" w:rsidRDefault="00201F3F" w:rsidP="00B428D0">
      <w:pPr>
        <w:pStyle w:val="03TableofContents"/>
        <w:ind w:firstLine="720"/>
        <w:rPr>
          <w:color w:val="auto"/>
        </w:rPr>
      </w:pPr>
      <w:r w:rsidRPr="00CD0FEB">
        <w:rPr>
          <w:color w:val="auto"/>
        </w:rPr>
        <w:t xml:space="preserve">B. </w:t>
      </w:r>
      <w:r w:rsidRPr="00CD0FEB">
        <w:rPr>
          <w:color w:val="auto"/>
        </w:rPr>
        <w:tab/>
        <w:t xml:space="preserve">“Away From the Employer’s Place or Places of Business” </w:t>
      </w:r>
    </w:p>
    <w:p w14:paraId="0F504088" w14:textId="77777777" w:rsidR="00201F3F" w:rsidRPr="00CD0FEB" w:rsidRDefault="00201F3F" w:rsidP="00B428D0">
      <w:pPr>
        <w:pStyle w:val="03TableofContents"/>
        <w:ind w:firstLine="720"/>
        <w:rPr>
          <w:color w:val="auto"/>
        </w:rPr>
      </w:pPr>
      <w:r w:rsidRPr="00CD0FEB">
        <w:rPr>
          <w:color w:val="auto"/>
        </w:rPr>
        <w:t>C.</w:t>
      </w:r>
      <w:r w:rsidRPr="00CD0FEB">
        <w:rPr>
          <w:color w:val="auto"/>
        </w:rPr>
        <w:tab/>
        <w:t xml:space="preserve">Promotion Work </w:t>
      </w:r>
    </w:p>
    <w:p w14:paraId="14C84AC5" w14:textId="77777777" w:rsidR="00201F3F" w:rsidRPr="00CD0FEB" w:rsidRDefault="00201F3F" w:rsidP="00B428D0">
      <w:pPr>
        <w:pStyle w:val="03TableofContents"/>
        <w:ind w:firstLine="720"/>
        <w:rPr>
          <w:color w:val="auto"/>
        </w:rPr>
      </w:pPr>
      <w:r w:rsidRPr="00CD0FEB">
        <w:rPr>
          <w:color w:val="auto"/>
        </w:rPr>
        <w:t>D.</w:t>
      </w:r>
      <w:r w:rsidRPr="00CD0FEB">
        <w:rPr>
          <w:color w:val="auto"/>
        </w:rPr>
        <w:tab/>
        <w:t xml:space="preserve">Drivers Who Sell </w:t>
      </w:r>
    </w:p>
    <w:p w14:paraId="62E9253B" w14:textId="77777777" w:rsidR="00201F3F" w:rsidRPr="00CD0FEB" w:rsidRDefault="00201F3F" w:rsidP="00484C2F">
      <w:pPr>
        <w:pStyle w:val="04First-LevelHeadIIIIII"/>
      </w:pPr>
      <w:r w:rsidRPr="00CD0FEB">
        <w:t>I.</w:t>
      </w:r>
      <w:r w:rsidRPr="00CD0FEB">
        <w:t> </w:t>
      </w:r>
      <w:r w:rsidRPr="00CD0FEB">
        <w:t>Overview</w:t>
      </w:r>
    </w:p>
    <w:p w14:paraId="25463515" w14:textId="77777777" w:rsidR="00201F3F" w:rsidRPr="00CD0FEB" w:rsidRDefault="00201F3F" w:rsidP="00484C2F">
      <w:pPr>
        <w:pStyle w:val="10ATextWithIndent"/>
      </w:pPr>
      <w:r w:rsidRPr="00CD0FEB">
        <w:t>Among the most heavily litigated provisions of the Fair Labor Standards Act (FLSA) are the many exemptions to its minimum wage and overtime requirements. Some of the statutory exemptions are industry-specific, while others exempt categories of employees principally on the basis of their duties and responsibilities. This chapter addresses the “white-collar” exemptions. Although the designation “white-collar” employee appears nowhere in the FLSA, the term is a recognized shorthand for the general class of executive, administrative, professional, computer, and outside sales employees who are exempt from the FLSA’s minimum wage and overtime requirements under Section 213(a)(1) and (a)(17).</w:t>
      </w:r>
      <w:r>
        <w:rPr>
          <w:vertAlign w:val="superscript"/>
        </w:rPr>
        <w:footnoteReference w:id="1"/>
      </w:r>
    </w:p>
    <w:p w14:paraId="116F28A5" w14:textId="77777777" w:rsidR="00201F3F" w:rsidRPr="00CD0FEB" w:rsidRDefault="00201F3F" w:rsidP="00484C2F">
      <w:pPr>
        <w:pStyle w:val="10ATextWithIndent"/>
      </w:pPr>
      <w:r w:rsidRPr="00CD0FEB">
        <w:t>Since the FLSA’s enactment in 1938, Congress has created new exemptions and repealed old ones. The Section 213(a)(1) exemption for executive, administrative, and professional employees, as well as outside salespersons, was contained in the original version of the FLSA.</w:t>
      </w:r>
      <w:r>
        <w:rPr>
          <w:vertAlign w:val="superscript"/>
        </w:rPr>
        <w:footnoteReference w:id="2"/>
      </w:r>
      <w:r w:rsidRPr="00CD0FEB">
        <w:t xml:space="preserve"> The computer exemption was added to the FLSA in 1996.</w:t>
      </w:r>
      <w:r>
        <w:rPr>
          <w:vertAlign w:val="superscript"/>
        </w:rPr>
        <w:footnoteReference w:id="3"/>
      </w:r>
    </w:p>
    <w:p w14:paraId="7076F663" w14:textId="77777777" w:rsidR="00201F3F" w:rsidRPr="00CD0FEB" w:rsidRDefault="00201F3F" w:rsidP="00484C2F">
      <w:pPr>
        <w:pStyle w:val="10ATextWithIndent"/>
      </w:pPr>
      <w:r w:rsidRPr="00CD0FEB">
        <w:lastRenderedPageBreak/>
        <w:t>For ease of presentation, discussion of the Act’s exemptions is divided into three chapters—this chapter, which addresses the “white-collar” exemptions set out in Section 213(a)(1) and Section 213(a)(17) of the FLSA; Chapter 7, Agricultural Exemptions, which covers the Act’s agricultural exemptions; and Chapter 6, Other Statutory Exemptions, which covers the remaining statutory exemptions. Although the exemptions set forth in this chapter are, as applied to government employees, briefly discussed in Chapter 11, Government Employment, they are given primary coverage in this chapter. State wage and hour laws invariably provide an exemption for white-collar employees, and while some states have adopted the FLSA’s exemption requirements, others have not, typically imposing higher salary thresholds and/or more stringent duties tests.</w:t>
      </w:r>
      <w:r>
        <w:rPr>
          <w:vertAlign w:val="superscript"/>
        </w:rPr>
        <w:footnoteReference w:id="4"/>
      </w:r>
      <w:r w:rsidRPr="00CD0FEB">
        <w:t xml:space="preserve"> </w:t>
      </w:r>
    </w:p>
    <w:p w14:paraId="1ED739DD" w14:textId="77777777" w:rsidR="00201F3F" w:rsidRPr="00CD0FEB" w:rsidRDefault="00201F3F" w:rsidP="00484C2F">
      <w:pPr>
        <w:pStyle w:val="10ATextWithIndent"/>
      </w:pPr>
      <w:r w:rsidRPr="00CD0FEB">
        <w:t>The following regulations are directly relevant to the matters treated in this chapter:</w:t>
      </w:r>
    </w:p>
    <w:p w14:paraId="41D39D8A" w14:textId="77777777" w:rsidR="00201F3F" w:rsidRPr="00CD0FEB" w:rsidRDefault="00201F3F" w:rsidP="00EB0DDA">
      <w:pPr>
        <w:pStyle w:val="13AFirst-LevelBulletedList"/>
      </w:pPr>
      <w:r w:rsidRPr="00CD0FEB">
        <w:t>•</w:t>
      </w:r>
      <w:r w:rsidRPr="00CD0FEB">
        <w:tab/>
        <w:t>29 C.F.R. Part 541 (white-collar employee regulations); and</w:t>
      </w:r>
    </w:p>
    <w:p w14:paraId="6E4F9132" w14:textId="77777777" w:rsidR="00201F3F" w:rsidRPr="00CD0FEB" w:rsidRDefault="00201F3F" w:rsidP="00EB0DDA">
      <w:pPr>
        <w:pStyle w:val="13AFirst-LevelBulletedList"/>
      </w:pPr>
      <w:r w:rsidRPr="00CD0FEB">
        <w:t>•</w:t>
      </w:r>
      <w:r w:rsidRPr="00CD0FEB">
        <w:tab/>
        <w:t>29 C.F.R. Part 516 (recordkeeping regulations).</w:t>
      </w:r>
      <w:r w:rsidRPr="00F961CA">
        <w:rPr>
          <w:vertAlign w:val="superscript"/>
        </w:rPr>
        <w:footnoteReference w:id="5"/>
      </w:r>
    </w:p>
    <w:p w14:paraId="7D8211BD" w14:textId="77777777" w:rsidR="00201F3F" w:rsidRPr="00CD0FEB" w:rsidRDefault="00201F3F" w:rsidP="00484C2F">
      <w:pPr>
        <w:pStyle w:val="04First-LevelHeadIIIIII"/>
      </w:pPr>
      <w:r w:rsidRPr="00CD0FEB">
        <w:t>II.</w:t>
      </w:r>
      <w:r w:rsidRPr="00CD0FEB">
        <w:t> </w:t>
      </w:r>
      <w:r w:rsidRPr="00CD0FEB">
        <w:t>Brief History of the 541 Regulations</w:t>
      </w:r>
    </w:p>
    <w:p w14:paraId="01EF7321" w14:textId="77777777" w:rsidR="00201F3F" w:rsidRPr="00CD0FEB" w:rsidRDefault="00201F3F" w:rsidP="00484C2F">
      <w:pPr>
        <w:pStyle w:val="10ATextWithIndent"/>
      </w:pPr>
      <w:r w:rsidRPr="00CD0FEB">
        <w:t xml:space="preserve">The FLSA delegates to the Secretary of Labor the authority to define by regulation the scope of the white-collar exemptions. Specifically, Section 213(a)(1) provides that “any employee employed in a bona fide executive, administrative, or professional capacity … or in the capacity of outside salesman </w:t>
      </w:r>
      <w:r w:rsidRPr="00CD0FEB">
        <w:rPr>
          <w:i/>
          <w:iCs/>
        </w:rPr>
        <w:t xml:space="preserve">as such terms are defined and delimited from time to time by regulations of the Secretary” </w:t>
      </w:r>
      <w:r w:rsidRPr="00CD0FEB">
        <w:t>is exempt from the statute’s minimum wage and overtime provisions.</w:t>
      </w:r>
      <w:r>
        <w:rPr>
          <w:vertAlign w:val="superscript"/>
        </w:rPr>
        <w:footnoteReference w:id="6"/>
      </w:r>
      <w:r w:rsidRPr="00CD0FEB">
        <w:t xml:space="preserve"> Pursuant to the statute’s specific grant of rulemaking authority, the DOL has issued implementing regulations, at 29 C.F.R. Part 541,</w:t>
      </w:r>
      <w:r>
        <w:rPr>
          <w:vertAlign w:val="superscript"/>
        </w:rPr>
        <w:footnoteReference w:id="7"/>
      </w:r>
      <w:r w:rsidRPr="00CD0FEB">
        <w:t xml:space="preserve"> defining the scope of the Section 213(a)(1) exemptions.</w:t>
      </w:r>
    </w:p>
    <w:p w14:paraId="5A206904" w14:textId="77777777" w:rsidR="00201F3F" w:rsidRPr="00CD0FEB" w:rsidRDefault="00201F3F" w:rsidP="00484C2F">
      <w:pPr>
        <w:pStyle w:val="10ATextWithIndent"/>
      </w:pPr>
      <w:r w:rsidRPr="00CD0FEB">
        <w:t>The regulatory definition of a bona fide executive, administrative, or professional employee began to take shape when the DOL published its first 541 regulations on October 19, 1938, five days before the FLSA was to go into effect.</w:t>
      </w:r>
      <w:r>
        <w:rPr>
          <w:vertAlign w:val="superscript"/>
        </w:rPr>
        <w:footnoteReference w:id="8"/>
      </w:r>
      <w:r w:rsidRPr="00CD0FEB">
        <w:t xml:space="preserve"> These regulations provided that the terms “executive” and “administrative” would have a single definition and apply to employees having the primary duty of “management of the establishment” and doing “no substantial amount of work of the same nature as that performed by nonexempt employees of the employer.”</w:t>
      </w:r>
      <w:r>
        <w:rPr>
          <w:vertAlign w:val="superscript"/>
        </w:rPr>
        <w:footnoteReference w:id="9"/>
      </w:r>
      <w:r w:rsidRPr="00CD0FEB">
        <w:t xml:space="preserve"> Moreover, executive and administrative employees were required to earn “not less than $30” for a workweek to qualify for the exemption.</w:t>
      </w:r>
      <w:r>
        <w:rPr>
          <w:vertAlign w:val="superscript"/>
        </w:rPr>
        <w:footnoteReference w:id="10"/>
      </w:r>
      <w:r w:rsidRPr="00CD0FEB">
        <w:t xml:space="preserve"> A professional employee was to perform work that was “predominantly intellectual and varied in character” and that involved the exercise of “discretion and judgment both as to the manner and time of performance as opposed to work subject to active direction and </w:t>
      </w:r>
      <w:r w:rsidRPr="00CD0FEB">
        <w:lastRenderedPageBreak/>
        <w:t>supervision.”</w:t>
      </w:r>
      <w:r>
        <w:rPr>
          <w:vertAlign w:val="superscript"/>
        </w:rPr>
        <w:footnoteReference w:id="11"/>
      </w:r>
      <w:r w:rsidRPr="00CD0FEB">
        <w:t xml:space="preserve"> The education of a professional was to be based upon a “specifically organized body of knowledge as distinguished from a general academic education and from an apprenticeship.”</w:t>
      </w:r>
      <w:r>
        <w:rPr>
          <w:vertAlign w:val="superscript"/>
        </w:rPr>
        <w:footnoteReference w:id="12"/>
      </w:r>
      <w:r w:rsidRPr="00CD0FEB">
        <w:t xml:space="preserve"> No earnings threshold was set for an exempt professional.</w:t>
      </w:r>
    </w:p>
    <w:p w14:paraId="2869A8DB" w14:textId="77777777" w:rsidR="00201F3F" w:rsidRPr="00CD0FEB" w:rsidRDefault="00201F3F" w:rsidP="00484C2F">
      <w:pPr>
        <w:pStyle w:val="10ATextWithIndent"/>
      </w:pPr>
      <w:r w:rsidRPr="00CD0FEB">
        <w:t xml:space="preserve">The entire 1938 regulation occupied two columns in the </w:t>
      </w:r>
      <w:r w:rsidRPr="00CD0FEB">
        <w:rPr>
          <w:i/>
          <w:iCs/>
        </w:rPr>
        <w:t>Federal Register</w:t>
      </w:r>
      <w:r w:rsidRPr="00CD0FEB">
        <w:t>, but the concepts expressed in that regulation have remained central to the white-collar regulations since that time: the required duties to be performed by the individual, the amount of the individual’s compensation, and the terms on which the compensation is paid.</w:t>
      </w:r>
    </w:p>
    <w:p w14:paraId="787FA156" w14:textId="77777777" w:rsidR="00201F3F" w:rsidRPr="00CD0FEB" w:rsidRDefault="00201F3F" w:rsidP="00484C2F">
      <w:pPr>
        <w:pStyle w:val="05Second-LevelHeadABC"/>
      </w:pPr>
      <w:r w:rsidRPr="00CD0FEB">
        <w:t>A.</w:t>
      </w:r>
      <w:r w:rsidRPr="00CD0FEB">
        <w:tab/>
        <w:t>541 Regulations from 1938 to 2003</w:t>
      </w:r>
    </w:p>
    <w:p w14:paraId="535D60E5" w14:textId="77777777" w:rsidR="00201F3F" w:rsidRPr="00CD0FEB" w:rsidRDefault="00201F3F" w:rsidP="00484C2F">
      <w:pPr>
        <w:pStyle w:val="10ATextWithIndent"/>
      </w:pPr>
      <w:r w:rsidRPr="00CD0FEB">
        <w:t>As noted above, the first version of Part 541 was issued in October 1938.</w:t>
      </w:r>
      <w:r>
        <w:rPr>
          <w:vertAlign w:val="superscript"/>
        </w:rPr>
        <w:footnoteReference w:id="13"/>
      </w:r>
      <w:r w:rsidRPr="00CD0FEB">
        <w:t xml:space="preserve"> After receiving many comments on its original regulations, the DOL’s Wage and Hour Division issued revised regulations in 1940.</w:t>
      </w:r>
      <w:r>
        <w:rPr>
          <w:vertAlign w:val="superscript"/>
        </w:rPr>
        <w:footnoteReference w:id="14"/>
      </w:r>
      <w:r w:rsidRPr="00CD0FEB">
        <w:t xml:space="preserve"> Prior to 2004, the last major revision of the regulatory provisions detailing the duties test was made in 1949.</w:t>
      </w:r>
      <w:r>
        <w:rPr>
          <w:vertAlign w:val="superscript"/>
        </w:rPr>
        <w:footnoteReference w:id="15"/>
      </w:r>
      <w:r w:rsidRPr="00CD0FEB">
        <w:t xml:space="preserve"> Also in 1949, the DOL issued an explanatory bulletin interpreting some of the terms in its regulatory provisions.</w:t>
      </w:r>
      <w:r>
        <w:rPr>
          <w:vertAlign w:val="superscript"/>
        </w:rPr>
        <w:footnoteReference w:id="16"/>
      </w:r>
      <w:r w:rsidRPr="00CD0FEB">
        <w:t xml:space="preserve"> It was published as Subpart B of Part 541.</w:t>
      </w:r>
      <w:r>
        <w:rPr>
          <w:vertAlign w:val="superscript"/>
        </w:rPr>
        <w:footnoteReference w:id="17"/>
      </w:r>
      <w:r w:rsidRPr="00CD0FEB">
        <w:t xml:space="preserve"> In 1954, the DOL issued the last major revisions to the regulatory interpretations of the “salary basis” test.</w:t>
      </w:r>
      <w:r>
        <w:rPr>
          <w:vertAlign w:val="superscript"/>
        </w:rPr>
        <w:footnoteReference w:id="18"/>
      </w:r>
    </w:p>
    <w:p w14:paraId="405B0663" w14:textId="77777777" w:rsidR="00201F3F" w:rsidRPr="00CD0FEB" w:rsidRDefault="00201F3F" w:rsidP="00484C2F">
      <w:pPr>
        <w:pStyle w:val="10ATextWithIndent"/>
      </w:pPr>
      <w:r w:rsidRPr="00CD0FEB">
        <w:t>A minimum salary level has been part of the white-collar exemptions since 1938. The initial minimum salary levels were set at $30 per week.</w:t>
      </w:r>
      <w:r>
        <w:rPr>
          <w:vertAlign w:val="superscript"/>
        </w:rPr>
        <w:footnoteReference w:id="19"/>
      </w:r>
      <w:r w:rsidRPr="00CD0FEB">
        <w:t xml:space="preserve"> Subsequently, the DOL revised the Part 541 regulations to increase the salary levels in 1940, 1949, 1958, 1963, 1970, and 1975.</w:t>
      </w:r>
      <w:r>
        <w:rPr>
          <w:vertAlign w:val="superscript"/>
        </w:rPr>
        <w:footnoteReference w:id="20"/>
      </w:r>
    </w:p>
    <w:p w14:paraId="7F10CB98" w14:textId="77777777" w:rsidR="00201F3F" w:rsidRPr="00CD0FEB" w:rsidRDefault="00201F3F" w:rsidP="00484C2F">
      <w:pPr>
        <w:pStyle w:val="05Second-LevelHeadABC"/>
      </w:pPr>
      <w:r w:rsidRPr="00CD0FEB">
        <w:t>B.</w:t>
      </w:r>
      <w:r w:rsidRPr="00CD0FEB">
        <w:tab/>
        <w:t>2004 Amendments to the 541 Regulations</w:t>
      </w:r>
    </w:p>
    <w:p w14:paraId="425F78EF" w14:textId="77777777" w:rsidR="00201F3F" w:rsidRPr="00CD0FEB" w:rsidRDefault="00201F3F" w:rsidP="00484C2F">
      <w:pPr>
        <w:pStyle w:val="10ATextWithIndent"/>
      </w:pPr>
      <w:r w:rsidRPr="00CD0FEB">
        <w:lastRenderedPageBreak/>
        <w:t>On March 31, 2003, the DOL published a notice of proposed rulemaking (NPRM) of the 541 regulations.</w:t>
      </w:r>
      <w:r>
        <w:rPr>
          <w:vertAlign w:val="superscript"/>
        </w:rPr>
        <w:footnoteReference w:id="21"/>
      </w:r>
      <w:r w:rsidRPr="00CD0FEB">
        <w:t xml:space="preserve"> The proposed amendments drew an intense public and legislative debate.</w:t>
      </w:r>
      <w:r>
        <w:rPr>
          <w:vertAlign w:val="superscript"/>
        </w:rPr>
        <w:footnoteReference w:id="22"/>
      </w:r>
      <w:r w:rsidRPr="00CD0FEB">
        <w:t xml:space="preserve"> During the 90-day comment period that followed the publication of the proposed regulations, the DOL received 75,280 comments from a wide variety of employees, employers, trade and professional associations, small business owners, labor unions, government entities, law firms, and others.</w:t>
      </w:r>
      <w:r>
        <w:rPr>
          <w:vertAlign w:val="superscript"/>
        </w:rPr>
        <w:footnoteReference w:id="23"/>
      </w:r>
      <w:r w:rsidRPr="00CD0FEB">
        <w:t xml:space="preserve"> The DOL regulations in final form were issued on April 23, 2004, with an effective date of August 23, 2004.</w:t>
      </w:r>
      <w:r>
        <w:rPr>
          <w:vertAlign w:val="superscript"/>
        </w:rPr>
        <w:footnoteReference w:id="24"/>
      </w:r>
      <w:r w:rsidRPr="00CD0FEB">
        <w:t xml:space="preserve"> The amendments were accompanied by a comprehensive preamble providing historical context and insight into the DOL’s rationale for amending, and in some cases not amending, the white-collar regulations.</w:t>
      </w:r>
      <w:r>
        <w:rPr>
          <w:vertAlign w:val="superscript"/>
        </w:rPr>
        <w:footnoteReference w:id="25"/>
      </w:r>
    </w:p>
    <w:p w14:paraId="63AF4642" w14:textId="77777777" w:rsidR="00201F3F" w:rsidRPr="00CD0FEB" w:rsidRDefault="00201F3F" w:rsidP="00484C2F">
      <w:pPr>
        <w:pStyle w:val="10ATextWithIndent"/>
      </w:pPr>
      <w:r w:rsidRPr="00CD0FEB">
        <w:t>One of the significant aspects of the 2004 amendments was the abandonment of the so-called “long” and “short” tests in favor of a single “primary duty” standard and the concomitant elimination of the 20 percent limitation on nonexempt work under the former long test.</w:t>
      </w:r>
      <w:r>
        <w:rPr>
          <w:vertAlign w:val="superscript"/>
        </w:rPr>
        <w:footnoteReference w:id="26"/>
      </w:r>
      <w:r w:rsidRPr="00CD0FEB">
        <w:t xml:space="preserve"> Generally, however, the tests for determining whether or not a given employee is exempt continue to focus on the same three factors evident in the 1938 regulations but refined slightly over the years: (1) the employee must be paid a predetermined and fixed salary that is not subject to reductions because of variations in the quality or quantity of work performed (the “salary basis test”);</w:t>
      </w:r>
      <w:r>
        <w:rPr>
          <w:vertAlign w:val="superscript"/>
        </w:rPr>
        <w:footnoteReference w:id="27"/>
      </w:r>
      <w:r w:rsidRPr="00CD0FEB">
        <w:t xml:space="preserve"> (2) the amount of compensation paid must meet minimum specified amounts (the “salary level test”);</w:t>
      </w:r>
      <w:r>
        <w:rPr>
          <w:vertAlign w:val="superscript"/>
        </w:rPr>
        <w:footnoteReference w:id="28"/>
      </w:r>
      <w:r w:rsidRPr="00CD0FEB">
        <w:t xml:space="preserve"> and (3) the employee’s job duties must primarily involve executive, administrative, or professional duties or a combination thereof, as defined by the regulations (the “duties tests”).</w:t>
      </w:r>
      <w:r>
        <w:rPr>
          <w:vertAlign w:val="superscript"/>
        </w:rPr>
        <w:footnoteReference w:id="29"/>
      </w:r>
    </w:p>
    <w:p w14:paraId="56273F39" w14:textId="77777777" w:rsidR="00201F3F" w:rsidRPr="00CD0FEB" w:rsidRDefault="00201F3F" w:rsidP="00484C2F">
      <w:pPr>
        <w:pStyle w:val="10ATextWithIndent"/>
      </w:pPr>
      <w:r w:rsidRPr="00CD0FEB">
        <w:t>Unlike the prior regulations, which were divided into a part containing legislative rules</w:t>
      </w:r>
      <w:r>
        <w:rPr>
          <w:vertAlign w:val="superscript"/>
        </w:rPr>
        <w:footnoteReference w:id="30"/>
      </w:r>
      <w:r w:rsidRPr="00CD0FEB">
        <w:t xml:space="preserve"> and a more extensive part containing interpretations,</w:t>
      </w:r>
      <w:r>
        <w:rPr>
          <w:vertAlign w:val="superscript"/>
        </w:rPr>
        <w:footnoteReference w:id="31"/>
      </w:r>
      <w:r w:rsidRPr="00CD0FEB">
        <w:t xml:space="preserve"> the entire regulatory text of these 2004 rules, which was adopted </w:t>
      </w:r>
      <w:r w:rsidRPr="00CD0FEB">
        <w:lastRenderedPageBreak/>
        <w:t>after notice and comment, is put forth under the aegis of the Secretary’s legislative rulemaking authority.</w:t>
      </w:r>
      <w:r>
        <w:rPr>
          <w:vertAlign w:val="superscript"/>
        </w:rPr>
        <w:footnoteReference w:id="32"/>
      </w:r>
      <w:r w:rsidRPr="00CD0FEB">
        <w:t xml:space="preserve"> Accordingly these regulations are entitled to so-called </w:t>
      </w:r>
      <w:r w:rsidRPr="00CD0FEB">
        <w:rPr>
          <w:i/>
          <w:iCs/>
        </w:rPr>
        <w:t>Chevron</w:t>
      </w:r>
      <w:r>
        <w:rPr>
          <w:vertAlign w:val="superscript"/>
        </w:rPr>
        <w:footnoteReference w:id="33"/>
      </w:r>
      <w:r w:rsidRPr="00CD0FEB">
        <w:t xml:space="preserve"> deference.</w:t>
      </w:r>
      <w:r>
        <w:rPr>
          <w:vertAlign w:val="superscript"/>
        </w:rPr>
        <w:footnoteReference w:id="34"/>
      </w:r>
    </w:p>
    <w:p w14:paraId="3AB1411A" w14:textId="77777777" w:rsidR="00201F3F" w:rsidRPr="00CD0FEB" w:rsidRDefault="00201F3F" w:rsidP="00484C2F">
      <w:pPr>
        <w:pStyle w:val="10ATextWithIndent"/>
      </w:pPr>
      <w:r w:rsidRPr="00CD0FEB">
        <w:t>Although the DOL continued to emphasize that job titles are not dispositive of exempt status,</w:t>
      </w:r>
      <w:r>
        <w:rPr>
          <w:vertAlign w:val="superscript"/>
        </w:rPr>
        <w:footnoteReference w:id="35"/>
      </w:r>
      <w:r w:rsidRPr="00CD0FEB">
        <w:t xml:space="preserve"> the 2004 amendments to the 541 regulations specify that the following classes of employees are presumptively not exempt under Part 541:</w:t>
      </w:r>
    </w:p>
    <w:p w14:paraId="3D1B62A7" w14:textId="77777777" w:rsidR="00201F3F" w:rsidRPr="00CD0FEB" w:rsidRDefault="00201F3F" w:rsidP="00EB0DDA">
      <w:pPr>
        <w:pStyle w:val="13AFirst-LevelBulletedList"/>
      </w:pPr>
      <w:r w:rsidRPr="00CD0FEB">
        <w:t>•</w:t>
      </w:r>
      <w:r w:rsidRPr="00CD0FEB">
        <w:tab/>
        <w:t>“manual laborers or other ‘blue collar’ workers who perform work involving repetitive operations with their hands, physical skill and energy”;</w:t>
      </w:r>
      <w:r>
        <w:rPr>
          <w:vertAlign w:val="superscript"/>
        </w:rPr>
        <w:footnoteReference w:id="36"/>
      </w:r>
    </w:p>
    <w:p w14:paraId="5EA48332" w14:textId="77777777" w:rsidR="00201F3F" w:rsidRPr="00CD0FEB" w:rsidRDefault="00201F3F" w:rsidP="00EB0DDA">
      <w:pPr>
        <w:pStyle w:val="13AFirst-LevelBulletedList"/>
      </w:pPr>
      <w:r w:rsidRPr="00CD0FEB">
        <w:t>•</w:t>
      </w:r>
      <w:r w:rsidRPr="00CD0FEB">
        <w:tab/>
        <w:t>“non-management employees in [production,] maintenance, construction and similar occupations such as carpenters, electricians, mechanics, plumbers, iron workers, craftsmen, operating engineers, longshoremen, construction workers and laborers”;</w:t>
      </w:r>
      <w:r>
        <w:rPr>
          <w:vertAlign w:val="superscript"/>
        </w:rPr>
        <w:footnoteReference w:id="37"/>
      </w:r>
      <w:r w:rsidRPr="00CD0FEB">
        <w:rPr>
          <w:vertAlign w:val="superscript"/>
        </w:rPr>
        <w:t xml:space="preserve"> </w:t>
      </w:r>
      <w:r w:rsidRPr="00CD0FEB">
        <w:t>and</w:t>
      </w:r>
    </w:p>
    <w:p w14:paraId="684A0FE5" w14:textId="77777777" w:rsidR="00201F3F" w:rsidRPr="00CD0FEB" w:rsidRDefault="00201F3F" w:rsidP="00EB0DDA">
      <w:pPr>
        <w:pStyle w:val="13AFirst-LevelBulletedList"/>
      </w:pPr>
      <w:r w:rsidRPr="00CD0FEB">
        <w:t>•</w:t>
      </w:r>
      <w:r w:rsidRPr="00CD0FEB">
        <w:tab/>
        <w:t>“police officers, detectives, deputy sheriffs, state troopers, highway patrol officers, investigators, inspectors, correctional officers, parole or probation officers, park rangers, fire fighters, paramedics, emergency medical technicians, ambulance personnel, rescue workers, hazardous materials workers and similar employees, regardless of rank or pay level, who perform work such as preventing, controlling or extinguishing fires of any type; rescuing fire, crime or accident victims; preventing or detecting crimes; conducting investigations or inspections for violations of law; performing surveillance; pursuing, restraining and apprehending suspects; detaining or supervising suspected and convicted criminals, including those on probation or parole; interviewing witnesses; interrogating and fingerprinting suspects; preparing investigative reports; or other similar work.”</w:t>
      </w:r>
      <w:r>
        <w:rPr>
          <w:vertAlign w:val="superscript"/>
        </w:rPr>
        <w:footnoteReference w:id="38"/>
      </w:r>
    </w:p>
    <w:p w14:paraId="7C50B242" w14:textId="77777777" w:rsidR="00201F3F" w:rsidRPr="00CD0FEB" w:rsidRDefault="00201F3F" w:rsidP="00EB0DDA">
      <w:pPr>
        <w:pStyle w:val="10ATextWithIndent"/>
      </w:pPr>
      <w:r w:rsidRPr="00CD0FEB">
        <w:t>Employees in training for executive, administrative, professional, outside sales, or computer employment, who are not actually performing the duties of an exempt position, are generally not exempt.</w:t>
      </w:r>
      <w:r>
        <w:rPr>
          <w:vertAlign w:val="superscript"/>
        </w:rPr>
        <w:footnoteReference w:id="39"/>
      </w:r>
      <w:r w:rsidRPr="00CD0FEB">
        <w:t xml:space="preserve"> The DOL takes the position that it lacks statutory authority to exempt trainees who do not “actually perform” the duties of an exempt position.</w:t>
      </w:r>
      <w:r>
        <w:rPr>
          <w:vertAlign w:val="superscript"/>
        </w:rPr>
        <w:footnoteReference w:id="40"/>
      </w:r>
    </w:p>
    <w:p w14:paraId="3ED387A9" w14:textId="77777777" w:rsidR="00201F3F" w:rsidRPr="00CD0FEB" w:rsidRDefault="00201F3F" w:rsidP="00EB0DDA">
      <w:pPr>
        <w:pStyle w:val="05Second-LevelHeadABC"/>
      </w:pPr>
      <w:r w:rsidRPr="00CD0FEB">
        <w:t>C.</w:t>
      </w:r>
      <w:r w:rsidRPr="00CD0FEB">
        <w:tab/>
        <w:t>2016 Amendments to the White-Collar Regulations</w:t>
      </w:r>
    </w:p>
    <w:p w14:paraId="540837A2" w14:textId="77777777" w:rsidR="00201F3F" w:rsidRPr="00CD0FEB" w:rsidRDefault="00201F3F" w:rsidP="00EB0DDA">
      <w:pPr>
        <w:pStyle w:val="10ATextWithIndent"/>
        <w:rPr>
          <w:vertAlign w:val="superscript"/>
        </w:rPr>
      </w:pPr>
      <w:r w:rsidRPr="00CD0FEB">
        <w:t xml:space="preserve">On March 13, 2014, President Barack Obama directed the U.S. Department of Labor to “propose revisions” to the regulations governing the “white-collar exemptions” in order to “modernize and streamline the </w:t>
      </w:r>
      <w:r w:rsidRPr="00CD0FEB">
        <w:lastRenderedPageBreak/>
        <w:t>existing overtime regulations … address the changing nature of the workplace … and simplify the regulations to make them easier for both workers and businesses to understand and apply.”</w:t>
      </w:r>
      <w:r>
        <w:rPr>
          <w:vertAlign w:val="superscript"/>
        </w:rPr>
        <w:footnoteReference w:id="41"/>
      </w:r>
    </w:p>
    <w:p w14:paraId="5A4B2881" w14:textId="77777777" w:rsidR="00201F3F" w:rsidRPr="00CD0FEB" w:rsidRDefault="00201F3F" w:rsidP="00EB0DDA">
      <w:pPr>
        <w:pStyle w:val="10ATextWithIndent"/>
        <w:rPr>
          <w:vertAlign w:val="superscript"/>
        </w:rPr>
      </w:pPr>
      <w:r w:rsidRPr="00CD0FEB">
        <w:t>On July 6, 2015, the DOL published an NPRM setting out its proposal for revising the Part 541 regulations and inviting public commentary.</w:t>
      </w:r>
      <w:r>
        <w:rPr>
          <w:vertAlign w:val="superscript"/>
        </w:rPr>
        <w:footnoteReference w:id="42"/>
      </w:r>
      <w:r w:rsidRPr="00CD0FEB">
        <w:t xml:space="preserve"> Following a notice and comment period, the DOL issued the final revised Part 541 regulations on May 18, 2016, with an effective date of December 1, 2016.</w:t>
      </w:r>
      <w:r>
        <w:rPr>
          <w:vertAlign w:val="superscript"/>
        </w:rPr>
        <w:footnoteReference w:id="43"/>
      </w:r>
      <w:r w:rsidRPr="00CD0FEB">
        <w:t xml:space="preserve"> Under the revised regulations, the minimum salary requirement for exempt status was more than doubled to $913 per week, or $47,476 per year.</w:t>
      </w:r>
      <w:r>
        <w:rPr>
          <w:vertAlign w:val="superscript"/>
        </w:rPr>
        <w:footnoteReference w:id="44"/>
      </w:r>
      <w:r w:rsidRPr="00CD0FEB">
        <w:t xml:space="preserve"> This figure represents the 40th percentile of earnings for full-time salaried workers in the lowest wage census region.</w:t>
      </w:r>
      <w:r>
        <w:rPr>
          <w:vertAlign w:val="superscript"/>
        </w:rPr>
        <w:footnoteReference w:id="45"/>
      </w:r>
      <w:r w:rsidRPr="00CD0FEB">
        <w:t xml:space="preserve"> Similarly, under the revised regulations, the salary minimum for “highly compensated employees” would increase to $134,004 annually, corresponding to the 90th percentile of full-time salaried workers’ earnings nationally.</w:t>
      </w:r>
      <w:r>
        <w:rPr>
          <w:vertAlign w:val="superscript"/>
        </w:rPr>
        <w:footnoteReference w:id="46"/>
      </w:r>
      <w:r w:rsidRPr="00CD0FEB">
        <w:t xml:space="preserve"> The regulations further provided for periodic automatic increases every three years, beginning January 1, 2020, to maintain the salary thresholds at the 40th and 90th percentiles.</w:t>
      </w:r>
      <w:r>
        <w:rPr>
          <w:vertAlign w:val="superscript"/>
        </w:rPr>
        <w:footnoteReference w:id="47"/>
      </w:r>
    </w:p>
    <w:p w14:paraId="105DB0DC" w14:textId="77777777" w:rsidR="00201F3F" w:rsidRPr="00CD0FEB" w:rsidRDefault="00201F3F" w:rsidP="00EB0DDA">
      <w:pPr>
        <w:pStyle w:val="10ATextWithIndent"/>
      </w:pPr>
      <w:r w:rsidRPr="00CD0FEB">
        <w:t xml:space="preserve">In advance of the scheduled implementation date, in </w:t>
      </w:r>
      <w:r w:rsidRPr="00CD0FEB">
        <w:rPr>
          <w:i/>
          <w:iCs/>
        </w:rPr>
        <w:t>Nevada v. U.S. Department of Labor,</w:t>
      </w:r>
      <w:r>
        <w:rPr>
          <w:vertAlign w:val="superscript"/>
        </w:rPr>
        <w:footnoteReference w:id="48"/>
      </w:r>
      <w:r w:rsidRPr="00CD0FEB">
        <w:t xml:space="preserve"> Nevada and 21 other states filed suit in the U.S. District Court for the Eastern District of Texas, challenging the final rule and moving for emergency preliminary injunctive relief. The district court granted the motion and issued a nationwide injunction barring implementation or enforcement of the final rule based on a determination that the FLSA “does not grant the Department the authority to utilize a salary-level test or an automatic updating mechanism.”</w:t>
      </w:r>
      <w:r>
        <w:rPr>
          <w:vertAlign w:val="superscript"/>
        </w:rPr>
        <w:footnoteReference w:id="49"/>
      </w:r>
      <w:r w:rsidRPr="00CD0FEB">
        <w:t xml:space="preserve"> While recognizing that the Department’s white-collar regulations have included a salary basis test since 1940, the district court determined that this went beyond the authority delegated by Congress in that, according to the court, “Congress unambiguously expressed its intent for employees doing ‘bona fide executive, administrative, and professional capacity’ duties to be exempt from overtime” and did “not include a minimum salary level.”</w:t>
      </w:r>
      <w:r>
        <w:rPr>
          <w:vertAlign w:val="superscript"/>
        </w:rPr>
        <w:footnoteReference w:id="50"/>
      </w:r>
      <w:r w:rsidRPr="00CD0FEB">
        <w:t xml:space="preserve"> The district court therefore concluded that “the Final Rule should not be accorded </w:t>
      </w:r>
      <w:r w:rsidRPr="00CD0FEB">
        <w:rPr>
          <w:i/>
          <w:iCs/>
        </w:rPr>
        <w:t>Chevron</w:t>
      </w:r>
      <w:r w:rsidRPr="00CD0FEB">
        <w:t xml:space="preserve"> deference because it is contrary to the statutory text and Congress’s intent.”</w:t>
      </w:r>
      <w:r>
        <w:rPr>
          <w:vertAlign w:val="superscript"/>
        </w:rPr>
        <w:footnoteReference w:id="51"/>
      </w:r>
      <w:r w:rsidRPr="00CD0FEB">
        <w:t xml:space="preserve"> The DOL promptly took an appeal to the Fifth Circuit, and in the meantime sought a stay of further proceedings in the district court pending resolution of the appeal, which application was denied.</w:t>
      </w:r>
      <w:r>
        <w:rPr>
          <w:vertAlign w:val="superscript"/>
        </w:rPr>
        <w:footnoteReference w:id="52"/>
      </w:r>
      <w:r w:rsidRPr="00CD0FEB">
        <w:t xml:space="preserve"> </w:t>
      </w:r>
    </w:p>
    <w:p w14:paraId="7556B326" w14:textId="77777777" w:rsidR="00201F3F" w:rsidRPr="00CD0FEB" w:rsidRDefault="00201F3F" w:rsidP="00EB0DDA">
      <w:pPr>
        <w:pStyle w:val="10ATextWithIndent"/>
      </w:pPr>
      <w:r w:rsidRPr="00CD0FEB">
        <w:t>On August 31, 2017, the district court granted summary judgment in favor of the states and business groups and found that the salary level and automatic salary increases set by the 2016 amendments to the white-</w:t>
      </w:r>
      <w:r w:rsidRPr="00CD0FEB">
        <w:lastRenderedPageBreak/>
        <w:t xml:space="preserve">collar regulations were invalid under </w:t>
      </w:r>
      <w:r w:rsidRPr="00CD0FEB">
        <w:rPr>
          <w:i/>
          <w:iCs/>
        </w:rPr>
        <w:t>Chevron</w:t>
      </w:r>
      <w:r w:rsidRPr="00CD0FEB">
        <w:t>.</w:t>
      </w:r>
      <w:r>
        <w:rPr>
          <w:vertAlign w:val="superscript"/>
        </w:rPr>
        <w:footnoteReference w:id="53"/>
      </w:r>
      <w:r w:rsidRPr="00CD0FEB">
        <w:t xml:space="preserve"> The court found that the DOL exceeded its statutory authority in setting the increased salary level and reasoned that, by more than doubling the DOL’s previous minimum salary level, the increase would make overtime eligibility status depend predominantly on a minimum salary level and essentially supplant the analysis of an employee’s job duties.</w:t>
      </w:r>
      <w:r>
        <w:rPr>
          <w:vertAlign w:val="superscript"/>
        </w:rPr>
        <w:footnoteReference w:id="54"/>
      </w:r>
      <w:r w:rsidRPr="00CD0FEB">
        <w:t xml:space="preserve"> After the district court entered summary judgment, the Fifth Circuit dismissed as moot the DOL’s appeal of the preliminary injunction.</w:t>
      </w:r>
      <w:r>
        <w:rPr>
          <w:vertAlign w:val="superscript"/>
        </w:rPr>
        <w:footnoteReference w:id="55"/>
      </w:r>
      <w:r w:rsidRPr="00CD0FEB">
        <w:t xml:space="preserve"> </w:t>
      </w:r>
    </w:p>
    <w:p w14:paraId="1A23A0BC" w14:textId="77777777" w:rsidR="00201F3F" w:rsidRPr="00CD0FEB" w:rsidRDefault="00201F3F" w:rsidP="00EB0DDA">
      <w:pPr>
        <w:pStyle w:val="10ATextWithIndent"/>
        <w:rPr>
          <w:vertAlign w:val="superscript"/>
        </w:rPr>
      </w:pPr>
      <w:r w:rsidRPr="00CD0FEB">
        <w:t>On October 30, 2017, the Department of Justice, on behalf of the DOL, appealed the district court’s summary judgment decision to the U.S. Court of Appeals for the Fifth Circuit. Shortly thereafter, on November 6, 2017, the Fifth Circuit granted the government’s motion to hold the appeal in abeyance while the DOL undertook further rulemaking to determine an appropriate salary level threshold.</w:t>
      </w:r>
      <w:r>
        <w:rPr>
          <w:vertAlign w:val="superscript"/>
        </w:rPr>
        <w:footnoteReference w:id="56"/>
      </w:r>
    </w:p>
    <w:p w14:paraId="63D9FD60" w14:textId="77777777" w:rsidR="00201F3F" w:rsidRPr="00CD0FEB" w:rsidRDefault="00201F3F" w:rsidP="00EB0DDA">
      <w:pPr>
        <w:pStyle w:val="05Second-LevelHeadABC"/>
      </w:pPr>
      <w:r w:rsidRPr="00CD0FEB">
        <w:t>D.</w:t>
      </w:r>
      <w:r w:rsidRPr="00CD0FEB">
        <w:tab/>
        <w:t>2020 Amendments to the White-Collar Regulations</w:t>
      </w:r>
      <w:r w:rsidRPr="00CD0FEB">
        <w:tab/>
      </w:r>
    </w:p>
    <w:p w14:paraId="3CDA24BE" w14:textId="77777777" w:rsidR="00201F3F" w:rsidRDefault="00201F3F" w:rsidP="00EB0DDA">
      <w:pPr>
        <w:pStyle w:val="10ATextWithIndent"/>
      </w:pPr>
      <w:r w:rsidRPr="00CD0FEB">
        <w:t>On March 22, 2019, the DOL published an NPRM and invited public comment on its proposed revisions to the Part 541 regulations that raised the salary threshold, albeit not to the level set by the enjoined 2016 regulations.</w:t>
      </w:r>
      <w:r>
        <w:rPr>
          <w:vertAlign w:val="superscript"/>
        </w:rPr>
        <w:footnoteReference w:id="57"/>
      </w:r>
      <w:r w:rsidRPr="00CD0FEB">
        <w:t xml:space="preserve"> The final rule was published on September 27, 2019, and took effect on January 1, 2020.</w:t>
      </w:r>
      <w:r>
        <w:rPr>
          <w:vertAlign w:val="superscript"/>
        </w:rPr>
        <w:footnoteReference w:id="58"/>
      </w:r>
      <w:r w:rsidRPr="00CD0FEB">
        <w:t xml:space="preserve"> The 2020 amendments to the 541 regulations raised the minimum salary required to qualify for the executive, administrative, and professional exemptions to $35,568 per year, corresponding to $684 per week,</w:t>
      </w:r>
      <w:r>
        <w:rPr>
          <w:vertAlign w:val="superscript"/>
        </w:rPr>
        <w:footnoteReference w:id="59"/>
      </w:r>
      <w:r w:rsidRPr="00CD0FEB">
        <w:t xml:space="preserve"> and increased the salary threshold for the highly compensated white-collar exemption to $107,432 annually, subject to the requirement that this includes at least $684 per week paid on a salary or fee basis.</w:t>
      </w:r>
      <w:r>
        <w:rPr>
          <w:vertAlign w:val="superscript"/>
        </w:rPr>
        <w:footnoteReference w:id="60"/>
      </w:r>
      <w:r w:rsidRPr="00CD0FEB">
        <w:t xml:space="preserve"> In addition, the Secretary set special salary levels of $455 per week for Puerto Rico, the Virgin Islands, Guam, and the Commonwealth of the Northern Mariana Islands, and $380 per week for American Samoa.</w:t>
      </w:r>
      <w:r>
        <w:rPr>
          <w:vertAlign w:val="superscript"/>
        </w:rPr>
        <w:footnoteReference w:id="61"/>
      </w:r>
      <w:r w:rsidRPr="00CD0FEB">
        <w:t xml:space="preserve"> Finally, the 2020 rule increased the base rate for employees in the motion picture production industry to $1,043 per week or a proportionate amount based on the number of days worked.</w:t>
      </w:r>
      <w:r>
        <w:rPr>
          <w:vertAlign w:val="superscript"/>
        </w:rPr>
        <w:footnoteReference w:id="62"/>
      </w:r>
      <w:r w:rsidRPr="00CD0FEB">
        <w:t xml:space="preserve"> The DOL made it a point to “reaffirm[] its intent to update the earning thresholds more regularly in the future through notice-and-comment rulemaking.”</w:t>
      </w:r>
      <w:r>
        <w:rPr>
          <w:vertAlign w:val="superscript"/>
        </w:rPr>
        <w:footnoteReference w:id="63"/>
      </w:r>
      <w:r>
        <w:t xml:space="preserve"> </w:t>
      </w:r>
    </w:p>
    <w:p w14:paraId="17C050D6" w14:textId="77777777" w:rsidR="00201F3F" w:rsidRDefault="00201F3F" w:rsidP="00EB0DDA">
      <w:pPr>
        <w:pStyle w:val="10ATextWithIndent"/>
      </w:pPr>
      <w:r>
        <w:lastRenderedPageBreak/>
        <w:t xml:space="preserve">A </w:t>
      </w:r>
      <w:r w:rsidRPr="000812A8">
        <w:t>lawsuit challenging the 2019 rule was filed in August 2022.</w:t>
      </w:r>
      <w:r w:rsidRPr="00AD79FE">
        <w:rPr>
          <w:rStyle w:val="FootnoteReference"/>
        </w:rPr>
        <w:footnoteReference w:id="64"/>
      </w:r>
      <w:r w:rsidRPr="000812A8">
        <w:t xml:space="preserve"> </w:t>
      </w:r>
      <w:r>
        <w:t xml:space="preserve">The </w:t>
      </w:r>
      <w:r w:rsidRPr="000812A8">
        <w:t xml:space="preserve">district court upheld the </w:t>
      </w:r>
      <w:r>
        <w:t xml:space="preserve">2019 </w:t>
      </w:r>
      <w:r w:rsidRPr="000812A8">
        <w:t xml:space="preserve">rule and an appeal of that decision was pending at the time the Department issued </w:t>
      </w:r>
      <w:r>
        <w:t xml:space="preserve">its April 23, 2024 </w:t>
      </w:r>
      <w:r w:rsidRPr="000812A8">
        <w:t>final rule</w:t>
      </w:r>
      <w:r>
        <w:t>, discussed below.</w:t>
      </w:r>
      <w:r w:rsidRPr="000812A8">
        <w:t xml:space="preserve"> </w:t>
      </w:r>
    </w:p>
    <w:p w14:paraId="47E9E3FB" w14:textId="77777777" w:rsidR="00201F3F" w:rsidRPr="00EE6442" w:rsidRDefault="00201F3F" w:rsidP="00F961CA">
      <w:pPr>
        <w:pStyle w:val="05Second-LevelHeadABC"/>
      </w:pPr>
      <w:r w:rsidRPr="00EE6442">
        <w:t>E.</w:t>
      </w:r>
      <w:r w:rsidRPr="00EE6442">
        <w:tab/>
        <w:t>2024 Amendments to the White-Collar Regulations</w:t>
      </w:r>
    </w:p>
    <w:p w14:paraId="72DBDD89" w14:textId="77777777" w:rsidR="00201F3F" w:rsidRPr="00F961CA" w:rsidRDefault="00201F3F" w:rsidP="00F961CA">
      <w:pPr>
        <w:pStyle w:val="10ATextWithIndent"/>
        <w:rPr>
          <w:color w:val="212121"/>
        </w:rPr>
      </w:pPr>
      <w:r w:rsidRPr="00E54D9C">
        <w:t xml:space="preserve">On September 8, 2023, the DOL published a Notice of Proposed Rulemaking (NPRM) to </w:t>
      </w:r>
      <w:r w:rsidRPr="00A435AD">
        <w:t xml:space="preserve">further </w:t>
      </w:r>
      <w:r w:rsidRPr="00E54D9C">
        <w:t>revise the Part 541 regulations.</w:t>
      </w:r>
      <w:r>
        <w:rPr>
          <w:rStyle w:val="FootnoteReference"/>
        </w:rPr>
        <w:footnoteReference w:id="65"/>
      </w:r>
      <w:r>
        <w:t xml:space="preserve"> </w:t>
      </w:r>
      <w:r w:rsidRPr="00F961CA">
        <w:t xml:space="preserve">On April 23, 2024, the </w:t>
      </w:r>
      <w:r>
        <w:t>DOL published</w:t>
      </w:r>
      <w:r w:rsidRPr="00F961CA">
        <w:t xml:space="preserve"> a final rule, </w:t>
      </w:r>
      <w:r>
        <w:t>“</w:t>
      </w:r>
      <w:r w:rsidRPr="00F961CA">
        <w:t>Defining and Delimiting the Exemptions for Executive, Administrative, Professional, Outside Sales, and Computer Employees,</w:t>
      </w:r>
      <w:r>
        <w:t>”</w:t>
      </w:r>
      <w:r w:rsidRPr="00F961CA">
        <w:t xml:space="preserve"> to take effect on July 1, 2024.</w:t>
      </w:r>
      <w:r>
        <w:rPr>
          <w:rStyle w:val="FootnoteReference"/>
        </w:rPr>
        <w:footnoteReference w:id="66"/>
      </w:r>
      <w:r>
        <w:t xml:space="preserve"> </w:t>
      </w:r>
      <w:r w:rsidRPr="0024569B">
        <w:t>T</w:t>
      </w:r>
      <w:r w:rsidRPr="00F961CA">
        <w:rPr>
          <w:color w:val="212121"/>
        </w:rPr>
        <w:t>he final rule increase</w:t>
      </w:r>
      <w:r>
        <w:rPr>
          <w:color w:val="212121"/>
        </w:rPr>
        <w:t>s</w:t>
      </w:r>
      <w:r w:rsidRPr="00F961CA">
        <w:rPr>
          <w:color w:val="212121"/>
        </w:rPr>
        <w:t xml:space="preserve"> the standard salary level and the highly compensated employee total annual compensation threshold on the rule’s effective date on July 1, 2024, and on January 1, 2025, when changes in the methodologies used to calculate these levels become applicable. The final rule also provides for future updates of these levels every three years to reflect current earnings data. These scheduled increases are</w:t>
      </w:r>
      <w:r>
        <w:rPr>
          <w:color w:val="212121"/>
        </w:rPr>
        <w:t>:</w:t>
      </w:r>
    </w:p>
    <w:tbl>
      <w:tblPr>
        <w:tblW w:w="9450" w:type="dxa"/>
        <w:tblBorders>
          <w:top w:val="single" w:sz="6" w:space="0" w:color="808080"/>
          <w:left w:val="single" w:sz="6" w:space="0" w:color="808080"/>
          <w:bottom w:val="single" w:sz="6" w:space="0" w:color="808080"/>
          <w:right w:val="single" w:sz="6" w:space="0" w:color="808080"/>
        </w:tblBorders>
        <w:tblLayout w:type="fixed"/>
        <w:tblCellMar>
          <w:left w:w="0" w:type="dxa"/>
          <w:right w:w="0" w:type="dxa"/>
        </w:tblCellMar>
        <w:tblLook w:val="04A0" w:firstRow="1" w:lastRow="0" w:firstColumn="1" w:lastColumn="0" w:noHBand="0" w:noVBand="1"/>
      </w:tblPr>
      <w:tblGrid>
        <w:gridCol w:w="2970"/>
        <w:gridCol w:w="3600"/>
        <w:gridCol w:w="2880"/>
      </w:tblGrid>
      <w:tr w:rsidR="00201F3F" w14:paraId="508903CA" w14:textId="77777777" w:rsidTr="00F961CA">
        <w:trPr>
          <w:tblHeader/>
        </w:trPr>
        <w:tc>
          <w:tcPr>
            <w:tcW w:w="2970" w:type="dxa"/>
            <w:tcBorders>
              <w:top w:val="nil"/>
              <w:left w:val="nil"/>
              <w:bottom w:val="nil"/>
              <w:right w:val="nil"/>
            </w:tcBorders>
            <w:shd w:val="clear" w:color="auto" w:fill="F1F1F1"/>
            <w:vAlign w:val="center"/>
            <w:hideMark/>
          </w:tcPr>
          <w:p w14:paraId="77CECA4D" w14:textId="77777777" w:rsidR="00201F3F" w:rsidRPr="0024569B" w:rsidRDefault="00201F3F" w:rsidP="006D15BB">
            <w:pPr>
              <w:spacing w:after="0"/>
              <w:rPr>
                <w:rFonts w:eastAsia="Times New Roman"/>
                <w:b/>
                <w:bCs/>
                <w:color w:val="222222"/>
              </w:rPr>
            </w:pPr>
            <w:r w:rsidRPr="0024569B">
              <w:rPr>
                <w:rFonts w:eastAsia="Times New Roman"/>
                <w:b/>
                <w:bCs/>
                <w:color w:val="222222"/>
              </w:rPr>
              <w:t>DATE</w:t>
            </w:r>
          </w:p>
        </w:tc>
        <w:tc>
          <w:tcPr>
            <w:tcW w:w="3600" w:type="dxa"/>
            <w:tcBorders>
              <w:top w:val="nil"/>
              <w:left w:val="nil"/>
              <w:bottom w:val="nil"/>
              <w:right w:val="nil"/>
            </w:tcBorders>
            <w:shd w:val="clear" w:color="auto" w:fill="F1F1F1"/>
            <w:vAlign w:val="center"/>
            <w:hideMark/>
          </w:tcPr>
          <w:p w14:paraId="5333DDCA" w14:textId="77777777" w:rsidR="00201F3F" w:rsidRPr="0024569B" w:rsidRDefault="00201F3F" w:rsidP="006D15BB">
            <w:pPr>
              <w:spacing w:after="0"/>
              <w:rPr>
                <w:rFonts w:eastAsia="Times New Roman"/>
                <w:b/>
                <w:bCs/>
                <w:color w:val="222222"/>
              </w:rPr>
            </w:pPr>
            <w:r w:rsidRPr="0024569B">
              <w:rPr>
                <w:rFonts w:eastAsia="Times New Roman"/>
                <w:b/>
                <w:bCs/>
                <w:color w:val="222222"/>
              </w:rPr>
              <w:t>STANDARD SALARY LEVEL</w:t>
            </w:r>
          </w:p>
        </w:tc>
        <w:tc>
          <w:tcPr>
            <w:tcW w:w="2880" w:type="dxa"/>
            <w:tcBorders>
              <w:top w:val="nil"/>
              <w:left w:val="nil"/>
              <w:bottom w:val="nil"/>
              <w:right w:val="nil"/>
            </w:tcBorders>
            <w:shd w:val="clear" w:color="auto" w:fill="F1F1F1"/>
            <w:vAlign w:val="center"/>
            <w:hideMark/>
          </w:tcPr>
          <w:p w14:paraId="07D064EE" w14:textId="77777777" w:rsidR="00201F3F" w:rsidRDefault="00201F3F" w:rsidP="006D15BB">
            <w:pPr>
              <w:spacing w:after="0"/>
              <w:rPr>
                <w:rFonts w:eastAsia="Times New Roman"/>
                <w:b/>
                <w:bCs/>
                <w:color w:val="222222"/>
              </w:rPr>
            </w:pPr>
            <w:r w:rsidRPr="0024569B">
              <w:rPr>
                <w:rFonts w:eastAsia="Times New Roman"/>
                <w:b/>
                <w:bCs/>
                <w:color w:val="222222"/>
              </w:rPr>
              <w:t>HIGHLY COMPENSATED EMPLOYEE TOTAL ANNUAL COMPENSATION THRESHOLD</w:t>
            </w:r>
          </w:p>
          <w:p w14:paraId="60BCAA11" w14:textId="77777777" w:rsidR="00201F3F" w:rsidRDefault="00201F3F" w:rsidP="006D15BB">
            <w:pPr>
              <w:spacing w:after="0"/>
              <w:rPr>
                <w:rFonts w:eastAsia="Times New Roman"/>
                <w:b/>
                <w:bCs/>
                <w:color w:val="222222"/>
              </w:rPr>
            </w:pPr>
          </w:p>
          <w:p w14:paraId="40D54370" w14:textId="77777777" w:rsidR="00201F3F" w:rsidRPr="0024569B" w:rsidRDefault="00201F3F" w:rsidP="006D15BB">
            <w:pPr>
              <w:spacing w:after="0"/>
              <w:rPr>
                <w:rFonts w:eastAsia="Times New Roman"/>
                <w:b/>
                <w:bCs/>
                <w:color w:val="222222"/>
              </w:rPr>
            </w:pPr>
          </w:p>
        </w:tc>
      </w:tr>
      <w:tr w:rsidR="00201F3F" w14:paraId="692EEB96" w14:textId="77777777" w:rsidTr="00F961CA">
        <w:tc>
          <w:tcPr>
            <w:tcW w:w="2970" w:type="dxa"/>
            <w:tcBorders>
              <w:top w:val="nil"/>
              <w:left w:val="nil"/>
              <w:bottom w:val="nil"/>
              <w:right w:val="nil"/>
            </w:tcBorders>
            <w:shd w:val="clear" w:color="auto" w:fill="FFFFFF"/>
            <w:hideMark/>
          </w:tcPr>
          <w:p w14:paraId="33635000" w14:textId="77777777" w:rsidR="00201F3F" w:rsidRPr="00F961CA" w:rsidRDefault="00201F3F" w:rsidP="006D15BB">
            <w:pPr>
              <w:spacing w:after="0"/>
              <w:rPr>
                <w:rFonts w:eastAsia="Times New Roman"/>
                <w:color w:val="212529"/>
              </w:rPr>
            </w:pPr>
            <w:r w:rsidRPr="00F961CA">
              <w:rPr>
                <w:rFonts w:eastAsia="Times New Roman"/>
                <w:color w:val="212529"/>
              </w:rPr>
              <w:t>Before July 1, 2024</w:t>
            </w:r>
          </w:p>
        </w:tc>
        <w:tc>
          <w:tcPr>
            <w:tcW w:w="3600" w:type="dxa"/>
            <w:tcBorders>
              <w:top w:val="nil"/>
              <w:left w:val="nil"/>
              <w:bottom w:val="nil"/>
              <w:right w:val="nil"/>
            </w:tcBorders>
            <w:shd w:val="clear" w:color="auto" w:fill="FFFFFF"/>
            <w:hideMark/>
          </w:tcPr>
          <w:p w14:paraId="0400CDE5" w14:textId="77777777" w:rsidR="00201F3F" w:rsidRPr="00F961CA" w:rsidRDefault="00201F3F" w:rsidP="006D15BB">
            <w:pPr>
              <w:spacing w:after="0"/>
              <w:rPr>
                <w:rFonts w:eastAsia="Times New Roman"/>
                <w:color w:val="212529"/>
              </w:rPr>
            </w:pPr>
            <w:r w:rsidRPr="00F961CA">
              <w:rPr>
                <w:rFonts w:eastAsia="Times New Roman"/>
                <w:color w:val="212529"/>
              </w:rPr>
              <w:t>$684 per week (equivalent to $35,568 per year)</w:t>
            </w:r>
          </w:p>
        </w:tc>
        <w:tc>
          <w:tcPr>
            <w:tcW w:w="2880" w:type="dxa"/>
            <w:tcBorders>
              <w:top w:val="nil"/>
              <w:left w:val="nil"/>
              <w:bottom w:val="nil"/>
              <w:right w:val="nil"/>
            </w:tcBorders>
            <w:shd w:val="clear" w:color="auto" w:fill="FFFFFF"/>
            <w:hideMark/>
          </w:tcPr>
          <w:p w14:paraId="2DE77F04" w14:textId="77777777" w:rsidR="00201F3F" w:rsidRPr="00F961CA" w:rsidRDefault="00201F3F" w:rsidP="006D15BB">
            <w:pPr>
              <w:spacing w:after="0"/>
              <w:rPr>
                <w:rFonts w:eastAsia="Times New Roman"/>
                <w:color w:val="212529"/>
              </w:rPr>
            </w:pPr>
            <w:r w:rsidRPr="00F961CA">
              <w:rPr>
                <w:rFonts w:eastAsia="Times New Roman"/>
                <w:color w:val="212529"/>
              </w:rPr>
              <w:t>$107,432 per year, including at least $684 per week paid on a salary or fee basis.</w:t>
            </w:r>
          </w:p>
          <w:p w14:paraId="25009878" w14:textId="77777777" w:rsidR="00201F3F" w:rsidRPr="00F961CA" w:rsidRDefault="00201F3F" w:rsidP="006D15BB">
            <w:pPr>
              <w:spacing w:after="0"/>
              <w:rPr>
                <w:rFonts w:eastAsia="Times New Roman"/>
                <w:color w:val="212529"/>
              </w:rPr>
            </w:pPr>
          </w:p>
          <w:p w14:paraId="22E5E92B" w14:textId="77777777" w:rsidR="00201F3F" w:rsidRPr="00F961CA" w:rsidRDefault="00201F3F" w:rsidP="006D15BB">
            <w:pPr>
              <w:spacing w:after="0"/>
              <w:rPr>
                <w:rFonts w:eastAsia="Times New Roman"/>
                <w:color w:val="212529"/>
              </w:rPr>
            </w:pPr>
          </w:p>
        </w:tc>
      </w:tr>
      <w:tr w:rsidR="00201F3F" w14:paraId="49D75978" w14:textId="77777777" w:rsidTr="00F961CA">
        <w:tc>
          <w:tcPr>
            <w:tcW w:w="2970" w:type="dxa"/>
            <w:tcBorders>
              <w:top w:val="nil"/>
              <w:left w:val="nil"/>
              <w:bottom w:val="nil"/>
              <w:right w:val="nil"/>
            </w:tcBorders>
            <w:shd w:val="clear" w:color="auto" w:fill="F1F1F1"/>
            <w:hideMark/>
          </w:tcPr>
          <w:p w14:paraId="4810D8F2" w14:textId="77777777" w:rsidR="00201F3F" w:rsidRPr="00F961CA" w:rsidRDefault="00201F3F" w:rsidP="006D15BB">
            <w:pPr>
              <w:spacing w:after="0"/>
              <w:rPr>
                <w:rFonts w:eastAsia="Times New Roman"/>
                <w:color w:val="212529"/>
              </w:rPr>
            </w:pPr>
            <w:r w:rsidRPr="00F961CA">
              <w:rPr>
                <w:rFonts w:eastAsia="Times New Roman"/>
                <w:color w:val="212529"/>
              </w:rPr>
              <w:t>July 1, 2024</w:t>
            </w:r>
          </w:p>
        </w:tc>
        <w:tc>
          <w:tcPr>
            <w:tcW w:w="3600" w:type="dxa"/>
            <w:tcBorders>
              <w:top w:val="nil"/>
              <w:left w:val="nil"/>
              <w:bottom w:val="nil"/>
              <w:right w:val="nil"/>
            </w:tcBorders>
            <w:shd w:val="clear" w:color="auto" w:fill="F1F1F1"/>
            <w:hideMark/>
          </w:tcPr>
          <w:p w14:paraId="495F94A1" w14:textId="77777777" w:rsidR="00201F3F" w:rsidRPr="00F961CA" w:rsidRDefault="00201F3F" w:rsidP="006D15BB">
            <w:pPr>
              <w:spacing w:after="0"/>
              <w:rPr>
                <w:rFonts w:eastAsia="Times New Roman"/>
                <w:color w:val="212529"/>
              </w:rPr>
            </w:pPr>
            <w:r w:rsidRPr="00F961CA">
              <w:rPr>
                <w:rFonts w:eastAsia="Times New Roman"/>
                <w:color w:val="212529"/>
              </w:rPr>
              <w:t>$844 per week (equivalent to $43,888 per year)</w:t>
            </w:r>
          </w:p>
        </w:tc>
        <w:tc>
          <w:tcPr>
            <w:tcW w:w="2880" w:type="dxa"/>
            <w:tcBorders>
              <w:top w:val="nil"/>
              <w:left w:val="nil"/>
              <w:bottom w:val="nil"/>
              <w:right w:val="nil"/>
            </w:tcBorders>
            <w:shd w:val="clear" w:color="auto" w:fill="F1F1F1"/>
            <w:hideMark/>
          </w:tcPr>
          <w:p w14:paraId="72D5C0B9" w14:textId="77777777" w:rsidR="00201F3F" w:rsidRPr="00F961CA" w:rsidRDefault="00201F3F" w:rsidP="006D15BB">
            <w:pPr>
              <w:spacing w:after="0"/>
              <w:rPr>
                <w:rFonts w:eastAsia="Times New Roman"/>
                <w:color w:val="212529"/>
              </w:rPr>
            </w:pPr>
            <w:r w:rsidRPr="00F961CA">
              <w:rPr>
                <w:rFonts w:eastAsia="Times New Roman"/>
                <w:color w:val="212529"/>
              </w:rPr>
              <w:t>$132,964 per year, including at least $844 per week paid on a salary or fee basis.</w:t>
            </w:r>
          </w:p>
          <w:p w14:paraId="0D4F6A0D" w14:textId="77777777" w:rsidR="00201F3F" w:rsidRPr="00F961CA" w:rsidRDefault="00201F3F" w:rsidP="006D15BB">
            <w:pPr>
              <w:spacing w:after="0"/>
              <w:rPr>
                <w:rFonts w:eastAsia="Times New Roman"/>
                <w:color w:val="212529"/>
              </w:rPr>
            </w:pPr>
          </w:p>
          <w:p w14:paraId="3AA43D7B" w14:textId="77777777" w:rsidR="00201F3F" w:rsidRPr="00F961CA" w:rsidRDefault="00201F3F" w:rsidP="006D15BB">
            <w:pPr>
              <w:spacing w:after="0"/>
              <w:rPr>
                <w:rFonts w:eastAsia="Times New Roman"/>
                <w:color w:val="212529"/>
              </w:rPr>
            </w:pPr>
          </w:p>
        </w:tc>
      </w:tr>
      <w:tr w:rsidR="00201F3F" w14:paraId="5BB30CC0" w14:textId="77777777" w:rsidTr="00F961CA">
        <w:tc>
          <w:tcPr>
            <w:tcW w:w="2970" w:type="dxa"/>
            <w:tcBorders>
              <w:top w:val="nil"/>
              <w:left w:val="nil"/>
              <w:bottom w:val="nil"/>
              <w:right w:val="nil"/>
            </w:tcBorders>
            <w:shd w:val="clear" w:color="auto" w:fill="FFFFFF"/>
            <w:hideMark/>
          </w:tcPr>
          <w:p w14:paraId="65903CDD" w14:textId="77777777" w:rsidR="00201F3F" w:rsidRPr="00F961CA" w:rsidRDefault="00201F3F" w:rsidP="006D15BB">
            <w:pPr>
              <w:spacing w:after="0"/>
              <w:rPr>
                <w:rFonts w:eastAsia="Times New Roman"/>
                <w:color w:val="212529"/>
              </w:rPr>
            </w:pPr>
            <w:r w:rsidRPr="00F961CA">
              <w:rPr>
                <w:rFonts w:eastAsia="Times New Roman"/>
                <w:color w:val="212529"/>
              </w:rPr>
              <w:t>January 1, 2025</w:t>
            </w:r>
          </w:p>
        </w:tc>
        <w:tc>
          <w:tcPr>
            <w:tcW w:w="3600" w:type="dxa"/>
            <w:tcBorders>
              <w:top w:val="nil"/>
              <w:left w:val="nil"/>
              <w:bottom w:val="nil"/>
              <w:right w:val="nil"/>
            </w:tcBorders>
            <w:shd w:val="clear" w:color="auto" w:fill="FFFFFF"/>
            <w:hideMark/>
          </w:tcPr>
          <w:p w14:paraId="697BD62E" w14:textId="77777777" w:rsidR="00201F3F" w:rsidRPr="00F961CA" w:rsidRDefault="00201F3F" w:rsidP="006D15BB">
            <w:pPr>
              <w:spacing w:after="0"/>
              <w:rPr>
                <w:rFonts w:eastAsia="Times New Roman"/>
                <w:color w:val="212529"/>
              </w:rPr>
            </w:pPr>
            <w:r w:rsidRPr="00F961CA">
              <w:rPr>
                <w:rFonts w:eastAsia="Times New Roman"/>
                <w:color w:val="212529"/>
              </w:rPr>
              <w:t>$1,128 per week (equivalent to $58,656 per year)</w:t>
            </w:r>
          </w:p>
        </w:tc>
        <w:tc>
          <w:tcPr>
            <w:tcW w:w="2880" w:type="dxa"/>
            <w:tcBorders>
              <w:top w:val="nil"/>
              <w:left w:val="nil"/>
              <w:bottom w:val="nil"/>
              <w:right w:val="nil"/>
            </w:tcBorders>
            <w:shd w:val="clear" w:color="auto" w:fill="FFFFFF"/>
            <w:hideMark/>
          </w:tcPr>
          <w:p w14:paraId="4ED49221" w14:textId="77777777" w:rsidR="00201F3F" w:rsidRPr="00F961CA" w:rsidRDefault="00201F3F" w:rsidP="006D15BB">
            <w:pPr>
              <w:spacing w:after="0"/>
              <w:rPr>
                <w:rFonts w:eastAsia="Times New Roman"/>
                <w:color w:val="212529"/>
              </w:rPr>
            </w:pPr>
            <w:r w:rsidRPr="00F961CA">
              <w:rPr>
                <w:rFonts w:eastAsia="Times New Roman"/>
                <w:color w:val="212529"/>
              </w:rPr>
              <w:t>$151,164 per year, including at least $1,128 per week paid on a salary or fee basis.</w:t>
            </w:r>
          </w:p>
          <w:p w14:paraId="4BF6D9A6" w14:textId="77777777" w:rsidR="00201F3F" w:rsidRPr="00F961CA" w:rsidRDefault="00201F3F" w:rsidP="006D15BB">
            <w:pPr>
              <w:spacing w:after="0"/>
              <w:rPr>
                <w:rFonts w:eastAsia="Times New Roman"/>
                <w:color w:val="212529"/>
              </w:rPr>
            </w:pPr>
          </w:p>
          <w:p w14:paraId="58089117" w14:textId="77777777" w:rsidR="00201F3F" w:rsidRPr="00F961CA" w:rsidRDefault="00201F3F" w:rsidP="006D15BB">
            <w:pPr>
              <w:spacing w:after="0"/>
              <w:rPr>
                <w:rFonts w:eastAsia="Times New Roman"/>
                <w:color w:val="212529"/>
              </w:rPr>
            </w:pPr>
          </w:p>
        </w:tc>
      </w:tr>
      <w:tr w:rsidR="00201F3F" w14:paraId="5C8086D9" w14:textId="77777777" w:rsidTr="00F961CA">
        <w:tc>
          <w:tcPr>
            <w:tcW w:w="2970" w:type="dxa"/>
            <w:tcBorders>
              <w:top w:val="nil"/>
              <w:left w:val="nil"/>
              <w:bottom w:val="nil"/>
              <w:right w:val="nil"/>
            </w:tcBorders>
            <w:shd w:val="clear" w:color="auto" w:fill="F1F1F1"/>
            <w:hideMark/>
          </w:tcPr>
          <w:p w14:paraId="7EFD0314" w14:textId="77777777" w:rsidR="00201F3F" w:rsidRPr="00F961CA" w:rsidRDefault="00201F3F" w:rsidP="006D15BB">
            <w:pPr>
              <w:spacing w:after="0"/>
              <w:rPr>
                <w:rFonts w:eastAsia="Times New Roman"/>
                <w:color w:val="212529"/>
              </w:rPr>
            </w:pPr>
            <w:r w:rsidRPr="00F961CA">
              <w:rPr>
                <w:rFonts w:eastAsia="Times New Roman"/>
                <w:color w:val="212529"/>
              </w:rPr>
              <w:t>July 1, 2027, and every 3 years thereafter</w:t>
            </w:r>
          </w:p>
        </w:tc>
        <w:tc>
          <w:tcPr>
            <w:tcW w:w="3600" w:type="dxa"/>
            <w:tcBorders>
              <w:top w:val="nil"/>
              <w:left w:val="nil"/>
              <w:bottom w:val="nil"/>
              <w:right w:val="nil"/>
            </w:tcBorders>
            <w:shd w:val="clear" w:color="auto" w:fill="F1F1F1"/>
            <w:hideMark/>
          </w:tcPr>
          <w:p w14:paraId="4B6C1498" w14:textId="77777777" w:rsidR="00201F3F" w:rsidRPr="00F961CA" w:rsidRDefault="00201F3F" w:rsidP="006D15BB">
            <w:pPr>
              <w:spacing w:after="0"/>
              <w:rPr>
                <w:rFonts w:eastAsia="Times New Roman"/>
                <w:color w:val="212529"/>
              </w:rPr>
            </w:pPr>
            <w:r w:rsidRPr="00F961CA">
              <w:rPr>
                <w:rFonts w:eastAsia="Times New Roman"/>
                <w:color w:val="212529"/>
              </w:rPr>
              <w:t xml:space="preserve">To be determined by applying to available data the methodology used </w:t>
            </w:r>
            <w:r w:rsidRPr="00F961CA">
              <w:rPr>
                <w:rFonts w:eastAsia="Times New Roman"/>
                <w:color w:val="212529"/>
              </w:rPr>
              <w:lastRenderedPageBreak/>
              <w:t>to set the salary level in effect at the time of the update.</w:t>
            </w:r>
            <w:r w:rsidRPr="00F961CA">
              <w:rPr>
                <w:rStyle w:val="FootnoteReference"/>
                <w:rFonts w:eastAsia="Times New Roman"/>
                <w:color w:val="212529"/>
                <w:sz w:val="22"/>
              </w:rPr>
              <w:footnoteReference w:id="67"/>
            </w:r>
          </w:p>
          <w:p w14:paraId="0C5EEEA7" w14:textId="77777777" w:rsidR="00201F3F" w:rsidRPr="00F961CA" w:rsidRDefault="00201F3F" w:rsidP="006D15BB">
            <w:pPr>
              <w:spacing w:after="0"/>
              <w:rPr>
                <w:rFonts w:eastAsia="Times New Roman"/>
                <w:color w:val="212529"/>
              </w:rPr>
            </w:pPr>
          </w:p>
          <w:p w14:paraId="30F63192" w14:textId="77777777" w:rsidR="00201F3F" w:rsidRPr="00F961CA" w:rsidRDefault="00201F3F" w:rsidP="006D15BB">
            <w:pPr>
              <w:spacing w:after="0"/>
              <w:rPr>
                <w:rFonts w:eastAsia="Times New Roman"/>
                <w:color w:val="212529"/>
              </w:rPr>
            </w:pPr>
          </w:p>
        </w:tc>
        <w:tc>
          <w:tcPr>
            <w:tcW w:w="2880" w:type="dxa"/>
            <w:tcBorders>
              <w:top w:val="nil"/>
              <w:left w:val="nil"/>
              <w:bottom w:val="nil"/>
              <w:right w:val="nil"/>
            </w:tcBorders>
            <w:shd w:val="clear" w:color="auto" w:fill="F1F1F1"/>
            <w:hideMark/>
          </w:tcPr>
          <w:p w14:paraId="6FD86AA7" w14:textId="77777777" w:rsidR="00201F3F" w:rsidRPr="00F961CA" w:rsidRDefault="00201F3F" w:rsidP="006D15BB">
            <w:pPr>
              <w:spacing w:after="0"/>
              <w:rPr>
                <w:rFonts w:eastAsia="Times New Roman"/>
              </w:rPr>
            </w:pPr>
            <w:r w:rsidRPr="00F961CA">
              <w:rPr>
                <w:rFonts w:eastAsia="Times New Roman"/>
                <w:color w:val="212529"/>
              </w:rPr>
              <w:lastRenderedPageBreak/>
              <w:t xml:space="preserve">To be determined by applying to available data the </w:t>
            </w:r>
            <w:r w:rsidRPr="00F961CA">
              <w:rPr>
                <w:rFonts w:eastAsia="Times New Roman"/>
                <w:color w:val="212529"/>
              </w:rPr>
              <w:lastRenderedPageBreak/>
              <w:t>methodology used to set the salary level in effect at the time of the update.</w:t>
            </w:r>
          </w:p>
        </w:tc>
      </w:tr>
    </w:tbl>
    <w:p w14:paraId="49C2082D" w14:textId="77777777" w:rsidR="00201F3F" w:rsidRPr="00E54D9C" w:rsidRDefault="00201F3F" w:rsidP="00F961CA">
      <w:pPr>
        <w:pStyle w:val="10ATextWithIndent"/>
      </w:pPr>
      <w:r>
        <w:lastRenderedPageBreak/>
        <w:t>Shortly after the final rule was published, three legal challenges were filed in Texas district courts, one by a small software company, Flint Avenue, LLC,</w:t>
      </w:r>
      <w:r>
        <w:rPr>
          <w:rStyle w:val="FootnoteReference"/>
        </w:rPr>
        <w:footnoteReference w:id="68"/>
      </w:r>
      <w:r>
        <w:t xml:space="preserve"> another by the State of Texas,</w:t>
      </w:r>
      <w:r>
        <w:rPr>
          <w:rStyle w:val="FootnoteReference"/>
        </w:rPr>
        <w:footnoteReference w:id="69"/>
      </w:r>
      <w:r>
        <w:t xml:space="preserve"> and a third by more than a dozen businesses and industry groups.</w:t>
      </w:r>
      <w:r>
        <w:rPr>
          <w:rStyle w:val="FootnoteReference"/>
        </w:rPr>
        <w:footnoteReference w:id="70"/>
      </w:r>
      <w:r>
        <w:t xml:space="preserve"> The challengers contend that in issuing the final rule, the DOL went beyond its statutory authority and violated the Administrative Procedure Act.  The judge hearing the </w:t>
      </w:r>
      <w:r w:rsidRPr="00F961CA">
        <w:rPr>
          <w:i/>
          <w:iCs/>
        </w:rPr>
        <w:t>Flint Avenue</w:t>
      </w:r>
      <w:r>
        <w:t xml:space="preserve"> case declined to enter a preliminary injunction, finding the plaintiff failed to make an adequate showing of irreparable harm.</w:t>
      </w:r>
      <w:r>
        <w:rPr>
          <w:rStyle w:val="FootnoteReference"/>
        </w:rPr>
        <w:footnoteReference w:id="71"/>
      </w:r>
      <w:r>
        <w:t xml:space="preserve">  However, a few days earlier, on June 28, 2024, the U.S. District Court for the Eastern District of Texas consolidated the State and business groups’ cases and ruled that Texas was likely to succeed on its argument that the DOL exceeded its authority to define and delimit the white collar exemptions and issued a preliminary injunction temporarily halting implementation of the final rule, but only in the State of Texas.</w:t>
      </w:r>
      <w:r>
        <w:rPr>
          <w:rStyle w:val="FootnoteReference"/>
        </w:rPr>
        <w:footnoteReference w:id="72"/>
      </w:r>
      <w:r>
        <w:t xml:space="preserve"> In all other jurisdictions the final rule took effect on July 1, 2024, though the legal challenges remain pending.</w:t>
      </w:r>
    </w:p>
    <w:p w14:paraId="33C07BEB" w14:textId="77777777" w:rsidR="00201F3F" w:rsidRPr="00CD0FEB" w:rsidRDefault="00201F3F" w:rsidP="006D19A5">
      <w:pPr>
        <w:pStyle w:val="04First-LevelHeadIIIIII"/>
      </w:pPr>
      <w:r w:rsidRPr="00CD0FEB">
        <w:t>III.</w:t>
      </w:r>
      <w:r w:rsidRPr="00CD0FEB">
        <w:t> </w:t>
      </w:r>
      <w:r w:rsidRPr="00CD0FEB">
        <w:t>Legal Principles That Govern the Analysis of the White-Collar Exemptions</w:t>
      </w:r>
    </w:p>
    <w:p w14:paraId="7A5EAA7A" w14:textId="77777777" w:rsidR="00201F3F" w:rsidRPr="00CD0FEB" w:rsidRDefault="00201F3F" w:rsidP="00EB0DDA">
      <w:pPr>
        <w:pStyle w:val="05Second-LevelHeadABC"/>
      </w:pPr>
      <w:r w:rsidRPr="00CD0FEB">
        <w:rPr>
          <w:smallCaps/>
        </w:rPr>
        <w:t>A.</w:t>
      </w:r>
      <w:r w:rsidRPr="00CD0FEB">
        <w:rPr>
          <w:smallCaps/>
        </w:rPr>
        <w:tab/>
      </w:r>
      <w:r w:rsidRPr="00CD0FEB">
        <w:t>Construction and Burden of Proof</w:t>
      </w:r>
    </w:p>
    <w:p w14:paraId="1CBF0ECC" w14:textId="77777777" w:rsidR="00201F3F" w:rsidRPr="00CD0FEB" w:rsidRDefault="00201F3F" w:rsidP="006367AB">
      <w:pPr>
        <w:pStyle w:val="10ATextWithIndent"/>
      </w:pPr>
      <w:r w:rsidRPr="00CD0FEB">
        <w:lastRenderedPageBreak/>
        <w:t>Historically, courts had narrowly construed the FLSA’s statutory exemptions,</w:t>
      </w:r>
      <w:r>
        <w:rPr>
          <w:vertAlign w:val="superscript"/>
        </w:rPr>
        <w:footnoteReference w:id="73"/>
      </w:r>
      <w:r w:rsidRPr="00CD0FEB">
        <w:t xml:space="preserve"> guided by Supreme Court precedent,</w:t>
      </w:r>
      <w:r>
        <w:rPr>
          <w:vertAlign w:val="superscript"/>
        </w:rPr>
        <w:footnoteReference w:id="74"/>
      </w:r>
      <w:r w:rsidRPr="00CD0FEB">
        <w:t xml:space="preserve"> such as </w:t>
      </w:r>
      <w:r w:rsidRPr="00CD0FEB">
        <w:rPr>
          <w:i/>
          <w:iCs/>
        </w:rPr>
        <w:t>A.H. Phillips v. Walling</w:t>
      </w:r>
      <w:r w:rsidRPr="00CD0FEB">
        <w:t>,</w:t>
      </w:r>
      <w:r>
        <w:rPr>
          <w:vertAlign w:val="superscript"/>
        </w:rPr>
        <w:footnoteReference w:id="75"/>
      </w:r>
      <w:r w:rsidRPr="00CD0FEB">
        <w:t xml:space="preserve"> where the Court stated that “[t]o extend an exemption to other than those plainly and unmistakably within its terms and spirit is to abuse the interpretative process and to frustrate the announced will of the people.”</w:t>
      </w:r>
      <w:r>
        <w:rPr>
          <w:vertAlign w:val="superscript"/>
        </w:rPr>
        <w:footnoteReference w:id="76"/>
      </w:r>
      <w:r w:rsidRPr="00CD0FEB">
        <w:t xml:space="preserve"> </w:t>
      </w:r>
    </w:p>
    <w:p w14:paraId="68A760FA" w14:textId="77777777" w:rsidR="00201F3F" w:rsidRDefault="00201F3F" w:rsidP="00EB0DDA">
      <w:pPr>
        <w:pStyle w:val="10ATextWithIndent"/>
      </w:pPr>
      <w:r w:rsidRPr="00CD0FEB">
        <w:t xml:space="preserve">However, in 2018, in </w:t>
      </w:r>
      <w:r w:rsidRPr="00CD0FEB">
        <w:rPr>
          <w:i/>
          <w:iCs/>
        </w:rPr>
        <w:t>Encino Motorcars, LLC v. Navarro</w:t>
      </w:r>
      <w:r w:rsidRPr="00CD0FEB">
        <w:t>,</w:t>
      </w:r>
      <w:r>
        <w:rPr>
          <w:vertAlign w:val="superscript"/>
        </w:rPr>
        <w:footnoteReference w:id="77"/>
      </w:r>
      <w:r w:rsidRPr="00CD0FEB">
        <w:t xml:space="preserve"> the Supreme Court reversed course and rejected “the principle that exemptions to the FLSA should be construed narrowly.”</w:t>
      </w:r>
      <w:r>
        <w:rPr>
          <w:vertAlign w:val="superscript"/>
        </w:rPr>
        <w:footnoteReference w:id="78"/>
      </w:r>
      <w:r w:rsidRPr="00CD0FEB">
        <w:t xml:space="preserve"> The Court explained that “the FLSA gives no ‘textual indication’ that its exemptions should be construed narrowly”; rather, “[t]he narrow-construction principle relies on the flawed premise that the FLSA ‘pursues’ its remedial purpose ‘at all costs.’”</w:t>
      </w:r>
      <w:r>
        <w:rPr>
          <w:vertAlign w:val="superscript"/>
        </w:rPr>
        <w:footnoteReference w:id="79"/>
      </w:r>
      <w:r w:rsidRPr="00CD0FEB">
        <w:rPr>
          <w:vertAlign w:val="superscript"/>
        </w:rPr>
        <w:t xml:space="preserve"> </w:t>
      </w:r>
      <w:r w:rsidRPr="00CD0FEB">
        <w:t>Observing that “the FLSA has over two dozen exemptions in §213(b) alone” and “[t]hose exemptions are as much a part of the FLSA’s purpose as the overtime-pay requirement,” the Court concluded that judges “have no license to give the exemption anything but a fair reading.”</w:t>
      </w:r>
      <w:r>
        <w:rPr>
          <w:vertAlign w:val="superscript"/>
        </w:rPr>
        <w:footnoteReference w:id="80"/>
      </w:r>
      <w:r w:rsidRPr="00CD0FEB">
        <w:t>Section 213 exemptions must be asserted as an affirmative defense to a claim under the FLSA.</w:t>
      </w:r>
      <w:r>
        <w:rPr>
          <w:vertAlign w:val="superscript"/>
        </w:rPr>
        <w:footnoteReference w:id="81"/>
      </w:r>
      <w:r w:rsidRPr="00CD0FEB">
        <w:t xml:space="preserve"> As such, the employer bears the burden of proving that the exemption applies.</w:t>
      </w:r>
      <w:r>
        <w:rPr>
          <w:vertAlign w:val="superscript"/>
        </w:rPr>
        <w:footnoteReference w:id="82"/>
      </w:r>
      <w:r w:rsidRPr="00CD0FEB">
        <w:t xml:space="preserve"> Although there has been some debate concerning the precise quantum of evidence an </w:t>
      </w:r>
      <w:r w:rsidRPr="00CD0FEB">
        <w:lastRenderedPageBreak/>
        <w:t>employer must proffer to meet the burden of proving an employee’s exempt status, with some courts requiring clear and affirmative evidence,</w:t>
      </w:r>
      <w:r>
        <w:rPr>
          <w:vertAlign w:val="superscript"/>
        </w:rPr>
        <w:footnoteReference w:id="83"/>
      </w:r>
      <w:r w:rsidRPr="00CD0FEB">
        <w:t xml:space="preserve"> or clear and convincing evidence,</w:t>
      </w:r>
      <w:r>
        <w:rPr>
          <w:vertAlign w:val="superscript"/>
        </w:rPr>
        <w:footnoteReference w:id="84"/>
      </w:r>
      <w:r w:rsidRPr="00CD0FEB">
        <w:t xml:space="preserve"> that the exemption applies to a particular employee or job category, the majority of circuit courts reject the notion that exemptions are governed by a heightened burden of proof and apply the traditional preponderance of the evidence standard.</w:t>
      </w:r>
      <w:r>
        <w:rPr>
          <w:vertAlign w:val="superscript"/>
        </w:rPr>
        <w:footnoteReference w:id="85"/>
      </w:r>
      <w:r>
        <w:t xml:space="preserve"> Notwithstanding that the Supreme Court rejected the rule of narrow construction, the Fourth Circuit continues to require clear and convincing evidence that the elements of an exemption have been met, reasoning that:</w:t>
      </w:r>
    </w:p>
    <w:p w14:paraId="784051D9" w14:textId="77777777" w:rsidR="00201F3F" w:rsidRPr="00CD0FEB" w:rsidRDefault="00201F3F" w:rsidP="009D4E10">
      <w:pPr>
        <w:pStyle w:val="09ABlockQuoteWithIndent"/>
      </w:pPr>
      <w:r>
        <w:rPr>
          <w:i/>
          <w:iCs/>
        </w:rPr>
        <w:t>Encino Motorcars</w:t>
      </w:r>
      <w:r>
        <w:t xml:space="preserve"> is a case about statutory interpretation, and a canon of construction—now rejected—that mandated a narrow reading of the scope of the FLSA’s exemptions….  [T]hat is distinct from the question of what burden of proof an employer bears in proving the facts of its case.… And because these are distinct concepts, it is entirely possible for us to read our precedent ‘harmoniously’ with </w:t>
      </w:r>
      <w:r>
        <w:rPr>
          <w:i/>
          <w:iCs/>
        </w:rPr>
        <w:t>Encino Motorcars</w:t>
      </w:r>
      <w:r>
        <w:t>, giving a fair, not narrow, legal construction to the FLSA’s exemptions, while also requiring employers to prove the facts that would put their employees within those exemptions by clear and convincing evidence.</w:t>
      </w:r>
      <w:r>
        <w:rPr>
          <w:rStyle w:val="FootnoteReference"/>
        </w:rPr>
        <w:footnoteReference w:id="86"/>
      </w:r>
    </w:p>
    <w:p w14:paraId="5690FBC6" w14:textId="77777777" w:rsidR="00201F3F" w:rsidRPr="00CD0FEB" w:rsidRDefault="00201F3F" w:rsidP="00EB0DDA">
      <w:pPr>
        <w:pStyle w:val="05Second-LevelHeadABC"/>
      </w:pPr>
      <w:r w:rsidRPr="00CD0FEB">
        <w:t>B.</w:t>
      </w:r>
      <w:r w:rsidRPr="00CD0FEB">
        <w:tab/>
        <w:t>Compensation Form and Amount</w:t>
      </w:r>
    </w:p>
    <w:p w14:paraId="1317C435" w14:textId="77777777" w:rsidR="00201F3F" w:rsidRPr="00CD0FEB" w:rsidRDefault="00201F3F" w:rsidP="00EB0DDA">
      <w:pPr>
        <w:pStyle w:val="10ATextWithIndent"/>
      </w:pPr>
      <w:r w:rsidRPr="00CD0FEB">
        <w:t>The compensation requirement for exempt status is a matter of both form and amount. Executive employees must be paid on a salary basis, while administrative and professional employees may be paid on either a salary or fee basis.</w:t>
      </w:r>
      <w:r>
        <w:rPr>
          <w:vertAlign w:val="superscript"/>
        </w:rPr>
        <w:footnoteReference w:id="87"/>
      </w:r>
      <w:r w:rsidRPr="00CD0FEB">
        <w:t xml:space="preserve"> Under the 2004 Regulations, the minimum compensation necessary for an executive, administrative, or professional employee to be considered exempt when paid on a salary or fee basis </w:t>
      </w:r>
      <w:r w:rsidRPr="00CD0FEB">
        <w:lastRenderedPageBreak/>
        <w:t>was $455 per week.</w:t>
      </w:r>
      <w:r>
        <w:rPr>
          <w:vertAlign w:val="superscript"/>
        </w:rPr>
        <w:footnoteReference w:id="88"/>
      </w:r>
      <w:r w:rsidRPr="00CD0FEB">
        <w:t xml:space="preserve"> This threshold increased to $684 per week effective January 1, 2020.</w:t>
      </w:r>
      <w:r>
        <w:rPr>
          <w:vertAlign w:val="superscript"/>
        </w:rPr>
        <w:footnoteReference w:id="89"/>
      </w:r>
      <w:r w:rsidRPr="00CD0FEB">
        <w:t xml:space="preserve"> In addition, the regulations set a special salary level of $455 per week for Puerto Rico, the Virgin Islands, Guam, and the Commonwealth of the Northern Mariana Islands, and $380 per week for American Samoa.</w:t>
      </w:r>
      <w:r>
        <w:rPr>
          <w:vertAlign w:val="superscript"/>
        </w:rPr>
        <w:footnoteReference w:id="90"/>
      </w:r>
      <w:r w:rsidRPr="00CD0FEB">
        <w:t xml:space="preserve"> The 2020 amendments also permit employers to count nondiscretionary bonuses and incentive payments (including commissions) to satisfy up to 10 percent of the standard salary level test, provided such bonuses are paid annually or more frequently.</w:t>
      </w:r>
      <w:r>
        <w:rPr>
          <w:vertAlign w:val="superscript"/>
        </w:rPr>
        <w:footnoteReference w:id="91"/>
      </w:r>
      <w:r w:rsidRPr="00CD0FEB">
        <w:t xml:space="preserve"> However, the 2020 amendments retained the prior regulation’s exclusion of “the value of board, lodging, and facilities” toward the minimum salary basis.</w:t>
      </w:r>
      <w:r>
        <w:rPr>
          <w:vertAlign w:val="superscript"/>
        </w:rPr>
        <w:footnoteReference w:id="92"/>
      </w:r>
    </w:p>
    <w:p w14:paraId="11CEE09A" w14:textId="77777777" w:rsidR="00201F3F" w:rsidRPr="00CD0FEB" w:rsidRDefault="00201F3F" w:rsidP="00EB0DDA">
      <w:pPr>
        <w:pStyle w:val="10ATextWithIndent"/>
      </w:pPr>
      <w:r w:rsidRPr="00CD0FEB">
        <w:t>The rules governing compensation are not the same for all exempt white-collar employees.</w:t>
      </w:r>
      <w:r>
        <w:rPr>
          <w:vertAlign w:val="superscript"/>
        </w:rPr>
        <w:footnoteReference w:id="93"/>
      </w:r>
      <w:r w:rsidRPr="00CD0FEB">
        <w:t xml:space="preserve"> The outside sales exemption has neither a salary level threshold nor a salary basis requirement.</w:t>
      </w:r>
      <w:r>
        <w:rPr>
          <w:vertAlign w:val="superscript"/>
        </w:rPr>
        <w:footnoteReference w:id="94"/>
      </w:r>
      <w:r w:rsidRPr="00CD0FEB">
        <w:t xml:space="preserve"> Similarly, teachers</w:t>
      </w:r>
      <w:r>
        <w:rPr>
          <w:vertAlign w:val="superscript"/>
        </w:rPr>
        <w:footnoteReference w:id="95"/>
      </w:r>
      <w:r w:rsidRPr="00CD0FEB">
        <w:t xml:space="preserve"> and licensed and practicing lawyers and physicians, including medical practitioners engaged in an internship or resident program, are not subject to the salary requirements, either as to form or amount.</w:t>
      </w:r>
      <w:r>
        <w:rPr>
          <w:vertAlign w:val="superscript"/>
        </w:rPr>
        <w:footnoteReference w:id="96"/>
      </w:r>
    </w:p>
    <w:p w14:paraId="488B2207" w14:textId="77777777" w:rsidR="00201F3F" w:rsidRPr="00CD0FEB" w:rsidRDefault="00201F3F" w:rsidP="00EB0DDA">
      <w:pPr>
        <w:pStyle w:val="10ATextWithIndent"/>
        <w:rPr>
          <w:vertAlign w:val="superscript"/>
        </w:rPr>
      </w:pPr>
      <w:r w:rsidRPr="00CD0FEB">
        <w:t>The term “physicians” is broadly defined to encompass general practitioners and specialists, osteopathic physicians, podiatrists, dentists, and optometrists.</w:t>
      </w:r>
      <w:r>
        <w:rPr>
          <w:vertAlign w:val="superscript"/>
        </w:rPr>
        <w:footnoteReference w:id="97"/>
      </w:r>
      <w:r w:rsidRPr="00CD0FEB">
        <w:t xml:space="preserve"> The Ninth Circuit held that veterinarians are professionals involved in the practice of medicine and therefore need not be paid on a salary basis.</w:t>
      </w:r>
      <w:r>
        <w:rPr>
          <w:vertAlign w:val="superscript"/>
        </w:rPr>
        <w:footnoteReference w:id="98"/>
      </w:r>
      <w:r w:rsidRPr="00CD0FEB">
        <w:t xml:space="preserve"> On the other hand, the Fifth Circuit deferred to the DOL’s view that physician assistants and nurse practitioners who were paid hourly did not qualify for the salary basis exception applicable to physicians.</w:t>
      </w:r>
      <w:r>
        <w:rPr>
          <w:vertAlign w:val="superscript"/>
        </w:rPr>
        <w:footnoteReference w:id="99"/>
      </w:r>
      <w:r w:rsidRPr="00CD0FEB">
        <w:rPr>
          <w:vertAlign w:val="superscript"/>
        </w:rPr>
        <w:t xml:space="preserve"> </w:t>
      </w:r>
    </w:p>
    <w:p w14:paraId="1CA53538" w14:textId="77777777" w:rsidR="00201F3F" w:rsidRPr="00CD0FEB" w:rsidRDefault="00201F3F" w:rsidP="00EB0DDA">
      <w:pPr>
        <w:pStyle w:val="10ATextWithIndent"/>
      </w:pPr>
      <w:r w:rsidRPr="00CD0FEB">
        <w:t xml:space="preserve">Computer systems analysts, computer programmers, software engineers, and other similarly skilled workers in the computer field need not be paid on a salary basis so long as they are compensated at an hourly </w:t>
      </w:r>
      <w:r w:rsidRPr="00CD0FEB">
        <w:lastRenderedPageBreak/>
        <w:t>rate not less than $27.63,</w:t>
      </w:r>
      <w:r>
        <w:rPr>
          <w:vertAlign w:val="superscript"/>
        </w:rPr>
        <w:footnoteReference w:id="100"/>
      </w:r>
      <w:r w:rsidRPr="00CD0FEB">
        <w:t xml:space="preserve"> as set forth in the statute upon enactment in 1996, at the time representing six and a half times the minimum wage rate of $4.25 an hour.</w:t>
      </w:r>
      <w:r>
        <w:rPr>
          <w:vertAlign w:val="superscript"/>
        </w:rPr>
        <w:footnoteReference w:id="101"/>
      </w:r>
    </w:p>
    <w:p w14:paraId="08F7748C" w14:textId="77777777" w:rsidR="00201F3F" w:rsidRPr="00CD0FEB" w:rsidRDefault="00201F3F" w:rsidP="00EB0DDA">
      <w:pPr>
        <w:pStyle w:val="10ATextWithIndent"/>
      </w:pPr>
      <w:r w:rsidRPr="00CD0FEB">
        <w:t>The requirement that an exempt employee be paid “on a salary basis” also does not apply in the motion picture producing industry so long as the employee is compensated at a base rate of at least $1,043 a week (exclusive of board, lodging, or other facilities). Thus, an employee in that industry who is otherwise covered by the executive, administrative, or professional exemption and is paid at a base rate of at least $1,043 per week is excepted from the salary basis requirements if the employee is paid a proportionate amount (based on a week of not more than six days) for any week when the employee does not work a full workweek for any reason.</w:t>
      </w:r>
      <w:r>
        <w:rPr>
          <w:vertAlign w:val="superscript"/>
        </w:rPr>
        <w:footnoteReference w:id="102"/>
      </w:r>
      <w:r w:rsidRPr="00CD0FEB">
        <w:t xml:space="preserve"> Moreover, an otherwise exempt employee in the motion picture producing industry qualifies for an exception from the salary basis requirements if the employee is employed at a daily rate under one of the following circumstances:</w:t>
      </w:r>
    </w:p>
    <w:p w14:paraId="183ED21D" w14:textId="77777777" w:rsidR="00201F3F" w:rsidRPr="00CD0FEB" w:rsidRDefault="00201F3F" w:rsidP="00EB0DDA">
      <w:pPr>
        <w:pStyle w:val="11AFirst-LevelList123forshortphrases"/>
      </w:pPr>
      <w:r w:rsidRPr="00CD0FEB">
        <w:t>(a)</w:t>
      </w:r>
      <w:r w:rsidRPr="00CD0FEB">
        <w:tab/>
        <w:t>the employee is in a job category for which a weekly base rate is not provided and his or her daily base rate would yield at least the minimum weekly amount ($1,043) if six days were worked; or</w:t>
      </w:r>
    </w:p>
    <w:p w14:paraId="3D0F5F4D" w14:textId="77777777" w:rsidR="00201F3F" w:rsidRPr="00CD0FEB" w:rsidRDefault="00201F3F" w:rsidP="00EB0DDA">
      <w:pPr>
        <w:pStyle w:val="11AFirst-LevelList123forshortphrases"/>
      </w:pPr>
      <w:r w:rsidRPr="00CD0FEB">
        <w:t>(b)</w:t>
      </w:r>
      <w:r w:rsidRPr="00CD0FEB">
        <w:tab/>
        <w:t>the employee is in a job category having the minimum weekly base rate of at least $1,043 and his or her daily base rate is at least one-sixth of such weekly base rate.</w:t>
      </w:r>
      <w:r>
        <w:rPr>
          <w:vertAlign w:val="superscript"/>
        </w:rPr>
        <w:footnoteReference w:id="103"/>
      </w:r>
    </w:p>
    <w:p w14:paraId="11C7F2BA" w14:textId="77777777" w:rsidR="00201F3F" w:rsidRPr="00CD0FEB" w:rsidRDefault="00201F3F" w:rsidP="00EB0DDA">
      <w:pPr>
        <w:pStyle w:val="10ATextWithIndent"/>
      </w:pPr>
      <w:r w:rsidRPr="00CD0FEB">
        <w:t>The compensation requirements for a highly compensated employee are addressed in Section VIII [Highly Compensated Employees] of this chapter. The salary basis test and the fee basis test (alternatives with regard to the administrative and professional exemptions) are discussed in detail in Section IV [The Salary Basis Test] of this chapter.</w:t>
      </w:r>
    </w:p>
    <w:p w14:paraId="3EB796AC" w14:textId="77777777" w:rsidR="00201F3F" w:rsidRPr="00CD0FEB" w:rsidRDefault="00201F3F" w:rsidP="00EB0DDA">
      <w:pPr>
        <w:pStyle w:val="05Second-LevelHeadABC"/>
      </w:pPr>
      <w:r w:rsidRPr="00CD0FEB">
        <w:t>C.</w:t>
      </w:r>
      <w:r w:rsidRPr="00CD0FEB">
        <w:tab/>
        <w:t>Primary Duty</w:t>
      </w:r>
    </w:p>
    <w:p w14:paraId="241C1ACE" w14:textId="77777777" w:rsidR="00201F3F" w:rsidRPr="00CD0FEB" w:rsidRDefault="00201F3F" w:rsidP="00EB0DDA">
      <w:pPr>
        <w:pStyle w:val="06Third-LevelHead123"/>
      </w:pPr>
      <w:r w:rsidRPr="00CD0FEB">
        <w:t>1.</w:t>
      </w:r>
      <w:r w:rsidRPr="00CD0FEB">
        <w:tab/>
        <w:t>General</w:t>
      </w:r>
    </w:p>
    <w:p w14:paraId="653D0DE7" w14:textId="77777777" w:rsidR="00201F3F" w:rsidRPr="00CD0FEB" w:rsidRDefault="00201F3F" w:rsidP="00EB0DDA">
      <w:pPr>
        <w:pStyle w:val="10ATextWithIndent"/>
      </w:pPr>
      <w:r w:rsidRPr="00CD0FEB">
        <w:t xml:space="preserve">In order to be covered by the executive, administrative, professional, or outside sales exemption, an employee must have exempt work as his or her </w:t>
      </w:r>
      <w:r w:rsidRPr="00CD0FEB">
        <w:rPr>
          <w:i/>
          <w:iCs/>
        </w:rPr>
        <w:t>primary duty</w:t>
      </w:r>
      <w:r w:rsidRPr="00CD0FEB">
        <w:t>,</w:t>
      </w:r>
      <w:r>
        <w:rPr>
          <w:vertAlign w:val="superscript"/>
        </w:rPr>
        <w:footnoteReference w:id="104"/>
      </w:r>
      <w:r w:rsidRPr="00CD0FEB">
        <w:t xml:space="preserve"> meaning “the principal, main, major or most important duty that the employee performs.”</w:t>
      </w:r>
      <w:r>
        <w:rPr>
          <w:vertAlign w:val="superscript"/>
        </w:rPr>
        <w:footnoteReference w:id="105"/>
      </w:r>
      <w:r w:rsidRPr="00CD0FEB">
        <w:t xml:space="preserve"> The regulations state that the “determination of an employee’s primary duty must be based on all the facts in a particular case, with particular emphasis on the character of the employee’s job as a whole.”</w:t>
      </w:r>
      <w:r>
        <w:rPr>
          <w:vertAlign w:val="superscript"/>
        </w:rPr>
        <w:footnoteReference w:id="106"/>
      </w:r>
      <w:r w:rsidRPr="00CD0FEB">
        <w:t xml:space="preserve"> The regulations also provide a non-exhaustive list of factors to be considered in making this determination:</w:t>
      </w:r>
    </w:p>
    <w:p w14:paraId="724B322E" w14:textId="77777777" w:rsidR="00201F3F" w:rsidRPr="00CD0FEB" w:rsidRDefault="00201F3F" w:rsidP="00EB0DDA">
      <w:pPr>
        <w:pStyle w:val="13AFirst-LevelBulletedList"/>
      </w:pPr>
      <w:r w:rsidRPr="00CD0FEB">
        <w:t>•</w:t>
      </w:r>
      <w:r w:rsidRPr="00CD0FEB">
        <w:tab/>
        <w:t>the relative importance of the exempt duties as compared with other types of duties;</w:t>
      </w:r>
    </w:p>
    <w:p w14:paraId="49D0F1B1" w14:textId="77777777" w:rsidR="00201F3F" w:rsidRPr="00CD0FEB" w:rsidRDefault="00201F3F" w:rsidP="00EB0DDA">
      <w:pPr>
        <w:pStyle w:val="13AFirst-LevelBulletedList"/>
      </w:pPr>
      <w:r w:rsidRPr="00CD0FEB">
        <w:t>•</w:t>
      </w:r>
      <w:r w:rsidRPr="00CD0FEB">
        <w:tab/>
        <w:t>the amount of time spent performing exempt work;</w:t>
      </w:r>
    </w:p>
    <w:p w14:paraId="6FD4EB30" w14:textId="77777777" w:rsidR="00201F3F" w:rsidRPr="00CD0FEB" w:rsidRDefault="00201F3F" w:rsidP="00EB0DDA">
      <w:pPr>
        <w:pStyle w:val="13AFirst-LevelBulletedList"/>
      </w:pPr>
      <w:r w:rsidRPr="00CD0FEB">
        <w:lastRenderedPageBreak/>
        <w:t>•</w:t>
      </w:r>
      <w:r w:rsidRPr="00CD0FEB">
        <w:tab/>
        <w:t>the employee’s relative freedom from direct supervision; and</w:t>
      </w:r>
    </w:p>
    <w:p w14:paraId="564F931D" w14:textId="77777777" w:rsidR="00201F3F" w:rsidRPr="00CD0FEB" w:rsidRDefault="00201F3F" w:rsidP="00EB0DDA">
      <w:pPr>
        <w:pStyle w:val="13AFirst-LevelBulletedList"/>
      </w:pPr>
      <w:r w:rsidRPr="00CD0FEB">
        <w:t>•</w:t>
      </w:r>
      <w:r w:rsidRPr="00CD0FEB">
        <w:tab/>
        <w:t>the relationship between the employee’s salary and the wages paid to other employees for the kind of nonexempt work performed by the employee.</w:t>
      </w:r>
      <w:r>
        <w:rPr>
          <w:vertAlign w:val="superscript"/>
        </w:rPr>
        <w:footnoteReference w:id="107"/>
      </w:r>
    </w:p>
    <w:p w14:paraId="45CB90FB" w14:textId="77777777" w:rsidR="00201F3F" w:rsidRPr="00CD0FEB" w:rsidRDefault="00201F3F" w:rsidP="00EB0DDA">
      <w:pPr>
        <w:pStyle w:val="10ATextWithIndent"/>
      </w:pPr>
      <w:r w:rsidRPr="00CD0FEB">
        <w:t>The DOL has long taken the position that the amount of time spent by an employee in the performance of exempt work is a useful guide in determining whether exempt work is that employee’s primary duty.</w:t>
      </w:r>
      <w:r>
        <w:rPr>
          <w:vertAlign w:val="superscript"/>
        </w:rPr>
        <w:footnoteReference w:id="108"/>
      </w:r>
      <w:r w:rsidRPr="00CD0FEB">
        <w:t xml:space="preserve"> According to the DOL “employees who spend more than 50 percent of their time performing exempt work will generally satisfy the primary duty requirement.”</w:t>
      </w:r>
      <w:r>
        <w:rPr>
          <w:vertAlign w:val="superscript"/>
        </w:rPr>
        <w:footnoteReference w:id="109"/>
      </w:r>
      <w:r w:rsidRPr="00CD0FEB">
        <w:t xml:space="preserve"> However, the regulations caution that “[t]ime alone … is not the sole test” and “nothing in this section requires that exempt employees spend more than 50 percent of their time performing exempt work.”</w:t>
      </w:r>
      <w:r>
        <w:rPr>
          <w:vertAlign w:val="superscript"/>
        </w:rPr>
        <w:footnoteReference w:id="110"/>
      </w:r>
      <w:r w:rsidRPr="00CD0FEB">
        <w:t xml:space="preserve"> That is, “[e]mployees who do not spend more than 50 percent of their time performing exempt duties may nonetheless meet the primary duty requirement if the other factors [listed above] support such a conclusion.”</w:t>
      </w:r>
      <w:r>
        <w:rPr>
          <w:vertAlign w:val="superscript"/>
        </w:rPr>
        <w:footnoteReference w:id="111"/>
      </w:r>
    </w:p>
    <w:p w14:paraId="2D85D808" w14:textId="77777777" w:rsidR="00201F3F" w:rsidRPr="00CD0FEB" w:rsidRDefault="00201F3F" w:rsidP="00EB0DDA">
      <w:pPr>
        <w:pStyle w:val="10ATextWithIndent"/>
      </w:pPr>
      <w:r w:rsidRPr="00CD0FEB">
        <w:t xml:space="preserve">The regulations do not specify the period of time—be it a week, a month, or some other interval—that should be used for purposes of calculating the percentage of time an employee spends performing exempt functions. In the preamble to the 2004 amendments, the DOL cited with approval the Fourth Circuit’s decision in </w:t>
      </w:r>
      <w:r w:rsidRPr="00CD0FEB">
        <w:rPr>
          <w:i/>
          <w:iCs/>
        </w:rPr>
        <w:t>Counts v. South Carolina Electric &amp; Gas Co.</w:t>
      </w:r>
      <w:r w:rsidRPr="00CD0FEB">
        <w:t>,</w:t>
      </w:r>
      <w:r>
        <w:rPr>
          <w:vertAlign w:val="superscript"/>
        </w:rPr>
        <w:footnoteReference w:id="112"/>
      </w:r>
      <w:r w:rsidRPr="00CD0FEB">
        <w:t xml:space="preserve"> where the court held that the FLSA regulations do not incorporate a workweek standard.</w:t>
      </w:r>
      <w:r>
        <w:rPr>
          <w:vertAlign w:val="superscript"/>
        </w:rPr>
        <w:footnoteReference w:id="113"/>
      </w:r>
      <w:r w:rsidRPr="00CD0FEB">
        <w:t xml:space="preserve"> In </w:t>
      </w:r>
      <w:r w:rsidRPr="00CD0FEB">
        <w:rPr>
          <w:i/>
          <w:iCs/>
        </w:rPr>
        <w:t>Counts</w:t>
      </w:r>
      <w:r w:rsidRPr="00CD0FEB">
        <w:t>, the Fourth Circuit observed that “[n]othing in the FLSA compels any particular time frame for determining an employee’s primary duty.”</w:t>
      </w:r>
      <w:r>
        <w:rPr>
          <w:vertAlign w:val="superscript"/>
        </w:rPr>
        <w:footnoteReference w:id="114"/>
      </w:r>
      <w:r w:rsidRPr="00CD0FEB">
        <w:t xml:space="preserve"> Indeed, the “regulations ‘call for a holistic approach to determining an employee’s primary duty,’ not ‘day-by-day scrutiny of the tasks of managerial or administrative employees.’”</w:t>
      </w:r>
      <w:r>
        <w:rPr>
          <w:vertAlign w:val="superscript"/>
        </w:rPr>
        <w:footnoteReference w:id="115"/>
      </w:r>
    </w:p>
    <w:p w14:paraId="02BD8580" w14:textId="77777777" w:rsidR="00201F3F" w:rsidRPr="00CD0FEB" w:rsidRDefault="00201F3F" w:rsidP="00EB0DDA">
      <w:pPr>
        <w:pStyle w:val="10ATextWithIndent"/>
      </w:pPr>
      <w:r w:rsidRPr="00CD0FEB">
        <w:t>It is sometimes difficult to characterize the exempt or nonexempt nature of certain types of passive activities. Courts have held that waiting time takes on the exempt or nonexempt nature of the activity for which the waiting was undertaken.</w:t>
      </w:r>
      <w:r>
        <w:rPr>
          <w:vertAlign w:val="superscript"/>
        </w:rPr>
        <w:footnoteReference w:id="116"/>
      </w:r>
      <w:r w:rsidRPr="00CD0FEB">
        <w:t xml:space="preserve"> One court, however, has found that the idle time of a manager should not be </w:t>
      </w:r>
      <w:r w:rsidRPr="00CD0FEB">
        <w:lastRenderedPageBreak/>
        <w:t>counted as either exempt or nonexempt.</w:t>
      </w:r>
      <w:r>
        <w:rPr>
          <w:vertAlign w:val="superscript"/>
        </w:rPr>
        <w:footnoteReference w:id="117"/>
      </w:r>
      <w:r w:rsidRPr="00CD0FEB">
        <w:t xml:space="preserve"> Another court has found travel time to be nonexempt in nature when undertaken to complete nonexempt work.</w:t>
      </w:r>
      <w:r>
        <w:rPr>
          <w:vertAlign w:val="superscript"/>
        </w:rPr>
        <w:footnoteReference w:id="118"/>
      </w:r>
    </w:p>
    <w:p w14:paraId="3BB723C4" w14:textId="77777777" w:rsidR="00201F3F" w:rsidRPr="00CD0FEB" w:rsidRDefault="00201F3F" w:rsidP="00EB0DDA">
      <w:pPr>
        <w:pStyle w:val="06Third-LevelHead123"/>
      </w:pPr>
      <w:r w:rsidRPr="00CD0FEB">
        <w:t>2.</w:t>
      </w:r>
      <w:r w:rsidRPr="00CD0FEB">
        <w:tab/>
        <w:t>“Directly and Closely Related”</w:t>
      </w:r>
    </w:p>
    <w:p w14:paraId="7BE3ECBF" w14:textId="77777777" w:rsidR="00201F3F" w:rsidRPr="00CD0FEB" w:rsidRDefault="00201F3F" w:rsidP="00EB0DDA">
      <w:pPr>
        <w:pStyle w:val="10ATextWithIndent"/>
      </w:pPr>
      <w:r w:rsidRPr="00CD0FEB">
        <w:t>The concept of exempt work extends to “[w]ork that is ‘directly and closely related’ to the performance of exempt work.”</w:t>
      </w:r>
      <w:r>
        <w:rPr>
          <w:vertAlign w:val="superscript"/>
        </w:rPr>
        <w:footnoteReference w:id="119"/>
      </w:r>
      <w:r w:rsidRPr="00CD0FEB">
        <w:t xml:space="preserve"> Exempt functions therefore include “tasks that are related to exempt duties and that contribute to or facilitate the performance of exempt work.”</w:t>
      </w:r>
      <w:r>
        <w:rPr>
          <w:vertAlign w:val="superscript"/>
        </w:rPr>
        <w:footnoteReference w:id="120"/>
      </w:r>
      <w:r w:rsidRPr="00CD0FEB">
        <w:t xml:space="preserve"> By way of explanation, the regulations provide that “‘directly and closely related’ work may include physical and menial tasks that arise out of exempt duties,” as well as “routine work without which the exempt employee’s exempt work cannot be properly performed.”</w:t>
      </w:r>
      <w:r>
        <w:rPr>
          <w:vertAlign w:val="superscript"/>
        </w:rPr>
        <w:footnoteReference w:id="121"/>
      </w:r>
      <w:r w:rsidRPr="00CD0FEB">
        <w:t xml:space="preserve"> Such work “may also include recordkeeping; monitoring and adjusting machinery; taking notes; using the computer to create documents or presentations; opening the mail for the purpose of reading it and making decisions; and using a photocopier or fax machine.”</w:t>
      </w:r>
      <w:r>
        <w:rPr>
          <w:vertAlign w:val="superscript"/>
        </w:rPr>
        <w:footnoteReference w:id="122"/>
      </w:r>
      <w:r w:rsidRPr="00CD0FEB">
        <w:t xml:space="preserve"> On the other hand, “[w]ork is not ‘directly and closely related’ if the work is remotely related or completely unrelated to exempt duties.”</w:t>
      </w:r>
      <w:r>
        <w:rPr>
          <w:vertAlign w:val="superscript"/>
        </w:rPr>
        <w:footnoteReference w:id="123"/>
      </w:r>
    </w:p>
    <w:p w14:paraId="71FE445C" w14:textId="77777777" w:rsidR="00201F3F" w:rsidRPr="00CD0FEB" w:rsidRDefault="00201F3F" w:rsidP="00EB0DDA">
      <w:pPr>
        <w:pStyle w:val="10ATextWithIndent"/>
      </w:pPr>
      <w:r w:rsidRPr="00CD0FEB">
        <w:t>To further illustrate the distinction between work that is and is not “directly and closely related” to exempt work, the regulations include a series of examples:</w:t>
      </w:r>
    </w:p>
    <w:p w14:paraId="429169B2" w14:textId="77777777" w:rsidR="00201F3F" w:rsidRPr="00CD0FEB" w:rsidRDefault="00201F3F" w:rsidP="00EB0DDA">
      <w:pPr>
        <w:pStyle w:val="13AFirst-LevelBulletedList"/>
      </w:pPr>
      <w:r w:rsidRPr="00CD0FEB">
        <w:t>•</w:t>
      </w:r>
      <w:r w:rsidRPr="00CD0FEB">
        <w:tab/>
        <w:t>Keeping subordinates’ time, production, or sales records is directly or closely related to the exempt supervisory functions of a department manager.</w:t>
      </w:r>
      <w:r>
        <w:rPr>
          <w:vertAlign w:val="superscript"/>
        </w:rPr>
        <w:footnoteReference w:id="124"/>
      </w:r>
    </w:p>
    <w:p w14:paraId="5F909745" w14:textId="77777777" w:rsidR="00201F3F" w:rsidRPr="00CD0FEB" w:rsidRDefault="00201F3F" w:rsidP="00EB0DDA">
      <w:pPr>
        <w:pStyle w:val="13AFirst-LevelBulletedList"/>
      </w:pPr>
      <w:r w:rsidRPr="00CD0FEB">
        <w:t>•</w:t>
      </w:r>
      <w:r w:rsidRPr="00CD0FEB">
        <w:tab/>
        <w:t>Distributing materials, merchandise, or supplies for purposes of maintaining “control of the flow of and expenditures for such items is directly and closely related to the performance of exempt duties.”</w:t>
      </w:r>
      <w:r>
        <w:rPr>
          <w:vertAlign w:val="superscript"/>
        </w:rPr>
        <w:footnoteReference w:id="125"/>
      </w:r>
    </w:p>
    <w:p w14:paraId="49082874" w14:textId="77777777" w:rsidR="00201F3F" w:rsidRPr="00CD0FEB" w:rsidRDefault="00201F3F" w:rsidP="00EB0DDA">
      <w:pPr>
        <w:pStyle w:val="13AFirst-LevelBulletedList"/>
      </w:pPr>
      <w:r w:rsidRPr="00CD0FEB">
        <w:t>•</w:t>
      </w:r>
      <w:r w:rsidRPr="00CD0FEB">
        <w:tab/>
        <w:t>Spot checking and examining the work of subordinate employees is directly and closely related to fundamental managerial or supervisory responsibilities, if done for purposes of determining whether the subordinates are performing their duties properly or producing satisfactory product—and not simply in lieu of nonexempt work ordinarily performed by an inspector.</w:t>
      </w:r>
      <w:r>
        <w:rPr>
          <w:vertAlign w:val="superscript"/>
        </w:rPr>
        <w:footnoteReference w:id="126"/>
      </w:r>
    </w:p>
    <w:p w14:paraId="5904C3AE" w14:textId="77777777" w:rsidR="00201F3F" w:rsidRPr="00CD0FEB" w:rsidRDefault="00201F3F" w:rsidP="00EB0DDA">
      <w:pPr>
        <w:pStyle w:val="13AFirst-LevelBulletedList"/>
      </w:pPr>
      <w:r w:rsidRPr="00CD0FEB">
        <w:t>•</w:t>
      </w:r>
      <w:r w:rsidRPr="00CD0FEB">
        <w:tab/>
        <w:t xml:space="preserve">Setting up a machine is directly and closely related to exempt work if it is a highly skilled operation performed by a supervisor or executive. On the other hand, if tasks associated with the set-up or </w:t>
      </w:r>
      <w:r w:rsidRPr="00CD0FEB">
        <w:lastRenderedPageBreak/>
        <w:t>adjustment of the machine for a particular job are ordinarily performed by the nonexempt employee operating the device, it is not exempt work.</w:t>
      </w:r>
      <w:r>
        <w:rPr>
          <w:vertAlign w:val="superscript"/>
        </w:rPr>
        <w:footnoteReference w:id="127"/>
      </w:r>
    </w:p>
    <w:p w14:paraId="26D3C660" w14:textId="77777777" w:rsidR="00201F3F" w:rsidRPr="00CD0FEB" w:rsidRDefault="00201F3F" w:rsidP="00EB0DDA">
      <w:pPr>
        <w:pStyle w:val="13AFirst-LevelBulletedList"/>
      </w:pPr>
      <w:r w:rsidRPr="00CD0FEB">
        <w:t>•</w:t>
      </w:r>
      <w:r w:rsidRPr="00CD0FEB">
        <w:tab/>
        <w:t>A department manager in a retail or service establishment is engaged in tasks directly and closely related to exempt work when the manager walks the sales floor to monitor subordinates’ sales techniques for purposes of gauging effectiveness, check on the quality of customer service, or observe customer preferences.</w:t>
      </w:r>
      <w:r>
        <w:rPr>
          <w:vertAlign w:val="superscript"/>
        </w:rPr>
        <w:footnoteReference w:id="128"/>
      </w:r>
    </w:p>
    <w:p w14:paraId="256E1463" w14:textId="77777777" w:rsidR="00201F3F" w:rsidRPr="00CD0FEB" w:rsidRDefault="00201F3F" w:rsidP="00EB0DDA">
      <w:pPr>
        <w:pStyle w:val="13AFirst-LevelBulletedList"/>
      </w:pPr>
      <w:r w:rsidRPr="00CD0FEB">
        <w:t>•</w:t>
      </w:r>
      <w:r w:rsidRPr="00CD0FEB">
        <w:tab/>
        <w:t>Note-taking by a business consultant to record the flow of work and materials through a client’s plant, and subsequent use of a computer to type a report or create a proposed table of organization, is directly and closely related to the exempt work of analyzing data and making recommendations.</w:t>
      </w:r>
      <w:r>
        <w:rPr>
          <w:vertAlign w:val="superscript"/>
        </w:rPr>
        <w:footnoteReference w:id="129"/>
      </w:r>
    </w:p>
    <w:p w14:paraId="0B10E6B2" w14:textId="77777777" w:rsidR="00201F3F" w:rsidRPr="00CD0FEB" w:rsidRDefault="00201F3F" w:rsidP="00EB0DDA">
      <w:pPr>
        <w:pStyle w:val="13AFirst-LevelBulletedList"/>
      </w:pPr>
      <w:r w:rsidRPr="00CD0FEB">
        <w:t>•</w:t>
      </w:r>
      <w:r w:rsidRPr="00CD0FEB">
        <w:tab/>
        <w:t>Work that is directly and closely related to the exempt work of a credit manager generally responsible for establishing and administering credit policy, setting customer credit limits, authorizing the shipment of orders on credit, and deciding whether to exceed credit limits “may include checking the status of accounts to determine whether the credit limit would be exceeded by the shipment of a new order, removing credit reports from the files for analysis, and writing letters giving credit data and experience to other employees or credit agencies.”</w:t>
      </w:r>
      <w:r>
        <w:rPr>
          <w:vertAlign w:val="superscript"/>
        </w:rPr>
        <w:footnoteReference w:id="130"/>
      </w:r>
    </w:p>
    <w:p w14:paraId="226EEE24" w14:textId="77777777" w:rsidR="00201F3F" w:rsidRPr="00CD0FEB" w:rsidRDefault="00201F3F" w:rsidP="00EB0DDA">
      <w:pPr>
        <w:pStyle w:val="13AFirst-LevelBulletedList"/>
      </w:pPr>
      <w:r w:rsidRPr="00CD0FEB">
        <w:t>•</w:t>
      </w:r>
      <w:r w:rsidRPr="00CD0FEB">
        <w:tab/>
        <w:t>Order taking is considered a routine function and, therefore, is not directly and closely related to the exempt work performed by a traffic manager who is otherwise responsible for planning transportation routes to maximize efficiency, contracting for common-carrier and other transportation facilities, negotiating with carriers for adjustments to account for damage to merchandise, and making necessary rearrangements resulting from delays, damages, or irregularities.</w:t>
      </w:r>
      <w:r>
        <w:rPr>
          <w:vertAlign w:val="superscript"/>
        </w:rPr>
        <w:footnoteReference w:id="131"/>
      </w:r>
    </w:p>
    <w:p w14:paraId="14B2ACC1" w14:textId="77777777" w:rsidR="00201F3F" w:rsidRPr="00CD0FEB" w:rsidRDefault="00201F3F" w:rsidP="00EB0DDA">
      <w:pPr>
        <w:pStyle w:val="13AFirst-LevelBulletedList"/>
      </w:pPr>
      <w:r w:rsidRPr="00CD0FEB">
        <w:t>•</w:t>
      </w:r>
      <w:r w:rsidRPr="00CD0FEB">
        <w:tab/>
        <w:t>Menial tasks performed by a chemist, such as cleaning test tubes during an experiment, are directly and closely related to exempt work.</w:t>
      </w:r>
      <w:r>
        <w:rPr>
          <w:vertAlign w:val="superscript"/>
        </w:rPr>
        <w:footnoteReference w:id="132"/>
      </w:r>
    </w:p>
    <w:p w14:paraId="259A1B24" w14:textId="77777777" w:rsidR="00201F3F" w:rsidRPr="00CD0FEB" w:rsidRDefault="00201F3F" w:rsidP="00EB0DDA">
      <w:pPr>
        <w:pStyle w:val="13AFirst-LevelBulletedList"/>
      </w:pPr>
      <w:r w:rsidRPr="00CD0FEB">
        <w:t>•</w:t>
      </w:r>
      <w:r w:rsidRPr="00CD0FEB">
        <w:tab/>
        <w:t>Driving a school van carrying students to a field trip, and monitoring student behavior on the trip, is directly and closely related to a teacher’s exempt work.</w:t>
      </w:r>
      <w:r>
        <w:rPr>
          <w:vertAlign w:val="superscript"/>
        </w:rPr>
        <w:footnoteReference w:id="133"/>
      </w:r>
    </w:p>
    <w:p w14:paraId="2410024E" w14:textId="77777777" w:rsidR="00201F3F" w:rsidRPr="00CD0FEB" w:rsidRDefault="00201F3F" w:rsidP="00EB0DDA">
      <w:pPr>
        <w:pStyle w:val="06Third-LevelHead123"/>
      </w:pPr>
      <w:r w:rsidRPr="00CD0FEB">
        <w:t>3.</w:t>
      </w:r>
      <w:r w:rsidRPr="00CD0FEB">
        <w:tab/>
        <w:t>Emergency Tasks</w:t>
      </w:r>
    </w:p>
    <w:p w14:paraId="15353617" w14:textId="77777777" w:rsidR="00201F3F" w:rsidRPr="00CD0FEB" w:rsidRDefault="00201F3F" w:rsidP="00EB0DDA">
      <w:pPr>
        <w:pStyle w:val="10ATextWithIndent"/>
      </w:pPr>
      <w:r w:rsidRPr="00CD0FEB">
        <w:t>Work performed by an exempt employee in an emergency situation “that threaten[s] the safety of employees, a cessation of operations or serious damage to the employer’s property” and is undertaken “in an effort to prevent such results is considered exempt work.”</w:t>
      </w:r>
      <w:r>
        <w:rPr>
          <w:vertAlign w:val="superscript"/>
        </w:rPr>
        <w:footnoteReference w:id="134"/>
      </w:r>
      <w:r w:rsidRPr="00CD0FEB">
        <w:t xml:space="preserve"> Examples would include “[a] mine superintendent </w:t>
      </w:r>
      <w:r w:rsidRPr="00CD0FEB">
        <w:lastRenderedPageBreak/>
        <w:t>who pitches in after an explosion and digs out workers who are trapped in the mine,”</w:t>
      </w:r>
      <w:r>
        <w:rPr>
          <w:vertAlign w:val="superscript"/>
        </w:rPr>
        <w:footnoteReference w:id="135"/>
      </w:r>
      <w:r w:rsidRPr="00CD0FEB">
        <w:t xml:space="preserve"> or a manager “[a]ssisting nonexempt employees with their work during periods of heavy workload or to handle rush orders … .”</w:t>
      </w:r>
      <w:r>
        <w:rPr>
          <w:vertAlign w:val="superscript"/>
        </w:rPr>
        <w:footnoteReference w:id="136"/>
      </w:r>
      <w:r w:rsidRPr="00CD0FEB">
        <w:t xml:space="preserve"> Also, </w:t>
      </w:r>
    </w:p>
    <w:p w14:paraId="3568DC55" w14:textId="77777777" w:rsidR="00201F3F" w:rsidRPr="00CD0FEB" w:rsidRDefault="00201F3F" w:rsidP="00EB0DDA">
      <w:pPr>
        <w:pStyle w:val="09BBlockQuoteWithoutIndent"/>
      </w:pPr>
      <w:r w:rsidRPr="00CD0FEB">
        <w:t>[r]eplacing a nonexempt employee during the first day or partial day of an illness may be considered exempt emergency work depending on factors such as the size of the establishment and of the executive’s department, the nature of the industry, the consequences that would flow from the failure to replace the ailing employee immediately, and the feasibility of filling the employee’s place promptly.</w:t>
      </w:r>
      <w:r>
        <w:rPr>
          <w:vertAlign w:val="superscript"/>
        </w:rPr>
        <w:footnoteReference w:id="137"/>
      </w:r>
    </w:p>
    <w:p w14:paraId="12D989C4" w14:textId="77777777" w:rsidR="00201F3F" w:rsidRPr="00CD0FEB" w:rsidRDefault="00201F3F" w:rsidP="00EB0DDA">
      <w:pPr>
        <w:pStyle w:val="10ATextWithIndent"/>
      </w:pPr>
      <w:r w:rsidRPr="00CD0FEB">
        <w:t>The regulation cautions that “[e]mergencies occur only rarely, and are events that the employer cannot reasonably anticipate.”</w:t>
      </w:r>
      <w:r>
        <w:rPr>
          <w:vertAlign w:val="superscript"/>
        </w:rPr>
        <w:footnoteReference w:id="138"/>
      </w:r>
      <w:r w:rsidRPr="00CD0FEB">
        <w:t xml:space="preserve"> Thus, “[r]egular repair and cleaning of equipment is not emergency work, even when necessary to prevent fire or explosion; however, repairing equipment may be emergency work if the breakdown of or damage to the equipment was caused by accident or carelessness that the employer could not reasonably anticipate.”</w:t>
      </w:r>
      <w:r>
        <w:rPr>
          <w:vertAlign w:val="superscript"/>
        </w:rPr>
        <w:footnoteReference w:id="139"/>
      </w:r>
    </w:p>
    <w:p w14:paraId="3E86D25C" w14:textId="77777777" w:rsidR="00201F3F" w:rsidRPr="00CD0FEB" w:rsidRDefault="00201F3F" w:rsidP="00EB0DDA">
      <w:pPr>
        <w:pStyle w:val="06Third-LevelHead123"/>
      </w:pPr>
      <w:r w:rsidRPr="00CD0FEB">
        <w:t>4.</w:t>
      </w:r>
      <w:r w:rsidRPr="00CD0FEB">
        <w:tab/>
        <w:t>Occasional Tasks</w:t>
      </w:r>
    </w:p>
    <w:p w14:paraId="5540E910" w14:textId="77777777" w:rsidR="00201F3F" w:rsidRPr="00CD0FEB" w:rsidRDefault="00201F3F" w:rsidP="00EB0DDA">
      <w:pPr>
        <w:pStyle w:val="10ATextWithIndent"/>
      </w:pPr>
      <w:r w:rsidRPr="00CD0FEB">
        <w:t>Along similar lines, the regulation provides that “[o]ccasional, infrequently recurring tasks that cannot practicably be performed by nonexempt employees, but are the means for an exempt employee to properly carry out exempt functions and responsibilities, are considered exempt work.”</w:t>
      </w:r>
      <w:r>
        <w:rPr>
          <w:vertAlign w:val="superscript"/>
        </w:rPr>
        <w:footnoteReference w:id="140"/>
      </w:r>
      <w:r w:rsidRPr="00CD0FEB">
        <w:t xml:space="preserve"> The factors to consider in assessing whether such occasional tasks are properly classified as exempt work include “[w]hether the same work is performed by any of the exempt employee’s subordinates; practicability of delegating the work to a nonexempt employee; whether the exempt employee performs the task frequently or occasionally; and the existence of an industry practice for the exempt employee to perform the task.”</w:t>
      </w:r>
      <w:r>
        <w:rPr>
          <w:vertAlign w:val="superscript"/>
        </w:rPr>
        <w:footnoteReference w:id="141"/>
      </w:r>
    </w:p>
    <w:p w14:paraId="3639FC41" w14:textId="77777777" w:rsidR="00201F3F" w:rsidRPr="00CD0FEB" w:rsidRDefault="00201F3F" w:rsidP="00EB0DDA">
      <w:pPr>
        <w:pStyle w:val="06Third-LevelHead123"/>
      </w:pPr>
      <w:r w:rsidRPr="00CD0FEB">
        <w:t>5.</w:t>
      </w:r>
      <w:r w:rsidRPr="00CD0FEB">
        <w:tab/>
        <w:t>Combination Exemption</w:t>
      </w:r>
    </w:p>
    <w:p w14:paraId="698F239A" w14:textId="77777777" w:rsidR="00201F3F" w:rsidRPr="00CD0FEB" w:rsidRDefault="00201F3F" w:rsidP="00EB0DDA">
      <w:pPr>
        <w:pStyle w:val="10ATextWithIndent"/>
        <w:rPr>
          <w:vertAlign w:val="superscript"/>
        </w:rPr>
      </w:pPr>
      <w:r w:rsidRPr="00CD0FEB">
        <w:t>The regulations provide that employees who perform a combination of exempt duties may qualify for exempt status.</w:t>
      </w:r>
      <w:r>
        <w:rPr>
          <w:vertAlign w:val="superscript"/>
        </w:rPr>
        <w:footnoteReference w:id="142"/>
      </w:r>
      <w:r w:rsidRPr="00CD0FEB">
        <w:t xml:space="preserve"> “Tacking,” or combining, exempt work that may fall under different exemptions in order to determine the overall “primary duty” of the employee is therefore permissible.</w:t>
      </w:r>
      <w:r>
        <w:rPr>
          <w:vertAlign w:val="superscript"/>
        </w:rPr>
        <w:footnoteReference w:id="143"/>
      </w:r>
      <w:r w:rsidRPr="00CD0FEB">
        <w:rPr>
          <w:vertAlign w:val="superscript"/>
        </w:rPr>
        <w:t xml:space="preserve"> </w:t>
      </w:r>
    </w:p>
    <w:p w14:paraId="3355AA8E" w14:textId="77777777" w:rsidR="00201F3F" w:rsidRPr="00CD0FEB" w:rsidRDefault="00201F3F" w:rsidP="00EB0DDA">
      <w:pPr>
        <w:pStyle w:val="10ATextWithIndent"/>
      </w:pPr>
      <w:r w:rsidRPr="00CD0FEB">
        <w:lastRenderedPageBreak/>
        <w:t>To illustrate this point, the regulations note that “an employee whose primary duty involves a combination of exempt administrative and exempt executive work may qualify for exemption,” indicating that “work that is exempt under one section of this part will not defeat the exemption under any other section.”</w:t>
      </w:r>
      <w:r>
        <w:rPr>
          <w:vertAlign w:val="superscript"/>
        </w:rPr>
        <w:footnoteReference w:id="144"/>
      </w:r>
    </w:p>
    <w:p w14:paraId="787CDABB" w14:textId="77777777" w:rsidR="00201F3F" w:rsidRPr="00CD0FEB" w:rsidRDefault="00201F3F" w:rsidP="00EB0DDA">
      <w:pPr>
        <w:pStyle w:val="10ATextWithIndent"/>
      </w:pPr>
      <w:r w:rsidRPr="00CD0FEB">
        <w:t xml:space="preserve">The Seventh Circuit applied this regulation in </w:t>
      </w:r>
      <w:r w:rsidRPr="00CD0FEB">
        <w:rPr>
          <w:i/>
          <w:iCs/>
        </w:rPr>
        <w:t>Schmidt v</w:t>
      </w:r>
      <w:r w:rsidRPr="00CD0FEB">
        <w:t>.</w:t>
      </w:r>
      <w:r w:rsidRPr="00CD0FEB">
        <w:rPr>
          <w:i/>
          <w:iCs/>
        </w:rPr>
        <w:t xml:space="preserve"> Eagle Waste &amp; Recycling, Inc</w:t>
      </w:r>
      <w:r w:rsidRPr="00CD0FEB">
        <w:t>.,</w:t>
      </w:r>
      <w:r>
        <w:rPr>
          <w:vertAlign w:val="superscript"/>
        </w:rPr>
        <w:footnoteReference w:id="145"/>
      </w:r>
      <w:r w:rsidRPr="00CD0FEB">
        <w:t xml:space="preserve"> and affirmed the district court’s finding that, to the extent the plaintiff’s duties as an account executive were unrelated to outside sales, she was primarily performing exempt administrative tasks. In particular, when she “was not actively pursuing sales, she developed advertising and marketing plans, managed customer complaints, administered the customer database, and dealt with issues that would have been handled by [the company president] had he been in the office, such as approving an order of parts for broken machinery.” All of this “office work was directly related to the [company’s] management and general business operations … .”</w:t>
      </w:r>
      <w:r>
        <w:rPr>
          <w:vertAlign w:val="superscript"/>
        </w:rPr>
        <w:footnoteReference w:id="146"/>
      </w:r>
      <w:r w:rsidRPr="00CD0FEB">
        <w:t xml:space="preserve"> As such, the court held that “the combination of her outside sales and administrative work exempt[ed] her from the FLSA’s overtime requirements.”</w:t>
      </w:r>
      <w:r>
        <w:rPr>
          <w:vertAlign w:val="superscript"/>
        </w:rPr>
        <w:footnoteReference w:id="147"/>
      </w:r>
    </w:p>
    <w:p w14:paraId="68E02D45" w14:textId="77777777" w:rsidR="00201F3F" w:rsidRPr="00CD0FEB" w:rsidRDefault="00201F3F" w:rsidP="00EB0DDA">
      <w:pPr>
        <w:pStyle w:val="10ATextWithIndent"/>
      </w:pPr>
      <w:r w:rsidRPr="00CD0FEB">
        <w:t>The combination exemption broadens the duties test, allowing the blending together of duties from one or more other exemptions. It does not eviscerate the salary basis and compensation level requirements for the exemptions. Complicating matters, an employee must meet the salary basis test to qualify for the administrative exemption, but the outside sales exemption contains no salary test.</w:t>
      </w:r>
      <w:r>
        <w:rPr>
          <w:vertAlign w:val="superscript"/>
        </w:rPr>
        <w:footnoteReference w:id="148"/>
      </w:r>
      <w:r w:rsidRPr="00CD0FEB">
        <w:t xml:space="preserve"> In </w:t>
      </w:r>
      <w:r w:rsidRPr="00CD0FEB">
        <w:rPr>
          <w:i/>
          <w:iCs/>
        </w:rPr>
        <w:t>IntraComm, Inc. v. Bajaj</w:t>
      </w:r>
      <w:r w:rsidRPr="00CD0FEB">
        <w:t>,</w:t>
      </w:r>
      <w:r>
        <w:rPr>
          <w:vertAlign w:val="superscript"/>
        </w:rPr>
        <w:footnoteReference w:id="149"/>
      </w:r>
      <w:r w:rsidRPr="00CD0FEB">
        <w:t xml:space="preserve"> even though the plaintiff was paid hourly and never made $455 or more per week (the salary threshold in effect at the time), the defendants argued that he qualified for the combination exemption by virtue of performing a mix of administrative and outside sales duties. At the Fourth Circuit’s request, the Secretary of Labor filed an amicus brief in the case setting forth the DOL’s view of the combination exemption:</w:t>
      </w:r>
    </w:p>
    <w:p w14:paraId="7B359B49" w14:textId="77777777" w:rsidR="00201F3F" w:rsidRPr="00CD0FEB" w:rsidRDefault="00201F3F" w:rsidP="00EB0DDA">
      <w:pPr>
        <w:pStyle w:val="09BBlockQuoteWithoutIndent"/>
      </w:pPr>
      <w:r w:rsidRPr="00CD0FEB">
        <w:t>[T]he combination exemption addresses the situation that exists when an employee does not meet the primary-duty requirement of any individual exemption. In such cases, an employee may nonetheless be exempt … pursuant to the combination exemption, which permits considering different exempt duties together for purposes of meeting the primary-duty test. Thus, an employee performing duties that fall under more than one individual exemption, none of which separately represents her primary duty, may be exempt under the combination exemption if those duties, when combined, constitute her primary duty.</w:t>
      </w:r>
      <w:r>
        <w:rPr>
          <w:vertAlign w:val="superscript"/>
        </w:rPr>
        <w:footnoteReference w:id="150"/>
      </w:r>
    </w:p>
    <w:p w14:paraId="52933CF3" w14:textId="77777777" w:rsidR="00201F3F" w:rsidRPr="00CD0FEB" w:rsidRDefault="00201F3F" w:rsidP="00EB0DDA">
      <w:pPr>
        <w:pStyle w:val="10ATextWithIndent"/>
      </w:pPr>
      <w:r w:rsidRPr="00CD0FEB">
        <w:t>However, the court noted that “[i]n the Secretary’s view … the combination exemption cannot apply to an employee with administrative job functions constituting part of her ‘primary duty’ unless the employee also meets the administrative exemption’s salary requirement.”</w:t>
      </w:r>
      <w:r>
        <w:rPr>
          <w:vertAlign w:val="superscript"/>
        </w:rPr>
        <w:footnoteReference w:id="151"/>
      </w:r>
      <w:r w:rsidRPr="00CD0FEB">
        <w:t xml:space="preserve"> Deferring to the Secretary’s interpretation of the </w:t>
      </w:r>
      <w:r w:rsidRPr="00CD0FEB">
        <w:lastRenderedPageBreak/>
        <w:t xml:space="preserve">regulation under </w:t>
      </w:r>
      <w:r w:rsidRPr="00CD0FEB">
        <w:rPr>
          <w:i/>
          <w:iCs/>
        </w:rPr>
        <w:t>Auer v. Robbins</w:t>
      </w:r>
      <w:r w:rsidRPr="00CD0FEB">
        <w:t>,</w:t>
      </w:r>
      <w:r>
        <w:rPr>
          <w:vertAlign w:val="superscript"/>
        </w:rPr>
        <w:footnoteReference w:id="152"/>
      </w:r>
      <w:r w:rsidRPr="00CD0FEB">
        <w:t xml:space="preserve"> the court concluded that “[s]ince [the plaintiff did] not meet the salary requirement, he would not, under the Secretary’s approach, qualify for exemption under the FLSA.”</w:t>
      </w:r>
      <w:r>
        <w:rPr>
          <w:vertAlign w:val="superscript"/>
        </w:rPr>
        <w:footnoteReference w:id="153"/>
      </w:r>
    </w:p>
    <w:p w14:paraId="759612D0" w14:textId="77777777" w:rsidR="00201F3F" w:rsidRPr="00CD0FEB" w:rsidRDefault="00201F3F" w:rsidP="00EB0DDA">
      <w:pPr>
        <w:pStyle w:val="05Second-LevelHeadABC"/>
      </w:pPr>
      <w:r w:rsidRPr="00CD0FEB">
        <w:t>D.</w:t>
      </w:r>
      <w:r w:rsidRPr="00CD0FEB">
        <w:tab/>
        <w:t>Trainees</w:t>
      </w:r>
    </w:p>
    <w:p w14:paraId="195C9BEB" w14:textId="77777777" w:rsidR="00201F3F" w:rsidRPr="00CD0FEB" w:rsidRDefault="00201F3F" w:rsidP="00EB0DDA">
      <w:pPr>
        <w:pStyle w:val="10ATextWithIndent"/>
      </w:pPr>
      <w:r w:rsidRPr="00CD0FEB">
        <w:t>Ordinarily an employee who is classified as a trainee will not perform all the duties attendant to the position the employee is being trained to perform, or will not do so with the requisite independence or discretion.</w:t>
      </w:r>
      <w:r>
        <w:rPr>
          <w:vertAlign w:val="superscript"/>
        </w:rPr>
        <w:footnoteReference w:id="154"/>
      </w:r>
      <w:r w:rsidRPr="00CD0FEB">
        <w:t xml:space="preserve"> In general, then, trainees—including management trainees—are not exempt.</w:t>
      </w:r>
      <w:r>
        <w:rPr>
          <w:vertAlign w:val="superscript"/>
        </w:rPr>
        <w:footnoteReference w:id="155"/>
      </w:r>
    </w:p>
    <w:p w14:paraId="10D63EA5" w14:textId="77777777" w:rsidR="00201F3F" w:rsidRPr="00CD0FEB" w:rsidRDefault="00201F3F" w:rsidP="00EB0DDA">
      <w:pPr>
        <w:pStyle w:val="10ATextWithIndent"/>
      </w:pPr>
      <w:r w:rsidRPr="00CD0FEB">
        <w:t>In an opinion letter, the Wage and Hour Division (WHD) considered whether a bona fide exempt store manager would lose exempt status by participating in a seven-week training program for potential promotion to area sales manager where “during the first week of the training period, the trainee spends little time performing exempt work, and during the first several weeks of training, it is unlikely that the trainee spends more than half of the time performing exempt work.”</w:t>
      </w:r>
      <w:r>
        <w:rPr>
          <w:vertAlign w:val="superscript"/>
        </w:rPr>
        <w:footnoteReference w:id="156"/>
      </w:r>
      <w:r w:rsidRPr="00CD0FEB">
        <w:t xml:space="preserve"> Applying the primary duty analysis, the WHD found that</w:t>
      </w:r>
    </w:p>
    <w:p w14:paraId="062E033B" w14:textId="77777777" w:rsidR="00201F3F" w:rsidRPr="00CD0FEB" w:rsidRDefault="00201F3F" w:rsidP="00EB0DDA">
      <w:pPr>
        <w:pStyle w:val="09BBlockQuoteWithoutIndent"/>
      </w:pPr>
      <w:r w:rsidRPr="00CD0FEB">
        <w:t>[t]he fact that, during at least some of the weeks of training, the store managers do not perform significant amounts of exempt work, in and of itself, does not cause the store managers to lose their exempt status because the primary duty of executives need not be met each and every workweek in all cases.</w:t>
      </w:r>
      <w:r>
        <w:rPr>
          <w:vertAlign w:val="superscript"/>
        </w:rPr>
        <w:footnoteReference w:id="157"/>
      </w:r>
    </w:p>
    <w:p w14:paraId="2E3EA642" w14:textId="77777777" w:rsidR="00201F3F" w:rsidRPr="00CD0FEB" w:rsidRDefault="00201F3F" w:rsidP="00EB0DDA">
      <w:pPr>
        <w:pStyle w:val="10BTextWithoutIndent"/>
      </w:pPr>
      <w:r w:rsidRPr="00CD0FEB">
        <w:t>The WHD explained that “there is no reason to believe that the seven-week training program itself is an employment position in the company,” or “that the store managers’ primary duty changes during the seven weeks of training, [and] the training provided is of limited duration and does not consist of the performance of work that would otherwise be performed by nonexempt workers.”</w:t>
      </w:r>
      <w:r>
        <w:rPr>
          <w:vertAlign w:val="superscript"/>
        </w:rPr>
        <w:footnoteReference w:id="158"/>
      </w:r>
      <w:r w:rsidRPr="00CD0FEB">
        <w:t xml:space="preserve"> Thus, the WHD concluded that the employees remain exempt.</w:t>
      </w:r>
      <w:r>
        <w:rPr>
          <w:vertAlign w:val="superscript"/>
        </w:rPr>
        <w:footnoteReference w:id="159"/>
      </w:r>
    </w:p>
    <w:p w14:paraId="347CF1D1" w14:textId="77777777" w:rsidR="00201F3F" w:rsidRPr="00CD0FEB" w:rsidRDefault="00201F3F" w:rsidP="00EB0DDA">
      <w:pPr>
        <w:pStyle w:val="04First-LevelHeadIIIIII"/>
      </w:pPr>
      <w:r w:rsidRPr="00CD0FEB">
        <w:t>IV.</w:t>
      </w:r>
      <w:r w:rsidRPr="00CD0FEB">
        <w:t> </w:t>
      </w:r>
      <w:r w:rsidRPr="00CD0FEB">
        <w:t>The Salary Basis Test</w:t>
      </w:r>
    </w:p>
    <w:p w14:paraId="3855AF79" w14:textId="77777777" w:rsidR="00201F3F" w:rsidRPr="00CD0FEB" w:rsidRDefault="00201F3F" w:rsidP="00EB0DDA">
      <w:pPr>
        <w:pStyle w:val="05Second-LevelHeadABC"/>
      </w:pPr>
      <w:r w:rsidRPr="00CD0FEB">
        <w:t>A.</w:t>
      </w:r>
      <w:r w:rsidRPr="00CD0FEB">
        <w:tab/>
        <w:t>Background</w:t>
      </w:r>
      <w:r>
        <w:rPr>
          <w:b w:val="0"/>
          <w:vertAlign w:val="superscript"/>
        </w:rPr>
        <w:footnoteReference w:id="160"/>
      </w:r>
    </w:p>
    <w:p w14:paraId="4A3998E9" w14:textId="77777777" w:rsidR="00201F3F" w:rsidRPr="00CD0FEB" w:rsidRDefault="00201F3F" w:rsidP="00EB0DDA">
      <w:pPr>
        <w:pStyle w:val="10ATextWithIndent"/>
      </w:pPr>
      <w:r w:rsidRPr="00CD0FEB">
        <w:t xml:space="preserve">“The Department has long recognized that the salary paid to an employee is the ‘best single test’ of exempt status, which has ‘simplified enforcement by providing a ready method of screening out the obviously </w:t>
      </w:r>
      <w:r w:rsidRPr="00CD0FEB">
        <w:lastRenderedPageBreak/>
        <w:t>nonexempt employees’ and furnished a ‘completely objective and precise measure which is not subject to differences of opinion or variations in judgment.’”</w:t>
      </w:r>
      <w:r>
        <w:rPr>
          <w:vertAlign w:val="superscript"/>
        </w:rPr>
        <w:footnoteReference w:id="161"/>
      </w:r>
      <w:r w:rsidRPr="00CD0FEB">
        <w:t xml:space="preserve"> The validity of the salary basis requirement “has been repeatedly upheld,”</w:t>
      </w:r>
      <w:r>
        <w:rPr>
          <w:vertAlign w:val="superscript"/>
        </w:rPr>
        <w:footnoteReference w:id="162"/>
      </w:r>
      <w:r w:rsidRPr="00CD0FEB">
        <w:t xml:space="preserve"> at least in its application to private sector employers.</w:t>
      </w:r>
      <w:r>
        <w:rPr>
          <w:vertAlign w:val="superscript"/>
        </w:rPr>
        <w:footnoteReference w:id="163"/>
      </w:r>
      <w:r w:rsidRPr="00CD0FEB">
        <w:t xml:space="preserve"> Chapter 11, Government Employment, addresses the application of the salary basis test in the public sector.</w:t>
      </w:r>
    </w:p>
    <w:p w14:paraId="1EAC0853" w14:textId="77777777" w:rsidR="00201F3F" w:rsidRPr="00CD0FEB" w:rsidRDefault="00201F3F" w:rsidP="00EB0DDA">
      <w:pPr>
        <w:pStyle w:val="05Second-LevelHeadABC"/>
      </w:pPr>
      <w:r w:rsidRPr="00CD0FEB">
        <w:t>B.</w:t>
      </w:r>
      <w:r w:rsidRPr="00CD0FEB">
        <w:tab/>
        <w:t>Requirements of the Salary Basis Test</w:t>
      </w:r>
    </w:p>
    <w:p w14:paraId="48C81E49" w14:textId="77777777" w:rsidR="00201F3F" w:rsidRPr="00CD0FEB" w:rsidRDefault="00201F3F" w:rsidP="00EB0DDA">
      <w:pPr>
        <w:pStyle w:val="06Third-LevelHead123"/>
      </w:pPr>
      <w:r w:rsidRPr="00CD0FEB">
        <w:t>1.</w:t>
      </w:r>
      <w:r w:rsidRPr="00CD0FEB">
        <w:tab/>
        <w:t>Salary Basis Test Generally</w:t>
      </w:r>
    </w:p>
    <w:p w14:paraId="403EB0F5" w14:textId="77777777" w:rsidR="00201F3F" w:rsidRPr="00CD0FEB" w:rsidRDefault="00201F3F" w:rsidP="00EB0DDA">
      <w:pPr>
        <w:pStyle w:val="10ATextWithIndent"/>
      </w:pPr>
      <w:r w:rsidRPr="00CD0FEB">
        <w:t>The salary basis test is objective in nature,</w:t>
      </w:r>
      <w:r>
        <w:rPr>
          <w:vertAlign w:val="superscript"/>
        </w:rPr>
        <w:footnoteReference w:id="164"/>
      </w:r>
      <w:r w:rsidRPr="00CD0FEB">
        <w:t xml:space="preserve"> requiring that exempt white-collar employees regularly receive a predetermined salary on a weekly or less frequent basis.</w:t>
      </w:r>
      <w:r>
        <w:rPr>
          <w:vertAlign w:val="superscript"/>
        </w:rPr>
        <w:footnoteReference w:id="165"/>
      </w:r>
      <w:r w:rsidRPr="00CD0FEB">
        <w:t xml:space="preserve"> To be classified as exempt, a white-collar employee must “receive his full salary for any week in which he performs any work without regard to the number of days or hours worked.”</w:t>
      </w:r>
      <w:r>
        <w:rPr>
          <w:vertAlign w:val="superscript"/>
        </w:rPr>
        <w:footnoteReference w:id="166"/>
      </w:r>
      <w:r w:rsidRPr="00CD0FEB">
        <w:t xml:space="preserve"> </w:t>
      </w:r>
    </w:p>
    <w:p w14:paraId="40178A0F" w14:textId="77777777" w:rsidR="00201F3F" w:rsidRPr="00CD0FEB" w:rsidRDefault="00201F3F" w:rsidP="00443ACA">
      <w:pPr>
        <w:pStyle w:val="10ATextWithIndent"/>
      </w:pPr>
      <w:r w:rsidRPr="00CD0FEB">
        <w:t xml:space="preserve">As described by the U.S. Supreme Court in </w:t>
      </w:r>
      <w:r w:rsidRPr="00CD0FEB">
        <w:rPr>
          <w:i/>
          <w:iCs/>
        </w:rPr>
        <w:t>Helix Energy Solutions Group, Inc. v. Hewitt,</w:t>
      </w:r>
      <w:r>
        <w:rPr>
          <w:rStyle w:val="FootnoteReference"/>
          <w:rFonts w:eastAsiaTheme="majorEastAsia"/>
        </w:rPr>
        <w:footnoteReference w:id="167"/>
      </w:r>
      <w:r w:rsidRPr="00CD0FEB">
        <w:t xml:space="preserve"> “a worker may be paid on a salary basis under either [29 C.F.R.] §602(a) or §604(b).”</w:t>
      </w:r>
      <w:r>
        <w:rPr>
          <w:rStyle w:val="FootnoteReference"/>
          <w:rFonts w:eastAsiaTheme="majorEastAsia"/>
        </w:rPr>
        <w:footnoteReference w:id="168"/>
      </w:r>
      <w:r w:rsidRPr="00CD0FEB">
        <w:t xml:space="preserve"> The main salary-basis provision is Section 602(a), which “applies solely to employees paid by the week (or longer); it is not met when an employer pays an employee by the day … .”</w:t>
      </w:r>
      <w:r>
        <w:rPr>
          <w:rStyle w:val="FootnoteReference"/>
          <w:rFonts w:eastAsiaTheme="majorEastAsia"/>
        </w:rPr>
        <w:footnoteReference w:id="169"/>
      </w:r>
      <w:r w:rsidRPr="00CD0FEB">
        <w:t xml:space="preserve"> In contrast, “[d]aily-rate workers, of whatever income level, are paid on a salary basis only through the test set out in Section 604(b) … .”</w:t>
      </w:r>
      <w:r>
        <w:rPr>
          <w:rStyle w:val="FootnoteReference"/>
          <w:rFonts w:eastAsiaTheme="majorEastAsia"/>
        </w:rPr>
        <w:footnoteReference w:id="170"/>
      </w:r>
      <w:r w:rsidRPr="00CD0FEB">
        <w:t xml:space="preserve"> For daily-rate workers governed by Section 604(b), earnings may be computed on shorter bases (i.e., “an hourly, a daily or shift basis”</w:t>
      </w:r>
      <w:r w:rsidRPr="00CD0FEB">
        <w:rPr>
          <w:rStyle w:val="FootnoteReference"/>
          <w:rFonts w:eastAsiaTheme="majorEastAsia"/>
        </w:rPr>
        <w:t xml:space="preserve"> </w:t>
      </w:r>
      <w:r>
        <w:rPr>
          <w:rStyle w:val="FootnoteReference"/>
          <w:rFonts w:eastAsiaTheme="majorEastAsia"/>
        </w:rPr>
        <w:footnoteReference w:id="171"/>
      </w:r>
      <w:r w:rsidRPr="00CD0FEB">
        <w:t>) “without violating the salary basis requirement so long as an employer also provides a guarantee of weekly payment approximating what the employee usually earns.”</w:t>
      </w:r>
      <w:r>
        <w:rPr>
          <w:rStyle w:val="FootnoteReference"/>
          <w:rFonts w:eastAsiaTheme="majorEastAsia"/>
        </w:rPr>
        <w:footnoteReference w:id="172"/>
      </w:r>
      <w:r w:rsidRPr="00CD0FEB">
        <w:t xml:space="preserve"> Thus, Sections 602(a) and 604(b) “offer non-overlapping paths to satisfy the salary-basis requirement, with §604(b) taking over where §602(a) leaves off.”</w:t>
      </w:r>
      <w:r>
        <w:rPr>
          <w:rStyle w:val="FootnoteReference"/>
          <w:rFonts w:eastAsiaTheme="majorEastAsia"/>
        </w:rPr>
        <w:footnoteReference w:id="173"/>
      </w:r>
    </w:p>
    <w:p w14:paraId="6218403B" w14:textId="77777777" w:rsidR="00201F3F" w:rsidRPr="00CD0FEB" w:rsidRDefault="00201F3F" w:rsidP="00D53A55">
      <w:pPr>
        <w:pStyle w:val="10ATextWithIndent"/>
      </w:pPr>
      <w:r w:rsidRPr="00CD0FEB">
        <w:lastRenderedPageBreak/>
        <w:t xml:space="preserve">In </w:t>
      </w:r>
      <w:r w:rsidRPr="00CD0FEB">
        <w:rPr>
          <w:i/>
          <w:iCs/>
        </w:rPr>
        <w:t>Hewitt</w:t>
      </w:r>
      <w:r w:rsidRPr="00CD0FEB">
        <w:t>, the Supreme Court confirmed that “[a] daily-rate employee … is not paid on a salary basis under §602(a) of the Secretary’s regulations. He may qualify as paid on salary only under §604(b).”</w:t>
      </w:r>
      <w:r>
        <w:rPr>
          <w:vertAlign w:val="superscript"/>
        </w:rPr>
        <w:footnoteReference w:id="174"/>
      </w:r>
      <w:r w:rsidRPr="00CD0FEB">
        <w:rPr>
          <w:shd w:val="clear" w:color="auto" w:fill="FFFFFF"/>
        </w:rPr>
        <w:t xml:space="preserve"> Even though the plaintiff in </w:t>
      </w:r>
      <w:r w:rsidRPr="00CD0FEB">
        <w:rPr>
          <w:i/>
          <w:iCs/>
          <w:shd w:val="clear" w:color="auto" w:fill="FFFFFF"/>
        </w:rPr>
        <w:t>Hewitt</w:t>
      </w:r>
      <w:r w:rsidRPr="00CD0FEB">
        <w:rPr>
          <w:shd w:val="clear" w:color="auto" w:fill="FFFFFF"/>
        </w:rPr>
        <w:t xml:space="preserve"> was paid a day rate of at least $963 for every day worked, regardless of the number of hours worked in a given day, resulting in total pay exceeding $200,000 annually, the Court’s construction of the operative salary basis regulations inevitably meant that the plaintiff was nonexempt, and therefore eligible for overtime pay, given the employer’s acknowledgment that the plaintiff’s “compensation did not satisfy §604(b)’s conditions. That is because Helix did not guarantee that Hewitt would receive each week an amount (above $455) bearing a ‘reasonable relationship’ to the weekly amount he usually earned.”</w:t>
      </w:r>
      <w:r>
        <w:rPr>
          <w:rStyle w:val="FootnoteReference"/>
          <w:shd w:val="clear" w:color="auto" w:fill="FFFFFF"/>
        </w:rPr>
        <w:footnoteReference w:id="175"/>
      </w:r>
    </w:p>
    <w:p w14:paraId="57650F05" w14:textId="77777777" w:rsidR="00201F3F" w:rsidRPr="00CD0FEB" w:rsidRDefault="00201F3F" w:rsidP="00EB0DDA">
      <w:pPr>
        <w:pStyle w:val="10ATextWithIndent"/>
      </w:pPr>
      <w:r w:rsidRPr="00CD0FEB">
        <w:t>The requisite “predetermined amount” of compensation may not be reduced due to “variations in the quality or quantity of the work performed.”</w:t>
      </w:r>
      <w:r>
        <w:rPr>
          <w:vertAlign w:val="superscript"/>
        </w:rPr>
        <w:footnoteReference w:id="176"/>
      </w:r>
      <w:r w:rsidRPr="00CD0FEB">
        <w:t xml:space="preserve"> According to the Ninth Circuit, a “predetermined amount” is “a fixed amount paid during an indeterminate number of pay periods—not the amount paid for a single two- or four-week period.”</w:t>
      </w:r>
      <w:r>
        <w:rPr>
          <w:vertAlign w:val="superscript"/>
        </w:rPr>
        <w:footnoteReference w:id="177"/>
      </w:r>
      <w:r w:rsidRPr="00CD0FEB">
        <w:t xml:space="preserve"> It is the employer’s burden to show that a purportedly exempt employee received a predetermined amount; if that burden is not met, “the defendants must … show[] by a preponderance of the evidence that their failure to pay him the predetermined amount was proper either under §541.602(a) or under one of the delineated exceptions in subsection (b).”</w:t>
      </w:r>
      <w:r>
        <w:rPr>
          <w:vertAlign w:val="superscript"/>
        </w:rPr>
        <w:footnoteReference w:id="178"/>
      </w:r>
      <w:r w:rsidRPr="00CD0FEB">
        <w:t xml:space="preserve"> The 2004 regulations establish that employment agreements are not the relevant “starting point for whether an employee is paid on a salary basis. The question is therefore not what [the employee] was owed under his employment agreement; rather, the question is what compensation [he] actually received.”</w:t>
      </w:r>
      <w:r>
        <w:rPr>
          <w:vertAlign w:val="superscript"/>
        </w:rPr>
        <w:footnoteReference w:id="179"/>
      </w:r>
    </w:p>
    <w:p w14:paraId="5AFE08C2" w14:textId="77777777" w:rsidR="00201F3F" w:rsidRPr="00CD0FEB" w:rsidRDefault="00201F3F" w:rsidP="00EB0DDA">
      <w:pPr>
        <w:pStyle w:val="10ATextWithIndent"/>
      </w:pPr>
      <w:r w:rsidRPr="00CD0FEB">
        <w:t xml:space="preserve">In </w:t>
      </w:r>
      <w:r w:rsidRPr="00CD0FEB">
        <w:rPr>
          <w:i/>
          <w:iCs/>
        </w:rPr>
        <w:t>Berrada v. Cohen</w:t>
      </w:r>
      <w:r w:rsidRPr="00CD0FEB">
        <w:t>,</w:t>
      </w:r>
      <w:r>
        <w:rPr>
          <w:rStyle w:val="FootnoteReference"/>
        </w:rPr>
        <w:footnoteReference w:id="180"/>
      </w:r>
      <w:r w:rsidRPr="00CD0FEB">
        <w:t xml:space="preserve"> the Third Circuit concluded that an employee who was paid $15,000 per month upon submission of invoices, per the terms of his employment agreement, was compensated on a salary basis even though there were several months when he allegedly was not paid at all because the nonpayment was due to the plaintiff’s late submission of invoices. The Court of Appeals explained that the plaintiff’s “failure to </w:t>
      </w:r>
      <w:r w:rsidRPr="00CD0FEB">
        <w:lastRenderedPageBreak/>
        <w:t>regularly submit invoices is the reason he received pay irregularly, but this does not mean he was not paid ‘regularly,’ as contemplated by the FLSA exemption.”</w:t>
      </w:r>
      <w:r>
        <w:rPr>
          <w:rStyle w:val="FootnoteReference"/>
        </w:rPr>
        <w:footnoteReference w:id="181"/>
      </w:r>
    </w:p>
    <w:p w14:paraId="5EA2E16D" w14:textId="77777777" w:rsidR="00201F3F" w:rsidRPr="00CD0FEB" w:rsidRDefault="00201F3F" w:rsidP="00EB0DDA">
      <w:pPr>
        <w:pStyle w:val="10ATextWithIndent"/>
      </w:pPr>
      <w:r w:rsidRPr="00CD0FEB">
        <w:t>Except where expressly permitted by the regulations, employers may not make any deductions from the predetermined weekly amount paid to exempt white-collar employees; this is “subject to the general rule that an employee need not be paid for any workweek in which he performs no work.”</w:t>
      </w:r>
      <w:r>
        <w:rPr>
          <w:vertAlign w:val="superscript"/>
        </w:rPr>
        <w:footnoteReference w:id="182"/>
      </w:r>
      <w:r w:rsidRPr="00CD0FEB">
        <w:t xml:space="preserve"> Thus, the First Circuit ruled that an employer did not violate the salary basis test where an employee’s minimum $1,000 weekly stipend was subject to deduction if the employee elected not to work.</w:t>
      </w:r>
      <w:r>
        <w:rPr>
          <w:vertAlign w:val="superscript"/>
        </w:rPr>
        <w:footnoteReference w:id="183"/>
      </w:r>
      <w:r w:rsidRPr="00CD0FEB">
        <w:t xml:space="preserve"> Employees were required to use vacation time in those situations. The court approved this practice—both because the employees proved no actual practice of making deductions and because deductions from an employee’s vacation pay do not destroy salaried status.</w:t>
      </w:r>
      <w:r>
        <w:rPr>
          <w:vertAlign w:val="superscript"/>
        </w:rPr>
        <w:footnoteReference w:id="184"/>
      </w:r>
      <w:r w:rsidRPr="00CD0FEB">
        <w:t xml:space="preserve"> </w:t>
      </w:r>
    </w:p>
    <w:p w14:paraId="29AF0278" w14:textId="77777777" w:rsidR="00201F3F" w:rsidRPr="00CD0FEB" w:rsidRDefault="00201F3F" w:rsidP="00EB0DDA">
      <w:pPr>
        <w:pStyle w:val="10ATextWithIndent"/>
      </w:pPr>
      <w:r w:rsidRPr="00CD0FEB">
        <w:t>Exemptions are based on the salary and duties of each individual employee, not on a job title or classification.</w:t>
      </w:r>
      <w:r>
        <w:rPr>
          <w:vertAlign w:val="superscript"/>
        </w:rPr>
        <w:footnoteReference w:id="185"/>
      </w:r>
      <w:r w:rsidRPr="00CD0FEB">
        <w:t xml:space="preserve"> Applying this concept, a DOL opinion letter explained that the exempt status of employees within a certain job classification who are paid on a salary basis is not affected by the employer’s act of paying some employees within that same job classification who perform the same duties on an hourly basis.</w:t>
      </w:r>
      <w:r>
        <w:rPr>
          <w:vertAlign w:val="superscript"/>
        </w:rPr>
        <w:footnoteReference w:id="186"/>
      </w:r>
      <w:r w:rsidRPr="00CD0FEB">
        <w:t xml:space="preserve"> Along similar lines, courts will not elevate form over substance in assessing whether an employee is paid on a salary basis. Thus, it has been held that a reference to an “hourly rate” on payroll records does not affect salaried status where the employee, in fact, is paid the same amount each pay period regardless of hours worked.</w:t>
      </w:r>
      <w:r>
        <w:rPr>
          <w:vertAlign w:val="superscript"/>
        </w:rPr>
        <w:footnoteReference w:id="187"/>
      </w:r>
      <w:r w:rsidRPr="00CD0FEB">
        <w:t xml:space="preserve"> By the same token, an employer’s characterization of compensation as “salary” will not meet the salary basis test where employees’ pay was routinely adjusted to reflect hours worked during the operative pay period.</w:t>
      </w:r>
      <w:r>
        <w:rPr>
          <w:vertAlign w:val="superscript"/>
        </w:rPr>
        <w:footnoteReference w:id="188"/>
      </w:r>
    </w:p>
    <w:p w14:paraId="39FE7057" w14:textId="77777777" w:rsidR="00201F3F" w:rsidRPr="00CD0FEB" w:rsidRDefault="00201F3F" w:rsidP="00EB0DDA">
      <w:pPr>
        <w:pStyle w:val="10ATextWithIndent"/>
      </w:pPr>
      <w:r w:rsidRPr="00CD0FEB">
        <w:t>Salaried status is not defeated merely because an employee is required to work overtime,</w:t>
      </w:r>
      <w:r>
        <w:rPr>
          <w:vertAlign w:val="superscript"/>
        </w:rPr>
        <w:footnoteReference w:id="189"/>
      </w:r>
      <w:r w:rsidRPr="00CD0FEB">
        <w:t xml:space="preserve"> punch a time clock,</w:t>
      </w:r>
      <w:r>
        <w:rPr>
          <w:vertAlign w:val="superscript"/>
        </w:rPr>
        <w:footnoteReference w:id="190"/>
      </w:r>
      <w:r w:rsidRPr="00CD0FEB">
        <w:t xml:space="preserve"> or make up for partial day absences due to personal business.</w:t>
      </w:r>
      <w:r>
        <w:rPr>
          <w:vertAlign w:val="superscript"/>
        </w:rPr>
        <w:footnoteReference w:id="191"/>
      </w:r>
      <w:r w:rsidRPr="00CD0FEB">
        <w:t xml:space="preserve"> Note, however, that the DOL has determined that a fine or deduction from an otherwise exempt employee’s salary for damage or loss of company equipment, such as a cell phone or computer, defeats salaried status.</w:t>
      </w:r>
      <w:r>
        <w:rPr>
          <w:vertAlign w:val="superscript"/>
        </w:rPr>
        <w:footnoteReference w:id="192"/>
      </w:r>
      <w:r w:rsidRPr="00CD0FEB">
        <w:t xml:space="preserve"> One district court has held that the salary basis test was violated where the employer failed to reimburse the plaintiff for out-of-pocket payments to contractors.</w:t>
      </w:r>
      <w:r>
        <w:rPr>
          <w:rStyle w:val="FootnoteReference"/>
        </w:rPr>
        <w:footnoteReference w:id="193"/>
      </w:r>
      <w:r w:rsidRPr="00CD0FEB">
        <w:t xml:space="preserve"> On the other hand, an employer may deduct from an employee’s commission or bonus to account for damage or loss, provided the employee regularly receives at least the minimum salary required to qualify for an exemption each week.</w:t>
      </w:r>
      <w:r>
        <w:rPr>
          <w:vertAlign w:val="superscript"/>
        </w:rPr>
        <w:footnoteReference w:id="194"/>
      </w:r>
      <w:r w:rsidRPr="00CD0FEB">
        <w:t xml:space="preserve"> The DOL found that cash shortage deductions could be made from the commission payments without affecting exempt status, provided the commission payments were bona fide and not paid to facilitate otherwise prohibited deductions.</w:t>
      </w:r>
      <w:r>
        <w:rPr>
          <w:vertAlign w:val="superscript"/>
        </w:rPr>
        <w:footnoteReference w:id="195"/>
      </w:r>
      <w:r w:rsidRPr="00CD0FEB">
        <w:t xml:space="preserve"> Additionally, one district court has determined that requiring repayment of training costs upon termination could defeat the salary basis test as an improper deduction.</w:t>
      </w:r>
      <w:r>
        <w:rPr>
          <w:vertAlign w:val="superscript"/>
        </w:rPr>
        <w:footnoteReference w:id="196"/>
      </w:r>
      <w:r w:rsidRPr="00CD0FEB">
        <w:t xml:space="preserve"> </w:t>
      </w:r>
    </w:p>
    <w:p w14:paraId="71287CAA" w14:textId="77777777" w:rsidR="00201F3F" w:rsidRPr="00CD0FEB" w:rsidRDefault="00201F3F" w:rsidP="00EB0DDA">
      <w:pPr>
        <w:pStyle w:val="06Third-LevelHead123"/>
      </w:pPr>
      <w:r w:rsidRPr="00CD0FEB">
        <w:t>2.</w:t>
      </w:r>
      <w:r w:rsidRPr="00CD0FEB">
        <w:tab/>
        <w:t>Additional Compensation Above the Weekly Minimum</w:t>
      </w:r>
    </w:p>
    <w:p w14:paraId="39437567" w14:textId="77777777" w:rsidR="00201F3F" w:rsidRPr="00CD0FEB" w:rsidRDefault="00201F3F" w:rsidP="00EB0DDA">
      <w:pPr>
        <w:pStyle w:val="10ATextWithIndent"/>
      </w:pPr>
      <w:r w:rsidRPr="00CD0FEB">
        <w:t>According to DOL regulations, “additional compensation paid on any basis besides the guaranteed salary is not inconsistent with the salary basis requirement,” and “[t]he prohibition against improper deductions from guaranteed salary under 29 C.F.R. §541.602(b) does not extend to any such additional compensation provided to exempt employees.”</w:t>
      </w:r>
      <w:r>
        <w:rPr>
          <w:vertAlign w:val="superscript"/>
        </w:rPr>
        <w:footnoteReference w:id="197"/>
      </w:r>
      <w:r w:rsidRPr="00CD0FEB">
        <w:t xml:space="preserve"> In particular, “[a]n employer may provide an exempt employee with additional compensation without losing the exemption or violating the salary basis requirement, if the employment arrangement also includes a guarantee of at least the minimum weekly-required amount paid on a salary basis.”</w:t>
      </w:r>
      <w:r>
        <w:rPr>
          <w:vertAlign w:val="superscript"/>
        </w:rPr>
        <w:footnoteReference w:id="198"/>
      </w:r>
      <w:r w:rsidRPr="00CD0FEB">
        <w:t xml:space="preserve"> Such additional compensation may, for example, take the form of a commission on sales or a percentage of profits.</w:t>
      </w:r>
      <w:r>
        <w:rPr>
          <w:vertAlign w:val="superscript"/>
        </w:rPr>
        <w:footnoteReference w:id="199"/>
      </w:r>
      <w:r w:rsidRPr="00CD0FEB">
        <w:t xml:space="preserve"> “Similarly, the exemption is not lost if an exempt employee who is guaranteed at least $455 each week [i.e., the minimum salary required at that time] paid on a salary basis also receives additional compensation based on hours worked for work beyond the normal workweek.”</w:t>
      </w:r>
      <w:r>
        <w:rPr>
          <w:vertAlign w:val="superscript"/>
        </w:rPr>
        <w:footnoteReference w:id="200"/>
      </w:r>
      <w:r w:rsidRPr="00CD0FEB">
        <w:t xml:space="preserve"> Moreover, “[s]uch additional compensation may be paid on any basis (e.g., flat sum, bonus payment, straight-term hourly amount, time and one-half or any other basis), and may include paid time off.”</w:t>
      </w:r>
      <w:r>
        <w:rPr>
          <w:vertAlign w:val="superscript"/>
        </w:rPr>
        <w:footnoteReference w:id="201"/>
      </w:r>
      <w:r w:rsidRPr="00CD0FEB">
        <w:t xml:space="preserve"> In a pair of opinion letters, the DOL reiterated that providing extra compensation for hours worked in excess of 40 in a workweek—where that payment was in addition to an employee’s guaranteed salary—would not defeat an employee’s exempt status.</w:t>
      </w:r>
      <w:r>
        <w:rPr>
          <w:vertAlign w:val="superscript"/>
        </w:rPr>
        <w:footnoteReference w:id="202"/>
      </w:r>
      <w:r w:rsidRPr="00CD0FEB">
        <w:t xml:space="preserve"> The great weight of judicial authority likewise holds that payment of additional compensation calculated on an hourly basis for overtime hours is not inconsistent with payment on a salary basis.</w:t>
      </w:r>
      <w:r>
        <w:rPr>
          <w:vertAlign w:val="superscript"/>
        </w:rPr>
        <w:footnoteReference w:id="203"/>
      </w:r>
    </w:p>
    <w:p w14:paraId="6BFBBCC4" w14:textId="77777777" w:rsidR="00201F3F" w:rsidRPr="00CD0FEB" w:rsidRDefault="00201F3F" w:rsidP="00EB0DDA">
      <w:pPr>
        <w:pStyle w:val="10ATextWithIndent"/>
      </w:pPr>
      <w:r w:rsidRPr="00CD0FEB">
        <w:t>The regulations further provide that</w:t>
      </w:r>
    </w:p>
    <w:p w14:paraId="3385AEEE" w14:textId="77777777" w:rsidR="00201F3F" w:rsidRPr="00CD0FEB" w:rsidRDefault="00201F3F" w:rsidP="00EB0DDA">
      <w:pPr>
        <w:pStyle w:val="09BBlockQuoteWithoutIndent"/>
      </w:pPr>
      <w:r w:rsidRPr="00CD0FEB">
        <w:t>[a]n exempt employee’s earnings may be computed on an hourly, a daily or a shift basis, without losing the exemption or violating the salary basis requirement, if the employment arrangement also includes a guarantee of at least the minimum weekly required amount paid on a salary basis regardless of the number of hours, days or shifts worked, and a reasonable relationship exists between the guaranteed amount and the amount actually earned.</w:t>
      </w:r>
      <w:r>
        <w:rPr>
          <w:vertAlign w:val="superscript"/>
        </w:rPr>
        <w:footnoteReference w:id="204"/>
      </w:r>
    </w:p>
    <w:p w14:paraId="2A94A087" w14:textId="77777777" w:rsidR="00201F3F" w:rsidRPr="00CD0FEB" w:rsidRDefault="00201F3F" w:rsidP="00EB0DDA">
      <w:pPr>
        <w:pStyle w:val="10ATextWithIndent"/>
      </w:pPr>
      <w:r w:rsidRPr="00CD0FEB">
        <w:t xml:space="preserve">The issue of a guaranteed minimum salary level was considered in </w:t>
      </w:r>
      <w:r w:rsidRPr="00CD0FEB">
        <w:rPr>
          <w:i/>
          <w:iCs/>
        </w:rPr>
        <w:t>Hughes v. Gulf Interstate Field Services, Inc</w:t>
      </w:r>
      <w:r w:rsidRPr="00CD0FEB">
        <w:t>.</w:t>
      </w:r>
      <w:r>
        <w:rPr>
          <w:vertAlign w:val="superscript"/>
        </w:rPr>
        <w:footnoteReference w:id="205"/>
      </w:r>
      <w:r w:rsidRPr="00CD0FEB">
        <w:t xml:space="preserve"> In that case, welding inspectors on a pipeline project were paid a salary of “$337/Day Worked.” The welding inspectors were told that they would be working six days a week and 10 hours a day. The district court found that an “actual payment practice”—</w:t>
      </w:r>
      <w:r w:rsidRPr="00CD0FEB">
        <w:br/>
        <w:t>regardless of the existence of guarantee—controlled the salary basis question, and there was no dispute that the plaintiffs were paid the requisite amount. On appeal, the Sixth Circuit reversed and remanded, finding that it mattered for purposes of the salary-basis requirement whether day rate workers were guaranteed the requisite minimum weekly salary, and that there was a genuine issue as to whether such a guarantee existed.</w:t>
      </w:r>
      <w:r>
        <w:rPr>
          <w:vertAlign w:val="superscript"/>
        </w:rPr>
        <w:footnoteReference w:id="206"/>
      </w:r>
    </w:p>
    <w:p w14:paraId="22DF1A22" w14:textId="77777777" w:rsidR="00201F3F" w:rsidRPr="00CD0FEB" w:rsidRDefault="00201F3F" w:rsidP="00EB0DDA">
      <w:pPr>
        <w:pStyle w:val="10ATextWithIndent"/>
      </w:pPr>
      <w:r w:rsidRPr="00CD0FEB">
        <w:t>In application, “[t]he reasonable relationship test will be met if the weekly guarantee is roughly equivalent to the employee’s usual earnings at the assigned hourly, daily or shift rate for the employee’s normal scheduled workweek.”</w:t>
      </w:r>
      <w:r>
        <w:rPr>
          <w:vertAlign w:val="superscript"/>
        </w:rPr>
        <w:footnoteReference w:id="207"/>
      </w:r>
      <w:r w:rsidRPr="00CD0FEB">
        <w:t xml:space="preserve"> By way of illustration, the regulations offer the example of an exempt employee guaranteed compensation of at least $500 for any week in which the employee performs any work and who normally works four or five shifts each week. Such an employee “may be paid $150 per shift without violating the salary basis requirement.”</w:t>
      </w:r>
      <w:r>
        <w:rPr>
          <w:vertAlign w:val="superscript"/>
        </w:rPr>
        <w:footnoteReference w:id="208"/>
      </w:r>
      <w:r w:rsidRPr="00CD0FEB">
        <w:t xml:space="preserve"> On the other hand, the DOL concluded in an opinion letter that “usual earnings that are nearly 1.8-times—close to double—the guaranteed weekly salary materially exceed the permissible ratios found in the regulations and are not roughly equivalent to that salary under §541.604(b).”</w:t>
      </w:r>
      <w:r>
        <w:rPr>
          <w:vertAlign w:val="superscript"/>
        </w:rPr>
        <w:footnoteReference w:id="209"/>
      </w:r>
      <w:r w:rsidRPr="00CD0FEB">
        <w:t xml:space="preserve"> The regulation cautions that “[t]he reasonable relationship requirement applies only if the employee’s pay is computed on an hourly, daily or shift basis.”</w:t>
      </w:r>
      <w:r>
        <w:rPr>
          <w:vertAlign w:val="superscript"/>
        </w:rPr>
        <w:footnoteReference w:id="210"/>
      </w:r>
      <w:r w:rsidRPr="00CD0FEB">
        <w:t xml:space="preserve"> Consequently,</w:t>
      </w:r>
    </w:p>
    <w:p w14:paraId="63FA61F1" w14:textId="77777777" w:rsidR="00201F3F" w:rsidRPr="00CD0FEB" w:rsidRDefault="00201F3F" w:rsidP="00EB0DDA">
      <w:pPr>
        <w:pStyle w:val="09BBlockQuoteWithoutIndent"/>
      </w:pPr>
      <w:r w:rsidRPr="00CD0FEB">
        <w:t>[i]t does not apply, for example, to an exempt store manager paid a guaranteed salary of $650 per week who also receives a commission of one-half percent of all sales in the store or five percent of the store’s profits, which in some weeks may total as much as, or even more than, the guaranteed salary.</w:t>
      </w:r>
      <w:r>
        <w:rPr>
          <w:vertAlign w:val="superscript"/>
        </w:rPr>
        <w:footnoteReference w:id="211"/>
      </w:r>
    </w:p>
    <w:p w14:paraId="178C415B" w14:textId="77777777" w:rsidR="00201F3F" w:rsidRPr="00CD0FEB" w:rsidRDefault="00201F3F" w:rsidP="00EB0DDA">
      <w:pPr>
        <w:pStyle w:val="10ATextWithIndent"/>
      </w:pPr>
      <w:r w:rsidRPr="00CD0FEB">
        <w:t xml:space="preserve">Along similar lines, the Eleventh Circuit ruled in </w:t>
      </w:r>
      <w:r w:rsidRPr="00CD0FEB">
        <w:rPr>
          <w:i/>
          <w:iCs/>
        </w:rPr>
        <w:t>Hogan v. Allstate Insurance Co</w:t>
      </w:r>
      <w:r w:rsidRPr="00CD0FEB">
        <w:t>.</w:t>
      </w:r>
      <w:r>
        <w:rPr>
          <w:vertAlign w:val="superscript"/>
        </w:rPr>
        <w:footnoteReference w:id="212"/>
      </w:r>
      <w:r w:rsidRPr="00CD0FEB">
        <w:t xml:space="preserve"> that insurance agents were paid on a salary basis even though “their compensation fluctuated based on the number of policies they sold.”</w:t>
      </w:r>
      <w:r>
        <w:rPr>
          <w:vertAlign w:val="superscript"/>
        </w:rPr>
        <w:footnoteReference w:id="213"/>
      </w:r>
      <w:r w:rsidRPr="00CD0FEB">
        <w:t xml:space="preserve"> The court explained that “as long as there is a non-deductible minimum, additional compensation on top of the non-deductible salary is permissible.”</w:t>
      </w:r>
      <w:r>
        <w:rPr>
          <w:vertAlign w:val="superscript"/>
        </w:rPr>
        <w:footnoteReference w:id="214"/>
      </w:r>
      <w:r w:rsidRPr="00CD0FEB">
        <w:t xml:space="preserve"> The agents, the court went on, “are guaranteed a minimum level of compensation; that they are paid more, depending on their sales success, does not negate their safety net.”</w:t>
      </w:r>
      <w:r>
        <w:rPr>
          <w:vertAlign w:val="superscript"/>
        </w:rPr>
        <w:footnoteReference w:id="215"/>
      </w:r>
    </w:p>
    <w:p w14:paraId="7AB3FBA0" w14:textId="77777777" w:rsidR="00201F3F" w:rsidRPr="00CD0FEB" w:rsidRDefault="00201F3F" w:rsidP="00EB0DDA">
      <w:pPr>
        <w:pStyle w:val="10ATextWithIndent"/>
      </w:pPr>
      <w:r w:rsidRPr="00CD0FEB">
        <w:t xml:space="preserve">In </w:t>
      </w:r>
      <w:r w:rsidRPr="00CD0FEB">
        <w:rPr>
          <w:i/>
          <w:iCs/>
        </w:rPr>
        <w:t>Havey v. Homebound Mortgage, Inc.</w:t>
      </w:r>
      <w:r w:rsidRPr="00CD0FEB">
        <w:t>,</w:t>
      </w:r>
      <w:r>
        <w:rPr>
          <w:vertAlign w:val="superscript"/>
        </w:rPr>
        <w:footnoteReference w:id="216"/>
      </w:r>
      <w:r w:rsidRPr="00CD0FEB">
        <w:t xml:space="preserve"> a case involving an overtime claim by a mortgage underwriter, the court ruled that “[a] two-part salary scheme in which employees receive a ‘predetermined amount,’ plus, on a quarterly prospective basis, an additional portion subject to deductions for quality errors does not violate the ‘salary-basis test’ unless the system is designed to circumvent the requirements of the FLSA.”</w:t>
      </w:r>
      <w:r>
        <w:rPr>
          <w:vertAlign w:val="superscript"/>
        </w:rPr>
        <w:footnoteReference w:id="217"/>
      </w:r>
      <w:r w:rsidRPr="00CD0FEB">
        <w:t xml:space="preserve"> The court found no such illicit purpose underlying the salary arrangement in question: “Rather, it was designed to give underwriters an incentive to take on larger quantities of work, while maintaining standards of care so that they were not receiving additional pay for shoddy work that needed to be done over.”</w:t>
      </w:r>
      <w:r>
        <w:rPr>
          <w:vertAlign w:val="superscript"/>
        </w:rPr>
        <w:footnoteReference w:id="218"/>
      </w:r>
    </w:p>
    <w:p w14:paraId="65C91279" w14:textId="77777777" w:rsidR="00201F3F" w:rsidRPr="00CD0FEB" w:rsidRDefault="00201F3F" w:rsidP="00EB0DDA">
      <w:pPr>
        <w:pStyle w:val="05Second-LevelHeadABC"/>
      </w:pPr>
      <w:r w:rsidRPr="00CD0FEB">
        <w:t>C.</w:t>
      </w:r>
      <w:r w:rsidRPr="00CD0FEB">
        <w:tab/>
        <w:t>Permissible Deductions From Salary</w:t>
      </w:r>
    </w:p>
    <w:p w14:paraId="6DD694C7" w14:textId="77777777" w:rsidR="00201F3F" w:rsidRPr="00CD0FEB" w:rsidRDefault="00201F3F" w:rsidP="00EB0DDA">
      <w:pPr>
        <w:pStyle w:val="06Third-LevelHead123"/>
      </w:pPr>
      <w:r w:rsidRPr="00CD0FEB">
        <w:t>1.</w:t>
      </w:r>
      <w:r w:rsidRPr="00CD0FEB">
        <w:tab/>
        <w:t>Personal Absences of a Day or More</w:t>
      </w:r>
    </w:p>
    <w:p w14:paraId="5C169AEA" w14:textId="77777777" w:rsidR="00201F3F" w:rsidRPr="00CD0FEB" w:rsidRDefault="00201F3F" w:rsidP="00EB0DDA">
      <w:pPr>
        <w:pStyle w:val="10ATextWithIndent"/>
      </w:pPr>
      <w:r w:rsidRPr="00CD0FEB">
        <w:t>Deductions may be taken from an employee’s salary “when an employee is absent from work for one or more full days for personal reasons, other than sickness or disability.”</w:t>
      </w:r>
      <w:r>
        <w:rPr>
          <w:vertAlign w:val="superscript"/>
        </w:rPr>
        <w:footnoteReference w:id="219"/>
      </w:r>
      <w:r w:rsidRPr="00CD0FEB">
        <w:t xml:space="preserve"> </w:t>
      </w:r>
    </w:p>
    <w:p w14:paraId="6A41F053" w14:textId="77777777" w:rsidR="00201F3F" w:rsidRPr="00CD0FEB" w:rsidRDefault="00201F3F" w:rsidP="00EB0DDA">
      <w:pPr>
        <w:pStyle w:val="10ATextWithIndent"/>
      </w:pPr>
      <w:r w:rsidRPr="00CD0FEB">
        <w:t>By way of an opinion letter, the DOL addressed several questions as to when deductions may be made from exempt employees’ salaries for absences due to inclement weather without violating the salary basis test.</w:t>
      </w:r>
      <w:r>
        <w:rPr>
          <w:vertAlign w:val="superscript"/>
        </w:rPr>
        <w:footnoteReference w:id="220"/>
      </w:r>
      <w:r w:rsidRPr="00CD0FEB">
        <w:t xml:space="preserve"> The WHD opined that if the employer closes the office due to inclement weather or other disasters for less than a full workweek, the employer must pay the employee’s full salary for the closed days even if (1) the employer does not have a bona fide leave plan, (2) the employee has no accrued leave in the leave bank, (3) the employee has limited accrued leave benefits and reducing that accrued leave will result in a negative balance, or (4) the employee already has a negative balance in the accrued leave bank. However, if the employer’s office remains open and the employee chooses to take a full-day absence due to inclement weather, the employer may deduct from the employee’s salary for the full-day absence. Finally, if an exempt employee chooses to stay home for a half day due to inclement weather, the employer may not deduct from the employee’s salary a half-day’s pay, per the general rule proscribing deductions for partial-day absences. </w:t>
      </w:r>
    </w:p>
    <w:p w14:paraId="7EADA0E0" w14:textId="77777777" w:rsidR="00201F3F" w:rsidRPr="00CD0FEB" w:rsidRDefault="00201F3F" w:rsidP="00EB0DDA">
      <w:pPr>
        <w:pStyle w:val="10ATextWithIndent"/>
      </w:pPr>
      <w:r w:rsidRPr="00CD0FEB">
        <w:t>In another opinion letter addressing weather emergencies, the DOL, noting that health care institutions have specialized absence policies due to their unique staffing needs even in inclement weather, opined that deducting a full day of pay when an exempt employee takes a full day off because of adverse weather conditions does not violate the salary basis rule or otherwise affect the employee’s exempt status.</w:t>
      </w:r>
      <w:r>
        <w:rPr>
          <w:vertAlign w:val="superscript"/>
        </w:rPr>
        <w:footnoteReference w:id="221"/>
      </w:r>
      <w:r w:rsidRPr="00CD0FEB">
        <w:t xml:space="preserve"> The DOL reasoned that 29 C.F.R. §541.602(b) allows deductions to be made when an exempt employee is absent from work for one or more full days for “personal reasons.”</w:t>
      </w:r>
      <w:r>
        <w:rPr>
          <w:vertAlign w:val="superscript"/>
        </w:rPr>
        <w:footnoteReference w:id="222"/>
      </w:r>
      <w:r w:rsidRPr="00CD0FEB">
        <w:t xml:space="preserve"> The inability to commute to work due to adverse weather conditions when the employer is open for business is considered an absence for personal reasons and, therefore, the deduction is permissible.</w:t>
      </w:r>
    </w:p>
    <w:p w14:paraId="6601B3D3" w14:textId="77777777" w:rsidR="00201F3F" w:rsidRPr="00CD0FEB" w:rsidRDefault="00201F3F" w:rsidP="00EB0DDA">
      <w:pPr>
        <w:pStyle w:val="10ATextWithIndent"/>
      </w:pPr>
      <w:r w:rsidRPr="00CD0FEB">
        <w:t>Another DOL opinion letter, addressing deductions for personal leave, followed the dictates set out in 29 C.F.R. §541.602(c) and found that when calculating the amount of a deduction from pay permitted under 29 C.F.R. §541.602(b) the employer may use the hourly or daily equivalent of the employee’s full weekly salary or any other amount proportional to the time actually missed by the employee.</w:t>
      </w:r>
      <w:r>
        <w:rPr>
          <w:vertAlign w:val="superscript"/>
        </w:rPr>
        <w:footnoteReference w:id="223"/>
      </w:r>
      <w:r w:rsidRPr="00CD0FEB">
        <w:t xml:space="preserve"> The letter addressed the case of an RN who was scheduled to be on call from 2:30 p.m. to midnight but was unable to work for one of the reasons set forth in 29 C.F.R. §541.602(b). The WHD found that the hospital could deduct 9.5 hours from her salary in accordance with 29 C.F.R. §541.602(c).</w:t>
      </w:r>
    </w:p>
    <w:p w14:paraId="6A5C88A1" w14:textId="77777777" w:rsidR="00201F3F" w:rsidRPr="00CD0FEB" w:rsidRDefault="00201F3F" w:rsidP="00EB0DDA">
      <w:pPr>
        <w:pStyle w:val="06Third-LevelHead123"/>
      </w:pPr>
      <w:r w:rsidRPr="00CD0FEB">
        <w:t>2.</w:t>
      </w:r>
      <w:r w:rsidRPr="00CD0FEB">
        <w:tab/>
        <w:t>Deductions From Salary for Absences of a Day or More Due to Sickness or Disability</w:t>
      </w:r>
    </w:p>
    <w:p w14:paraId="7AF286AA" w14:textId="77777777" w:rsidR="00201F3F" w:rsidRPr="00CD0FEB" w:rsidRDefault="00201F3F" w:rsidP="00EB0DDA">
      <w:pPr>
        <w:pStyle w:val="10ATextWithIndent"/>
      </w:pPr>
      <w:r w:rsidRPr="00CD0FEB">
        <w:t xml:space="preserve">Deductions are also appropriate for absences of a </w:t>
      </w:r>
      <w:r w:rsidRPr="00CD0FEB">
        <w:rPr>
          <w:i/>
          <w:iCs/>
        </w:rPr>
        <w:t>day or more</w:t>
      </w:r>
      <w:r w:rsidRPr="00CD0FEB">
        <w:t xml:space="preserve"> due to sickness or disability, including work-related accidents, so long as the deduction is made in accordance with a bona fide plan, policy, or practice providing compensation to make up for the loss of salary.</w:t>
      </w:r>
      <w:r>
        <w:rPr>
          <w:vertAlign w:val="superscript"/>
        </w:rPr>
        <w:footnoteReference w:id="224"/>
      </w:r>
      <w:r w:rsidRPr="00CD0FEB">
        <w:t xml:space="preserve"> An employer may make such deductions from an employee’s salary even if the employee has not satisfied the eligibility requirements for participation in the plan or practice, if sickness or disability leave has been exhausted.</w:t>
      </w:r>
      <w:r>
        <w:rPr>
          <w:vertAlign w:val="superscript"/>
        </w:rPr>
        <w:footnoteReference w:id="225"/>
      </w:r>
      <w:r w:rsidRPr="00CD0FEB">
        <w:t xml:space="preserve"> However, deductions from salary for absences due to illness cannot be made if the employer does not have a bona fide sick leave plan. Thus, the regulations recognize that employers frequently have company policies of compensating employees for sickness- or disability-related absences according to specific criteria.</w:t>
      </w:r>
      <w:r>
        <w:rPr>
          <w:vertAlign w:val="superscript"/>
        </w:rPr>
        <w:footnoteReference w:id="226"/>
      </w:r>
      <w:r w:rsidRPr="00CD0FEB">
        <w:t xml:space="preserve"> The DOL has stated that a bona fide sick leave plan can require one year of service before providing leave and that such a bona fide plan would allow an employer to deduct amounts from salary when employees are not eligible for leave or have exceeded their leave allowance.</w:t>
      </w:r>
      <w:r>
        <w:rPr>
          <w:vertAlign w:val="superscript"/>
        </w:rPr>
        <w:footnoteReference w:id="227"/>
      </w:r>
    </w:p>
    <w:p w14:paraId="45252377" w14:textId="77777777" w:rsidR="00201F3F" w:rsidRPr="00CD0FEB" w:rsidRDefault="00201F3F" w:rsidP="00EB0DDA">
      <w:pPr>
        <w:pStyle w:val="10ATextWithIndent"/>
      </w:pPr>
      <w:r w:rsidRPr="00CD0FEB">
        <w:t xml:space="preserve">In </w:t>
      </w:r>
      <w:r w:rsidRPr="00CD0FEB">
        <w:rPr>
          <w:i/>
          <w:iCs/>
        </w:rPr>
        <w:t>Haywood v. North American Van Lines, Inc.</w:t>
      </w:r>
      <w:r w:rsidRPr="00CD0FEB">
        <w:t>,</w:t>
      </w:r>
      <w:r>
        <w:rPr>
          <w:vertAlign w:val="superscript"/>
        </w:rPr>
        <w:footnoteReference w:id="228"/>
      </w:r>
      <w:r w:rsidRPr="00CD0FEB">
        <w:t xml:space="preserve"> the Seventh Circuit rejected an employee’s contention that although she always received a biweekly paycheck in the same amount regardless of the number of hours worked, she was nevertheless not paid on a salary basis because, among other things, if she missed work during the regular workweek she was required to make up the time. The court found it significant that had the plaintiff chosen not to make up time before taking additional time off, her salary would not have been reduced; instead, her sick leave or personal leave would have been reduced, which is permissible.</w:t>
      </w:r>
      <w:r>
        <w:rPr>
          <w:vertAlign w:val="superscript"/>
        </w:rPr>
        <w:footnoteReference w:id="229"/>
      </w:r>
    </w:p>
    <w:p w14:paraId="3CCE61E0" w14:textId="77777777" w:rsidR="00201F3F" w:rsidRPr="00CD0FEB" w:rsidRDefault="00201F3F" w:rsidP="00EB0DDA">
      <w:pPr>
        <w:pStyle w:val="10ATextWithIndent"/>
      </w:pPr>
      <w:r w:rsidRPr="00CD0FEB">
        <w:t>The DOL has also addressed whether an employer may calculate the permissible deduction using the hourly equivalent of the time missed by the employee if the day of the absences is a day on which the employee is scheduled to work fewer or greater than eight hours. Relying on the language of 29 C.F.R. §541.602(c), the DOL opined that “if an employee is absent from a shift scheduled to be shorter or longer than the employee’s regular shift, the employer may take a deduction in proportion to the number of hours missed.”</w:t>
      </w:r>
      <w:r>
        <w:rPr>
          <w:vertAlign w:val="superscript"/>
        </w:rPr>
        <w:footnoteReference w:id="230"/>
      </w:r>
      <w:r w:rsidRPr="00CD0FEB">
        <w:t xml:space="preserve"> Whether or not the absence was due to a serious health condition, as defined by the Family and Medical Leave Act (FMLA), is immaterial, the DOL has said, noting that if the employee’s absence were covered by the FMLA, the employer could make a pro rata deduction from an exempt employee’s salary even for partial-day absences, based on Section 102(c) of the FMLA.</w:t>
      </w:r>
      <w:r>
        <w:rPr>
          <w:vertAlign w:val="superscript"/>
        </w:rPr>
        <w:footnoteReference w:id="231"/>
      </w:r>
    </w:p>
    <w:p w14:paraId="548D9974" w14:textId="77777777" w:rsidR="00201F3F" w:rsidRPr="00CD0FEB" w:rsidRDefault="00201F3F" w:rsidP="00EB0DDA">
      <w:pPr>
        <w:pStyle w:val="10ATextWithIndent"/>
      </w:pPr>
      <w:r w:rsidRPr="00CD0FEB">
        <w:t>In response to another request for an opinion, the DOL considered whether an employer’s sick/vacation leave policy qualified as a bona fide plan under 29 C.F.R. §541.602(b)(2). The plan granted employees five days of vacation and one day of sick leave after the first year of service. Employees were permitted to take leave in half-day increments, but not for shorter absences, such as a doctor’s appointment that caused the employee to arrive two hours late for work. The DOL opined that a “reasonable number of absences on account of sickness” must be allowed without a reduction in salary.</w:t>
      </w:r>
      <w:r>
        <w:rPr>
          <w:vertAlign w:val="superscript"/>
        </w:rPr>
        <w:footnoteReference w:id="232"/>
      </w:r>
      <w:r w:rsidRPr="00CD0FEB">
        <w:t xml:space="preserve"> While there is no “bright-line test” for how much sick leave is reasonable, the DOL has approved an allowance of five sick days per year. In its September 14, 2006, opinion letter, the DOL wrote:</w:t>
      </w:r>
    </w:p>
    <w:p w14:paraId="5744D121" w14:textId="77777777" w:rsidR="00201F3F" w:rsidRPr="00CD0FEB" w:rsidRDefault="00201F3F" w:rsidP="00EB0DDA">
      <w:pPr>
        <w:pStyle w:val="09BBlockQuoteWithoutIndent"/>
      </w:pPr>
      <w:r w:rsidRPr="00CD0FEB">
        <w:t>The [WHD], however, previously has approved leave plans that allow for at least 5 days of sick leave per year as bona fide under the regulations … .  Moreover, with respect to a qualifying period, the [WHD] previously deemed a leave plan that required one year of service prior to payment of sick pay benefits to be bona fide.</w:t>
      </w:r>
      <w:r>
        <w:rPr>
          <w:rStyle w:val="FootnoteReference"/>
        </w:rPr>
        <w:footnoteReference w:id="233"/>
      </w:r>
    </w:p>
    <w:p w14:paraId="0617BE9A" w14:textId="77777777" w:rsidR="00201F3F" w:rsidRPr="00CD0FEB" w:rsidRDefault="00201F3F" w:rsidP="00EB0DDA">
      <w:pPr>
        <w:pStyle w:val="06Third-LevelHead123"/>
      </w:pPr>
      <w:r w:rsidRPr="00CD0FEB">
        <w:t>3.</w:t>
      </w:r>
      <w:r w:rsidRPr="00CD0FEB">
        <w:tab/>
        <w:t>Disciplinary Deductions</w:t>
      </w:r>
    </w:p>
    <w:p w14:paraId="57F7C4BA" w14:textId="77777777" w:rsidR="00201F3F" w:rsidRPr="00CD0FEB" w:rsidRDefault="00201F3F" w:rsidP="00EB0DDA">
      <w:pPr>
        <w:pStyle w:val="07Fourth-LevelHeadabc"/>
        <w:ind w:left="1440" w:hanging="720"/>
      </w:pPr>
      <w:r w:rsidRPr="00CD0FEB">
        <w:t>a.</w:t>
      </w:r>
      <w:r w:rsidRPr="00CD0FEB">
        <w:tab/>
        <w:t xml:space="preserve">Deductions in the Form of Penalties Imposed for Violations of Safety Rules </w:t>
      </w:r>
      <w:r w:rsidRPr="00CD0FEB">
        <w:br/>
        <w:t>of Major Significance</w:t>
      </w:r>
    </w:p>
    <w:p w14:paraId="574308E8" w14:textId="77777777" w:rsidR="00201F3F" w:rsidRPr="00CD0FEB" w:rsidRDefault="00201F3F" w:rsidP="00EB0DDA">
      <w:pPr>
        <w:pStyle w:val="10ATextWithIndent"/>
      </w:pPr>
      <w:r w:rsidRPr="00CD0FEB">
        <w:t>The regulations have long permitted salary deductions, in full- or partial-day increments, for penalties imposed “in good faith for infractions of safety rules of major significance.”</w:t>
      </w:r>
      <w:r>
        <w:rPr>
          <w:vertAlign w:val="superscript"/>
        </w:rPr>
        <w:footnoteReference w:id="234"/>
      </w:r>
      <w:r w:rsidRPr="00CD0FEB">
        <w:t xml:space="preserve"> However, the term “safety rules of major significance” is defined narrowly to include only “those relating to the prevention of serious danger in the workplace or to other employees, such as rules prohibiting smoking in explosive plants, oil refineries, and coal mines.”</w:t>
      </w:r>
      <w:r>
        <w:rPr>
          <w:vertAlign w:val="superscript"/>
        </w:rPr>
        <w:footnoteReference w:id="235"/>
      </w:r>
    </w:p>
    <w:p w14:paraId="41B9975B" w14:textId="77777777" w:rsidR="00201F3F" w:rsidRPr="00CD0FEB" w:rsidRDefault="00201F3F" w:rsidP="00EB0DDA">
      <w:pPr>
        <w:pStyle w:val="10ATextWithIndent"/>
      </w:pPr>
      <w:r w:rsidRPr="00CD0FEB">
        <w:t xml:space="preserve">Only in rare cases have courts found this exception applicable. In </w:t>
      </w:r>
      <w:r w:rsidRPr="00CD0FEB">
        <w:rPr>
          <w:i/>
          <w:iCs/>
        </w:rPr>
        <w:t>Watkins v. City of Montgomery</w:t>
      </w:r>
      <w:r w:rsidRPr="00CD0FEB">
        <w:t>,</w:t>
      </w:r>
      <w:r>
        <w:rPr>
          <w:vertAlign w:val="superscript"/>
        </w:rPr>
        <w:footnoteReference w:id="236"/>
      </w:r>
      <w:r w:rsidRPr="00CD0FEB">
        <w:t xml:space="preserve"> the Eleventh Circuit upheld a jury verdict finding that the city’s weight policy was a safety rule of major significance in light of trial testimony that overweight firefighters were more likely to have a heart attack at the scene, thereby putting lives in danger.</w:t>
      </w:r>
      <w:r>
        <w:rPr>
          <w:vertAlign w:val="superscript"/>
        </w:rPr>
        <w:footnoteReference w:id="237"/>
      </w:r>
    </w:p>
    <w:p w14:paraId="07F04731" w14:textId="77777777" w:rsidR="00201F3F" w:rsidRPr="00CD0FEB" w:rsidRDefault="00201F3F" w:rsidP="00EB0DDA">
      <w:pPr>
        <w:pStyle w:val="10ATextWithIndent"/>
      </w:pPr>
      <w:r w:rsidRPr="00CD0FEB">
        <w:t xml:space="preserve">In </w:t>
      </w:r>
      <w:r w:rsidRPr="00CD0FEB">
        <w:rPr>
          <w:i/>
          <w:iCs/>
        </w:rPr>
        <w:t>Kelly v. City of New York</w:t>
      </w:r>
      <w:r w:rsidRPr="00CD0FEB">
        <w:t>,</w:t>
      </w:r>
      <w:r>
        <w:rPr>
          <w:vertAlign w:val="superscript"/>
        </w:rPr>
        <w:footnoteReference w:id="238"/>
      </w:r>
      <w:r w:rsidRPr="00CD0FEB">
        <w:t xml:space="preserve"> the district court considered the defendant’s position that “any violations of the Department of Correction’s rules have a potential safety impact on both inmates and the staff” to be reasonable.</w:t>
      </w:r>
      <w:r>
        <w:rPr>
          <w:vertAlign w:val="superscript"/>
        </w:rPr>
        <w:footnoteReference w:id="239"/>
      </w:r>
      <w:r w:rsidRPr="00CD0FEB">
        <w:t xml:space="preserve"> The court noted that the key is whether the employer’s practices reflect an “‘objective intention’ to pay its employees on a salaried basis.”</w:t>
      </w:r>
      <w:r>
        <w:rPr>
          <w:vertAlign w:val="superscript"/>
        </w:rPr>
        <w:footnoteReference w:id="240"/>
      </w:r>
      <w:r w:rsidRPr="00CD0FEB">
        <w:t xml:space="preserve"> Based on this principle and the fact that suspensions without pay rarely occurred, involved a small percentage of the officers, and were imposed largely after individual negotiations and in response to infractions of safety rules perceived as significant, the court determined that the employees’ salaried status remained intact.</w:t>
      </w:r>
      <w:r>
        <w:rPr>
          <w:vertAlign w:val="superscript"/>
        </w:rPr>
        <w:footnoteReference w:id="241"/>
      </w:r>
    </w:p>
    <w:p w14:paraId="27E7E111" w14:textId="77777777" w:rsidR="00201F3F" w:rsidRPr="00CD0FEB" w:rsidRDefault="00201F3F" w:rsidP="00EB0DDA">
      <w:pPr>
        <w:pStyle w:val="10ATextWithIndent"/>
      </w:pPr>
      <w:r w:rsidRPr="00CD0FEB">
        <w:t>On the other hand, the Eleventh Circuit held that a police lieutenant who was in charge of investigating an apparent suicide did not violate a “safety rule of major significance” when he left the scene of the crime in violation of the police department’s rules.</w:t>
      </w:r>
      <w:r>
        <w:rPr>
          <w:vertAlign w:val="superscript"/>
        </w:rPr>
        <w:footnoteReference w:id="242"/>
      </w:r>
      <w:r w:rsidRPr="00CD0FEB">
        <w:t xml:space="preserve"> The court also held that a police lieutenant’s use of excessive force against a prison inmate did not violate a safety rule of major significance. The court observed that although such misconduct posed a danger to the public, in neither case did the employee’s actions endanger the employer’s plant or other co-workers.</w:t>
      </w:r>
      <w:r>
        <w:rPr>
          <w:vertAlign w:val="superscript"/>
        </w:rPr>
        <w:footnoteReference w:id="243"/>
      </w:r>
    </w:p>
    <w:p w14:paraId="05B220D9" w14:textId="77777777" w:rsidR="00201F3F" w:rsidRPr="00CD0FEB" w:rsidRDefault="00201F3F" w:rsidP="00EB0DDA">
      <w:pPr>
        <w:pStyle w:val="07Fourth-LevelHeadabc"/>
      </w:pPr>
      <w:r w:rsidRPr="00CD0FEB">
        <w:t>b.</w:t>
      </w:r>
      <w:r w:rsidRPr="00CD0FEB">
        <w:tab/>
        <w:t>Disciplinary Suspensions for Violations of Work Rules</w:t>
      </w:r>
    </w:p>
    <w:p w14:paraId="1DA2C5E1" w14:textId="77777777" w:rsidR="00201F3F" w:rsidRPr="00CD0FEB" w:rsidRDefault="00201F3F" w:rsidP="00EB0DDA">
      <w:pPr>
        <w:pStyle w:val="10ATextWithIndent"/>
      </w:pPr>
      <w:r w:rsidRPr="00CD0FEB">
        <w:t>The regulations, as modified in 2004, provide that “[d]eductions from pay of exempt employees may be made for disciplinary suspensions of one or more full days imposed in good faith for infractions of workplace conduct rules.”</w:t>
      </w:r>
      <w:r>
        <w:rPr>
          <w:vertAlign w:val="superscript"/>
        </w:rPr>
        <w:footnoteReference w:id="244"/>
      </w:r>
      <w:r w:rsidRPr="00CD0FEB">
        <w:t xml:space="preserve"> According to the DOL, this exception</w:t>
      </w:r>
    </w:p>
    <w:p w14:paraId="088E0030" w14:textId="77777777" w:rsidR="00201F3F" w:rsidRPr="00CD0FEB" w:rsidRDefault="00201F3F" w:rsidP="00EB0DDA">
      <w:pPr>
        <w:pStyle w:val="09BBlockQuoteWithoutIndent"/>
      </w:pPr>
      <w:r w:rsidRPr="00CD0FEB">
        <w:t>will permit employers to hold exempt employees to the same standards of conduct as that required of their nonexempt workforce. At the same time … it will avoid harsh treatment of exempt employees—in the form of a full-week suspension—when a shorter suspension would be appropriate. It also takes into account … that a growing number of laws governing the workplace have placed increased responsibility and risk of liability on employers for their exempt employees’ conduct.</w:t>
      </w:r>
      <w:r>
        <w:rPr>
          <w:vertAlign w:val="superscript"/>
        </w:rPr>
        <w:footnoteReference w:id="245"/>
      </w:r>
    </w:p>
    <w:p w14:paraId="4AA9F4CC" w14:textId="77777777" w:rsidR="00201F3F" w:rsidRPr="00CD0FEB" w:rsidRDefault="00201F3F" w:rsidP="00EB0DDA">
      <w:pPr>
        <w:pStyle w:val="10ATextWithIndent"/>
      </w:pPr>
      <w:r w:rsidRPr="00CD0FEB">
        <w:t>However, the DOL has emphasized “that this additional exception to the general no-deduction rule … should be construed narrowly so as not to undermine the essential guarantees of the salary basis test.”</w:t>
      </w:r>
      <w:r>
        <w:rPr>
          <w:vertAlign w:val="superscript"/>
        </w:rPr>
        <w:footnoteReference w:id="246"/>
      </w:r>
      <w:r w:rsidRPr="00CD0FEB">
        <w:t xml:space="preserve"> Thus, the regulations provide that “[s]uch suspensions must be imposed pursuant to a written policy applicable to all employees.”</w:t>
      </w:r>
      <w:r>
        <w:rPr>
          <w:vertAlign w:val="superscript"/>
        </w:rPr>
        <w:footnoteReference w:id="247"/>
      </w:r>
      <w:r w:rsidRPr="00CD0FEB">
        <w:t xml:space="preserve"> Responding to questions as to the need for the policy to be in writing and “concern[s] that the uniform application requirement would breed litigation and diminish employer flexibility to take individual circumstances into account,”</w:t>
      </w:r>
      <w:r>
        <w:rPr>
          <w:vertAlign w:val="superscript"/>
        </w:rPr>
        <w:footnoteReference w:id="248"/>
      </w:r>
      <w:r w:rsidRPr="00CD0FEB">
        <w:t xml:space="preserve"> the DOL clarified that “the written policy need not include an exhaustive list of specific violations that could result in a suspension or a definitive declaration of when a suspension will be imposed. The written policy should be sufficient to put employees on notice that they could be subject to an unpaid disciplinary suspension.”</w:t>
      </w:r>
      <w:r>
        <w:rPr>
          <w:vertAlign w:val="superscript"/>
        </w:rPr>
        <w:footnoteReference w:id="249"/>
      </w:r>
      <w:r w:rsidRPr="00CD0FEB">
        <w:t xml:space="preserve"> To illustrate the point, the regulations note that a generally distributed sexual harassment policy warning that a violation of its strictures might result in disciplinary action up to and including suspension or termination would satisfy the “written policy” requirement.</w:t>
      </w:r>
      <w:r>
        <w:rPr>
          <w:vertAlign w:val="superscript"/>
        </w:rPr>
        <w:footnoteReference w:id="250"/>
      </w:r>
    </w:p>
    <w:p w14:paraId="75211B42" w14:textId="77777777" w:rsidR="00201F3F" w:rsidRPr="00CD0FEB" w:rsidRDefault="00201F3F" w:rsidP="00EB0DDA">
      <w:pPr>
        <w:pStyle w:val="06Third-LevelHead123"/>
      </w:pPr>
      <w:r w:rsidRPr="00CD0FEB">
        <w:t>4.</w:t>
      </w:r>
      <w:r w:rsidRPr="00CD0FEB">
        <w:tab/>
        <w:t>Initial and Terminal Weeks of Employment</w:t>
      </w:r>
    </w:p>
    <w:p w14:paraId="121FBB6D" w14:textId="77777777" w:rsidR="00201F3F" w:rsidRPr="00CD0FEB" w:rsidRDefault="00201F3F" w:rsidP="00EB0DDA">
      <w:pPr>
        <w:pStyle w:val="10ATextWithIndent"/>
      </w:pPr>
      <w:r w:rsidRPr="00CD0FEB">
        <w:t>The regulation provides that in the initial or terminal week of employment “[a]n employer is not required to pay the full salary.”</w:t>
      </w:r>
      <w:r>
        <w:rPr>
          <w:vertAlign w:val="superscript"/>
        </w:rPr>
        <w:footnoteReference w:id="251"/>
      </w:r>
      <w:r w:rsidRPr="00CD0FEB">
        <w:t xml:space="preserve"> Rather, “an employer may pay a proportionate part of an employee’s full salary for the time actually worked in the first and last week of employment.”</w:t>
      </w:r>
      <w:r>
        <w:rPr>
          <w:vertAlign w:val="superscript"/>
        </w:rPr>
        <w:footnoteReference w:id="252"/>
      </w:r>
    </w:p>
    <w:p w14:paraId="6665EF3B" w14:textId="77777777" w:rsidR="00201F3F" w:rsidRPr="00CD0FEB" w:rsidRDefault="00201F3F" w:rsidP="00EB0DDA">
      <w:pPr>
        <w:pStyle w:val="06Third-LevelHead123"/>
      </w:pPr>
      <w:r w:rsidRPr="00CD0FEB">
        <w:t>5.</w:t>
      </w:r>
      <w:r w:rsidRPr="00CD0FEB">
        <w:tab/>
        <w:t>Absences for Leave Under the Family and Medical Leave Act</w:t>
      </w:r>
    </w:p>
    <w:p w14:paraId="6F9791D5" w14:textId="77777777" w:rsidR="00201F3F" w:rsidRPr="00CD0FEB" w:rsidRDefault="00201F3F" w:rsidP="00EB0DDA">
      <w:pPr>
        <w:pStyle w:val="10ATextWithIndent"/>
      </w:pPr>
      <w:r w:rsidRPr="00CD0FEB">
        <w:t>The regulations provide that “[a]n employer is not required to pay the full salary for weeks in which an exempt employee takes unpaid leave under the Family and Medical Leave Act,” but rather “may pay a proportionate part of the full salary for time actually worked.”</w:t>
      </w:r>
      <w:r>
        <w:rPr>
          <w:vertAlign w:val="superscript"/>
        </w:rPr>
        <w:footnoteReference w:id="253"/>
      </w:r>
      <w:r w:rsidRPr="00CD0FEB">
        <w:t xml:space="preserve"> Because FMLA leave is unpaid, an employer may dock an exempt employee’s salary for FMLA-protected partial-day absences without affecting exempt status.</w:t>
      </w:r>
      <w:r>
        <w:rPr>
          <w:vertAlign w:val="superscript"/>
        </w:rPr>
        <w:footnoteReference w:id="254"/>
      </w:r>
    </w:p>
    <w:p w14:paraId="24C28BB2" w14:textId="77777777" w:rsidR="00201F3F" w:rsidRPr="00CD0FEB" w:rsidRDefault="00201F3F" w:rsidP="00EB0DDA">
      <w:pPr>
        <w:pStyle w:val="10ATextWithIndent"/>
      </w:pPr>
      <w:r w:rsidRPr="00CD0FEB">
        <w:t xml:space="preserve">In </w:t>
      </w:r>
      <w:r w:rsidRPr="00CD0FEB">
        <w:rPr>
          <w:i/>
          <w:iCs/>
        </w:rPr>
        <w:t>Rowe v. Laidlaw Transit, Inc</w:t>
      </w:r>
      <w:r w:rsidRPr="00CD0FEB">
        <w:t>.,</w:t>
      </w:r>
      <w:r>
        <w:rPr>
          <w:vertAlign w:val="superscript"/>
        </w:rPr>
        <w:footnoteReference w:id="255"/>
      </w:r>
      <w:r w:rsidRPr="00CD0FEB">
        <w:t xml:space="preserve"> the Ninth Circuit held that reducing an employee’s salary to account for an undesignated but FMLA-qualifying leave did not affect an employee’s exempt status. After an injury caused the plaintiff, a supervisor, to exhaust all her sick leave and vacation, the employer granted her request to return to work on a reduced part-time schedule. The court determined that, although the supervisor did not request that her leave be designated as protected under the FMLA and the employer did not discuss designation of the leave with her, the plaintiff’s reduced schedule qualified as FMLA leave and, therefore, the exemption remained intact.</w:t>
      </w:r>
    </w:p>
    <w:p w14:paraId="5675F41E" w14:textId="77777777" w:rsidR="00201F3F" w:rsidRPr="00CD0FEB" w:rsidRDefault="00201F3F" w:rsidP="00EB0DDA">
      <w:pPr>
        <w:pStyle w:val="06Third-LevelHead123"/>
      </w:pPr>
      <w:r w:rsidRPr="00CD0FEB">
        <w:t>6.</w:t>
      </w:r>
      <w:r w:rsidRPr="00CD0FEB">
        <w:tab/>
        <w:t>Deductions From Leave Accounts</w:t>
      </w:r>
    </w:p>
    <w:p w14:paraId="0623158B" w14:textId="77777777" w:rsidR="00201F3F" w:rsidRPr="00CD0FEB" w:rsidRDefault="00201F3F" w:rsidP="00EB0DDA">
      <w:pPr>
        <w:pStyle w:val="10ATextWithIndent"/>
      </w:pPr>
      <w:r w:rsidRPr="00CD0FEB">
        <w:t>In the preamble to the 2004 regulations, the DOL wrote: “We agree that employers, without affecting their employees’ exempt status, may take deductions from accrued leave accounts.”</w:t>
      </w:r>
      <w:r>
        <w:rPr>
          <w:vertAlign w:val="superscript"/>
        </w:rPr>
        <w:footnoteReference w:id="256"/>
      </w:r>
      <w:r w:rsidRPr="00CD0FEB">
        <w:t xml:space="preserve"> The Third Circuit, in </w:t>
      </w:r>
      <w:r w:rsidRPr="00CD0FEB">
        <w:rPr>
          <w:i/>
          <w:iCs/>
        </w:rPr>
        <w:t>Higgins v. Bayada Home Health Care Inc.</w:t>
      </w:r>
      <w:r w:rsidRPr="00CD0FEB">
        <w:t>,</w:t>
      </w:r>
      <w:r>
        <w:rPr>
          <w:rStyle w:val="FootnoteReference"/>
        </w:rPr>
        <w:footnoteReference w:id="257"/>
      </w:r>
      <w:r w:rsidRPr="00CD0FEB">
        <w:t xml:space="preserve"> drew a distinction between salary and paid time off (PTO) in finding PTO deductions permissible under the salary basis test:</w:t>
      </w:r>
    </w:p>
    <w:p w14:paraId="0AFE2587" w14:textId="77777777" w:rsidR="00201F3F" w:rsidRPr="00CD0FEB" w:rsidRDefault="00201F3F" w:rsidP="002834A9">
      <w:pPr>
        <w:pStyle w:val="09BBlockQuoteWithoutIndent"/>
      </w:pPr>
      <w:r w:rsidRPr="00CD0FEB">
        <w:t>So, whereas salary is a fixed amount of compensation that an employee regularly receives, PTO, though having a monetary value, is more appropriately defined as a fringe benefit, which has no effect on the employee’s salary or wages, and which may be irregularly paid out, such as when an employee separates from the company. The two concepts being distinct, the term ‘salary’ as used in the FLSA is best understood as not including fringe benefits like PTO.</w:t>
      </w:r>
      <w:r>
        <w:rPr>
          <w:rStyle w:val="FootnoteReference"/>
        </w:rPr>
        <w:footnoteReference w:id="258"/>
      </w:r>
    </w:p>
    <w:p w14:paraId="52F27014" w14:textId="77777777" w:rsidR="00201F3F" w:rsidRPr="00CD0FEB" w:rsidRDefault="00201F3F" w:rsidP="00EB0DDA">
      <w:pPr>
        <w:pStyle w:val="10ATextWithIndent"/>
      </w:pPr>
      <w:r w:rsidRPr="00CD0FEB">
        <w:t>The DOL has opined that</w:t>
      </w:r>
    </w:p>
    <w:p w14:paraId="39C28668" w14:textId="77777777" w:rsidR="00201F3F" w:rsidRPr="00CD0FEB" w:rsidRDefault="00201F3F" w:rsidP="004B3FA1">
      <w:pPr>
        <w:pStyle w:val="09BBlockQuoteWithoutIndent"/>
      </w:pPr>
      <w:r w:rsidRPr="00CD0FEB">
        <w:t>if an employee is absent for one or more full days, but does not have enough time in his or her leave bank to cover the entire absence, the employer may make a deduction from the employee’s pay for any portion of the full-day absences that is not accounted for by the leave bank.</w:t>
      </w:r>
      <w:r>
        <w:rPr>
          <w:vertAlign w:val="superscript"/>
        </w:rPr>
        <w:footnoteReference w:id="259"/>
      </w:r>
    </w:p>
    <w:p w14:paraId="76AB2722" w14:textId="77777777" w:rsidR="00201F3F" w:rsidRPr="00CD0FEB" w:rsidRDefault="00201F3F" w:rsidP="0019405A">
      <w:pPr>
        <w:pStyle w:val="10ATextWithIndent"/>
      </w:pPr>
      <w:r w:rsidRPr="00CD0FEB">
        <w:t>However, as the DOL explained in an earlier opinion letter: “Payment of the employee’s guaranteed salary must be made, even if an employee has no accrued benefits in the leave plan and the account has a negative balance, where the employee’s absence is for less than a full day.”</w:t>
      </w:r>
      <w:r>
        <w:rPr>
          <w:vertAlign w:val="superscript"/>
        </w:rPr>
        <w:footnoteReference w:id="260"/>
      </w:r>
      <w:r w:rsidRPr="00CD0FEB">
        <w:t xml:space="preserve"> That is, “</w:t>
      </w:r>
      <w:r w:rsidRPr="00CD0FEB">
        <w:rPr>
          <w:shd w:val="clear" w:color="auto" w:fill="FFFFFF"/>
        </w:rPr>
        <w:t>[e]mployers ‘may take deductions from salaried employee leave accounts’ and may require exempt employees ‘to record and track hours,’ so long as the employee’s predetermined salary is not reduced.</w:t>
      </w:r>
      <w:r w:rsidRPr="00CD0FEB">
        <w:t>”</w:t>
      </w:r>
      <w:r>
        <w:rPr>
          <w:rStyle w:val="FootnoteReference"/>
        </w:rPr>
        <w:footnoteReference w:id="261"/>
      </w:r>
      <w:r w:rsidRPr="00CD0FEB">
        <w:t xml:space="preserve"> Leave account deductions may be taken “</w:t>
      </w:r>
      <w:r w:rsidRPr="00CD0FEB">
        <w:rPr>
          <w:shd w:val="clear" w:color="auto" w:fill="FFFFFF"/>
        </w:rPr>
        <w:t>in hourly increments, </w:t>
      </w:r>
      <w:r w:rsidRPr="00CD0FEB">
        <w:rPr>
          <w:rStyle w:val="Emphasis"/>
          <w:bdr w:val="none" w:sz="0" w:space="0" w:color="auto" w:frame="1"/>
          <w:shd w:val="clear" w:color="auto" w:fill="FFFFFF"/>
        </w:rPr>
        <w:t>so long as the employee’s salary is not reduced</w:t>
      </w:r>
      <w:r w:rsidRPr="00CD0FEB">
        <w:rPr>
          <w:shd w:val="clear" w:color="auto" w:fill="FFFFFF"/>
        </w:rPr>
        <w:t>.”</w:t>
      </w:r>
      <w:r>
        <w:rPr>
          <w:rStyle w:val="FootnoteReference"/>
          <w:shd w:val="clear" w:color="auto" w:fill="FFFFFF"/>
        </w:rPr>
        <w:footnoteReference w:id="262"/>
      </w:r>
    </w:p>
    <w:p w14:paraId="1F093E03" w14:textId="77777777" w:rsidR="00201F3F" w:rsidRPr="00CD0FEB" w:rsidRDefault="00201F3F" w:rsidP="00EB0DDA">
      <w:pPr>
        <w:pStyle w:val="10ATextWithIndent"/>
      </w:pPr>
      <w:r w:rsidRPr="00CD0FEB">
        <w:t>An employer may require exempt employees to use accrued vacation time during a plant shutdown of less than a workweek without violating the salary basis test.</w:t>
      </w:r>
      <w:r>
        <w:rPr>
          <w:vertAlign w:val="superscript"/>
        </w:rPr>
        <w:footnoteReference w:id="263"/>
      </w:r>
      <w:r w:rsidRPr="00CD0FEB">
        <w:t xml:space="preserve"> On a related point, the DOL has had occasion to consider the effect on exempt status of involuntary “borrowing” against future leave or final pay. The DOL addressed in an opinion letter the effect of employer deductions from leave balances when employees were absent for a partial day and had insufficient leave.</w:t>
      </w:r>
      <w:r>
        <w:rPr>
          <w:vertAlign w:val="superscript"/>
        </w:rPr>
        <w:footnoteReference w:id="264"/>
      </w:r>
      <w:r w:rsidRPr="00CD0FEB">
        <w:t xml:space="preserve"> In such a case, the employer recorded a negative leave balance. The employer sought the view of the DOL on whether it might, consistent with the salary basis test, withhold the appropriate amount (computed on an hour-by-hour basis) from an employee’s terminal paycheck if the employee left employment with a negative leave balance. The DOL found that such a deduction was </w:t>
      </w:r>
      <w:r w:rsidRPr="00CD0FEB">
        <w:rPr>
          <w:i/>
          <w:iCs/>
        </w:rPr>
        <w:t>not</w:t>
      </w:r>
      <w:r w:rsidRPr="00CD0FEB">
        <w:t xml:space="preserve"> consistent with payment on a salary basis.</w:t>
      </w:r>
    </w:p>
    <w:p w14:paraId="409CB9E7" w14:textId="77777777" w:rsidR="00201F3F" w:rsidRPr="00CD0FEB" w:rsidRDefault="00201F3F" w:rsidP="00EB0DDA">
      <w:pPr>
        <w:pStyle w:val="05Second-LevelHeadABC"/>
      </w:pPr>
      <w:r w:rsidRPr="00CD0FEB">
        <w:t>D.</w:t>
      </w:r>
      <w:r w:rsidRPr="00CD0FEB">
        <w:tab/>
        <w:t>Permissible Reductions in an Exempt Employee’s Salary</w:t>
      </w:r>
    </w:p>
    <w:p w14:paraId="5794B154" w14:textId="77777777" w:rsidR="00201F3F" w:rsidRPr="00CD0FEB" w:rsidRDefault="00201F3F" w:rsidP="00EB0DDA">
      <w:pPr>
        <w:pStyle w:val="10ATextWithIndent"/>
      </w:pPr>
      <w:r w:rsidRPr="00CD0FEB">
        <w:t xml:space="preserve">Another scenario that implicates the contours of the salary basis test occurs when an employer reduces an exempt employee’s workweek, for example from five to four days, due to lack of work, and the reduction is accompanied by a concomitant reduction in salary. In </w:t>
      </w:r>
      <w:r w:rsidRPr="00CD0FEB">
        <w:rPr>
          <w:i/>
          <w:iCs/>
        </w:rPr>
        <w:t>In re Wal-Mart Stores Inc</w:t>
      </w:r>
      <w:r w:rsidRPr="00CD0FEB">
        <w:t>.,</w:t>
      </w:r>
      <w:r>
        <w:rPr>
          <w:vertAlign w:val="superscript"/>
        </w:rPr>
        <w:footnoteReference w:id="265"/>
      </w:r>
      <w:r w:rsidRPr="00CD0FEB">
        <w:t xml:space="preserve"> the Tenth Circuit held that an employer’s practice of prospectively changing pharmacists’ salaries to accommodate anticipated business did not convert salaried employees to hourly employees entitled to overtime rates unless the purported “salary” became a sham—that is, unless the salary changes were “done with such frequency that the salary [was] the functional equivalent of an hourly wage.”</w:t>
      </w:r>
      <w:r>
        <w:rPr>
          <w:vertAlign w:val="superscript"/>
        </w:rPr>
        <w:footnoteReference w:id="266"/>
      </w:r>
    </w:p>
    <w:p w14:paraId="7E63B842" w14:textId="77777777" w:rsidR="00201F3F" w:rsidRPr="00CD0FEB" w:rsidRDefault="00201F3F" w:rsidP="00EB0DDA">
      <w:pPr>
        <w:pStyle w:val="10ATextWithIndent"/>
      </w:pPr>
      <w:r w:rsidRPr="00CD0FEB">
        <w:t xml:space="preserve">The Tenth Circuit remanded the case to the district court for a determination as to whether the frequency of the salary reductions meant the pharmacists were essentially paid on an hourly basis. On remand, the district court concluded they were not, and plaintiffs again took the issue to the Tenth Circuit in </w:t>
      </w:r>
      <w:r w:rsidRPr="00CD0FEB">
        <w:rPr>
          <w:i/>
          <w:iCs/>
        </w:rPr>
        <w:t>Archuleta v. Wal-Mart Stores, Inc</w:t>
      </w:r>
      <w:r w:rsidRPr="00CD0FEB">
        <w:t>.</w:t>
      </w:r>
      <w:r>
        <w:rPr>
          <w:vertAlign w:val="superscript"/>
        </w:rPr>
        <w:footnoteReference w:id="267"/>
      </w:r>
      <w:r w:rsidRPr="00CD0FEB">
        <w:t xml:space="preserve"> The Tenth Circuit affirmed except as to two pharmacists with respect to whom “a jury could find that Wal-Mart was changing [their] base hours so frequently in order to reflect the actual hours [they] worked” that they were “in effect paid … [like] hourly employee[s].”</w:t>
      </w:r>
      <w:r>
        <w:rPr>
          <w:vertAlign w:val="superscript"/>
        </w:rPr>
        <w:footnoteReference w:id="268"/>
      </w:r>
    </w:p>
    <w:p w14:paraId="52A0A686" w14:textId="77777777" w:rsidR="00201F3F" w:rsidRPr="00CD0FEB" w:rsidRDefault="00201F3F" w:rsidP="00EB0DDA">
      <w:pPr>
        <w:pStyle w:val="10ATextWithIndent"/>
      </w:pPr>
      <w:r w:rsidRPr="00CD0FEB">
        <w:t xml:space="preserve">As noted by the court in </w:t>
      </w:r>
      <w:r w:rsidRPr="00CD0FEB">
        <w:rPr>
          <w:i/>
          <w:iCs/>
        </w:rPr>
        <w:t>In re Wal-Mart Stores Inc</w:t>
      </w:r>
      <w:r w:rsidRPr="00CD0FEB">
        <w:t>.,</w:t>
      </w:r>
      <w:r w:rsidRPr="00CD0FEB">
        <w:rPr>
          <w:i/>
          <w:iCs/>
        </w:rPr>
        <w:t xml:space="preserve"> </w:t>
      </w:r>
      <w:r w:rsidRPr="00CD0FEB">
        <w:t>the DOL has issued three opinion letters addressing the scope of permissible salary reductions in the context of an economic slowdown.</w:t>
      </w:r>
      <w:r>
        <w:rPr>
          <w:vertAlign w:val="superscript"/>
        </w:rPr>
        <w:footnoteReference w:id="269"/>
      </w:r>
      <w:r w:rsidRPr="00CD0FEB">
        <w:t xml:space="preserve"> The court pointed out that the opinion letters “confirm[ed its] reading of the salary-basis regulations: the requirement that exempt employees receive at least a ‘predetermined amount’ as salary does not preclude an employer from making occasional prospective reductions before the affected pay period in response to business needs.”</w:t>
      </w:r>
      <w:r>
        <w:rPr>
          <w:vertAlign w:val="superscript"/>
        </w:rPr>
        <w:footnoteReference w:id="270"/>
      </w:r>
      <w:r w:rsidRPr="00CD0FEB">
        <w:t xml:space="preserve"> At the same time, the court found several opinion letters cited by the plaintiffs inapposite in that they “[did] not address the issue of prospectively reducing an employee’s salary.”</w:t>
      </w:r>
      <w:r>
        <w:rPr>
          <w:vertAlign w:val="superscript"/>
        </w:rPr>
        <w:footnoteReference w:id="271"/>
      </w:r>
      <w:r w:rsidRPr="00CD0FEB">
        <w:t xml:space="preserve"> The court explained that “[t]he DOL opinion letters as a whole maintain a clear distinction between prohibited deductions from salary (during the period when the worker is entitled to a particular salary) and authorized decreases in salary (which take effect only prospectively).”</w:t>
      </w:r>
      <w:r>
        <w:rPr>
          <w:vertAlign w:val="superscript"/>
        </w:rPr>
        <w:footnoteReference w:id="272"/>
      </w:r>
    </w:p>
    <w:p w14:paraId="782147E8" w14:textId="77777777" w:rsidR="00201F3F" w:rsidRPr="00CD0FEB" w:rsidRDefault="00201F3F" w:rsidP="00EB0DDA">
      <w:pPr>
        <w:pStyle w:val="10ATextWithIndent"/>
      </w:pPr>
      <w:r w:rsidRPr="00CD0FEB">
        <w:t>By contrast, the DOL concluded that a health care provider’s plan did not meet the salary basis test where paid time off, or salary if no such time was available, would be deducted when “exempt employees are called at home and required to take the day off, or are sent home early in the workweek, ‘during occasional unplanned and transitory periods of low patient census.’”</w:t>
      </w:r>
      <w:r>
        <w:rPr>
          <w:vertAlign w:val="superscript"/>
        </w:rPr>
        <w:footnoteReference w:id="273"/>
      </w:r>
      <w:r w:rsidRPr="00CD0FEB">
        <w:t xml:space="preserve"> The DOL explained: </w:t>
      </w:r>
    </w:p>
    <w:p w14:paraId="2FD07855" w14:textId="77777777" w:rsidR="00201F3F" w:rsidRPr="00CD0FEB" w:rsidRDefault="00201F3F" w:rsidP="00EB0DDA">
      <w:pPr>
        <w:pStyle w:val="09BBlockQuoteWithoutIndent"/>
      </w:pPr>
      <w:r w:rsidRPr="00CD0FEB">
        <w:t>Deductions from pay in full day increments would be made whenever the employee’s paid time-off leave was exhausted. Unlike a salary reduction that reflects reduction in the normal scheduled workweek and is not designed to circumvent the salary basis, deductions from salary due to day-to-day or week-to-week determinations of the operating requirements of the business are precisely the circumstances the salary basis test is intended to preclude. Such a plan is, therefore, inconsistent with the guaranteed salary basis of payment required by the regulations.</w:t>
      </w:r>
      <w:r>
        <w:rPr>
          <w:vertAlign w:val="superscript"/>
        </w:rPr>
        <w:footnoteReference w:id="274"/>
      </w:r>
    </w:p>
    <w:p w14:paraId="6BA521D4" w14:textId="77777777" w:rsidR="00201F3F" w:rsidRPr="00CD0FEB" w:rsidRDefault="00201F3F" w:rsidP="00EB0DDA">
      <w:pPr>
        <w:pStyle w:val="10ATextWithIndent"/>
      </w:pPr>
      <w:r w:rsidRPr="00CD0FEB">
        <w:t>In another opinion letter, the DOL considered a somewhat similar situation where the employer reduced the hours worked by exempt employees due to short-term business needs—again, low patient census—and offered voluntary time off (VTO).</w:t>
      </w:r>
      <w:r>
        <w:rPr>
          <w:vertAlign w:val="superscript"/>
        </w:rPr>
        <w:footnoteReference w:id="275"/>
      </w:r>
      <w:r w:rsidRPr="00CD0FEB">
        <w:t xml:space="preserve"> However, if there were insufficient volunteers, the employer imposed mandatory time off (MTO) pursuant to a seniority-based rotational system. If the employee elected not to use accrued paid leave or did not have sufficient leave time to cover the VTO or MTO, the employer would deduct an amount equal to the VTO or MTO hours from the employee’s salary if that period of time was less than a full workweek. The DOL found that “salary deductions due to MTO lasting less than a workweek violate the salary basis requirement and may cause the loss of exempt status,” but such deductions from employees who took VTO would not transgress the salary basis requirement so long as the VTO election was in fact “completely voluntary.”</w:t>
      </w:r>
      <w:r>
        <w:rPr>
          <w:vertAlign w:val="superscript"/>
        </w:rPr>
        <w:footnoteReference w:id="276"/>
      </w:r>
    </w:p>
    <w:p w14:paraId="390FB0C3" w14:textId="77777777" w:rsidR="00201F3F" w:rsidRPr="00CD0FEB" w:rsidRDefault="00201F3F" w:rsidP="00EB0DDA">
      <w:pPr>
        <w:pStyle w:val="10ATextWithIndent"/>
      </w:pPr>
      <w:r w:rsidRPr="00CD0FEB">
        <w:t xml:space="preserve">In </w:t>
      </w:r>
      <w:r w:rsidRPr="00CD0FEB">
        <w:rPr>
          <w:i/>
          <w:iCs/>
        </w:rPr>
        <w:t>Baden-Winterwood v. Life Time Fitness, Inc.</w:t>
      </w:r>
      <w:r w:rsidRPr="00CD0FEB">
        <w:t>,</w:t>
      </w:r>
      <w:r>
        <w:rPr>
          <w:vertAlign w:val="superscript"/>
        </w:rPr>
        <w:footnoteReference w:id="277"/>
      </w:r>
      <w:r w:rsidRPr="00CD0FEB">
        <w:t xml:space="preserve"> the employer adopted a rather complex bonus pay plan that included a provision whereby the employer reserved the right to recoup overpayments occasioned by a drop in performance level below a certain monetary threshold by reducing base salary payments. The employer defended the plan by analogizing the advance payments to a loan and cited a pair of DOL opinion letters allowing salary reductions for repayment purposes in that context.</w:t>
      </w:r>
      <w:r>
        <w:rPr>
          <w:vertAlign w:val="superscript"/>
        </w:rPr>
        <w:footnoteReference w:id="278"/>
      </w:r>
      <w:r w:rsidRPr="00CD0FEB">
        <w:t xml:space="preserve"> Rejecting this analogy as inapt, the Sixth Circuit reasoned,</w:t>
      </w:r>
    </w:p>
    <w:p w14:paraId="29FCEE4D" w14:textId="77777777" w:rsidR="00201F3F" w:rsidRPr="00CD0FEB" w:rsidRDefault="00201F3F" w:rsidP="00EB0DDA">
      <w:pPr>
        <w:pStyle w:val="09BBlockQuoteWithoutIndent"/>
      </w:pPr>
      <w:r w:rsidRPr="00CD0FEB">
        <w:t>[The employer] did not provide loans to its employees. To be sure, it did make advance bonus payments. However, to recover overpayments, [it] impermissibly dipped into Plaintiffs’ guaranteed salaries. Unlike the situation in both DOL letters, [it] knowingly made salary deductions as part of a pre-designed bonus compensation plan. The deductions were not made to recover irregular salary advances or payments mistakenly made by the payroll department.</w:t>
      </w:r>
      <w:r>
        <w:rPr>
          <w:vertAlign w:val="superscript"/>
        </w:rPr>
        <w:footnoteReference w:id="279"/>
      </w:r>
    </w:p>
    <w:p w14:paraId="674EC20F" w14:textId="77777777" w:rsidR="00201F3F" w:rsidRPr="00CD0FEB" w:rsidRDefault="00201F3F" w:rsidP="00EB0DDA">
      <w:pPr>
        <w:pStyle w:val="10BTextWithoutIndent"/>
      </w:pPr>
      <w:r w:rsidRPr="00CD0FEB">
        <w:t>For these reasons, the court held that the reduction of base salary payments was in violation of the salary basis requirement.</w:t>
      </w:r>
      <w:r>
        <w:rPr>
          <w:vertAlign w:val="superscript"/>
        </w:rPr>
        <w:footnoteReference w:id="280"/>
      </w:r>
    </w:p>
    <w:p w14:paraId="53779B3B" w14:textId="77777777" w:rsidR="00201F3F" w:rsidRPr="00CD0FEB" w:rsidRDefault="00201F3F" w:rsidP="00EB0DDA">
      <w:pPr>
        <w:pStyle w:val="05Second-LevelHeadABC"/>
      </w:pPr>
      <w:r w:rsidRPr="00CD0FEB">
        <w:t>E.</w:t>
      </w:r>
      <w:r w:rsidRPr="00CD0FEB">
        <w:tab/>
        <w:t>Impermissible Deductions From an Employee’s Salary</w:t>
      </w:r>
    </w:p>
    <w:p w14:paraId="2E8B01D9" w14:textId="77777777" w:rsidR="00201F3F" w:rsidRPr="00CD0FEB" w:rsidRDefault="00201F3F" w:rsidP="00EB0DDA">
      <w:pPr>
        <w:pStyle w:val="06Third-LevelHead123"/>
      </w:pPr>
      <w:r w:rsidRPr="00CD0FEB">
        <w:t>1.</w:t>
      </w:r>
      <w:r w:rsidRPr="00CD0FEB">
        <w:tab/>
        <w:t>Absences Occasioned by the Employer</w:t>
      </w:r>
    </w:p>
    <w:p w14:paraId="25D2AC63" w14:textId="77777777" w:rsidR="00201F3F" w:rsidRPr="00CD0FEB" w:rsidRDefault="00201F3F" w:rsidP="00EB0DDA">
      <w:pPr>
        <w:pStyle w:val="10ATextWithIndent"/>
      </w:pPr>
      <w:r w:rsidRPr="00CD0FEB">
        <w:t>Fundamentally, the regulation provides that an “employee is not paid on a salary basis if deductions from the employee’s predetermined compensation are made for absences occasioned by the employer or by the operating requirements of the business.”</w:t>
      </w:r>
      <w:r>
        <w:rPr>
          <w:vertAlign w:val="superscript"/>
        </w:rPr>
        <w:footnoteReference w:id="281"/>
      </w:r>
      <w:r w:rsidRPr="00CD0FEB">
        <w:t xml:space="preserve"> As long as an exempt white-collar employee is ready, willing, and able to work, an employer may not deduct any portion of his or her salary simply because there is no work available for the employee to perform.</w:t>
      </w:r>
      <w:r>
        <w:rPr>
          <w:vertAlign w:val="superscript"/>
        </w:rPr>
        <w:footnoteReference w:id="282"/>
      </w:r>
      <w:r w:rsidRPr="00CD0FEB">
        <w:t xml:space="preserve"> Employees subject to such deductions may not be treated as exempt.</w:t>
      </w:r>
    </w:p>
    <w:p w14:paraId="1E2C218B" w14:textId="77777777" w:rsidR="00201F3F" w:rsidRPr="00CD0FEB" w:rsidRDefault="00201F3F" w:rsidP="00EB0DDA">
      <w:pPr>
        <w:pStyle w:val="10ATextWithIndent"/>
      </w:pPr>
      <w:r w:rsidRPr="00CD0FEB">
        <w:t>Nevertheless, because the salary basis test is subject to the general rule that exempt employees need not be paid for any week in which they perform no work, employers may make deductions for plant shutdowns of an entire workweek.</w:t>
      </w:r>
      <w:r>
        <w:rPr>
          <w:vertAlign w:val="superscript"/>
        </w:rPr>
        <w:footnoteReference w:id="283"/>
      </w:r>
    </w:p>
    <w:p w14:paraId="1E0F813A" w14:textId="77777777" w:rsidR="00201F3F" w:rsidRPr="00CD0FEB" w:rsidRDefault="00201F3F" w:rsidP="00EB0DDA">
      <w:pPr>
        <w:pStyle w:val="06Third-LevelHead123"/>
      </w:pPr>
      <w:r w:rsidRPr="00CD0FEB">
        <w:t>2.</w:t>
      </w:r>
      <w:r w:rsidRPr="00CD0FEB">
        <w:tab/>
        <w:t>Absences Due to Jury Duty, Attendance as a Witness, or Temporary Military Leave</w:t>
      </w:r>
    </w:p>
    <w:p w14:paraId="53DD5C98" w14:textId="77777777" w:rsidR="00201F3F" w:rsidRPr="00CD0FEB" w:rsidRDefault="00201F3F" w:rsidP="00EB0DDA">
      <w:pPr>
        <w:pStyle w:val="10ATextWithIndent"/>
      </w:pPr>
      <w:r w:rsidRPr="00CD0FEB">
        <w:t>Deductions for absences occasioned by jury duty, attendance as a witness, or temporary military leave are impermissible.</w:t>
      </w:r>
      <w:r>
        <w:rPr>
          <w:vertAlign w:val="superscript"/>
        </w:rPr>
        <w:footnoteReference w:id="284"/>
      </w:r>
      <w:r w:rsidRPr="00CD0FEB">
        <w:t xml:space="preserve"> However, an employer is permitted to offset payments an employee receives for such services against the employee’s regular salary during the week of such an absence.</w:t>
      </w:r>
      <w:r>
        <w:rPr>
          <w:vertAlign w:val="superscript"/>
        </w:rPr>
        <w:footnoteReference w:id="285"/>
      </w:r>
      <w:r w:rsidRPr="00CD0FEB">
        <w:t xml:space="preserve"> Thus, if an employee receives a $50 fee for participating in jury duty, the employer may reduce the employee’s salary by $50 for the week of jury duty without destroying exempt status or otherwise violating the FLSA. Note that courts have found deductions for attendance at a judicial proceeding as a </w:t>
      </w:r>
      <w:r w:rsidRPr="00CD0FEB">
        <w:rPr>
          <w:i/>
          <w:iCs/>
        </w:rPr>
        <w:t>party</w:t>
      </w:r>
      <w:r w:rsidRPr="00CD0FEB">
        <w:t xml:space="preserve"> are permissible on the theory that such absences do not “involve performance of a civic duty.”</w:t>
      </w:r>
      <w:r>
        <w:rPr>
          <w:vertAlign w:val="superscript"/>
        </w:rPr>
        <w:footnoteReference w:id="286"/>
      </w:r>
    </w:p>
    <w:p w14:paraId="6E361AD8" w14:textId="77777777" w:rsidR="00201F3F" w:rsidRPr="00CD0FEB" w:rsidRDefault="00201F3F" w:rsidP="00EB0DDA">
      <w:pPr>
        <w:pStyle w:val="10ATextWithIndent"/>
      </w:pPr>
      <w:r w:rsidRPr="00CD0FEB">
        <w:t>Although the salary basis test requires that an employee receive an entire week’s salary if the employee is absent for part of a workweek due to jury duty, attendance as a witness, or temporary military leave, the regulations are silent as to whether an employer must compensate employees who are absent for an entire week or longer for such reasons.</w:t>
      </w:r>
      <w:r>
        <w:rPr>
          <w:vertAlign w:val="superscript"/>
        </w:rPr>
        <w:footnoteReference w:id="287"/>
      </w:r>
      <w:r w:rsidRPr="00CD0FEB">
        <w:t xml:space="preserve"> In at least two cases, courts were faced with employer policies that provided for 15 to 30 days of paid military leave, with deductions from salary being made for longer absences.</w:t>
      </w:r>
      <w:r>
        <w:rPr>
          <w:vertAlign w:val="superscript"/>
        </w:rPr>
        <w:footnoteReference w:id="288"/>
      </w:r>
      <w:r w:rsidRPr="00CD0FEB">
        <w:t xml:space="preserve"> At issue was whether deductions could be made after expiration of that time period, on the theory that the leave was at that point no longer “temporary.” The courts agreed with the employer that military leaves of absence longer than 15 to 30 days were not “temporary” and deductions for longer absences were therefore permissible because the deductions did not come within the regulation’s ban on “temporary military leave deductions.”</w:t>
      </w:r>
      <w:r>
        <w:rPr>
          <w:vertAlign w:val="superscript"/>
        </w:rPr>
        <w:footnoteReference w:id="289"/>
      </w:r>
      <w:r w:rsidRPr="00CD0FEB">
        <w:t xml:space="preserve"> These courts reasoned that sufficient time was provided to enable the employees to fulfill National Guard or Reserve obligations. Reliance was not placed, however, on the general rule that permits employers to withhold payment from salaried employees for weeks in which they perform no work.</w:t>
      </w:r>
      <w:r>
        <w:rPr>
          <w:vertAlign w:val="superscript"/>
        </w:rPr>
        <w:footnoteReference w:id="290"/>
      </w:r>
    </w:p>
    <w:p w14:paraId="2CB0B254" w14:textId="77777777" w:rsidR="00201F3F" w:rsidRPr="00CD0FEB" w:rsidRDefault="00201F3F" w:rsidP="00EB0DDA">
      <w:pPr>
        <w:pStyle w:val="06Third-LevelHead123"/>
      </w:pPr>
      <w:r w:rsidRPr="00CD0FEB">
        <w:t>3.</w:t>
      </w:r>
      <w:r w:rsidRPr="00CD0FEB">
        <w:tab/>
        <w:t>Absences of Less Than One Day</w:t>
      </w:r>
    </w:p>
    <w:p w14:paraId="11B5FCB0" w14:textId="77777777" w:rsidR="00201F3F" w:rsidRPr="00CD0FEB" w:rsidRDefault="00201F3F" w:rsidP="00EB0DDA">
      <w:pPr>
        <w:pStyle w:val="10ATextWithIndent"/>
      </w:pPr>
      <w:r w:rsidRPr="00CD0FEB">
        <w:t>Deductions from salary for absences of less than one day are generally not permitted under the salary basis regulations. Such deductions violate the prohibition of reductions in pay due to the quantity of work performed.</w:t>
      </w:r>
      <w:r>
        <w:rPr>
          <w:vertAlign w:val="superscript"/>
        </w:rPr>
        <w:footnoteReference w:id="291"/>
      </w:r>
      <w:r w:rsidRPr="00CD0FEB">
        <w:t xml:space="preserve"> When an employer deducts from the wages of an employee for partial-day absences taken for personal reasons or illness (other than FMLA),</w:t>
      </w:r>
      <w:r>
        <w:rPr>
          <w:vertAlign w:val="superscript"/>
        </w:rPr>
        <w:footnoteReference w:id="292"/>
      </w:r>
      <w:r w:rsidRPr="00CD0FEB">
        <w:t xml:space="preserve"> the employee cannot be considered exempt.</w:t>
      </w:r>
      <w:r>
        <w:rPr>
          <w:vertAlign w:val="superscript"/>
        </w:rPr>
        <w:footnoteReference w:id="293"/>
      </w:r>
    </w:p>
    <w:p w14:paraId="0DAB99F2" w14:textId="77777777" w:rsidR="00201F3F" w:rsidRPr="00CD0FEB" w:rsidRDefault="00201F3F" w:rsidP="00EB0DDA">
      <w:pPr>
        <w:pStyle w:val="10ATextWithIndent"/>
      </w:pPr>
      <w:r w:rsidRPr="00CD0FEB">
        <w:t xml:space="preserve">The Fifth Circuit addressed the issue of potential partial-day deductions in </w:t>
      </w:r>
      <w:r w:rsidRPr="00CD0FEB">
        <w:rPr>
          <w:i/>
          <w:iCs/>
        </w:rPr>
        <w:t>Bass v. City of Jackson</w:t>
      </w:r>
      <w:r w:rsidRPr="00CD0FEB">
        <w:t>.</w:t>
      </w:r>
      <w:r>
        <w:rPr>
          <w:vertAlign w:val="superscript"/>
        </w:rPr>
        <w:footnoteReference w:id="294"/>
      </w:r>
      <w:r w:rsidRPr="00CD0FEB">
        <w:t xml:space="preserve"> Two former district fire chiefs contended that they were not paid on a salary basis because the City of Jackson had adopted a policy prohibiting firefighters from missing a portion of their shifts. The district fire chiefs admitted the City had never actually imposed this policy on them; however, they argued that the impact of the City’s policy could have reduced their pay based on the quantity of hours worked. The Fifth Circuit affirmed the district court’s conclusion that there had been no “substantial likelihood of salary reduction” or improper suspension and thus the fire chiefs’ salary met the statutory salary basis test.</w:t>
      </w:r>
      <w:r>
        <w:rPr>
          <w:vertAlign w:val="superscript"/>
        </w:rPr>
        <w:footnoteReference w:id="295"/>
      </w:r>
    </w:p>
    <w:p w14:paraId="0B3DA0A0" w14:textId="77777777" w:rsidR="00201F3F" w:rsidRPr="00CD0FEB" w:rsidRDefault="00201F3F" w:rsidP="00EB0DDA">
      <w:pPr>
        <w:pStyle w:val="05Second-LevelHeadABC"/>
      </w:pPr>
      <w:r w:rsidRPr="00CD0FEB">
        <w:t>F.</w:t>
      </w:r>
      <w:r w:rsidRPr="00CD0FEB">
        <w:tab/>
        <w:t>Effect of Improper Deductions</w:t>
      </w:r>
    </w:p>
    <w:p w14:paraId="5647C715" w14:textId="77777777" w:rsidR="00201F3F" w:rsidRPr="00CD0FEB" w:rsidRDefault="00201F3F" w:rsidP="00EB0DDA">
      <w:pPr>
        <w:pStyle w:val="06Third-LevelHead123"/>
      </w:pPr>
      <w:r w:rsidRPr="00CD0FEB">
        <w:t>1.</w:t>
      </w:r>
      <w:r w:rsidRPr="00CD0FEB">
        <w:tab/>
        <w:t>Generally</w:t>
      </w:r>
    </w:p>
    <w:p w14:paraId="1AAD49DF" w14:textId="77777777" w:rsidR="00201F3F" w:rsidRPr="00CD0FEB" w:rsidRDefault="00201F3F" w:rsidP="00EB0DDA">
      <w:pPr>
        <w:pStyle w:val="10ATextWithIndent"/>
      </w:pPr>
      <w:r w:rsidRPr="00CD0FEB">
        <w:t>The 2004 regulations changed the prior position of the DOL with regard to the effect of improper deductions. The regulations now provide that “[a]n employer who makes improper deductions from salary shall lose the exemption if the facts demonstrate that the employer did not intend to pay employees on a salary basis.”</w:t>
      </w:r>
      <w:r>
        <w:rPr>
          <w:vertAlign w:val="superscript"/>
        </w:rPr>
        <w:footnoteReference w:id="296"/>
      </w:r>
      <w:r w:rsidRPr="00CD0FEB">
        <w:t xml:space="preserve"> “An actual practice of making improper deductions demonstrates that the employer did not intend to pay employees on a salary basis.”</w:t>
      </w:r>
      <w:r>
        <w:rPr>
          <w:vertAlign w:val="superscript"/>
        </w:rPr>
        <w:footnoteReference w:id="297"/>
      </w:r>
      <w:r w:rsidRPr="00CD0FEB">
        <w:t xml:space="preserve"> However, the promulgation of a policy contemplating improper deductions does not preclude salaried status where the employer did not “have an actual practice of taking payroll deductions.”</w:t>
      </w:r>
      <w:r>
        <w:rPr>
          <w:vertAlign w:val="superscript"/>
        </w:rPr>
        <w:footnoteReference w:id="298"/>
      </w:r>
    </w:p>
    <w:p w14:paraId="04F7B04E" w14:textId="77777777" w:rsidR="00201F3F" w:rsidRPr="00CD0FEB" w:rsidRDefault="00201F3F" w:rsidP="00EB0DDA">
      <w:pPr>
        <w:pStyle w:val="10ATextWithIndent"/>
      </w:pPr>
      <w:r w:rsidRPr="00CD0FEB">
        <w:t xml:space="preserve">This standard is, as the DOL acknowledged, a departure from the position it successfully advocated before the Supreme Court in </w:t>
      </w:r>
      <w:r w:rsidRPr="00CD0FEB">
        <w:rPr>
          <w:i/>
          <w:iCs/>
        </w:rPr>
        <w:t>Auer v. Robbins</w:t>
      </w:r>
      <w:r w:rsidRPr="00CD0FEB">
        <w:t>,</w:t>
      </w:r>
      <w:r>
        <w:rPr>
          <w:vertAlign w:val="superscript"/>
        </w:rPr>
        <w:footnoteReference w:id="299"/>
      </w:r>
      <w:r w:rsidRPr="00CD0FEB">
        <w:t xml:space="preserve"> where the Court held that exempt status would not be recognized where “there is either an actual practice of making such deductions or an employment policy that creates a ‘significant likelihood’ of such deductions.”</w:t>
      </w:r>
      <w:r>
        <w:rPr>
          <w:vertAlign w:val="superscript"/>
        </w:rPr>
        <w:footnoteReference w:id="300"/>
      </w:r>
      <w:r w:rsidRPr="00CD0FEB">
        <w:t xml:space="preserve"> Under the 2004 regulation, “[i]nstead of </w:t>
      </w:r>
      <w:r w:rsidRPr="00CD0FEB">
        <w:rPr>
          <w:i/>
          <w:iCs/>
        </w:rPr>
        <w:t>Auer’s</w:t>
      </w:r>
      <w:r w:rsidRPr="00CD0FEB">
        <w:t xml:space="preserve"> ‘practice or policy’ standard, the ultimate inquiry is now just ‘practice.’”</w:t>
      </w:r>
      <w:r>
        <w:rPr>
          <w:vertAlign w:val="superscript"/>
        </w:rPr>
        <w:footnoteReference w:id="301"/>
      </w:r>
      <w:r w:rsidRPr="00CD0FEB">
        <w:t xml:space="preserve"> In explaining its change in position, the DOL pointed out that “[t]he ‘significant likelihood’ test is not found in the FLSA or anywhere in the existing Part 541 regulations”</w:t>
      </w:r>
      <w:r>
        <w:rPr>
          <w:vertAlign w:val="superscript"/>
        </w:rPr>
        <w:footnoteReference w:id="302"/>
      </w:r>
      <w:r w:rsidRPr="00CD0FEB">
        <w:t xml:space="preserve"> and set forth its view that the “actual practice” standard “best furthers the purposes of the section 213(a)(1) exemptions because it realistically assesses whether an employer intends to pay employees on a salary basis.”</w:t>
      </w:r>
      <w:r>
        <w:rPr>
          <w:vertAlign w:val="superscript"/>
        </w:rPr>
        <w:footnoteReference w:id="303"/>
      </w:r>
    </w:p>
    <w:p w14:paraId="2D334DF8" w14:textId="77777777" w:rsidR="00201F3F" w:rsidRPr="00CD0FEB" w:rsidRDefault="00201F3F" w:rsidP="00EB0DDA">
      <w:pPr>
        <w:pStyle w:val="10ATextWithIndent"/>
      </w:pPr>
      <w:r w:rsidRPr="00CD0FEB">
        <w:t>As guidance, the DOL assembled the following nonexclusive list of factors to consider in gauging whether an employer has an “actual practice” of making improper deductions:</w:t>
      </w:r>
    </w:p>
    <w:p w14:paraId="2442EE53" w14:textId="77777777" w:rsidR="00201F3F" w:rsidRPr="00CD0FEB" w:rsidRDefault="00201F3F" w:rsidP="00EB0DDA">
      <w:pPr>
        <w:pStyle w:val="13AFirst-LevelBulletedList"/>
      </w:pPr>
      <w:r w:rsidRPr="00CD0FEB">
        <w:t>•</w:t>
      </w:r>
      <w:r w:rsidRPr="00CD0FEB">
        <w:tab/>
        <w:t>the number of improper deductions, particularly as compared to the number of employee infractions warranting discipline;</w:t>
      </w:r>
    </w:p>
    <w:p w14:paraId="36BDA7B7" w14:textId="77777777" w:rsidR="00201F3F" w:rsidRPr="00CD0FEB" w:rsidRDefault="00201F3F" w:rsidP="00EB0DDA">
      <w:pPr>
        <w:pStyle w:val="13AFirst-LevelBulletedList"/>
      </w:pPr>
      <w:r w:rsidRPr="00CD0FEB">
        <w:t>•</w:t>
      </w:r>
      <w:r w:rsidRPr="00CD0FEB">
        <w:tab/>
        <w:t>the time period during which the employer made improper deductions;</w:t>
      </w:r>
    </w:p>
    <w:p w14:paraId="24D7EED9" w14:textId="77777777" w:rsidR="00201F3F" w:rsidRPr="00CD0FEB" w:rsidRDefault="00201F3F" w:rsidP="00EB0DDA">
      <w:pPr>
        <w:pStyle w:val="13AFirst-LevelBulletedList"/>
      </w:pPr>
      <w:r w:rsidRPr="00CD0FEB">
        <w:t>•</w:t>
      </w:r>
      <w:r w:rsidRPr="00CD0FEB">
        <w:tab/>
        <w:t>the number and geographic location of employees whose salary was improperly reduced; and</w:t>
      </w:r>
    </w:p>
    <w:p w14:paraId="0AF2CCBB" w14:textId="77777777" w:rsidR="00201F3F" w:rsidRPr="00CD0FEB" w:rsidRDefault="00201F3F" w:rsidP="00EB0DDA">
      <w:pPr>
        <w:pStyle w:val="13AFirst-LevelBulletedList"/>
      </w:pPr>
      <w:r w:rsidRPr="00CD0FEB">
        <w:t>•</w:t>
      </w:r>
      <w:r w:rsidRPr="00CD0FEB">
        <w:tab/>
        <w:t>whether the employer has a clearly communicated policy permitting or prohibiting deductions.</w:t>
      </w:r>
      <w:r>
        <w:rPr>
          <w:vertAlign w:val="superscript"/>
        </w:rPr>
        <w:footnoteReference w:id="304"/>
      </w:r>
    </w:p>
    <w:p w14:paraId="1FA4E9DE" w14:textId="77777777" w:rsidR="00201F3F" w:rsidRPr="00CD0FEB" w:rsidRDefault="00201F3F" w:rsidP="00EB0DDA">
      <w:pPr>
        <w:pStyle w:val="06Third-LevelHead123"/>
      </w:pPr>
      <w:r w:rsidRPr="00CD0FEB">
        <w:t>2.</w:t>
      </w:r>
      <w:r w:rsidRPr="00CD0FEB">
        <w:tab/>
        <w:t>Effect of Improper Deductions on Status of Other Employees</w:t>
      </w:r>
    </w:p>
    <w:p w14:paraId="14ACAB83" w14:textId="77777777" w:rsidR="00201F3F" w:rsidRPr="00CD0FEB" w:rsidRDefault="00201F3F" w:rsidP="00EB0DDA">
      <w:pPr>
        <w:pStyle w:val="10ATextWithIndent"/>
      </w:pPr>
      <w:r w:rsidRPr="00CD0FEB">
        <w:t>In the event an analysis of these and any other pertinent factors reveals that improper deductions have been made pursuant to an “actual practice,” the regulation provides that “the exemption is lost during the time period in which the improper deductions were made for employees in the same job classification working for the same managers responsible for the improper deductions.”</w:t>
      </w:r>
      <w:r>
        <w:rPr>
          <w:vertAlign w:val="superscript"/>
        </w:rPr>
        <w:footnoteReference w:id="305"/>
      </w:r>
      <w:r w:rsidRPr="00CD0FEB">
        <w:t xml:space="preserve"> Thus, “only [employees] who worked in the appropriate job classification during the relevant deduction period [are] entitled to overtime compensation under §541.603 after August 23, 2004.”</w:t>
      </w:r>
      <w:r>
        <w:rPr>
          <w:vertAlign w:val="superscript"/>
        </w:rPr>
        <w:footnoteReference w:id="306"/>
      </w:r>
      <w:r w:rsidRPr="00CD0FEB">
        <w:t xml:space="preserve"> “Employees in different job classifications or who work for different managers do not lose their status as exempt employees.”</w:t>
      </w:r>
      <w:r>
        <w:rPr>
          <w:vertAlign w:val="superscript"/>
        </w:rPr>
        <w:footnoteReference w:id="307"/>
      </w:r>
      <w:r w:rsidRPr="00CD0FEB">
        <w:t xml:space="preserve"> By way of illustration, the DOL notes that, </w:t>
      </w:r>
    </w:p>
    <w:p w14:paraId="3F3C8D77" w14:textId="77777777" w:rsidR="00201F3F" w:rsidRPr="00CD0FEB" w:rsidRDefault="00201F3F" w:rsidP="00EB0DDA">
      <w:pPr>
        <w:pStyle w:val="09BBlockQuoteWithoutIndent"/>
      </w:pPr>
      <w:r w:rsidRPr="00CD0FEB">
        <w:t>for example, if a manager at a company routinely docks the pay of engineers at that facility for partial-day personal absences, then all engineers at that facility whose pay could have been improperly docked by the manager would lose the exemption; engineers at other facilities or working for other managers, however, would remain exempt.</w:t>
      </w:r>
      <w:r>
        <w:rPr>
          <w:vertAlign w:val="superscript"/>
        </w:rPr>
        <w:footnoteReference w:id="308"/>
      </w:r>
    </w:p>
    <w:p w14:paraId="110BF602" w14:textId="77777777" w:rsidR="00201F3F" w:rsidRPr="00CD0FEB" w:rsidRDefault="00201F3F" w:rsidP="00EB0DDA">
      <w:pPr>
        <w:pStyle w:val="06Third-LevelHead123"/>
      </w:pPr>
      <w:r w:rsidRPr="00CD0FEB">
        <w:t>3.</w:t>
      </w:r>
      <w:r w:rsidRPr="00CD0FEB">
        <w:tab/>
        <w:t>Isolated or Inadvertent Deductions</w:t>
      </w:r>
    </w:p>
    <w:p w14:paraId="12E97429" w14:textId="77777777" w:rsidR="00201F3F" w:rsidRPr="00CD0FEB" w:rsidRDefault="00201F3F" w:rsidP="00EB0DDA">
      <w:pPr>
        <w:pStyle w:val="10ATextWithIndent"/>
      </w:pPr>
      <w:r w:rsidRPr="00CD0FEB">
        <w:t>In the 2004 amendments, the DOL promulgated a safe harbor provision</w:t>
      </w:r>
      <w:r>
        <w:rPr>
          <w:vertAlign w:val="superscript"/>
        </w:rPr>
        <w:footnoteReference w:id="309"/>
      </w:r>
      <w:r w:rsidRPr="00CD0FEB">
        <w:t xml:space="preserve"> whereby “[i]mproper deductions that are either isolated or inadvertent will not result in loss of the exemption for any employees subject to such improper deductions, if the employer reimburses the employee for such improper deductions.”</w:t>
      </w:r>
      <w:r>
        <w:rPr>
          <w:vertAlign w:val="superscript"/>
        </w:rPr>
        <w:footnoteReference w:id="310"/>
      </w:r>
      <w:r w:rsidRPr="00CD0FEB">
        <w:rPr>
          <w:b/>
          <w:bCs/>
        </w:rPr>
        <w:t xml:space="preserve"> </w:t>
      </w:r>
      <w:r w:rsidRPr="00CD0FEB">
        <w:t>As explained by the DOL in its preamble to the 2004 final rule, “[i]nadvertent deductions are those taken unintentionally, for example, as a result of a clerical or time-keeping error.”</w:t>
      </w:r>
      <w:r>
        <w:rPr>
          <w:vertAlign w:val="superscript"/>
        </w:rPr>
        <w:footnoteReference w:id="311"/>
      </w:r>
      <w:r w:rsidRPr="00CD0FEB">
        <w:t xml:space="preserve"> Whether a deduction is “isolated,” the DOL instructed, “is determined by reference to the factors set forth in [Section 541.603(a)],” including the time period at issue, the number and geographic location of employees impacted by the improper deductions, and the number of improper deductions as compared to the number of employee infractions warranting discipline.</w:t>
      </w:r>
      <w:r>
        <w:rPr>
          <w:vertAlign w:val="superscript"/>
        </w:rPr>
        <w:footnoteReference w:id="312"/>
      </w:r>
    </w:p>
    <w:p w14:paraId="2119FCAC" w14:textId="77777777" w:rsidR="00201F3F" w:rsidRPr="00CD0FEB" w:rsidRDefault="00201F3F" w:rsidP="00EB0DDA">
      <w:pPr>
        <w:pStyle w:val="10ATextWithIndent"/>
      </w:pPr>
      <w:r w:rsidRPr="00CD0FEB">
        <w:t xml:space="preserve">In </w:t>
      </w:r>
      <w:r w:rsidRPr="00CD0FEB">
        <w:rPr>
          <w:i/>
          <w:iCs/>
        </w:rPr>
        <w:t>Ellis v. J.R.’s Country Stores</w:t>
      </w:r>
      <w:r w:rsidRPr="00CD0FEB">
        <w:t>,</w:t>
      </w:r>
      <w:r>
        <w:rPr>
          <w:vertAlign w:val="superscript"/>
        </w:rPr>
        <w:footnoteReference w:id="313"/>
      </w:r>
      <w:r w:rsidRPr="00CD0FEB">
        <w:t xml:space="preserve"> the Tenth Circuit explained that the requirements of Section 541.603(a) are not to be read in combination, meaning that an employer does not have to demonstrate that an improper deduction is </w:t>
      </w:r>
      <w:r w:rsidRPr="00CD0FEB">
        <w:rPr>
          <w:i/>
          <w:iCs/>
        </w:rPr>
        <w:t>both</w:t>
      </w:r>
      <w:r w:rsidRPr="00CD0FEB">
        <w:t xml:space="preserve"> isolated and inadvertent; it is enough that the deductions are either isolated or inadvertent. “Thus, it is patent that the district court could choose between ‘isolated’ and ‘inadvertent’ deductions and that both alternatives could satisfy the statute.”</w:t>
      </w:r>
      <w:r>
        <w:rPr>
          <w:vertAlign w:val="superscript"/>
        </w:rPr>
        <w:footnoteReference w:id="314"/>
      </w:r>
      <w:r w:rsidRPr="00CD0FEB">
        <w:t xml:space="preserve"> Because the singular improper deduction alleged by the plaintiff was “isolated,” it did not suffice to defeat exempt status regardless of whether the deduction was “inadvertent.”</w:t>
      </w:r>
      <w:r>
        <w:rPr>
          <w:vertAlign w:val="superscript"/>
        </w:rPr>
        <w:footnoteReference w:id="315"/>
      </w:r>
    </w:p>
    <w:p w14:paraId="7CFF19AA" w14:textId="77777777" w:rsidR="00201F3F" w:rsidRPr="00CD0FEB" w:rsidRDefault="00201F3F" w:rsidP="00EB0DDA">
      <w:pPr>
        <w:pStyle w:val="06Third-LevelHead123"/>
      </w:pPr>
      <w:r w:rsidRPr="00CD0FEB">
        <w:t>4.</w:t>
      </w:r>
      <w:r w:rsidRPr="00CD0FEB">
        <w:tab/>
        <w:t>Employer “Safe Harbor”</w:t>
      </w:r>
    </w:p>
    <w:p w14:paraId="61887E06" w14:textId="77777777" w:rsidR="00201F3F" w:rsidRPr="00CD0FEB" w:rsidRDefault="00201F3F" w:rsidP="00EB0DDA">
      <w:pPr>
        <w:pStyle w:val="10ATextWithIndent"/>
      </w:pPr>
      <w:r w:rsidRPr="00CD0FEB">
        <w:t>Pursuant to the regulations’ “safe harbor” provision, an employer may preserve the exemption notwithstanding that improper deductions were made, and regardless of the reason for the improper deductions, by maintaining a clearly communicated policy prohibiting deductions proscribed under the salary basis test. To take advantage of this safe harbor, the employer’s policy must include a complaint procedure, employees must be reimbursed for any improper deductions, and the employer must make a good faith commitment to comply in the future.</w:t>
      </w:r>
      <w:r>
        <w:rPr>
          <w:vertAlign w:val="superscript"/>
        </w:rPr>
        <w:footnoteReference w:id="316"/>
      </w:r>
      <w:r w:rsidRPr="00CD0FEB">
        <w:t xml:space="preserve"> According to the regulations, </w:t>
      </w:r>
    </w:p>
    <w:p w14:paraId="4C57A257" w14:textId="77777777" w:rsidR="00201F3F" w:rsidRPr="00CD0FEB" w:rsidRDefault="00201F3F" w:rsidP="00EB0DDA">
      <w:pPr>
        <w:pStyle w:val="09BBlockQuoteWithoutIndent"/>
      </w:pPr>
      <w:r w:rsidRPr="00CD0FEB">
        <w:t>[t]he best evidence of a clearly communicated policy is a written policy that was distributed to employees prior to the improper deductions by, for example, providing a copy of the policy to employees at the time of hire, publishing the policy in an employee handbook or publishing the policy on the employer’s Intranet.</w:t>
      </w:r>
      <w:r>
        <w:rPr>
          <w:vertAlign w:val="superscript"/>
        </w:rPr>
        <w:footnoteReference w:id="317"/>
      </w:r>
    </w:p>
    <w:p w14:paraId="58FBCE9A" w14:textId="77777777" w:rsidR="00201F3F" w:rsidRPr="00CD0FEB" w:rsidRDefault="00201F3F" w:rsidP="00EB0DDA">
      <w:pPr>
        <w:pStyle w:val="10ATextWithIndent"/>
      </w:pPr>
      <w:r w:rsidRPr="00CD0FEB">
        <w:t>The protections afforded by the safe harbor are lost, however, if the employer “willfully violates the policy by continuing to make improper deductions after receiving employee complaints.”</w:t>
      </w:r>
      <w:r>
        <w:rPr>
          <w:vertAlign w:val="superscript"/>
        </w:rPr>
        <w:footnoteReference w:id="318"/>
      </w:r>
      <w:r w:rsidRPr="00CD0FEB">
        <w:t xml:space="preserve"> More particularly, the regulation states that </w:t>
      </w:r>
    </w:p>
    <w:p w14:paraId="4F31D278" w14:textId="77777777" w:rsidR="00201F3F" w:rsidRPr="00CD0FEB" w:rsidRDefault="00201F3F" w:rsidP="00EB0DDA">
      <w:pPr>
        <w:pStyle w:val="09BBlockQuoteWithoutIndent"/>
      </w:pPr>
      <w:r w:rsidRPr="00CD0FEB">
        <w:t>[i]f an employer fails to reimburse employees for any improper deductions or continues to make improper deductions after receiving employee complaints, the exemption is lost during the period in which the improper deductions were made for employees in the same job classification working for the same managers responsible for the actual improper deductions.</w:t>
      </w:r>
      <w:r>
        <w:rPr>
          <w:vertAlign w:val="superscript"/>
        </w:rPr>
        <w:footnoteReference w:id="319"/>
      </w:r>
    </w:p>
    <w:p w14:paraId="45642E58" w14:textId="77777777" w:rsidR="00201F3F" w:rsidRPr="00CD0FEB" w:rsidRDefault="00201F3F" w:rsidP="00EB0DDA">
      <w:pPr>
        <w:pStyle w:val="10ATextWithIndent"/>
      </w:pPr>
      <w:r w:rsidRPr="00CD0FEB">
        <w:t>In the DOL’s view, the “safe harbor provision is an appropriate mechanism to encourage employers to adopt and communicate employment policies prohibiting improper pay deductions, while continuing to ensure that employees whose pay is reduced in violation of the salary basis test are made whole.”</w:t>
      </w:r>
      <w:r>
        <w:rPr>
          <w:vertAlign w:val="superscript"/>
        </w:rPr>
        <w:footnoteReference w:id="320"/>
      </w:r>
      <w:r w:rsidRPr="00CD0FEB">
        <w:t xml:space="preserve"> According to the DOL, the safe harbor provision therefore “achieves the goals … of both encouraging employers to adopt ‘proactive management practices’ that demonstrate the employer’s intent to pay on a salary basis, and correcting violative payroll practices.”</w:t>
      </w:r>
      <w:r>
        <w:rPr>
          <w:vertAlign w:val="superscript"/>
        </w:rPr>
        <w:footnoteReference w:id="321"/>
      </w:r>
      <w:r w:rsidRPr="00CD0FEB">
        <w:t xml:space="preserve"> In furtherance of these objectives, the DOL directs that its regulation detailing the effect of making improper deductions “not be construed in an unduly technical manner so as to defeat the exemption.”</w:t>
      </w:r>
      <w:r>
        <w:rPr>
          <w:vertAlign w:val="superscript"/>
        </w:rPr>
        <w:footnoteReference w:id="322"/>
      </w:r>
    </w:p>
    <w:p w14:paraId="2F52BD43" w14:textId="77777777" w:rsidR="00201F3F" w:rsidRPr="00CD0FEB" w:rsidRDefault="00201F3F" w:rsidP="00EB0DDA">
      <w:pPr>
        <w:pStyle w:val="05Second-LevelHeadABC"/>
      </w:pPr>
      <w:r w:rsidRPr="00CD0FEB">
        <w:t>G.</w:t>
      </w:r>
      <w:r w:rsidRPr="00CD0FEB">
        <w:tab/>
        <w:t>Fee Basis Alternative for Professional and Administrative Exemptions</w:t>
      </w:r>
    </w:p>
    <w:p w14:paraId="14337E45" w14:textId="77777777" w:rsidR="00201F3F" w:rsidRPr="00CD0FEB" w:rsidRDefault="00201F3F" w:rsidP="00EB0DDA">
      <w:pPr>
        <w:pStyle w:val="10ATextWithIndent"/>
      </w:pPr>
      <w:r w:rsidRPr="00CD0FEB">
        <w:t>Professional and administrative employees may satisfy the compensation requirements for exemption by meeting a fee basis test, as an alternative to the salary basis test.</w:t>
      </w:r>
      <w:r>
        <w:rPr>
          <w:vertAlign w:val="superscript"/>
        </w:rPr>
        <w:footnoteReference w:id="323"/>
      </w:r>
      <w:r w:rsidRPr="00CD0FEB">
        <w:t xml:space="preserve"> Fee basis arrangements are characterized by the payment of “an agreed sum for a single job regardless of the time required for its completion.”</w:t>
      </w:r>
      <w:r>
        <w:rPr>
          <w:vertAlign w:val="superscript"/>
        </w:rPr>
        <w:footnoteReference w:id="324"/>
      </w:r>
      <w:r w:rsidRPr="00CD0FEB">
        <w:t xml:space="preserve"> This can be difficult to distinguish from payment on a piecework basis. The DOL regulations explain that “generally a ‘fee’ is paid for the kind of job that is unique rather than for a series of jobs repeated an indefinite number of times and for which payment on an identical basis is made over and over again.”</w:t>
      </w:r>
      <w:r>
        <w:rPr>
          <w:vertAlign w:val="superscript"/>
        </w:rPr>
        <w:footnoteReference w:id="325"/>
      </w:r>
    </w:p>
    <w:p w14:paraId="167FE91F" w14:textId="77777777" w:rsidR="00201F3F" w:rsidRPr="00CD0FEB" w:rsidRDefault="00201F3F" w:rsidP="00EB0DDA">
      <w:pPr>
        <w:pStyle w:val="10ATextWithIndent"/>
      </w:pPr>
      <w:r w:rsidRPr="00CD0FEB">
        <w:t>A fee basis arrangement is typified by payment for the accomplishment of a given single task, not payments based on the number of hours or days worked.</w:t>
      </w:r>
      <w:r>
        <w:rPr>
          <w:vertAlign w:val="superscript"/>
        </w:rPr>
        <w:footnoteReference w:id="326"/>
      </w:r>
      <w:r w:rsidRPr="00CD0FEB">
        <w:t xml:space="preserve"> For example, in </w:t>
      </w:r>
      <w:r w:rsidRPr="00CD0FEB">
        <w:rPr>
          <w:i/>
          <w:iCs/>
        </w:rPr>
        <w:t>Fazekas v. Cleveland Clinic Health Care Ventures</w:t>
      </w:r>
      <w:r w:rsidRPr="00CD0FEB">
        <w:t>,</w:t>
      </w:r>
      <w:r>
        <w:rPr>
          <w:vertAlign w:val="superscript"/>
        </w:rPr>
        <w:footnoteReference w:id="327"/>
      </w:r>
      <w:r w:rsidRPr="00CD0FEB">
        <w:t xml:space="preserve"> the Sixth Circuit held that per-visit payments to nurses qualified as payment on a fee basis because each visit involved unique care for individual patients. However, where a health care worker performed a significant amount of rote duties in addition to providing individualized patient care, the district court, in </w:t>
      </w:r>
      <w:r w:rsidRPr="00CD0FEB">
        <w:rPr>
          <w:i/>
          <w:iCs/>
        </w:rPr>
        <w:t>Cook v. Carestar, Inc.</w:t>
      </w:r>
      <w:r w:rsidRPr="00CD0FEB">
        <w:t>, found that task-based payments were more akin to piecework.</w:t>
      </w:r>
      <w:r>
        <w:rPr>
          <w:vertAlign w:val="superscript"/>
        </w:rPr>
        <w:footnoteReference w:id="328"/>
      </w:r>
      <w:r w:rsidRPr="00CD0FEB">
        <w:t xml:space="preserve"> The court distinguished </w:t>
      </w:r>
      <w:r w:rsidRPr="00CD0FEB">
        <w:rPr>
          <w:i/>
          <w:iCs/>
        </w:rPr>
        <w:t>Fazekas</w:t>
      </w:r>
      <w:r w:rsidRPr="00CD0FEB">
        <w:t>, finding that the services nurses there</w:t>
      </w:r>
      <w:r w:rsidRPr="00CD0FEB">
        <w:rPr>
          <w:i/>
          <w:iCs/>
        </w:rPr>
        <w:t xml:space="preserve"> </w:t>
      </w:r>
      <w:r w:rsidRPr="00CD0FEB">
        <w:t xml:space="preserve">were paid for each home health visit regardless of length, but in </w:t>
      </w:r>
      <w:r w:rsidRPr="00CD0FEB">
        <w:rPr>
          <w:i/>
          <w:iCs/>
        </w:rPr>
        <w:t>Cook</w:t>
      </w:r>
      <w:r w:rsidRPr="00CD0FEB">
        <w:t>, the plaintiffs were case managers who were not paid a set amount per discrete service; instead they performed a variety of different services that might include a visit, and were paid based on the points assigned to the client. The court found that this was not payment</w:t>
      </w:r>
      <w:r w:rsidRPr="00CD0FEB">
        <w:rPr>
          <w:i/>
          <w:iCs/>
        </w:rPr>
        <w:t xml:space="preserve"> </w:t>
      </w:r>
      <w:r w:rsidRPr="00CD0FEB">
        <w:t>on a fee basis.</w:t>
      </w:r>
    </w:p>
    <w:p w14:paraId="441F0BC0" w14:textId="77777777" w:rsidR="00201F3F" w:rsidRPr="00CD0FEB" w:rsidRDefault="00201F3F" w:rsidP="00EB0DDA">
      <w:pPr>
        <w:pStyle w:val="10ATextWithIndent"/>
      </w:pPr>
      <w:r w:rsidRPr="00CD0FEB">
        <w:t>A determination of whether a payment qualifies as a fee also may be affected by other compensation paid to the employee. For instance, the Sixth Circuit held that nurses who received a flat fee amount for patient visits are nevertheless not fee basis workers where they receive additional hours-based compensation for meetings and on-call duty.</w:t>
      </w:r>
      <w:r>
        <w:rPr>
          <w:vertAlign w:val="superscript"/>
        </w:rPr>
        <w:footnoteReference w:id="329"/>
      </w:r>
      <w:r w:rsidRPr="00CD0FEB">
        <w:t xml:space="preserve"> The court emphasized that the regulation dealing with fee payments, unlike the salary basis regulation, did not explicitly allow for additional compensation.</w:t>
      </w:r>
      <w:r>
        <w:rPr>
          <w:vertAlign w:val="superscript"/>
        </w:rPr>
        <w:footnoteReference w:id="330"/>
      </w:r>
    </w:p>
    <w:p w14:paraId="76129525" w14:textId="77777777" w:rsidR="00201F3F" w:rsidRPr="00CD0FEB" w:rsidRDefault="00201F3F" w:rsidP="00EB0DDA">
      <w:pPr>
        <w:pStyle w:val="10ATextWithIndent"/>
      </w:pPr>
      <w:r w:rsidRPr="00CD0FEB">
        <w:t>The 2004 regulations continue to require that the fee payment “be tested by determining the time worked on the job and whether the fee payment is at a rate that would amount to at least $455 per week if the employee worked 40 hours.”</w:t>
      </w:r>
      <w:r>
        <w:rPr>
          <w:vertAlign w:val="superscript"/>
        </w:rPr>
        <w:footnoteReference w:id="331"/>
      </w:r>
      <w:r w:rsidRPr="00CD0FEB">
        <w:t xml:space="preserve"> By way of example, and based on the salary threshold in effect at the time, “an artist paid $250 for a picture that took 20 hours to complete meets the minimum salary requirement for exemption since earnings at this rate would yield the artist $500 if 40 hours were worked.”</w:t>
      </w:r>
      <w:r>
        <w:rPr>
          <w:vertAlign w:val="superscript"/>
        </w:rPr>
        <w:footnoteReference w:id="332"/>
      </w:r>
    </w:p>
    <w:p w14:paraId="41F0A8D3" w14:textId="77777777" w:rsidR="00201F3F" w:rsidRPr="00CD0FEB" w:rsidRDefault="00201F3F" w:rsidP="00EB0DDA">
      <w:pPr>
        <w:pStyle w:val="04First-LevelHeadIIIIII"/>
      </w:pPr>
      <w:r w:rsidRPr="00CD0FEB">
        <w:t>V.</w:t>
      </w:r>
      <w:r w:rsidRPr="00CD0FEB">
        <w:t> </w:t>
      </w:r>
      <w:r w:rsidRPr="00CD0FEB">
        <w:t>The Executive Exemption</w:t>
      </w:r>
    </w:p>
    <w:p w14:paraId="48896E35" w14:textId="77777777" w:rsidR="00201F3F" w:rsidRPr="00CD0FEB" w:rsidRDefault="00201F3F" w:rsidP="00EB0DDA">
      <w:pPr>
        <w:pStyle w:val="10ATextWithIndent"/>
      </w:pPr>
      <w:r w:rsidRPr="00CD0FEB">
        <w:t>In addition to satisfying the compensation form and amount requirements, to be deemed “employed in a bona fide executive capacity” an employee must meet a “duties” test,</w:t>
      </w:r>
      <w:r>
        <w:rPr>
          <w:vertAlign w:val="superscript"/>
        </w:rPr>
        <w:footnoteReference w:id="333"/>
      </w:r>
      <w:r w:rsidRPr="00CD0FEB">
        <w:t xml:space="preserve"> meaning the employee must</w:t>
      </w:r>
    </w:p>
    <w:p w14:paraId="5B55D300" w14:textId="77777777" w:rsidR="00201F3F" w:rsidRPr="00CD0FEB" w:rsidRDefault="00201F3F" w:rsidP="00EB0DDA">
      <w:pPr>
        <w:pStyle w:val="11AFirst-LevelList123forshortphrases"/>
      </w:pPr>
      <w:r w:rsidRPr="00CD0FEB">
        <w:t>(1)</w:t>
      </w:r>
      <w:r w:rsidRPr="00CD0FEB">
        <w:tab/>
        <w:t>have as his or her primary duty managing the enterprise in which the employee is employed, or a customarily recognized department or subdivision thereof;</w:t>
      </w:r>
      <w:r>
        <w:rPr>
          <w:vertAlign w:val="superscript"/>
        </w:rPr>
        <w:footnoteReference w:id="334"/>
      </w:r>
    </w:p>
    <w:p w14:paraId="068C887C" w14:textId="77777777" w:rsidR="00201F3F" w:rsidRPr="00CD0FEB" w:rsidRDefault="00201F3F" w:rsidP="00EB0DDA">
      <w:pPr>
        <w:pStyle w:val="11AFirst-LevelList123forshortphrases"/>
      </w:pPr>
      <w:r w:rsidRPr="00CD0FEB">
        <w:t>(2)</w:t>
      </w:r>
      <w:r w:rsidRPr="00CD0FEB">
        <w:tab/>
        <w:t>customarily and regularly direct the work of two or more other employees; and</w:t>
      </w:r>
      <w:r>
        <w:rPr>
          <w:vertAlign w:val="superscript"/>
        </w:rPr>
        <w:footnoteReference w:id="335"/>
      </w:r>
    </w:p>
    <w:p w14:paraId="585CBC96" w14:textId="77777777" w:rsidR="00201F3F" w:rsidRPr="00CD0FEB" w:rsidRDefault="00201F3F" w:rsidP="00EB0DDA">
      <w:pPr>
        <w:pStyle w:val="11AFirst-LevelList123forshortphrases"/>
      </w:pPr>
      <w:r w:rsidRPr="00CD0FEB">
        <w:t>(3)</w:t>
      </w:r>
      <w:r w:rsidRPr="00CD0FEB">
        <w:tab/>
        <w:t>have the authority to hire and fire other employees, or make suggestions and recommendations that are given particular weight as to hiring, firing, advancement, promotion, or any other change of status of other employees.</w:t>
      </w:r>
      <w:r>
        <w:rPr>
          <w:vertAlign w:val="superscript"/>
        </w:rPr>
        <w:footnoteReference w:id="336"/>
      </w:r>
    </w:p>
    <w:p w14:paraId="78BBA187" w14:textId="77777777" w:rsidR="00201F3F" w:rsidRPr="00CD0FEB" w:rsidRDefault="00201F3F" w:rsidP="00EB0DDA">
      <w:pPr>
        <w:pStyle w:val="10BTextWithoutIndent"/>
      </w:pPr>
      <w:r w:rsidRPr="00CD0FEB">
        <w:t>All these requirements must be met for the exemption to apply.</w:t>
      </w:r>
      <w:r>
        <w:rPr>
          <w:vertAlign w:val="superscript"/>
        </w:rPr>
        <w:footnoteReference w:id="337"/>
      </w:r>
    </w:p>
    <w:p w14:paraId="5130AC7B" w14:textId="77777777" w:rsidR="00201F3F" w:rsidRPr="00CD0FEB" w:rsidRDefault="00201F3F" w:rsidP="00EB0DDA">
      <w:pPr>
        <w:pStyle w:val="10ATextWithIndent"/>
      </w:pPr>
      <w:r w:rsidRPr="00CD0FEB">
        <w:t>In the public sector, a regulation unique to public safety employees governs the executive, administrative, and professional exemptions.</w:t>
      </w:r>
      <w:r>
        <w:rPr>
          <w:vertAlign w:val="superscript"/>
        </w:rPr>
        <w:footnoteReference w:id="338"/>
      </w:r>
      <w:r w:rsidRPr="00CD0FEB">
        <w:t xml:space="preserve"> This is discussed in Chapter 11, Government Employment, §IV.A [FLSA Exemptions Applied to Public Sector Employees; The White-Collar Exemptions].</w:t>
      </w:r>
    </w:p>
    <w:p w14:paraId="5355CF03" w14:textId="77777777" w:rsidR="00201F3F" w:rsidRPr="00CD0FEB" w:rsidRDefault="00201F3F" w:rsidP="00EB0DDA">
      <w:pPr>
        <w:pStyle w:val="05Second-LevelHeadABC"/>
      </w:pPr>
      <w:r w:rsidRPr="00CD0FEB">
        <w:t>A.</w:t>
      </w:r>
      <w:r w:rsidRPr="00CD0FEB">
        <w:tab/>
        <w:t>Management Duties</w:t>
      </w:r>
    </w:p>
    <w:p w14:paraId="1DF38840" w14:textId="77777777" w:rsidR="00201F3F" w:rsidRPr="00CD0FEB" w:rsidRDefault="00201F3F" w:rsidP="00EB0DDA">
      <w:pPr>
        <w:pStyle w:val="10ATextWithIndent"/>
      </w:pPr>
      <w:r w:rsidRPr="00CD0FEB">
        <w:t>The DOL regulations provide examples of traditional management activities: interviewing, selecting, and training employees; setting and adjusting employees’ rates of pay and hours of work; directing employees’ work; maintaining production or sales records for use in supervision or control; appraising employees’ productivity and efficiency for purposes of recommending promotions or other changes in status; handling employee complaints and grievances; imposing discipline; planning the work; determining the techniques to be used; apportioning the work among the employees; determining the type of materials, supplies, machinery, or tools to be used or merchandise to be bought, stocked, and sold; controlling the flow and distribution of materials or merchandise and supplies; providing for the safety of the employees or the company’s property; budget planning and control; and monitoring or implementing legal compliance measures.</w:t>
      </w:r>
      <w:r>
        <w:rPr>
          <w:vertAlign w:val="superscript"/>
        </w:rPr>
        <w:footnoteReference w:id="339"/>
      </w:r>
      <w:r w:rsidRPr="00CD0FEB">
        <w:t xml:space="preserve"> These examples are illustrative; the determination of whether an employee’s primary duty is management is fact specific.</w:t>
      </w:r>
    </w:p>
    <w:p w14:paraId="22BEB0C8" w14:textId="77777777" w:rsidR="00201F3F" w:rsidRPr="00CD0FEB" w:rsidRDefault="00201F3F" w:rsidP="00EB0DDA">
      <w:pPr>
        <w:pStyle w:val="10ATextWithIndent"/>
      </w:pPr>
      <w:r w:rsidRPr="00CD0FEB">
        <w:t>An employee need not exercise all of the management functions listed in 29 C.F.R. §541.102 in order to be classified as an exempt executive, nor is the list exclusive.</w:t>
      </w:r>
      <w:r>
        <w:rPr>
          <w:vertAlign w:val="superscript"/>
        </w:rPr>
        <w:footnoteReference w:id="340"/>
      </w:r>
      <w:r w:rsidRPr="00CD0FEB">
        <w:t xml:space="preserve"> For example, the DOL explains that the list does not include “handling customer complaint[s]” because it is the type of function that may take on either an exempt or nonexempt quality: a customer service representative may field customer complaints but not be acting “in a management capacity” while a manager in a restaurant may handle complaints “as the individual responsible for the functioning of the operation.”</w:t>
      </w:r>
      <w:r>
        <w:rPr>
          <w:vertAlign w:val="superscript"/>
        </w:rPr>
        <w:footnoteReference w:id="341"/>
      </w:r>
      <w:r w:rsidRPr="00CD0FEB">
        <w:t xml:space="preserve"> The context in which duties are performed may be key.</w:t>
      </w:r>
      <w:r>
        <w:rPr>
          <w:vertAlign w:val="superscript"/>
        </w:rPr>
        <w:footnoteReference w:id="342"/>
      </w:r>
      <w:r w:rsidRPr="00CD0FEB">
        <w:t xml:space="preserve"> When managerial duties are few and far between, an employee will not be considered a manager.</w:t>
      </w:r>
      <w:r>
        <w:rPr>
          <w:vertAlign w:val="superscript"/>
        </w:rPr>
        <w:footnoteReference w:id="343"/>
      </w:r>
    </w:p>
    <w:p w14:paraId="08909E9C" w14:textId="77777777" w:rsidR="00201F3F" w:rsidRPr="00CD0FEB" w:rsidRDefault="00201F3F" w:rsidP="00EB0DDA">
      <w:pPr>
        <w:pStyle w:val="05Second-LevelHeadABC"/>
      </w:pPr>
      <w:r w:rsidRPr="00CD0FEB">
        <w:t>B.</w:t>
      </w:r>
      <w:r w:rsidRPr="00CD0FEB">
        <w:tab/>
        <w:t>Primary Duty of Managing</w:t>
      </w:r>
    </w:p>
    <w:p w14:paraId="2F2171C2" w14:textId="77777777" w:rsidR="00201F3F" w:rsidRPr="00CD0FEB" w:rsidRDefault="00201F3F" w:rsidP="000700AA">
      <w:pPr>
        <w:pStyle w:val="text"/>
      </w:pPr>
      <w:r w:rsidRPr="00CD0FEB">
        <w:t xml:space="preserve">Most “duties disputes” turn on whether the managerial work constitutes the employee’s </w:t>
      </w:r>
      <w:r w:rsidRPr="00CD0FEB">
        <w:rPr>
          <w:i/>
          <w:iCs/>
        </w:rPr>
        <w:t>primary</w:t>
      </w:r>
      <w:r w:rsidRPr="00CD0FEB">
        <w:t xml:space="preserve"> duty.</w:t>
      </w:r>
      <w:r>
        <w:rPr>
          <w:vertAlign w:val="superscript"/>
        </w:rPr>
        <w:footnoteReference w:id="344"/>
      </w:r>
      <w:r w:rsidRPr="00CD0FEB">
        <w:t xml:space="preserve"> An employee who spends more than 50 percent of his or her time on exempt work “will generally satisfy the primary duty requirement.”</w:t>
      </w:r>
      <w:r>
        <w:rPr>
          <w:vertAlign w:val="superscript"/>
        </w:rPr>
        <w:footnoteReference w:id="345"/>
      </w:r>
      <w:r w:rsidRPr="00CD0FEB">
        <w:t xml:space="preserve"> Where the time spent on exempt duties is less than 50 percent, the courts have applied a different analysis to determine if “managing” is the employee’s primary duty.</w:t>
      </w:r>
    </w:p>
    <w:p w14:paraId="3115E3F6" w14:textId="77777777" w:rsidR="00201F3F" w:rsidRPr="00CD0FEB" w:rsidRDefault="00201F3F" w:rsidP="00EB0DDA">
      <w:pPr>
        <w:pStyle w:val="06Third-LevelHead123"/>
      </w:pPr>
      <w:r w:rsidRPr="00CD0FEB">
        <w:t>1.</w:t>
      </w:r>
      <w:r w:rsidRPr="00CD0FEB">
        <w:tab/>
        <w:t>Performing Management Duties</w:t>
      </w:r>
    </w:p>
    <w:p w14:paraId="2FD72EF5" w14:textId="77777777" w:rsidR="00201F3F" w:rsidRPr="00CD0FEB" w:rsidRDefault="00201F3F" w:rsidP="00EB0DDA">
      <w:pPr>
        <w:pStyle w:val="10ATextWithIndent"/>
      </w:pPr>
      <w:r w:rsidRPr="00CD0FEB">
        <w:t>As noted by the DOL:</w:t>
      </w:r>
    </w:p>
    <w:p w14:paraId="6D3137A1" w14:textId="77777777" w:rsidR="00201F3F" w:rsidRPr="00CD0FEB" w:rsidRDefault="00201F3F" w:rsidP="00EB0DDA">
      <w:pPr>
        <w:pStyle w:val="09BBlockQuoteWithoutIndent"/>
      </w:pPr>
      <w:r w:rsidRPr="00CD0FEB">
        <w:t>Generally, exempt executives make the decision regarding when to perform nonexempt duties and remain responsible for the success or failure of business operations under their management while performing the nonexempt work. In contrast, the nonexempt employee generally is directed by a supervisor to perform the exempt work or performs the exempt work for defined time periods. An employee whose primary duty is ordinary production work or routine, recurrent or repetitive tasks cannot qualify for exemption as an executive.</w:t>
      </w:r>
      <w:r>
        <w:rPr>
          <w:vertAlign w:val="superscript"/>
        </w:rPr>
        <w:footnoteReference w:id="346"/>
      </w:r>
    </w:p>
    <w:p w14:paraId="14301866" w14:textId="77777777" w:rsidR="00201F3F" w:rsidRPr="00CD0FEB" w:rsidRDefault="00201F3F" w:rsidP="00EB0DDA">
      <w:pPr>
        <w:pStyle w:val="10ATextWithIndent"/>
      </w:pPr>
      <w:r w:rsidRPr="00CD0FEB">
        <w:t>Accordingly, exempt work includes work that is “directly and closely related” to managerial tasks,</w:t>
      </w:r>
      <w:r>
        <w:rPr>
          <w:vertAlign w:val="superscript"/>
        </w:rPr>
        <w:footnoteReference w:id="347"/>
      </w:r>
      <w:r w:rsidRPr="00CD0FEB">
        <w:t xml:space="preserve"> “mean[ing] tasks that are related to exempt duties and contribute to or facilitate performance of exempt work.”</w:t>
      </w:r>
      <w:r>
        <w:rPr>
          <w:vertAlign w:val="superscript"/>
        </w:rPr>
        <w:footnoteReference w:id="348"/>
      </w:r>
    </w:p>
    <w:p w14:paraId="1424ACBE" w14:textId="77777777" w:rsidR="00201F3F" w:rsidRPr="00CD0FEB" w:rsidRDefault="00201F3F" w:rsidP="00EB0DDA">
      <w:pPr>
        <w:pStyle w:val="10ATextWithIndent"/>
      </w:pPr>
      <w:r w:rsidRPr="00CD0FEB">
        <w:t>An employee who is in training to assume managerial responsibilities is not exempt,</w:t>
      </w:r>
      <w:r>
        <w:rPr>
          <w:vertAlign w:val="superscript"/>
        </w:rPr>
        <w:footnoteReference w:id="349"/>
      </w:r>
      <w:r w:rsidRPr="00CD0FEB">
        <w:t xml:space="preserve"> but a manager properly classified as an exempt executive does not lose exempt status while the manager is undergoing additional training.</w:t>
      </w:r>
      <w:r>
        <w:rPr>
          <w:vertAlign w:val="superscript"/>
        </w:rPr>
        <w:footnoteReference w:id="350"/>
      </w:r>
    </w:p>
    <w:p w14:paraId="5E03A487" w14:textId="77777777" w:rsidR="00201F3F" w:rsidRPr="00CD0FEB" w:rsidRDefault="00201F3F" w:rsidP="00EB0DDA">
      <w:pPr>
        <w:pStyle w:val="10ATextWithIndent"/>
      </w:pPr>
      <w:r w:rsidRPr="00CD0FEB">
        <w:t>The supervision of other employees is clearly a management duty.</w:t>
      </w:r>
      <w:r>
        <w:rPr>
          <w:vertAlign w:val="superscript"/>
        </w:rPr>
        <w:footnoteReference w:id="351"/>
      </w:r>
      <w:r w:rsidRPr="00CD0FEB">
        <w:t xml:space="preserve"> The fact that a company has well-defined policies and spells out an executive’s supervisory tasks in great detail may not affect the characterization of these tasks as being exempt</w:t>
      </w:r>
      <w:r>
        <w:rPr>
          <w:vertAlign w:val="superscript"/>
        </w:rPr>
        <w:footnoteReference w:id="352"/>
      </w:r>
      <w:r w:rsidRPr="00CD0FEB">
        <w:t>—ensuring that a company’s policies are carried out has been described by one court as the “very essence of supervisory work.”</w:t>
      </w:r>
      <w:r>
        <w:rPr>
          <w:vertAlign w:val="superscript"/>
        </w:rPr>
        <w:footnoteReference w:id="353"/>
      </w:r>
      <w:r w:rsidRPr="00CD0FEB">
        <w:t xml:space="preserve"> Likewise, oversight by an active superior, or periodic visits by a regional manager, may be indicative of an absence of unfettered managerial authority, but it does not necessarily eliminate the managerial role of an on-site store manager.</w:t>
      </w:r>
      <w:r>
        <w:rPr>
          <w:vertAlign w:val="superscript"/>
        </w:rPr>
        <w:footnoteReference w:id="354"/>
      </w:r>
      <w:r w:rsidRPr="00CD0FEB">
        <w:t xml:space="preserve"> On the other hand, employees have been deemed nonexempt where they exercise insufficient discretion and autonomy to support management as their primary duty.</w:t>
      </w:r>
      <w:r>
        <w:rPr>
          <w:vertAlign w:val="superscript"/>
        </w:rPr>
        <w:footnoteReference w:id="355"/>
      </w:r>
    </w:p>
    <w:p w14:paraId="4CCBAF07" w14:textId="77777777" w:rsidR="00201F3F" w:rsidRPr="00CD0FEB" w:rsidRDefault="00201F3F" w:rsidP="00EB0DDA">
      <w:pPr>
        <w:pStyle w:val="10ATextWithIndent"/>
      </w:pPr>
      <w:r w:rsidRPr="00CD0FEB">
        <w:t>Thus, although it may be an important factor in the primary duty analysis, being “in charge” of a subdivision of a business does not itself ensure a finding of exempt status.</w:t>
      </w:r>
      <w:r>
        <w:rPr>
          <w:vertAlign w:val="superscript"/>
        </w:rPr>
        <w:footnoteReference w:id="356"/>
      </w:r>
      <w:r w:rsidRPr="00CD0FEB">
        <w:t xml:space="preserve"> In </w:t>
      </w:r>
      <w:r w:rsidRPr="00CD0FEB">
        <w:rPr>
          <w:i/>
          <w:iCs/>
        </w:rPr>
        <w:t>Morgan v. Family Dollar Stores, Inc.</w:t>
      </w:r>
      <w:r w:rsidRPr="00CD0FEB">
        <w:t>,</w:t>
      </w:r>
      <w:r>
        <w:rPr>
          <w:vertAlign w:val="superscript"/>
        </w:rPr>
        <w:footnoteReference w:id="357"/>
      </w:r>
      <w:r w:rsidRPr="00CD0FEB">
        <w:t xml:space="preserve"> the Eleventh Circuit squarely rejected the employer’s contention that because the store managers in question were “in charge” of the store, they were necessarily exempt as a matter of law. The court emphasized that “[i]n answering the primary duty inquiry, courts do not ‘simply slap on a talismanic phrase’” and expressed the view that “Family Dollar’s ‘in charge’ label strikes us as a way to bypass a meaningful application of the fact-intensive factors.”</w:t>
      </w:r>
      <w:r>
        <w:rPr>
          <w:vertAlign w:val="superscript"/>
        </w:rPr>
        <w:footnoteReference w:id="358"/>
      </w:r>
      <w:r w:rsidRPr="00CD0FEB">
        <w:t xml:space="preserve"> The court, therefore, rejected that “categorical approach.”</w:t>
      </w:r>
      <w:r>
        <w:rPr>
          <w:vertAlign w:val="superscript"/>
        </w:rPr>
        <w:footnoteReference w:id="359"/>
      </w:r>
    </w:p>
    <w:p w14:paraId="3D066D2B" w14:textId="77777777" w:rsidR="00201F3F" w:rsidRPr="00CD0FEB" w:rsidRDefault="00201F3F" w:rsidP="00EB0DDA">
      <w:pPr>
        <w:pStyle w:val="10ATextWithIndent"/>
      </w:pPr>
      <w:r w:rsidRPr="00CD0FEB">
        <w:t>A more precise approach considers whether management is an executive’s most important duty.</w:t>
      </w:r>
      <w:r>
        <w:rPr>
          <w:vertAlign w:val="superscript"/>
        </w:rPr>
        <w:footnoteReference w:id="360"/>
      </w:r>
      <w:r w:rsidRPr="00CD0FEB">
        <w:t xml:space="preserve"> Although one court has considered whether the employee’s management functions are “crucial” to the success of the business,</w:t>
      </w:r>
      <w:r>
        <w:rPr>
          <w:vertAlign w:val="superscript"/>
        </w:rPr>
        <w:footnoteReference w:id="361"/>
      </w:r>
      <w:r w:rsidRPr="00CD0FEB">
        <w:t xml:space="preserve"> the regulations do not contemplate that such a heightened standard be applied for purposes of determining an executive employee’s primary duty.</w:t>
      </w:r>
      <w:r>
        <w:rPr>
          <w:vertAlign w:val="superscript"/>
        </w:rPr>
        <w:footnoteReference w:id="362"/>
      </w:r>
    </w:p>
    <w:p w14:paraId="3A96EB5B" w14:textId="77777777" w:rsidR="00201F3F" w:rsidRPr="00CD0FEB" w:rsidRDefault="00201F3F" w:rsidP="00EB0DDA">
      <w:pPr>
        <w:pStyle w:val="10ATextWithIndent"/>
      </w:pPr>
      <w:r w:rsidRPr="00CD0FEB">
        <w:t>In a 2006 opinion letter,</w:t>
      </w:r>
      <w:r>
        <w:rPr>
          <w:vertAlign w:val="superscript"/>
        </w:rPr>
        <w:footnoteReference w:id="363"/>
      </w:r>
      <w:r w:rsidRPr="00CD0FEB">
        <w:t xml:space="preserve"> the DOL considered whether an otherwise exempt gasoline service station manager would fail the “primary duty test of management” if asked to perform certain duties outside the normal scope of his or her regular job. The employee managed an independent branch gas station but he was asked at times to cover for managers at other branches who were absent due to illness or vacation. When filling in for absent workers, the manager performed duties such as bookkeeping and training new managers to pump gas and wait on customers. The WHD concluded that because both bookkeeping and training are considered exempt management type of work, a manager asked to perform these duties would remain exempt. The nonexempt work performed by the employee, such as pumping gas and waiting on customers due to a shortage of help, was required only on rare occasions—usually once per year and only for a few hours at a time, but occasionally up to eight hours. The WHD stated that the manager in this scenario would typically remain exempt, even when performing nonexempt duties for a full day, so long as these duties were performed at “very irregular infrequent intervals.”</w:t>
      </w:r>
      <w:r>
        <w:rPr>
          <w:vertAlign w:val="superscript"/>
        </w:rPr>
        <w:footnoteReference w:id="364"/>
      </w:r>
    </w:p>
    <w:p w14:paraId="4ACFC8A4" w14:textId="77777777" w:rsidR="00201F3F" w:rsidRPr="00CD0FEB" w:rsidRDefault="00201F3F" w:rsidP="00EB0DDA">
      <w:pPr>
        <w:pStyle w:val="06Third-LevelHead123"/>
      </w:pPr>
      <w:r w:rsidRPr="00CD0FEB">
        <w:t>2.</w:t>
      </w:r>
      <w:r w:rsidRPr="00CD0FEB">
        <w:tab/>
        <w:t>Performing Management Duties Less Than 50 Percent of the Time</w:t>
      </w:r>
    </w:p>
    <w:p w14:paraId="20511977" w14:textId="77777777" w:rsidR="00201F3F" w:rsidRPr="00CD0FEB" w:rsidRDefault="00201F3F" w:rsidP="00EB0DDA">
      <w:pPr>
        <w:pStyle w:val="10ATextWithIndent"/>
      </w:pPr>
      <w:r w:rsidRPr="00CD0FEB">
        <w:t>As noted above, the amount of time spent performing exempt work can be a useful guide in determining whether the exempt work is the primary duty of the employee.</w:t>
      </w:r>
      <w:r>
        <w:rPr>
          <w:vertAlign w:val="superscript"/>
        </w:rPr>
        <w:footnoteReference w:id="365"/>
      </w:r>
      <w:r w:rsidRPr="00CD0FEB">
        <w:t xml:space="preserve"> However, as the regulations note, “time alone is not the sole test, and nothing in [the 541 regulations] requires that exempt employees spend more than 50 percent of their time performing exempt work.”</w:t>
      </w:r>
      <w:r>
        <w:rPr>
          <w:vertAlign w:val="superscript"/>
        </w:rPr>
        <w:footnoteReference w:id="366"/>
      </w:r>
      <w:r w:rsidRPr="00CD0FEB">
        <w:t xml:space="preserve"> Therefore, when an employee spends less than 50 percent of his or her time on exempt work, the following factors are generally applied to determine if “managing” is really his or her “primary duty”:</w:t>
      </w:r>
    </w:p>
    <w:p w14:paraId="624AB48F" w14:textId="77777777" w:rsidR="00201F3F" w:rsidRPr="00CD0FEB" w:rsidRDefault="00201F3F" w:rsidP="00EB0DDA">
      <w:pPr>
        <w:pStyle w:val="13AFirst-LevelBulletedList"/>
      </w:pPr>
      <w:r w:rsidRPr="00CD0FEB">
        <w:t>•</w:t>
      </w:r>
      <w:r w:rsidRPr="00CD0FEB">
        <w:tab/>
        <w:t>the relative importance of the exempt duties as compared with other types of duties;</w:t>
      </w:r>
    </w:p>
    <w:p w14:paraId="66FDB2FB" w14:textId="77777777" w:rsidR="00201F3F" w:rsidRPr="00CD0FEB" w:rsidRDefault="00201F3F" w:rsidP="00EB0DDA">
      <w:pPr>
        <w:pStyle w:val="13AFirst-LevelBulletedList"/>
      </w:pPr>
      <w:r w:rsidRPr="00CD0FEB">
        <w:t>•</w:t>
      </w:r>
      <w:r w:rsidRPr="00CD0FEB">
        <w:tab/>
        <w:t>the amount of time spent performing exempt work;</w:t>
      </w:r>
    </w:p>
    <w:p w14:paraId="2DC829A4" w14:textId="77777777" w:rsidR="00201F3F" w:rsidRPr="00CD0FEB" w:rsidRDefault="00201F3F" w:rsidP="00EB0DDA">
      <w:pPr>
        <w:pStyle w:val="13AFirst-LevelBulletedList"/>
      </w:pPr>
      <w:r w:rsidRPr="00CD0FEB">
        <w:t>•</w:t>
      </w:r>
      <w:r w:rsidRPr="00CD0FEB">
        <w:tab/>
        <w:t>the employee’s relative freedom from direct supervision; and</w:t>
      </w:r>
    </w:p>
    <w:p w14:paraId="72F245FA" w14:textId="77777777" w:rsidR="00201F3F" w:rsidRPr="00CD0FEB" w:rsidRDefault="00201F3F" w:rsidP="00EB0DDA">
      <w:pPr>
        <w:pStyle w:val="13AFirst-LevelBulletedList"/>
      </w:pPr>
      <w:r w:rsidRPr="00CD0FEB">
        <w:t>•</w:t>
      </w:r>
      <w:r w:rsidRPr="00CD0FEB">
        <w:tab/>
        <w:t>the relationship between the employee’s salary and the wages paid to other employees for the kind of nonexempt work performed by the employee.</w:t>
      </w:r>
      <w:r>
        <w:rPr>
          <w:vertAlign w:val="superscript"/>
        </w:rPr>
        <w:footnoteReference w:id="367"/>
      </w:r>
    </w:p>
    <w:p w14:paraId="53737A03" w14:textId="77777777" w:rsidR="00201F3F" w:rsidRPr="00CD0FEB" w:rsidRDefault="00201F3F" w:rsidP="00EB0DDA">
      <w:pPr>
        <w:pStyle w:val="10ATextWithIndent"/>
      </w:pPr>
      <w:r w:rsidRPr="00CD0FEB">
        <w:t xml:space="preserve">Many courts have applied these factors to determine exempt executive status where individuals spend less than 50 percent of their time on exempt work. For example, in </w:t>
      </w:r>
      <w:r w:rsidRPr="00CD0FEB">
        <w:rPr>
          <w:i/>
          <w:iCs/>
        </w:rPr>
        <w:t>Rodriguez v. Farm Stores Grocery, Inc.</w:t>
      </w:r>
      <w:r w:rsidRPr="00CD0FEB">
        <w:t>,</w:t>
      </w:r>
      <w:r>
        <w:rPr>
          <w:vertAlign w:val="superscript"/>
        </w:rPr>
        <w:footnoteReference w:id="368"/>
      </w:r>
      <w:r w:rsidRPr="00CD0FEB">
        <w:t xml:space="preserve"> the Eleventh Circuit refused to overturn a jury’s determination that store managers employed by a drive-through grocery chain were misclassified as exempt employees. The court found ample evidence supportive of the jury’s finding, including testimony indicating that during most weeks the plaintiffs spent little or no time performing managerial duties and that the stores were actually run by district managers from whom the store managers had to procure permission in order to implement any sort of managerial decision. The court further observed that “[the plaintiffs’] hourly rate of pay (computed by dividing their weekly salary by the number of hours they worked each week) was comparable to, and in one case actually less than, those of the sales associates or assistant managers at their stores.”</w:t>
      </w:r>
      <w:r>
        <w:rPr>
          <w:vertAlign w:val="superscript"/>
        </w:rPr>
        <w:footnoteReference w:id="369"/>
      </w:r>
    </w:p>
    <w:p w14:paraId="101C980A" w14:textId="77777777" w:rsidR="00201F3F" w:rsidRPr="00CD0FEB" w:rsidRDefault="00201F3F" w:rsidP="00EB0DDA">
      <w:pPr>
        <w:pStyle w:val="10ATextWithIndent"/>
      </w:pPr>
      <w:r w:rsidRPr="00CD0FEB">
        <w:t xml:space="preserve">By contrast, in </w:t>
      </w:r>
      <w:r w:rsidRPr="00CD0FEB">
        <w:rPr>
          <w:i/>
          <w:iCs/>
        </w:rPr>
        <w:t>Velazquez-Fernandez v. NCE Foods, Inc.</w:t>
      </w:r>
      <w:r w:rsidRPr="00CD0FEB">
        <w:t>,</w:t>
      </w:r>
      <w:r>
        <w:rPr>
          <w:vertAlign w:val="superscript"/>
        </w:rPr>
        <w:footnoteReference w:id="370"/>
      </w:r>
      <w:r w:rsidRPr="00CD0FEB">
        <w:t xml:space="preserve"> the First Circuit held that a warehouse general manager qualified for the executive exemption notwithstanding that he spent a good deal of time performing clerical and nonmanual tasks, reasoning that “he was the most senior employee at the warehouse, and was ‘in charge of the warehouse, and everything that dealt with the warehouse, purchase, sales, dispatch, reporting, everything that the warehouse entailed.’”</w:t>
      </w:r>
      <w:r>
        <w:rPr>
          <w:vertAlign w:val="superscript"/>
        </w:rPr>
        <w:footnoteReference w:id="371"/>
      </w:r>
      <w:r w:rsidRPr="00CD0FEB">
        <w:t xml:space="preserve"> Also of significance was the plaintiff’s admission that he supervised the other warehouse employees, ranging in number from six to nine workers.</w:t>
      </w:r>
      <w:r>
        <w:rPr>
          <w:vertAlign w:val="superscript"/>
        </w:rPr>
        <w:footnoteReference w:id="372"/>
      </w:r>
    </w:p>
    <w:p w14:paraId="34016E08" w14:textId="77777777" w:rsidR="00201F3F" w:rsidRPr="00CD0FEB" w:rsidRDefault="00201F3F" w:rsidP="00EB0DDA">
      <w:pPr>
        <w:pStyle w:val="10ATextWithIndent"/>
      </w:pPr>
      <w:r w:rsidRPr="00CD0FEB">
        <w:t>Managers of retail stores have frequently claimed to be misclassified as exempt executives, with mixed results depending on the facts of each particular case.</w:t>
      </w:r>
      <w:r>
        <w:rPr>
          <w:vertAlign w:val="superscript"/>
        </w:rPr>
        <w:footnoteReference w:id="373"/>
      </w:r>
      <w:r w:rsidRPr="00CD0FEB">
        <w:t xml:space="preserve"> For example, in </w:t>
      </w:r>
      <w:r w:rsidRPr="00CD0FEB">
        <w:rPr>
          <w:i/>
          <w:iCs/>
        </w:rPr>
        <w:t>Thomas v. Speedway SuperAmerica, LLC</w:t>
      </w:r>
      <w:r w:rsidRPr="00CD0FEB">
        <w:t>,</w:t>
      </w:r>
      <w:r>
        <w:rPr>
          <w:vertAlign w:val="superscript"/>
        </w:rPr>
        <w:footnoteReference w:id="374"/>
      </w:r>
      <w:r w:rsidRPr="00CD0FEB">
        <w:t xml:space="preserve"> the Sixth Circuit concluded that the manager of a gas station/convenience store was properly classified as an exempt executive. The court determined that the plaintiff’s exempt managerial duties, such as hiring, scheduling, and training employees, “were much more important to Speedway’s success than her non-managerial duties,”</w:t>
      </w:r>
      <w:r>
        <w:rPr>
          <w:vertAlign w:val="superscript"/>
        </w:rPr>
        <w:footnoteReference w:id="375"/>
      </w:r>
      <w:r w:rsidRPr="00CD0FEB">
        <w:t xml:space="preserve"> and observed that although the district manager “remained constantly available to his store managers” he did not “maintain[] constant contact with or supervision over the store managers via telecommunications.”</w:t>
      </w:r>
      <w:r>
        <w:rPr>
          <w:vertAlign w:val="superscript"/>
        </w:rPr>
        <w:footnoteReference w:id="376"/>
      </w:r>
      <w:r w:rsidRPr="00CD0FEB">
        <w:t xml:space="preserve"> Also of significance to the court was the fact that the plaintiff was the most senior employee at the station,</w:t>
      </w:r>
      <w:r>
        <w:rPr>
          <w:vertAlign w:val="superscript"/>
        </w:rPr>
        <w:footnoteReference w:id="377"/>
      </w:r>
      <w:r w:rsidRPr="00CD0FEB">
        <w:t xml:space="preserve"> and she was eligible to participate in a store manager bonus program.</w:t>
      </w:r>
      <w:r>
        <w:rPr>
          <w:vertAlign w:val="superscript"/>
        </w:rPr>
        <w:footnoteReference w:id="378"/>
      </w:r>
    </w:p>
    <w:p w14:paraId="35E6FDCD" w14:textId="77777777" w:rsidR="00201F3F" w:rsidRPr="00CD0FEB" w:rsidRDefault="00201F3F" w:rsidP="00EB0DDA">
      <w:pPr>
        <w:pStyle w:val="10ATextWithIndent"/>
      </w:pPr>
      <w:r w:rsidRPr="00CD0FEB">
        <w:t xml:space="preserve">On the other hand, in </w:t>
      </w:r>
      <w:r w:rsidRPr="00CD0FEB">
        <w:rPr>
          <w:i/>
          <w:iCs/>
        </w:rPr>
        <w:t>Morgan v. Family Dollar Stores, Inc.</w:t>
      </w:r>
      <w:r w:rsidRPr="00CD0FEB">
        <w:t>,</w:t>
      </w:r>
      <w:r>
        <w:rPr>
          <w:vertAlign w:val="superscript"/>
        </w:rPr>
        <w:footnoteReference w:id="379"/>
      </w:r>
      <w:r w:rsidRPr="00CD0FEB">
        <w:t xml:space="preserve"> the Eleventh Circuit upheld a jury verdict finding that a class of Family Dollar store managers were misclassified as exempt executives. The court pointed to evidence not only that “store managers spent 80 to 90% of their time performing non-exempt, manual labor, such as stocking shelves, running the cash registers, unloading trucks, and cleaning the parking lots, floors and bathrooms,” but also that such “non-managerial tasks … were of equal or greater importance to a store’s functioning and success.”</w:t>
      </w:r>
      <w:r>
        <w:rPr>
          <w:vertAlign w:val="superscript"/>
        </w:rPr>
        <w:footnoteReference w:id="380"/>
      </w:r>
      <w:r w:rsidRPr="00CD0FEB">
        <w:t xml:space="preserve"> Moreover, “store managers rarely exercised discretion because either the operations manuals or the district managers’ directives controlled virtually every aspect of a store’s day-to-day operations.”</w:t>
      </w:r>
      <w:r>
        <w:rPr>
          <w:vertAlign w:val="superscript"/>
        </w:rPr>
        <w:footnoteReference w:id="381"/>
      </w:r>
      <w:r w:rsidRPr="00CD0FEB">
        <w:t xml:space="preserve"> The court found that “the combination of sweeping corporate micro-management, close district manager oversight, and fixed payroll budgets left store managers little choice in how to manage their stores and with the primary duty of performing manual, not managerial, tasks.”</w:t>
      </w:r>
      <w:r>
        <w:rPr>
          <w:vertAlign w:val="superscript"/>
        </w:rPr>
        <w:footnoteReference w:id="382"/>
      </w:r>
      <w:r w:rsidRPr="00CD0FEB">
        <w:t xml:space="preserve"> Furthermore, as to compensation, there was a “relatively small difference between store managers’ and assistant managers’ hourly rates.”</w:t>
      </w:r>
      <w:r>
        <w:rPr>
          <w:vertAlign w:val="superscript"/>
        </w:rPr>
        <w:footnoteReference w:id="383"/>
      </w:r>
    </w:p>
    <w:p w14:paraId="79A37397" w14:textId="77777777" w:rsidR="00201F3F" w:rsidRPr="00CD0FEB" w:rsidRDefault="00201F3F" w:rsidP="00EB0DDA">
      <w:pPr>
        <w:pStyle w:val="10ATextWithIndent"/>
      </w:pPr>
      <w:r w:rsidRPr="00CD0FEB">
        <w:t xml:space="preserve">In another case involving a Family Dollar store manager, the Fourth Circuit acknowledged the Eleventh Circuit’s decision in </w:t>
      </w:r>
      <w:r w:rsidRPr="00CD0FEB">
        <w:rPr>
          <w:i/>
          <w:iCs/>
        </w:rPr>
        <w:t>Morgan</w:t>
      </w:r>
      <w:r w:rsidRPr="00CD0FEB">
        <w:t xml:space="preserve"> </w:t>
      </w:r>
      <w:r w:rsidRPr="00CD0FEB">
        <w:rPr>
          <w:i/>
          <w:iCs/>
        </w:rPr>
        <w:t>v</w:t>
      </w:r>
      <w:r w:rsidRPr="00CD0FEB">
        <w:t>.</w:t>
      </w:r>
      <w:r w:rsidRPr="00CD0FEB">
        <w:rPr>
          <w:i/>
          <w:iCs/>
        </w:rPr>
        <w:t xml:space="preserve"> Family Dollar Stores, Inc</w:t>
      </w:r>
      <w:r w:rsidRPr="00CD0FEB">
        <w:t>.,</w:t>
      </w:r>
      <w:r>
        <w:rPr>
          <w:vertAlign w:val="superscript"/>
        </w:rPr>
        <w:footnoteReference w:id="384"/>
      </w:r>
      <w:r w:rsidRPr="00CD0FEB">
        <w:rPr>
          <w:i/>
          <w:iCs/>
        </w:rPr>
        <w:t xml:space="preserve"> </w:t>
      </w:r>
      <w:r w:rsidRPr="00CD0FEB">
        <w:t>but reached the opposite conclusion on the summary judgment record before it, finding that the named plaintiff in a purported collective action was properly classified as an exempt executive.</w:t>
      </w:r>
      <w:r>
        <w:rPr>
          <w:vertAlign w:val="superscript"/>
        </w:rPr>
        <w:footnoteReference w:id="385"/>
      </w:r>
      <w:r w:rsidRPr="00CD0FEB">
        <w:rPr>
          <w:vertAlign w:val="superscript"/>
        </w:rPr>
        <w:t xml:space="preserve"> </w:t>
      </w:r>
      <w:r w:rsidRPr="00CD0FEB">
        <w:t xml:space="preserve">In that case, the Fourth Circuit emphasized the plaintiff’s testimony “as to how she could make a profit and distinguish herself from other store managers” and noted that, unlike in </w:t>
      </w:r>
      <w:r w:rsidRPr="00CD0FEB">
        <w:rPr>
          <w:i/>
          <w:iCs/>
        </w:rPr>
        <w:t>Morgan</w:t>
      </w:r>
      <w:r w:rsidRPr="00CD0FEB">
        <w:t>, the record reflected that the plaintiff was performing exempt executive functions—such as addressing employee and customer complaints, monitoring the store’s activities to guard against theft and ensure adequate staffing of cash registers, and making certain the store was attractive and clean—concurrently with her performance of nonexempt tasks.</w:t>
      </w:r>
      <w:r>
        <w:rPr>
          <w:vertAlign w:val="superscript"/>
        </w:rPr>
        <w:footnoteReference w:id="386"/>
      </w:r>
      <w:r w:rsidRPr="00CD0FEB">
        <w:rPr>
          <w:vertAlign w:val="superscript"/>
        </w:rPr>
        <w:t xml:space="preserve"> </w:t>
      </w:r>
      <w:r w:rsidRPr="00CD0FEB">
        <w:t xml:space="preserve">Moreover, the plaintiff acknowledged that, as distinguished from her counterparts in </w:t>
      </w:r>
      <w:r w:rsidRPr="00CD0FEB">
        <w:rPr>
          <w:i/>
          <w:iCs/>
        </w:rPr>
        <w:t>Morgan</w:t>
      </w:r>
      <w:r w:rsidRPr="00CD0FEB">
        <w:t>, she was not micro-managed but rather “ran the store when [she] was in the building” while reporting to a district manager who visited “only once every two to three weeks.”</w:t>
      </w:r>
      <w:r>
        <w:rPr>
          <w:vertAlign w:val="superscript"/>
        </w:rPr>
        <w:footnoteReference w:id="387"/>
      </w:r>
      <w:r w:rsidRPr="00CD0FEB">
        <w:t xml:space="preserve"> Following the parameters of the Fourth </w:t>
      </w:r>
      <w:r w:rsidRPr="00CD0FEB">
        <w:rPr>
          <w:spacing w:val="-1"/>
        </w:rPr>
        <w:t xml:space="preserve">Circuit’s ruling, a district court in North Carolina issued a series </w:t>
      </w:r>
      <w:r w:rsidRPr="00CD0FEB">
        <w:t>of decisions holding that Family Dollar’s store managers were exempt employees.</w:t>
      </w:r>
      <w:r>
        <w:rPr>
          <w:vertAlign w:val="superscript"/>
        </w:rPr>
        <w:footnoteReference w:id="388"/>
      </w:r>
      <w:r w:rsidRPr="00CD0FEB">
        <w:t xml:space="preserve"> The fact-intensive and fact-specific nature of cases arising in the retail context is illustrated by a spate of decisions addressing whether Dollar General’s store managers qualify for the executive exemption. Although many district courts have determined that these employees are exempt as a matter of law and granted summary judgment in favor of Dollar General,</w:t>
      </w:r>
      <w:r>
        <w:rPr>
          <w:vertAlign w:val="superscript"/>
        </w:rPr>
        <w:footnoteReference w:id="389"/>
      </w:r>
      <w:r w:rsidRPr="00CD0FEB">
        <w:t xml:space="preserve"> a nearly equal number have concluded that the issue gives rise to a factual dispute that must be resolved at trial.</w:t>
      </w:r>
      <w:r>
        <w:rPr>
          <w:vertAlign w:val="superscript"/>
        </w:rPr>
        <w:footnoteReference w:id="390"/>
      </w:r>
    </w:p>
    <w:p w14:paraId="0E966B0F" w14:textId="77777777" w:rsidR="00201F3F" w:rsidRPr="00CD0FEB" w:rsidRDefault="00201F3F" w:rsidP="00EB0DDA">
      <w:pPr>
        <w:pStyle w:val="10ATextWithIndent"/>
      </w:pPr>
      <w:r w:rsidRPr="00CD0FEB">
        <w:t>Equally vexing are exemption cases brought by managers of convenience stores and fast food restaurants. These cases are difficult because although the managers are frequently the highest-level employee on site, they rarely spend as much as half their time performing exempt work and they tend to have little or no influence over company policies.</w:t>
      </w:r>
      <w:r>
        <w:rPr>
          <w:vertAlign w:val="superscript"/>
        </w:rPr>
        <w:footnoteReference w:id="391"/>
      </w:r>
      <w:r w:rsidRPr="00CD0FEB">
        <w:t xml:space="preserve"> As noted above, such employees may be deemed exempt where they have supervisory responsibility over other store employees and overall responsibility for the operations of the store.</w:t>
      </w:r>
      <w:r>
        <w:rPr>
          <w:vertAlign w:val="superscript"/>
        </w:rPr>
        <w:footnoteReference w:id="392"/>
      </w:r>
      <w:r w:rsidRPr="00CD0FEB">
        <w:t xml:space="preserve"> Even if these managers delegate discretionary duties to subordinates who are equally qualified to operate the store, the manager’s exempt status will not necessarily be defeated.</w:t>
      </w:r>
      <w:r>
        <w:rPr>
          <w:vertAlign w:val="superscript"/>
        </w:rPr>
        <w:footnoteReference w:id="393"/>
      </w:r>
      <w:r w:rsidRPr="00CD0FEB">
        <w:t xml:space="preserve"> In addition, as noted, the fact that such store managers are subject to close supervision by upper management and required to comply with strict guidelines does not necessarily preclude application of the executive exemption.</w:t>
      </w:r>
      <w:r>
        <w:rPr>
          <w:vertAlign w:val="superscript"/>
        </w:rPr>
        <w:footnoteReference w:id="394"/>
      </w:r>
    </w:p>
    <w:p w14:paraId="3B95D406" w14:textId="77777777" w:rsidR="00201F3F" w:rsidRPr="00CD0FEB" w:rsidRDefault="00201F3F" w:rsidP="00EB0DDA">
      <w:pPr>
        <w:pStyle w:val="10ATextWithIndent"/>
      </w:pPr>
      <w:r w:rsidRPr="00CD0FEB">
        <w:t>Like managers, assistant managers of convenience stores and fast food restaurants have also been found to be exempt if they are in charge of a customarily recognized subdivision of a business. Some courts have held that the fact that the assistant managers worked alongside their subordinates did not defeat exempt status because they still oversaw operations while engaged in nonexempt tasks.</w:t>
      </w:r>
      <w:r>
        <w:rPr>
          <w:vertAlign w:val="superscript"/>
        </w:rPr>
        <w:footnoteReference w:id="395"/>
      </w:r>
    </w:p>
    <w:p w14:paraId="7DF3BF25" w14:textId="77777777" w:rsidR="00201F3F" w:rsidRPr="00CD0FEB" w:rsidRDefault="00201F3F" w:rsidP="00EB0DDA">
      <w:pPr>
        <w:pStyle w:val="10ATextWithIndent"/>
      </w:pPr>
      <w:r w:rsidRPr="00CD0FEB">
        <w:t xml:space="preserve">However, simply being the highest-ranking employee on site at a retail store or fast food restaurant does not necessarily establish exempt executive status as a matter of law. In </w:t>
      </w:r>
      <w:r w:rsidRPr="00CD0FEB">
        <w:rPr>
          <w:i/>
          <w:iCs/>
        </w:rPr>
        <w:t>Marzuq v</w:t>
      </w:r>
      <w:r w:rsidRPr="00CD0FEB">
        <w:t>.</w:t>
      </w:r>
      <w:r w:rsidRPr="00CD0FEB">
        <w:rPr>
          <w:i/>
          <w:iCs/>
        </w:rPr>
        <w:t xml:space="preserve"> Cadete Enterprises, Inc</w:t>
      </w:r>
      <w:r w:rsidRPr="00CD0FEB">
        <w:t>.,</w:t>
      </w:r>
      <w:r>
        <w:rPr>
          <w:vertAlign w:val="superscript"/>
        </w:rPr>
        <w:footnoteReference w:id="396"/>
      </w:r>
      <w:r w:rsidRPr="00CD0FEB">
        <w:t xml:space="preserve"> the First Circuit reversed a grant of summary judgment in favor of a Dunkin Donuts franchisee on an overtime claim initiated by two former managers who viewed themselves as being “in charge” and “the captain” of the </w:t>
      </w:r>
      <w:r w:rsidRPr="00CD0FEB">
        <w:rPr>
          <w:spacing w:val="-1"/>
        </w:rPr>
        <w:t>establishment. The First Circuit concluded that there existed a</w:t>
      </w:r>
      <w:r w:rsidRPr="00CD0FEB">
        <w:t xml:space="preserve"> material factual dispute as to whether the managers qualified for the executive exemption in that they spent the bulk of their time performing nonexempt work, such as serving customers and cleaning the store; there was evidence indicating their supervisory role was, at least at times, overwhelmed by nonmanagerial tasks; higher-level company directors set the store budgets, determined staffing levels, and had to approve employee terminations; managers were expected to follow uniform procedures and had little flexibility in resolving customer complaints; and accounting for the significant number of hours managers worked, their earnings were not significantly greater than the store’s nonexempt hourly employees.</w:t>
      </w:r>
      <w:r>
        <w:rPr>
          <w:vertAlign w:val="superscript"/>
        </w:rPr>
        <w:footnoteReference w:id="397"/>
      </w:r>
      <w:r w:rsidRPr="00CD0FEB">
        <w:t xml:space="preserve"> As to this final point the court explained that “[i]f, on an hourly basis, a manager’s salary for performing a high percentage of nonexempt work is about the same as the wages of crew members for such work, the justification for exempting the manager from overtime pay is weakened.”</w:t>
      </w:r>
      <w:r>
        <w:rPr>
          <w:vertAlign w:val="superscript"/>
        </w:rPr>
        <w:footnoteReference w:id="398"/>
      </w:r>
    </w:p>
    <w:p w14:paraId="0AF8EDE6" w14:textId="77777777" w:rsidR="00201F3F" w:rsidRPr="00CD0FEB" w:rsidRDefault="00201F3F" w:rsidP="00EB0DDA">
      <w:pPr>
        <w:pStyle w:val="10ATextWithIndent"/>
      </w:pPr>
      <w:r w:rsidRPr="00CD0FEB">
        <w:t>The regulation generally provides that when assessing the relationship between exempt and nonexempt employees’ wages in cases where a putative executive performs a mix of exempt and nonexempt functions, the proper point of comparison is “the wages paid to other employees for the kind of nonexempt work performed by the employee.”</w:t>
      </w:r>
      <w:r>
        <w:rPr>
          <w:vertAlign w:val="superscript"/>
        </w:rPr>
        <w:footnoteReference w:id="399"/>
      </w:r>
      <w:r w:rsidRPr="00CD0FEB">
        <w:t xml:space="preserve"> However, courts may be particular about which subordinate employees are apt comparators. For instance, in </w:t>
      </w:r>
      <w:r w:rsidRPr="00CD0FEB">
        <w:rPr>
          <w:i/>
          <w:iCs/>
        </w:rPr>
        <w:t>Bucceri v. Cumberland Farms, Inc.</w:t>
      </w:r>
      <w:r w:rsidRPr="00CD0FEB">
        <w:t>,</w:t>
      </w:r>
      <w:r>
        <w:rPr>
          <w:vertAlign w:val="superscript"/>
        </w:rPr>
        <w:footnoteReference w:id="400"/>
      </w:r>
      <w:r w:rsidRPr="00CD0FEB">
        <w:t xml:space="preserve"> a case concerning the exempt status of Cumberland Farms’ Legacy Store Managers, the plaintiffs urged the court to “use the hourly rate of the next highest paid employee” for comparative purposes, whereas Cumberland Farms “suggest[ed] that the comparison should be to the average hourly wages for all employees in each LSMs’ store during the relevant period.”</w:t>
      </w:r>
      <w:r>
        <w:rPr>
          <w:vertAlign w:val="superscript"/>
        </w:rPr>
        <w:footnoteReference w:id="401"/>
      </w:r>
      <w:r w:rsidRPr="00CD0FEB">
        <w:t xml:space="preserve"> The court found “the use of an ‘average’ wage for non-exempt employees illogical,” explaining that</w:t>
      </w:r>
    </w:p>
    <w:p w14:paraId="0ACB42FC" w14:textId="77777777" w:rsidR="00201F3F" w:rsidRPr="00CD0FEB" w:rsidRDefault="00201F3F" w:rsidP="00EB0DDA">
      <w:pPr>
        <w:pStyle w:val="09BBlockQuoteWithoutIndent"/>
      </w:pPr>
      <w:r w:rsidRPr="00CD0FEB">
        <w:t>[t]he reason a wage differential is relevant is that an employer’s compensation of an employee performing some management duties when compared to a nonexempt employee may reveal the value the employer places on the additional management duties. If the differential with the next highest paid employee is large, the different wage rates support the conclusion that the managerial duties are of importance and thus may be the employee’s ‘primary duties,’ and if the differential is small, the wage rates support the conclusion that the management duties are not that important to the employer and are unlikely to be the employee’s primary duties. That the wages for the highest paid nonexempt employees are diluted by averaging in even lower paid employees provides no additional information as to the value of the management duties performed by the employee for whom the exemption is sought.</w:t>
      </w:r>
      <w:r>
        <w:rPr>
          <w:vertAlign w:val="superscript"/>
        </w:rPr>
        <w:footnoteReference w:id="402"/>
      </w:r>
    </w:p>
    <w:p w14:paraId="32D57A64" w14:textId="77777777" w:rsidR="00201F3F" w:rsidRPr="00CD0FEB" w:rsidRDefault="00201F3F" w:rsidP="00EB0DDA">
      <w:pPr>
        <w:pStyle w:val="05Second-LevelHeadABC"/>
      </w:pPr>
      <w:r w:rsidRPr="00CD0FEB">
        <w:t>C.</w:t>
      </w:r>
      <w:r w:rsidRPr="00CD0FEB">
        <w:tab/>
        <w:t>“The Enterprise” or “a Customarily Recognized Department or Subdivision” Thereof</w:t>
      </w:r>
    </w:p>
    <w:p w14:paraId="42C514B0" w14:textId="77777777" w:rsidR="00201F3F" w:rsidRPr="00CD0FEB" w:rsidRDefault="00201F3F" w:rsidP="00EB0DDA">
      <w:pPr>
        <w:pStyle w:val="10ATextWithIndent"/>
      </w:pPr>
      <w:r w:rsidRPr="00CD0FEB">
        <w:t>The phrase “customarily recognized department or subdivision” is intended to distinguish between a “mere collection of employees assigned from time to time to a specific job or series of jobs,” on the one hand, and a “unit with permanent status and function,” on the other.</w:t>
      </w:r>
      <w:r>
        <w:rPr>
          <w:vertAlign w:val="superscript"/>
        </w:rPr>
        <w:footnoteReference w:id="403"/>
      </w:r>
      <w:r w:rsidRPr="00CD0FEB">
        <w:t xml:space="preserve"> The structure of the DOL regulation makes it clear that merely “managing” in the abstract is not sufficient to meet this aspect of the duties test for the executive exemption. The employee must manage either the enterprise itself or “a customarily recognized department or subdivision thereof.”</w:t>
      </w:r>
      <w:r>
        <w:rPr>
          <w:vertAlign w:val="superscript"/>
        </w:rPr>
        <w:footnoteReference w:id="404"/>
      </w:r>
    </w:p>
    <w:p w14:paraId="1DB76CEC" w14:textId="77777777" w:rsidR="00201F3F" w:rsidRPr="00CD0FEB" w:rsidRDefault="00201F3F" w:rsidP="00EB0DDA">
      <w:pPr>
        <w:pStyle w:val="10ATextWithIndent"/>
      </w:pPr>
      <w:r w:rsidRPr="00CD0FEB">
        <w:t>It is often readily apparent whether an individual is in charge of, and has a primary duty of managing, a customarily recognized department or a subdivision of a department.</w:t>
      </w:r>
      <w:r>
        <w:rPr>
          <w:vertAlign w:val="superscript"/>
        </w:rPr>
        <w:footnoteReference w:id="405"/>
      </w:r>
      <w:r w:rsidRPr="00CD0FEB">
        <w:t xml:space="preserve"> For example, in a multi-establishment enterprise, “the employee in charge of each establishment may be considered in charge of a recognized subdivision of the enterprise.”</w:t>
      </w:r>
      <w:r>
        <w:rPr>
          <w:vertAlign w:val="superscript"/>
        </w:rPr>
        <w:footnoteReference w:id="406"/>
      </w:r>
      <w:r w:rsidRPr="00CD0FEB">
        <w:t xml:space="preserve"> An employee who is in charge of a shift will also meet this requirement,</w:t>
      </w:r>
      <w:r>
        <w:rPr>
          <w:vertAlign w:val="superscript"/>
        </w:rPr>
        <w:footnoteReference w:id="407"/>
      </w:r>
      <w:r w:rsidRPr="00CD0FEB">
        <w:t xml:space="preserve"> as will an employee who heads a team with a defined membership.</w:t>
      </w:r>
      <w:r>
        <w:rPr>
          <w:vertAlign w:val="superscript"/>
        </w:rPr>
        <w:footnoteReference w:id="408"/>
      </w:r>
    </w:p>
    <w:p w14:paraId="20DA4A11" w14:textId="77777777" w:rsidR="00201F3F" w:rsidRPr="00CD0FEB" w:rsidRDefault="00201F3F" w:rsidP="00EB0DDA">
      <w:pPr>
        <w:pStyle w:val="10ATextWithIndent"/>
      </w:pPr>
      <w:r w:rsidRPr="00CD0FEB">
        <w:t>It is not required that the department or subdivision be physically located within the employer’s establishment, or that it even be at a fixed location.</w:t>
      </w:r>
      <w:r>
        <w:rPr>
          <w:vertAlign w:val="superscript"/>
        </w:rPr>
        <w:footnoteReference w:id="409"/>
      </w:r>
      <w:r w:rsidRPr="00CD0FEB">
        <w:t xml:space="preserve"> Nor is it essential to a recognized unit that there be continuity of subordinate personnel: “An otherwise exempt employee will not lose the exemption merely because the employee draws and supervises workers from a pool or supervises a team of workers drawn from other recognized units.”</w:t>
      </w:r>
      <w:r>
        <w:rPr>
          <w:vertAlign w:val="superscript"/>
        </w:rPr>
        <w:footnoteReference w:id="410"/>
      </w:r>
    </w:p>
    <w:p w14:paraId="715827B8" w14:textId="77777777" w:rsidR="00201F3F" w:rsidRPr="00CD0FEB" w:rsidRDefault="00201F3F" w:rsidP="00EB0DDA">
      <w:pPr>
        <w:pStyle w:val="05Second-LevelHeadABC"/>
      </w:pPr>
      <w:r w:rsidRPr="00CD0FEB">
        <w:t>D.</w:t>
      </w:r>
      <w:r w:rsidRPr="00CD0FEB">
        <w:tab/>
        <w:t>“Customarily and Regularly Direct the Work of Two or More Other Employees”</w:t>
      </w:r>
    </w:p>
    <w:p w14:paraId="5DF8AADD" w14:textId="77777777" w:rsidR="00201F3F" w:rsidRPr="00CD0FEB" w:rsidRDefault="00201F3F" w:rsidP="00EB0DDA">
      <w:pPr>
        <w:pStyle w:val="10ATextWithIndent"/>
      </w:pPr>
      <w:r w:rsidRPr="00CD0FEB">
        <w:t>To qualify as an exempt executive, an employee must “customarily and regularly” direct the work of two or more other employees.</w:t>
      </w:r>
      <w:r>
        <w:rPr>
          <w:vertAlign w:val="superscript"/>
        </w:rPr>
        <w:footnoteReference w:id="411"/>
      </w:r>
      <w:r w:rsidRPr="00CD0FEB">
        <w:t xml:space="preserve"> “Customarily and regularly” means a frequency “greater than occasional” and includes work that is “normally and recurrently performed every workweek,” although the frequency of such work may be “less than constant.”</w:t>
      </w:r>
      <w:r>
        <w:rPr>
          <w:vertAlign w:val="superscript"/>
        </w:rPr>
        <w:footnoteReference w:id="412"/>
      </w:r>
      <w:r w:rsidRPr="00CD0FEB">
        <w:t xml:space="preserve"> Two or more other employees means “two full-time employees or their equivalent.”</w:t>
      </w:r>
      <w:r>
        <w:rPr>
          <w:vertAlign w:val="superscript"/>
        </w:rPr>
        <w:footnoteReference w:id="413"/>
      </w:r>
      <w:r w:rsidRPr="00CD0FEB">
        <w:t xml:space="preserve"> An employee who merely assists the actual manager and only supervises two or more employees in the actual manager’s absence does not meet this requirement.</w:t>
      </w:r>
      <w:r>
        <w:rPr>
          <w:vertAlign w:val="superscript"/>
        </w:rPr>
        <w:footnoteReference w:id="414"/>
      </w:r>
      <w:r w:rsidRPr="00CD0FEB">
        <w:t xml:space="preserve"> Although supervisory responsibility may be distributed among multiple executives,</w:t>
      </w:r>
      <w:r>
        <w:rPr>
          <w:vertAlign w:val="superscript"/>
        </w:rPr>
        <w:footnoteReference w:id="415"/>
      </w:r>
      <w:r w:rsidRPr="00CD0FEB">
        <w:t xml:space="preserve"> hours worked by a subordinate employee cannot be credited to more than one executive.</w:t>
      </w:r>
      <w:r>
        <w:rPr>
          <w:vertAlign w:val="superscript"/>
        </w:rPr>
        <w:footnoteReference w:id="416"/>
      </w:r>
    </w:p>
    <w:p w14:paraId="27BFC537" w14:textId="77777777" w:rsidR="00201F3F" w:rsidRPr="00CD0FEB" w:rsidRDefault="00201F3F" w:rsidP="00EB0DDA">
      <w:pPr>
        <w:pStyle w:val="10ATextWithIndent"/>
      </w:pPr>
      <w:r w:rsidRPr="00CD0FEB">
        <w:t>In an opinion letter,</w:t>
      </w:r>
      <w:r>
        <w:rPr>
          <w:vertAlign w:val="superscript"/>
        </w:rPr>
        <w:footnoteReference w:id="417"/>
      </w:r>
      <w:r w:rsidRPr="00CD0FEB">
        <w:t xml:space="preserve"> the DOL considered whether a store manager could qualify for the executive exemption despite not supervising employees for a total of 80 hours in person. Due to the store’s size, typically it was staffed by a manager and one other employee. The store manager did not physically supervise two full-time employees but was responsible for ensuring that all employees carried out company policies and fulfilled their assigned tasks. The WHD stated that the store manager would qualify for the exemption so long as the manager was responsible for the work of at least two full-time employees, regardless of whether the manager and his or her subordinate employees were physically present at the same location.</w:t>
      </w:r>
      <w:r>
        <w:rPr>
          <w:vertAlign w:val="superscript"/>
        </w:rPr>
        <w:footnoteReference w:id="418"/>
      </w:r>
    </w:p>
    <w:p w14:paraId="02FD9C29" w14:textId="77777777" w:rsidR="00201F3F" w:rsidRPr="00CD0FEB" w:rsidRDefault="00201F3F" w:rsidP="00EB0DDA">
      <w:pPr>
        <w:pStyle w:val="05Second-LevelHeadABC"/>
        <w:rPr>
          <w:bCs/>
        </w:rPr>
      </w:pPr>
      <w:r w:rsidRPr="00CD0FEB">
        <w:t>E.</w:t>
      </w:r>
      <w:r w:rsidRPr="00CD0FEB">
        <w:tab/>
        <w:t>Authority With Respect to Significant Personnel Matters or Input Must Be “Given Particular Weight”</w:t>
      </w:r>
      <w:r>
        <w:rPr>
          <w:b w:val="0"/>
          <w:vertAlign w:val="superscript"/>
        </w:rPr>
        <w:footnoteReference w:id="419"/>
      </w:r>
    </w:p>
    <w:p w14:paraId="565C87D1" w14:textId="77777777" w:rsidR="00201F3F" w:rsidRPr="00CD0FEB" w:rsidRDefault="00201F3F" w:rsidP="00EB0DDA">
      <w:pPr>
        <w:pStyle w:val="10ATextWithIndent"/>
      </w:pPr>
      <w:r w:rsidRPr="00CD0FEB">
        <w:t>To qualify for the executive exemption, a purported executive must have authority to hire or fire employees, or have particular weight given to his or her suggestions and recommendations as to the hiring, firing, advancement, promotion, or any other change of status of other employees.</w:t>
      </w:r>
      <w:r>
        <w:rPr>
          <w:vertAlign w:val="superscript"/>
        </w:rPr>
        <w:footnoteReference w:id="420"/>
      </w:r>
      <w:r w:rsidRPr="00CD0FEB">
        <w:t xml:space="preserve"> Although the regulations do not define “change of status,” the DOL expressed its intent that this phrase be given the same meaning as that employed by the U.S. Supreme Court in defining the term “tangible employment action” for purposes of Title VII liability.</w:t>
      </w:r>
      <w:r>
        <w:rPr>
          <w:vertAlign w:val="superscript"/>
        </w:rPr>
        <w:footnoteReference w:id="421"/>
      </w:r>
      <w:r w:rsidRPr="00CD0FEB">
        <w:t xml:space="preserve"> Specifically, as defined by the Supreme Court in the Title VII context, a “tangible employment action constitutes a significant change in employment status, such as hiring, firing, failing to promote, reassignment with significantly different responsibilities, or a decision causing a significant change in benefits.”</w:t>
      </w:r>
      <w:r>
        <w:rPr>
          <w:vertAlign w:val="superscript"/>
        </w:rPr>
        <w:footnoteReference w:id="422"/>
      </w:r>
    </w:p>
    <w:p w14:paraId="36D33C3D" w14:textId="77777777" w:rsidR="00201F3F" w:rsidRPr="00CD0FEB" w:rsidRDefault="00201F3F" w:rsidP="00EB0DDA">
      <w:pPr>
        <w:pStyle w:val="10ATextWithIndent"/>
      </w:pPr>
      <w:r w:rsidRPr="00CD0FEB">
        <w:t>Elaborating on the term “particular weight,” the DOL regulation explains that although recommendations generally “must pertain to employees whom the executive customarily and regularly directs,” it is not necessary that one be empowered to make the final decision regarding another employee’s change in status in order to satisfy the “particular weight” requirement.</w:t>
      </w:r>
      <w:r>
        <w:rPr>
          <w:vertAlign w:val="superscript"/>
        </w:rPr>
        <w:footnoteReference w:id="423"/>
      </w:r>
      <w:r w:rsidRPr="00CD0FEB">
        <w:t xml:space="preserve"> Factors to consider include whether it is part of the employee’s job duties to make such suggestions and recommendations, the frequency with which such recommendations are made or requested, and the frequency with which such recommendations are relied upon.</w:t>
      </w:r>
      <w:r>
        <w:rPr>
          <w:vertAlign w:val="superscript"/>
        </w:rPr>
        <w:footnoteReference w:id="424"/>
      </w:r>
      <w:r w:rsidRPr="00CD0FEB">
        <w:t xml:space="preserve"> According to the DOL,</w:t>
      </w:r>
    </w:p>
    <w:p w14:paraId="60BABC6F" w14:textId="77777777" w:rsidR="00201F3F" w:rsidRPr="00CD0FEB" w:rsidRDefault="00201F3F" w:rsidP="00EB0DDA">
      <w:pPr>
        <w:pStyle w:val="09BBlockQuoteWithoutIndent"/>
      </w:pPr>
      <w:r w:rsidRPr="00CD0FEB">
        <w:t>Evidence that an employee’s recommendation[s] are given “particular weight” could include witness testimony that recommendations were made and considered; the exempt employee’s job description listing responsibilities in this area; the exempt employee’s performance reviews documenting the employee’s activities in this area; and other documents regarding promotions, demotions or other change of status that reveal the employee’s role in this area.</w:t>
      </w:r>
      <w:r>
        <w:rPr>
          <w:vertAlign w:val="superscript"/>
        </w:rPr>
        <w:footnoteReference w:id="425"/>
      </w:r>
    </w:p>
    <w:p w14:paraId="76DBEB14" w14:textId="77777777" w:rsidR="00201F3F" w:rsidRPr="00CD0FEB" w:rsidRDefault="00201F3F" w:rsidP="00EB0DDA">
      <w:pPr>
        <w:pStyle w:val="10ATextWithIndent"/>
      </w:pPr>
      <w:r w:rsidRPr="00CD0FEB">
        <w:t>The regulation makes plain that “this element of the executive exemption does not require courts to ask whether an employee’s recommendations as to personnel decisions were accepted every single time—instead, it presents the question of whether those recommendations were given ‘particular weight,’ … .”</w:t>
      </w:r>
      <w:r>
        <w:rPr>
          <w:rStyle w:val="FootnoteReference"/>
        </w:rPr>
        <w:footnoteReference w:id="426"/>
      </w:r>
      <w:r w:rsidRPr="00CD0FEB">
        <w:t xml:space="preserve"> As the Seventh Circuit observed, “an employee’s recommendations can be said to have ‘particular weight’ even if the input of someone at a higher level carries more importance.”</w:t>
      </w:r>
      <w:r>
        <w:rPr>
          <w:rStyle w:val="FootnoteReference"/>
        </w:rPr>
        <w:footnoteReference w:id="427"/>
      </w:r>
    </w:p>
    <w:p w14:paraId="6DD648A9" w14:textId="77777777" w:rsidR="00201F3F" w:rsidRPr="00CD0FEB" w:rsidRDefault="00201F3F" w:rsidP="00EB0DDA">
      <w:pPr>
        <w:pStyle w:val="10ATextWithIndent"/>
      </w:pPr>
      <w:r w:rsidRPr="00CD0FEB">
        <w:t xml:space="preserve">In </w:t>
      </w:r>
      <w:r w:rsidRPr="00CD0FEB">
        <w:rPr>
          <w:i/>
          <w:iCs/>
        </w:rPr>
        <w:t>Madden v. Lumber One Home Center, Inc.</w:t>
      </w:r>
      <w:r w:rsidRPr="00CD0FEB">
        <w:t>,</w:t>
      </w:r>
      <w:r>
        <w:rPr>
          <w:vertAlign w:val="superscript"/>
        </w:rPr>
        <w:footnoteReference w:id="428"/>
      </w:r>
      <w:r w:rsidRPr="00CD0FEB">
        <w:t xml:space="preserve"> three employees of a lumberyard challenged their classification as exempt executives. Two of the plaintiffs were hired to work in shipping and receiving and also assisted retail customers, while the third plaintiff worked mostly in retail but occasionally loaded trucks and gave truck drivers directions for deliveries. The district court overturned a jury verdict for the employer, finding none of the employees qualified for the executive exemption. The Eighth Circuit affirmed as to the shipping and receiving supervisors, concluding that the employer failed to prove it gave particular weight to hiring and firing recommendations.</w:t>
      </w:r>
      <w:r>
        <w:rPr>
          <w:vertAlign w:val="superscript"/>
        </w:rPr>
        <w:footnoteReference w:id="429"/>
      </w:r>
      <w:r w:rsidRPr="00CD0FEB">
        <w:t xml:space="preserve"> However, the Eighth Circuit reinstated the jury’s defense verdict with respect to the retail supervisor based on evidence of one occasion where the employee’s hiring recommendation was given weight.</w:t>
      </w:r>
      <w:r>
        <w:rPr>
          <w:vertAlign w:val="superscript"/>
        </w:rPr>
        <w:footnoteReference w:id="430"/>
      </w:r>
      <w:r w:rsidRPr="00CD0FEB">
        <w:t xml:space="preserve"> Other courts have similarly ruled that a putative exempt executive possesses the requisite authority with respect to personnel decisions where his or her recommendations are given weight, even if approval is required.</w:t>
      </w:r>
      <w:r>
        <w:rPr>
          <w:vertAlign w:val="superscript"/>
        </w:rPr>
        <w:footnoteReference w:id="431"/>
      </w:r>
      <w:r w:rsidRPr="00CD0FEB">
        <w:t xml:space="preserve"> However, other courts have determined that the authority to make recommendations must be exercised with some frequency and such recommendations must be generally followed to be given “particular weight.”</w:t>
      </w:r>
      <w:r>
        <w:rPr>
          <w:vertAlign w:val="superscript"/>
        </w:rPr>
        <w:footnoteReference w:id="432"/>
      </w:r>
    </w:p>
    <w:p w14:paraId="50AE78E6" w14:textId="77777777" w:rsidR="00201F3F" w:rsidRPr="00CD0FEB" w:rsidRDefault="00201F3F" w:rsidP="00EB0DDA">
      <w:pPr>
        <w:pStyle w:val="10ATextWithIndent"/>
      </w:pPr>
      <w:r w:rsidRPr="00CD0FEB">
        <w:t xml:space="preserve">In </w:t>
      </w:r>
      <w:r w:rsidRPr="00CD0FEB">
        <w:rPr>
          <w:i/>
          <w:iCs/>
        </w:rPr>
        <w:t>Emmons v. City of Chesapeake</w:t>
      </w:r>
      <w:r w:rsidRPr="00CD0FEB">
        <w:t>,</w:t>
      </w:r>
      <w:r>
        <w:rPr>
          <w:rStyle w:val="FootnoteReference"/>
        </w:rPr>
        <w:footnoteReference w:id="433"/>
      </w:r>
      <w:r w:rsidRPr="00CD0FEB">
        <w:t xml:space="preserve"> the Fourth Circuit concluded that a fire department’s battalion chiefs had the requisite authority with respect to personnel decisions to qualify for the executive exemption. The battalion chiefs sat on a hiring panel structured in a way “that indicates a belief, on the part of those with final hiring authority, that the judgment of chief officers contains a degree of insight not shared by lower-ranked officers and their presence on the panel makes its recommendations more trustworthy.”</w:t>
      </w:r>
      <w:r>
        <w:rPr>
          <w:rStyle w:val="FootnoteReference"/>
        </w:rPr>
        <w:footnoteReference w:id="434"/>
      </w:r>
      <w:r w:rsidRPr="00CD0FEB">
        <w:t xml:space="preserve"> In addition to participating in the hiring process, the battalion chiefs also had authority to recommend termination or suspension when they identified an inferior officer’s infraction as sufficiently severe, and these recommendations were given serious consideration.</w:t>
      </w:r>
      <w:r>
        <w:rPr>
          <w:rStyle w:val="FootnoteReference"/>
        </w:rPr>
        <w:footnoteReference w:id="435"/>
      </w:r>
      <w:r w:rsidRPr="00CD0FEB">
        <w:t xml:space="preserve"> By contrast, in </w:t>
      </w:r>
      <w:r w:rsidRPr="00CD0FEB">
        <w:rPr>
          <w:i/>
          <w:iCs/>
        </w:rPr>
        <w:t>Miller v. Travis County</w:t>
      </w:r>
      <w:r w:rsidRPr="00CD0FEB">
        <w:t>,</w:t>
      </w:r>
      <w:r>
        <w:rPr>
          <w:rStyle w:val="FootnoteReference"/>
        </w:rPr>
        <w:footnoteReference w:id="436"/>
      </w:r>
      <w:r w:rsidRPr="00CD0FEB">
        <w:t xml:space="preserve"> the Fifth Circuit upheld a jury’s conclusion that lieutenants employed by a sheriff’s department did not exercise sufficient influence over personnel decisions to meet the “particular weight” requirement. The court explained: </w:t>
      </w:r>
    </w:p>
    <w:p w14:paraId="5060F2FC" w14:textId="77777777" w:rsidR="00201F3F" w:rsidRPr="00CD0FEB" w:rsidRDefault="00201F3F" w:rsidP="0007572E">
      <w:pPr>
        <w:pStyle w:val="09BBlockQuoteWithoutIndent"/>
      </w:pPr>
      <w:r w:rsidRPr="00CD0FEB">
        <w:rPr>
          <w:shd w:val="clear" w:color="auto" w:fill="FFFFFF"/>
        </w:rPr>
        <w:t>To start, the hiring and promotional boards did not provide the lieutenants any special influence. They sometimes sat on the boards, but, at least for hiring boards, they did so along with their subordinates. Their scores were afforded the same weight as everyone else’s. If a lieutenant’s vote was an outlier, it didn’t count. And even when it did count, it comprised only one-third of the interview score—which itself constituted only one-half of the total score. Thus, at most, a lieutenant’s recommendation accounted for one-sixth of the final tally.</w:t>
      </w:r>
      <w:r>
        <w:rPr>
          <w:rStyle w:val="FootnoteReference"/>
        </w:rPr>
        <w:footnoteReference w:id="437"/>
      </w:r>
    </w:p>
    <w:p w14:paraId="325688D0" w14:textId="77777777" w:rsidR="00201F3F" w:rsidRPr="00CD0FEB" w:rsidRDefault="00201F3F" w:rsidP="00EB0DDA">
      <w:pPr>
        <w:pStyle w:val="10ATextWithIndent"/>
      </w:pPr>
      <w:r w:rsidRPr="00CD0FEB">
        <w:t xml:space="preserve">In </w:t>
      </w:r>
      <w:r w:rsidRPr="00CD0FEB">
        <w:rPr>
          <w:i/>
          <w:iCs/>
        </w:rPr>
        <w:t>Davis v. Mountaire Farms, Inc</w:t>
      </w:r>
      <w:r w:rsidRPr="00CD0FEB">
        <w:t>.,</w:t>
      </w:r>
      <w:r>
        <w:rPr>
          <w:vertAlign w:val="superscript"/>
        </w:rPr>
        <w:footnoteReference w:id="438"/>
      </w:r>
      <w:r w:rsidRPr="00CD0FEB">
        <w:t xml:space="preserve"> the Third Circuit ruled that crew leaders of chicken catchers were not exempt where “they had no responsibility for recruiting catchers, no responsibility for making recommendations on the hiring or termination of individuals, and no power to hire or fire an employee, even within restricted guidelines.”</w:t>
      </w:r>
      <w:r>
        <w:rPr>
          <w:vertAlign w:val="superscript"/>
        </w:rPr>
        <w:footnoteReference w:id="439"/>
      </w:r>
      <w:r w:rsidRPr="00CD0FEB">
        <w:t xml:space="preserve"> The court found that they only “had the limited power to borrow an employee from another crew when necessary and made only very limited referrals of potential catcher candidates to [the employer].”</w:t>
      </w:r>
      <w:r>
        <w:rPr>
          <w:vertAlign w:val="superscript"/>
        </w:rPr>
        <w:footnoteReference w:id="440"/>
      </w:r>
    </w:p>
    <w:p w14:paraId="3CCB502E" w14:textId="77777777" w:rsidR="00201F3F" w:rsidRPr="00CD0FEB" w:rsidRDefault="00201F3F" w:rsidP="00EB0DDA">
      <w:pPr>
        <w:pStyle w:val="05Second-LevelHeadABC"/>
      </w:pPr>
      <w:r w:rsidRPr="00CD0FEB">
        <w:t>F.</w:t>
      </w:r>
      <w:r w:rsidRPr="00CD0FEB">
        <w:tab/>
        <w:t>Business Owners</w:t>
      </w:r>
    </w:p>
    <w:p w14:paraId="5ECFCC86" w14:textId="77777777" w:rsidR="00201F3F" w:rsidRPr="00CD0FEB" w:rsidRDefault="00201F3F" w:rsidP="00EB0DDA">
      <w:pPr>
        <w:pStyle w:val="10ATextWithIndent"/>
      </w:pPr>
      <w:r w:rsidRPr="00CD0FEB">
        <w:t>Business owners come within the executive exemption if they own “at least a bona fide 20-percent equity interest in the enterprise” in which they are employed, and are “actively engaged in its management.”</w:t>
      </w:r>
      <w:r>
        <w:rPr>
          <w:vertAlign w:val="superscript"/>
        </w:rPr>
        <w:footnoteReference w:id="441"/>
      </w:r>
      <w:r w:rsidRPr="00CD0FEB">
        <w:t xml:space="preserve"> The salary requirement does not apply to business owners.</w:t>
      </w:r>
      <w:r>
        <w:rPr>
          <w:vertAlign w:val="superscript"/>
        </w:rPr>
        <w:footnoteReference w:id="442"/>
      </w:r>
    </w:p>
    <w:p w14:paraId="64E62C62" w14:textId="77777777" w:rsidR="00201F3F" w:rsidRPr="00CD0FEB" w:rsidRDefault="00201F3F" w:rsidP="00EB0DDA">
      <w:pPr>
        <w:pStyle w:val="05Second-LevelHeadABC"/>
      </w:pPr>
      <w:r w:rsidRPr="00CD0FEB">
        <w:t>G.</w:t>
      </w:r>
      <w:r w:rsidRPr="00CD0FEB">
        <w:tab/>
        <w:t>Working Supervisor</w:t>
      </w:r>
    </w:p>
    <w:p w14:paraId="6D41A788" w14:textId="77777777" w:rsidR="00201F3F" w:rsidRPr="00CD0FEB" w:rsidRDefault="00201F3F" w:rsidP="00EB0DDA">
      <w:pPr>
        <w:pStyle w:val="10ATextWithIndent"/>
      </w:pPr>
      <w:r w:rsidRPr="00CD0FEB">
        <w:t>The regulations provide that</w:t>
      </w:r>
    </w:p>
    <w:p w14:paraId="0AC4F6E2" w14:textId="77777777" w:rsidR="00201F3F" w:rsidRPr="00CD0FEB" w:rsidRDefault="00201F3F" w:rsidP="00EB0DDA">
      <w:pPr>
        <w:pStyle w:val="09BBlockQuoteWithoutIndent"/>
      </w:pPr>
      <w:r w:rsidRPr="00CD0FEB">
        <w:t>a relief supervisor or working supervisor whose primary duty is performing the nonexempt work on the production line in a manufacturing plant does not become exempt merely because the nonexempt production line employee occasionally has some responsibility for directing the work of other nonexempt production line employees when, for example, the exempt supervisor is not available.</w:t>
      </w:r>
      <w:r>
        <w:rPr>
          <w:vertAlign w:val="superscript"/>
        </w:rPr>
        <w:footnoteReference w:id="443"/>
      </w:r>
    </w:p>
    <w:p w14:paraId="413FF3EC" w14:textId="77777777" w:rsidR="00201F3F" w:rsidRPr="00CD0FEB" w:rsidRDefault="00201F3F" w:rsidP="00EB0DDA">
      <w:pPr>
        <w:pStyle w:val="10BTextWithoutIndent"/>
      </w:pPr>
      <w:r w:rsidRPr="00CD0FEB">
        <w:t>By way of example, the regulations note that “an employee whose primary duty is to work as an electrician is not an exempt executive even if the employee also directs the work of other employees on the job site, orders parts and materials for the job, and handles requests from the prime contractor.”</w:t>
      </w:r>
      <w:r>
        <w:rPr>
          <w:vertAlign w:val="superscript"/>
        </w:rPr>
        <w:footnoteReference w:id="444"/>
      </w:r>
    </w:p>
    <w:p w14:paraId="4D7D8AF0" w14:textId="77777777" w:rsidR="00201F3F" w:rsidRPr="00CD0FEB" w:rsidRDefault="00201F3F" w:rsidP="00EB0DDA">
      <w:pPr>
        <w:pStyle w:val="04First-LevelHeadIIIIII"/>
      </w:pPr>
      <w:r w:rsidRPr="00CD0FEB">
        <w:t>VI.</w:t>
      </w:r>
      <w:r w:rsidRPr="00CD0FEB">
        <w:t> </w:t>
      </w:r>
      <w:r w:rsidRPr="00CD0FEB">
        <w:t>The Administrative Exemption</w:t>
      </w:r>
    </w:p>
    <w:p w14:paraId="6447E9BC" w14:textId="77777777" w:rsidR="00201F3F" w:rsidRPr="00CD0FEB" w:rsidRDefault="00201F3F" w:rsidP="00EB0DDA">
      <w:pPr>
        <w:pStyle w:val="10ATextWithIndent"/>
      </w:pPr>
      <w:r w:rsidRPr="00CD0FEB">
        <w:t>For an employee to be deemed “employed in a bona fide administrative capacity,” the employer must show that the employee meets the “duties” test, in addition to meeting the compensation form and amount requirements.</w:t>
      </w:r>
      <w:r>
        <w:rPr>
          <w:vertAlign w:val="superscript"/>
        </w:rPr>
        <w:footnoteReference w:id="445"/>
      </w:r>
      <w:r w:rsidRPr="00CD0FEB">
        <w:t xml:space="preserve"> To meet the duties test for the administrative exemption, the employee must </w:t>
      </w:r>
    </w:p>
    <w:p w14:paraId="35DEB541" w14:textId="77777777" w:rsidR="00201F3F" w:rsidRPr="00CD0FEB" w:rsidRDefault="00201F3F" w:rsidP="00EB0DDA">
      <w:pPr>
        <w:pStyle w:val="11AFirst-LevelList123forshortphrases"/>
      </w:pPr>
      <w:r w:rsidRPr="00CD0FEB">
        <w:t>(1)</w:t>
      </w:r>
      <w:r w:rsidRPr="00CD0FEB">
        <w:tab/>
        <w:t>have the primary duty of performing “office or non-manual work directly related to the management or general business operations of the employer or the employer’s customers”;</w:t>
      </w:r>
      <w:r>
        <w:rPr>
          <w:vertAlign w:val="superscript"/>
        </w:rPr>
        <w:footnoteReference w:id="446"/>
      </w:r>
      <w:r w:rsidRPr="00CD0FEB">
        <w:t xml:space="preserve"> and</w:t>
      </w:r>
    </w:p>
    <w:p w14:paraId="3BDC3DEE" w14:textId="77777777" w:rsidR="00201F3F" w:rsidRPr="00CD0FEB" w:rsidRDefault="00201F3F" w:rsidP="00EB0DDA">
      <w:pPr>
        <w:pStyle w:val="11AFirst-LevelList123forshortphrases"/>
      </w:pPr>
      <w:r w:rsidRPr="00CD0FEB">
        <w:t>(2)</w:t>
      </w:r>
      <w:r w:rsidRPr="00CD0FEB">
        <w:tab/>
        <w:t>have a primary duty that “includes the exercise of discretion and independent judgment with respect to matters of significance.”</w:t>
      </w:r>
      <w:r>
        <w:rPr>
          <w:vertAlign w:val="superscript"/>
        </w:rPr>
        <w:footnoteReference w:id="447"/>
      </w:r>
    </w:p>
    <w:p w14:paraId="0B409999" w14:textId="77777777" w:rsidR="00201F3F" w:rsidRPr="00CD0FEB" w:rsidRDefault="00201F3F" w:rsidP="00EB0DDA">
      <w:pPr>
        <w:pStyle w:val="10BTextWithoutIndent"/>
      </w:pPr>
      <w:r w:rsidRPr="00CD0FEB">
        <w:t>Both elements must be proven for the administrative exemption to apply.</w:t>
      </w:r>
      <w:r>
        <w:rPr>
          <w:vertAlign w:val="superscript"/>
        </w:rPr>
        <w:footnoteReference w:id="448"/>
      </w:r>
    </w:p>
    <w:p w14:paraId="485136A8" w14:textId="77777777" w:rsidR="00201F3F" w:rsidRPr="00CD0FEB" w:rsidRDefault="00201F3F" w:rsidP="00EB0DDA">
      <w:pPr>
        <w:pStyle w:val="10ATextWithIndent"/>
      </w:pPr>
      <w:r w:rsidRPr="00CD0FEB">
        <w:t>In the public sector, a regulation unique to public safety employees governs the executive, professional, and administrative exemptions.</w:t>
      </w:r>
      <w:r>
        <w:rPr>
          <w:vertAlign w:val="superscript"/>
        </w:rPr>
        <w:footnoteReference w:id="449"/>
      </w:r>
      <w:r w:rsidRPr="00CD0FEB">
        <w:t xml:space="preserve"> This is discussed in Chapter 11, Government Employment, §IV.A [FLSA Exemptions Applied to Public Sector Employees; The White-Collar Exemptions].</w:t>
      </w:r>
    </w:p>
    <w:p w14:paraId="6EAAAE15" w14:textId="77777777" w:rsidR="00201F3F" w:rsidRPr="00CD0FEB" w:rsidRDefault="00201F3F" w:rsidP="00EB0DDA">
      <w:pPr>
        <w:pStyle w:val="05Second-LevelHeadABC"/>
      </w:pPr>
      <w:r w:rsidRPr="00CD0FEB">
        <w:t>A.</w:t>
      </w:r>
      <w:r w:rsidRPr="00CD0FEB">
        <w:tab/>
        <w:t>“Office or Non-Manual Work”</w:t>
      </w:r>
    </w:p>
    <w:p w14:paraId="24E560C7" w14:textId="77777777" w:rsidR="00201F3F" w:rsidRPr="00CD0FEB" w:rsidRDefault="00201F3F" w:rsidP="00EB0DDA">
      <w:pPr>
        <w:pStyle w:val="10ATextWithIndent"/>
      </w:pPr>
      <w:r w:rsidRPr="00CD0FEB">
        <w:t xml:space="preserve">An exempt administrative employee’s duties must be in the nature of </w:t>
      </w:r>
      <w:r w:rsidRPr="00CD0FEB">
        <w:rPr>
          <w:i/>
          <w:iCs/>
        </w:rPr>
        <w:t>office work or nonmanual work</w:t>
      </w:r>
      <w:r w:rsidRPr="00CD0FEB">
        <w:t>. The use of the disjunctive means this requirement can be satisfied where the nonmanual work is performed outside a traditional office setting.</w:t>
      </w:r>
      <w:r>
        <w:rPr>
          <w:vertAlign w:val="superscript"/>
        </w:rPr>
        <w:footnoteReference w:id="450"/>
      </w:r>
      <w:r w:rsidRPr="00CD0FEB">
        <w:t xml:space="preserve"> Nevertheless, the 2004 regulations clarified that manual laborers and other “blue collar” workers who perform “work involving repetitive operations with their hands, physical skill, and energy” cannot qualify for the exemption.</w:t>
      </w:r>
      <w:r>
        <w:rPr>
          <w:vertAlign w:val="superscript"/>
        </w:rPr>
        <w:footnoteReference w:id="451"/>
      </w:r>
    </w:p>
    <w:p w14:paraId="0EBE8398" w14:textId="77777777" w:rsidR="00201F3F" w:rsidRPr="00CD0FEB" w:rsidRDefault="00201F3F" w:rsidP="00EB0DDA">
      <w:pPr>
        <w:pStyle w:val="10ATextWithIndent"/>
      </w:pPr>
      <w:r w:rsidRPr="00CD0FEB">
        <w:t>Additionally, because “primary duty” does not mean exclusive duty, the performance of some manual work that is directly and closely related to the work that requires the exercise of discretion and independent judgment will not necessarily defeat the exempt status of an otherwise exempt employee.</w:t>
      </w:r>
      <w:r>
        <w:rPr>
          <w:vertAlign w:val="superscript"/>
        </w:rPr>
        <w:footnoteReference w:id="452"/>
      </w:r>
      <w:r w:rsidRPr="00CD0FEB">
        <w:t xml:space="preserve"> However, even if the manual work is directly and closely related to the work that requires the exercise of discretion and independent judgment, exempt status will be foreclosed in cases where the amount of time spent on manual tasks is substantial. Thus, for example, an employee who spends the majority of his or her time using tools, instruments, machinery, or other equipment or performing repetitive manual operations will not qualify as an exempt administrative employee.</w:t>
      </w:r>
      <w:r>
        <w:rPr>
          <w:vertAlign w:val="superscript"/>
        </w:rPr>
        <w:footnoteReference w:id="453"/>
      </w:r>
    </w:p>
    <w:p w14:paraId="3DCB14C4" w14:textId="77777777" w:rsidR="00201F3F" w:rsidRPr="00CD0FEB" w:rsidRDefault="00201F3F" w:rsidP="00EB0DDA">
      <w:pPr>
        <w:pStyle w:val="05Second-LevelHeadABC"/>
      </w:pPr>
      <w:r w:rsidRPr="00CD0FEB">
        <w:t>B.</w:t>
      </w:r>
      <w:r w:rsidRPr="00CD0FEB">
        <w:tab/>
        <w:t>“Directly Related to Management or General Business Operations”</w:t>
      </w:r>
    </w:p>
    <w:p w14:paraId="32E88609" w14:textId="77777777" w:rsidR="00201F3F" w:rsidRPr="00CD0FEB" w:rsidRDefault="00201F3F" w:rsidP="00EB0DDA">
      <w:pPr>
        <w:pStyle w:val="10ATextWithIndent"/>
      </w:pPr>
      <w:r w:rsidRPr="00CD0FEB">
        <w:t>To be considered exempt, an administrative employee must “perform work directly related to assisting with the running or servicing of the business, as distinguished, for example, from working on a manufacturing production line or selling a product in a retail or service establishment.”</w:t>
      </w:r>
      <w:r>
        <w:rPr>
          <w:vertAlign w:val="superscript"/>
        </w:rPr>
        <w:footnoteReference w:id="454"/>
      </w:r>
    </w:p>
    <w:p w14:paraId="1D6AD127" w14:textId="77777777" w:rsidR="00201F3F" w:rsidRPr="00CD0FEB" w:rsidRDefault="00201F3F" w:rsidP="00EB0DDA">
      <w:pPr>
        <w:pStyle w:val="10ATextWithIndent"/>
      </w:pPr>
      <w:r w:rsidRPr="00CD0FEB">
        <w:t>According to the regulations,</w:t>
      </w:r>
    </w:p>
    <w:p w14:paraId="25E67C64" w14:textId="77777777" w:rsidR="00201F3F" w:rsidRPr="00CD0FEB" w:rsidRDefault="00201F3F" w:rsidP="00EB0DDA">
      <w:pPr>
        <w:pStyle w:val="09BBlockQuoteWithoutIndent"/>
      </w:pPr>
      <w:r w:rsidRPr="00CD0FEB">
        <w:t>[w]ork directly related to management or general business operations includes, but is not limited to, work in functional areas such as tax; finance; accounting; budgeting; auditing; insurance; quality control; purchasing; procurement; advertising; marketing; research; safety and health; personnel management; human resources; employee benefits; labor relations; public relations; government relations; computer network, internet and database administration; legal and regulatory compliance; and similar activities.</w:t>
      </w:r>
      <w:r>
        <w:rPr>
          <w:vertAlign w:val="superscript"/>
        </w:rPr>
        <w:footnoteReference w:id="455"/>
      </w:r>
    </w:p>
    <w:p w14:paraId="163EDD26" w14:textId="77777777" w:rsidR="00201F3F" w:rsidRPr="00CD0FEB" w:rsidRDefault="00201F3F" w:rsidP="00EB0DDA">
      <w:pPr>
        <w:pStyle w:val="10ATextWithIndent"/>
      </w:pPr>
      <w:r w:rsidRPr="00CD0FEB">
        <w:t>The regulations note that “[a]n employee may qualify for the administrative exemption if the employee’s primary duty is the performance of work directly related to the management or general business operations of the employer’s customers,” citing as examples “employees acting as advisers or consultants to their employer’s clients or customers (as tax experts or financial consultants, for example).”</w:t>
      </w:r>
      <w:r>
        <w:rPr>
          <w:vertAlign w:val="superscript"/>
        </w:rPr>
        <w:footnoteReference w:id="456"/>
      </w:r>
      <w:r w:rsidRPr="00CD0FEB">
        <w:t xml:space="preserve"> This test is not met when the employee is engaged “to provide the very services [the employer] is in the business of providing.”</w:t>
      </w:r>
      <w:r>
        <w:rPr>
          <w:rStyle w:val="FootnoteReference"/>
        </w:rPr>
        <w:footnoteReference w:id="457"/>
      </w:r>
      <w:r w:rsidRPr="00CD0FEB">
        <w:t xml:space="preserve"> Thus, in </w:t>
      </w:r>
      <w:r w:rsidRPr="00CD0FEB">
        <w:rPr>
          <w:i/>
          <w:iCs/>
        </w:rPr>
        <w:t>Walsh v. Unitil Service Corp.</w:t>
      </w:r>
      <w:r w:rsidRPr="00CD0FEB">
        <w:t>,</w:t>
      </w:r>
      <w:r>
        <w:rPr>
          <w:rStyle w:val="FootnoteReference"/>
        </w:rPr>
        <w:footnoteReference w:id="458"/>
      </w:r>
      <w:r w:rsidRPr="00CD0FEB">
        <w:t xml:space="preserve"> the First Circuit held that dispatchers and controllers employed by a public utility subsidiary providing “administrative and professional services on a centralized basis” did not perform duties directly related to the employer’s management or general business operations, explaining that </w:t>
      </w:r>
    </w:p>
    <w:p w14:paraId="04B6C5F6" w14:textId="77777777" w:rsidR="00201F3F" w:rsidRPr="00CD0FEB" w:rsidRDefault="00201F3F" w:rsidP="002834A9">
      <w:pPr>
        <w:pStyle w:val="09BBlockQuoteWithoutIndent"/>
      </w:pPr>
      <w:r w:rsidRPr="00CD0FEB">
        <w:t>Unitil Service’s [sic] is in the business of providing operational and administrative services to its subsidiaries. The primary duties of the Dispatchers and Controllers are to provide these various services—to operate and monitor their respective electrical grids and gas pipelines for the [Distribution Operating Companies]—and thus are the very services that Unitil Service is in business to provide.</w:t>
      </w:r>
      <w:r>
        <w:rPr>
          <w:rStyle w:val="FootnoteReference"/>
        </w:rPr>
        <w:footnoteReference w:id="459"/>
      </w:r>
    </w:p>
    <w:p w14:paraId="72D528F5" w14:textId="77777777" w:rsidR="00201F3F" w:rsidRPr="00CD0FEB" w:rsidRDefault="00201F3F" w:rsidP="00EB0DDA">
      <w:pPr>
        <w:pStyle w:val="10ATextWithIndent"/>
      </w:pPr>
      <w:r w:rsidRPr="00CD0FEB">
        <w:t>Although marketing-type functions may satisfy the “directly related to” test in some cases, so as to be in the nature of exempt administrative work, selling does not.</w:t>
      </w:r>
      <w:r>
        <w:rPr>
          <w:vertAlign w:val="superscript"/>
        </w:rPr>
        <w:footnoteReference w:id="460"/>
      </w:r>
      <w:r w:rsidRPr="00CD0FEB">
        <w:t xml:space="preserve"> Distinguishing between marketing and selling, the Second Circuit explained that “an employee making specific sales to individual customers is a salesperson for the purposes of the FLSA, while an employee encouraging an increase in sales generally among all customers is an administrative employee for the purposes of the FLSA.”</w:t>
      </w:r>
      <w:r>
        <w:rPr>
          <w:vertAlign w:val="superscript"/>
        </w:rPr>
        <w:footnoteReference w:id="461"/>
      </w:r>
      <w:r w:rsidRPr="00CD0FEB">
        <w:t xml:space="preserve"> Thus,</w:t>
      </w:r>
    </w:p>
    <w:p w14:paraId="769140DA" w14:textId="77777777" w:rsidR="00201F3F" w:rsidRPr="00CD0FEB" w:rsidRDefault="00201F3F" w:rsidP="00EB0DDA">
      <w:pPr>
        <w:pStyle w:val="09BBlockQuoteWithoutIndent"/>
      </w:pPr>
      <w:r w:rsidRPr="00CD0FEB">
        <w:t>whether an employee’s work meets the “directly related” standard depends on the precise nature of the employee’s work. …  [W]hether a duty is exempt may turn on the enterprise’s core function—that is, the central revenue generator—and the employee’s involvement in it. For example, if the employer’s core function is the sale of certain products or services, then simply selling the product or service may not be directly related to the general business operations of the employer or its customers.</w:t>
      </w:r>
      <w:r>
        <w:rPr>
          <w:vertAlign w:val="superscript"/>
        </w:rPr>
        <w:footnoteReference w:id="462"/>
      </w:r>
    </w:p>
    <w:p w14:paraId="3D71E328" w14:textId="77777777" w:rsidR="00201F3F" w:rsidRPr="00CD0FEB" w:rsidRDefault="00201F3F" w:rsidP="00EB0DDA">
      <w:pPr>
        <w:pStyle w:val="10ATextWithIndent"/>
      </w:pPr>
      <w:r w:rsidRPr="00CD0FEB">
        <w:t>A distinction must also be drawn between selling and sales-related customer support. For example, the Seventh Circuit determined that an account manager responsible for identifying customer needs, relaying those needs to the company’s software developers, and training staff on using customized software was engaged in work directly related to general business operations.</w:t>
      </w:r>
      <w:r>
        <w:rPr>
          <w:vertAlign w:val="superscript"/>
        </w:rPr>
        <w:footnoteReference w:id="463"/>
      </w:r>
      <w:r w:rsidRPr="00CD0FEB">
        <w:t xml:space="preserve"> Likewise, the First Circuit concluded that sales managers for banquet facilities that hosted high-end weddings and social functions were performing work that was “ancillary to the principal function of actually providing the banquet services themselves” and were properly classified as exempt administrative employees where “they were focused on more than individual sales transactions” and “did not simply close contracts.”</w:t>
      </w:r>
      <w:r>
        <w:rPr>
          <w:vertAlign w:val="superscript"/>
        </w:rPr>
        <w:footnoteReference w:id="464"/>
      </w:r>
      <w:r w:rsidRPr="00CD0FEB">
        <w:t xml:space="preserve"> Similarly, the Third Circuit held that the primary duty of a sales engineer responsible for custom designing telecommunications systems to meet each prospective customer’s unique needs “constituted work that serviced [the employer’s] core business—the sale of telecom systems”—and was therefore directly related to general business operations.</w:t>
      </w:r>
      <w:r>
        <w:rPr>
          <w:vertAlign w:val="superscript"/>
        </w:rPr>
        <w:footnoteReference w:id="465"/>
      </w:r>
    </w:p>
    <w:p w14:paraId="55244807" w14:textId="77777777" w:rsidR="00201F3F" w:rsidRPr="00CD0FEB" w:rsidRDefault="00201F3F" w:rsidP="00EB0DDA">
      <w:pPr>
        <w:pStyle w:val="10ATextWithIndent"/>
      </w:pPr>
      <w:r w:rsidRPr="00CD0FEB">
        <w:t>By contrast, the Seventh Circuit reversed a grant of summary judgment in favor of Facebook in a putative class action brought by a Client Service Manager, a role “created by merging two positions: one focusing on ‘analytical work’ (looking at data to make advertising recommendations), and the other focusing on ‘upselling’ (increasing advertisement sales to existing clients).”</w:t>
      </w:r>
      <w:r>
        <w:rPr>
          <w:vertAlign w:val="superscript"/>
        </w:rPr>
        <w:footnoteReference w:id="466"/>
      </w:r>
      <w:r w:rsidRPr="00CD0FEB">
        <w:t xml:space="preserve"> The court reasoned that</w:t>
      </w:r>
    </w:p>
    <w:p w14:paraId="6BEC0DDB" w14:textId="77777777" w:rsidR="00201F3F" w:rsidRPr="00CD0FEB" w:rsidRDefault="00201F3F" w:rsidP="00EB0DDA">
      <w:pPr>
        <w:pStyle w:val="09BBlockQuoteWithoutIndent"/>
      </w:pPr>
      <w:r w:rsidRPr="00CD0FEB">
        <w:t>[a]lthough [plaintiff] regularly presented advertisement ‘solutions’ to clients, the evidence in the record does not establish whether, outside of making direct sales, [plaintiff’s] work customarily and regularly supported Facebook’s general sales efforts or its customers’ general business operations or management—for example, by performing analytical consultations with customers or by serving as an intermediary between customers and product developers.</w:t>
      </w:r>
      <w:r>
        <w:rPr>
          <w:vertAlign w:val="superscript"/>
        </w:rPr>
        <w:footnoteReference w:id="467"/>
      </w:r>
    </w:p>
    <w:p w14:paraId="59DC782D" w14:textId="77777777" w:rsidR="00201F3F" w:rsidRPr="00CD0FEB" w:rsidRDefault="00201F3F" w:rsidP="00EB0DDA">
      <w:pPr>
        <w:pStyle w:val="10ATextWithIndent"/>
      </w:pPr>
      <w:r w:rsidRPr="00CD0FEB">
        <w:t>The line between exempt administrative employees and nonexempt employees whose work is “administrative” is sometimes drawn by distinguishing between those who are engaged in the “running of the business and not merely … the day-to-day carrying out of its affairs.”</w:t>
      </w:r>
      <w:r>
        <w:rPr>
          <w:vertAlign w:val="superscript"/>
        </w:rPr>
        <w:footnoteReference w:id="468"/>
      </w:r>
      <w:r w:rsidRPr="00CD0FEB">
        <w:t xml:space="preserve"> This analytical framework focuses not on the “color” of the employee’s “collar” or on whether the job is performed in an office or factory, but on the nature of the work itself.</w:t>
      </w:r>
      <w:r>
        <w:rPr>
          <w:vertAlign w:val="superscript"/>
        </w:rPr>
        <w:footnoteReference w:id="469"/>
      </w:r>
      <w:r w:rsidRPr="00CD0FEB">
        <w:t xml:space="preserve"> Thus, “the indispensability of an employee’s position within the business cannot be the </w:t>
      </w:r>
      <w:r w:rsidRPr="00CD0FEB">
        <w:rPr>
          <w:i/>
          <w:iCs/>
        </w:rPr>
        <w:t>ratio decidendi</w:t>
      </w:r>
      <w:r w:rsidRPr="00CD0FEB">
        <w:t xml:space="preserve"> for determining whether the position is directly related to the employer’s general business operations.”</w:t>
      </w:r>
      <w:r>
        <w:rPr>
          <w:vertAlign w:val="superscript"/>
        </w:rPr>
        <w:footnoteReference w:id="470"/>
      </w:r>
    </w:p>
    <w:p w14:paraId="79FB4CA8" w14:textId="77777777" w:rsidR="00201F3F" w:rsidRPr="00CD0FEB" w:rsidRDefault="00201F3F" w:rsidP="00EB0DDA">
      <w:pPr>
        <w:pStyle w:val="10ATextWithIndent"/>
      </w:pPr>
      <w:r w:rsidRPr="00CD0FEB">
        <w:t xml:space="preserve">In </w:t>
      </w:r>
      <w:r w:rsidRPr="00CD0FEB">
        <w:rPr>
          <w:i/>
          <w:iCs/>
        </w:rPr>
        <w:t>Desmond v. PNGI Charles Town Gaming</w:t>
      </w:r>
      <w:r w:rsidRPr="00CD0FEB">
        <w:t>,</w:t>
      </w:r>
      <w:r>
        <w:rPr>
          <w:vertAlign w:val="superscript"/>
        </w:rPr>
        <w:footnoteReference w:id="471"/>
      </w:r>
      <w:r w:rsidRPr="00CD0FEB">
        <w:t xml:space="preserve"> the Fourth Circuit found the administrative exemption inapplicable to a Racing Official whose position was required and regulated by state law. The court highlighted the importance of considering the </w:t>
      </w:r>
      <w:r w:rsidRPr="00CD0FEB">
        <w:rPr>
          <w:i/>
          <w:iCs/>
        </w:rPr>
        <w:t>type</w:t>
      </w:r>
      <w:r w:rsidRPr="00CD0FEB">
        <w:t xml:space="preserve"> of work the employee actually performs in determining whether the administrative exemption applies:</w:t>
      </w:r>
    </w:p>
    <w:p w14:paraId="38B8C1F7" w14:textId="77777777" w:rsidR="00201F3F" w:rsidRPr="00CD0FEB" w:rsidRDefault="00201F3F" w:rsidP="00EB0DDA">
      <w:pPr>
        <w:pStyle w:val="09BBlockQuoteWithoutIndent"/>
      </w:pPr>
      <w:r w:rsidRPr="00CD0FEB">
        <w:t xml:space="preserve">[T]hat the position of Racing Official was “indispensable” because of state law, rather than business practice, does not alter the analysis. State or local law may also require a construction company to post a flagman around a highway work site in order to coordinate traffic, but no colorable argument can be made that the flagman’s work is directly related to the construction company’s general business operations. Looking to the “significance” or “indispensability” of a position within a company’s business operations diverts attention from the requisite inquiry. Both the FLSA and its regulations make clear that an employee is exempt based on </w:t>
      </w:r>
      <w:r w:rsidRPr="00CD0FEB">
        <w:rPr>
          <w:i/>
          <w:iCs/>
        </w:rPr>
        <w:t>type</w:t>
      </w:r>
      <w:r w:rsidRPr="00CD0FEB">
        <w:t xml:space="preserve"> of work performed by that individual, not whether business practice or applicable law require a particular position to exist.</w:t>
      </w:r>
      <w:r>
        <w:rPr>
          <w:vertAlign w:val="superscript"/>
        </w:rPr>
        <w:footnoteReference w:id="472"/>
      </w:r>
    </w:p>
    <w:p w14:paraId="22F6012A" w14:textId="77777777" w:rsidR="00201F3F" w:rsidRPr="00CD0FEB" w:rsidRDefault="00201F3F" w:rsidP="00EB0DDA">
      <w:pPr>
        <w:pStyle w:val="10ATextWithIndent"/>
      </w:pPr>
      <w:r w:rsidRPr="00CD0FEB">
        <w:t>Since the late 1980s, many courts have found the administrative exemption to turn on whether the employee is performing “production work” as opposed to administrative tasks that are of substantial importance to the management or operation of the business.</w:t>
      </w:r>
      <w:r>
        <w:rPr>
          <w:vertAlign w:val="superscript"/>
        </w:rPr>
        <w:footnoteReference w:id="473"/>
      </w:r>
      <w:r w:rsidRPr="00CD0FEB">
        <w:t xml:space="preserve"> The 2004 regulations retained the so-called “administrative/production dichotomy” as a “relevant and useful tool in appropriate cases to identify employees who should be excluded from the [administrative] exemption.”</w:t>
      </w:r>
      <w:r>
        <w:rPr>
          <w:vertAlign w:val="superscript"/>
        </w:rPr>
        <w:footnoteReference w:id="474"/>
      </w:r>
    </w:p>
    <w:p w14:paraId="52977954" w14:textId="77777777" w:rsidR="00201F3F" w:rsidRPr="00CD0FEB" w:rsidRDefault="00201F3F" w:rsidP="00EB0DDA">
      <w:pPr>
        <w:pStyle w:val="10ATextWithIndent"/>
      </w:pPr>
      <w:r w:rsidRPr="00CD0FEB">
        <w:t xml:space="preserve">One of the early decisions applying the administrative/production dichotomy is </w:t>
      </w:r>
      <w:r w:rsidRPr="00CD0FEB">
        <w:rPr>
          <w:i/>
          <w:iCs/>
        </w:rPr>
        <w:t>Dalheim v. KDFW-TV</w:t>
      </w:r>
      <w:r w:rsidRPr="00CD0FEB">
        <w:t>.</w:t>
      </w:r>
      <w:r>
        <w:rPr>
          <w:vertAlign w:val="superscript"/>
        </w:rPr>
        <w:footnoteReference w:id="475"/>
      </w:r>
      <w:r w:rsidRPr="00CD0FEB">
        <w:t xml:space="preserve"> In that case, the Fifth Circuit held that news producers were not exempt as administrative employees because their responsibilities began and ended with the 10- to 12-minute portion of the newscast on which they were working. They were not responsible for setting business policy, planning the long- or short-term objectives of the news department, promoting the newscast, negotiating salary or benefits with other department personnel, or any of the other types of “administrative” tasks noted in the regulations.</w:t>
      </w:r>
      <w:r>
        <w:rPr>
          <w:vertAlign w:val="superscript"/>
        </w:rPr>
        <w:footnoteReference w:id="476"/>
      </w:r>
    </w:p>
    <w:p w14:paraId="181679E3" w14:textId="77777777" w:rsidR="00201F3F" w:rsidRPr="00CD0FEB" w:rsidRDefault="00201F3F" w:rsidP="00EB0DDA">
      <w:pPr>
        <w:pStyle w:val="10ATextWithIndent"/>
      </w:pPr>
      <w:r w:rsidRPr="00CD0FEB">
        <w:t xml:space="preserve">Since the </w:t>
      </w:r>
      <w:r w:rsidRPr="00CD0FEB">
        <w:rPr>
          <w:i/>
          <w:iCs/>
        </w:rPr>
        <w:t>Dalheim</w:t>
      </w:r>
      <w:r w:rsidRPr="00CD0FEB">
        <w:t xml:space="preserve"> decision, courts frequently have applied this “production work” paradigm to determine whether the employees in question were nonexempt.</w:t>
      </w:r>
      <w:r>
        <w:rPr>
          <w:vertAlign w:val="superscript"/>
        </w:rPr>
        <w:footnoteReference w:id="477"/>
      </w:r>
      <w:r w:rsidRPr="00CD0FEB">
        <w:t xml:space="preserve"> In certain contexts, though, courts have found this paradigm to be unhelpful or of limited utility.</w:t>
      </w:r>
      <w:r>
        <w:rPr>
          <w:vertAlign w:val="superscript"/>
        </w:rPr>
        <w:footnoteReference w:id="478"/>
      </w:r>
      <w:r w:rsidRPr="00CD0FEB">
        <w:t xml:space="preserve"> The Seventh Circuit noted that “[t]he typical example of the dichotomy is the factory setting where the ‘production’ employees work on the line running machines, while the administrative employees work in an office, communicating with the customers and doing paperwork.”</w:t>
      </w:r>
      <w:r>
        <w:rPr>
          <w:vertAlign w:val="superscript"/>
        </w:rPr>
        <w:footnoteReference w:id="479"/>
      </w:r>
      <w:r w:rsidRPr="00CD0FEB">
        <w:t xml:space="preserve"> However, other courts have applied the dichotomy analysis outside the factory setting, in some cases finding employees engaged in both administrative tasks of substantial importance to the management or operation of the business and the exercise of discretion and independent judgment, so as to be exempt,</w:t>
      </w:r>
      <w:r>
        <w:rPr>
          <w:vertAlign w:val="superscript"/>
        </w:rPr>
        <w:footnoteReference w:id="480"/>
      </w:r>
      <w:r w:rsidRPr="00CD0FEB">
        <w:t xml:space="preserve"> whereas in others deeming the employee’s functions to be more in the way of production work, rendering the exemption inapplicable.</w:t>
      </w:r>
      <w:r>
        <w:rPr>
          <w:vertAlign w:val="superscript"/>
        </w:rPr>
        <w:footnoteReference w:id="481"/>
      </w:r>
      <w:r w:rsidRPr="00CD0FEB">
        <w:t xml:space="preserve"> Fundamentally, as the Ninth Circuit explained in </w:t>
      </w:r>
      <w:r w:rsidRPr="00CD0FEB">
        <w:rPr>
          <w:i/>
          <w:iCs/>
        </w:rPr>
        <w:t>Bothell v. Phase Metrics Inc.</w:t>
      </w:r>
      <w:r w:rsidRPr="00CD0FEB">
        <w:t>,</w:t>
      </w:r>
      <w:r>
        <w:rPr>
          <w:vertAlign w:val="superscript"/>
        </w:rPr>
        <w:footnoteReference w:id="482"/>
      </w:r>
      <w:r w:rsidRPr="00CD0FEB">
        <w:t xml:space="preserve"> the administrative/production distinction “is but one analytical tool, to be used only to the extent it clarifies the analysis,” and “should only be employed as a tool towards answering the ultimate question, whether work is ‘directly related to management policies or general business operations.’”</w:t>
      </w:r>
      <w:r>
        <w:rPr>
          <w:vertAlign w:val="superscript"/>
        </w:rPr>
        <w:footnoteReference w:id="483"/>
      </w:r>
    </w:p>
    <w:p w14:paraId="314EC24C" w14:textId="77777777" w:rsidR="00201F3F" w:rsidRPr="00CD0FEB" w:rsidRDefault="00201F3F" w:rsidP="00EB0DDA">
      <w:pPr>
        <w:pStyle w:val="10ATextWithIndent"/>
      </w:pPr>
      <w:r w:rsidRPr="00CD0FEB">
        <w:t xml:space="preserve">Thus, in determining “administrative status,” courts have considered the overall scope of the duties performed by an individual who is in a job category generally regarded as “production.” For example, in </w:t>
      </w:r>
      <w:r w:rsidRPr="00CD0FEB">
        <w:rPr>
          <w:i/>
          <w:iCs/>
        </w:rPr>
        <w:t>Spinden v. G.S. Roofing</w:t>
      </w:r>
      <w:r w:rsidRPr="00CD0FEB">
        <w:t>,</w:t>
      </w:r>
      <w:r>
        <w:rPr>
          <w:vertAlign w:val="superscript"/>
        </w:rPr>
        <w:footnoteReference w:id="484"/>
      </w:r>
      <w:r w:rsidRPr="00CD0FEB">
        <w:t xml:space="preserve"> the Eighth Circuit overturned a district court’s finding that the plaintiff “was basically your garden variety bookkeeper with a few administrative duties.”</w:t>
      </w:r>
      <w:r>
        <w:rPr>
          <w:vertAlign w:val="superscript"/>
        </w:rPr>
        <w:footnoteReference w:id="485"/>
      </w:r>
      <w:r w:rsidRPr="00CD0FEB">
        <w:t xml:space="preserve"> The Eighth Circuit held that the bookkeeper was exempt under the circumstances because</w:t>
      </w:r>
    </w:p>
    <w:p w14:paraId="3580A65E" w14:textId="77777777" w:rsidR="00201F3F" w:rsidRPr="00CD0FEB" w:rsidRDefault="00201F3F" w:rsidP="00EB0DDA">
      <w:pPr>
        <w:pStyle w:val="09BBlockQuoteWithoutIndent"/>
      </w:pPr>
      <w:r w:rsidRPr="00CD0FEB">
        <w:t>[u]nlike any bookkeeper, Spinden was a member of the Little Rock plant’s management team, and participated in weekly meetings with senior management personnel. At these meetings, Spinden and the others discussed issues of importance to G.S., including opening a new production line at the Little Rock plant. … In addition, Spinden’s administrative duties included serving as the registered agent for service of process, computerizing the Little Rock plant’s accounting procedures, and signing contracts and tax documents. Perhaps most significantly, Spinden created Variance Reports for G.S., which acted as a “score card” for the Little Rock plant.</w:t>
      </w:r>
      <w:r>
        <w:rPr>
          <w:vertAlign w:val="superscript"/>
        </w:rPr>
        <w:footnoteReference w:id="486"/>
      </w:r>
    </w:p>
    <w:p w14:paraId="237B25F0" w14:textId="77777777" w:rsidR="00201F3F" w:rsidRPr="00CD0FEB" w:rsidRDefault="00201F3F" w:rsidP="00EB0DDA">
      <w:pPr>
        <w:pStyle w:val="10ATextWithIndent"/>
      </w:pPr>
      <w:r w:rsidRPr="00CD0FEB">
        <w:t>These duties, particularly the creation of variance reports, supported the conclusion that the bookkeeper was an administrative employee. The court also noted that the plaintiff engaged in the frequent exercise of discretionary duties, was the third highest-paid employee of the plant, and was a one-person department, receiving only occasional assistance from the plant manager and corporate office.</w:t>
      </w:r>
      <w:r>
        <w:rPr>
          <w:vertAlign w:val="superscript"/>
        </w:rPr>
        <w:footnoteReference w:id="487"/>
      </w:r>
    </w:p>
    <w:p w14:paraId="466B2E18" w14:textId="77777777" w:rsidR="00201F3F" w:rsidRPr="00CD0FEB" w:rsidRDefault="00201F3F" w:rsidP="00EB0DDA">
      <w:pPr>
        <w:pStyle w:val="10ATextWithIndent"/>
      </w:pPr>
      <w:r w:rsidRPr="00CD0FEB">
        <w:t xml:space="preserve">In </w:t>
      </w:r>
      <w:r w:rsidRPr="00CD0FEB">
        <w:rPr>
          <w:i/>
          <w:iCs/>
        </w:rPr>
        <w:t>Webster v. Public School Employees of Washington, Inc</w:t>
      </w:r>
      <w:r w:rsidRPr="00CD0FEB">
        <w:t>.,</w:t>
      </w:r>
      <w:r>
        <w:rPr>
          <w:vertAlign w:val="superscript"/>
        </w:rPr>
        <w:footnoteReference w:id="488"/>
      </w:r>
      <w:r w:rsidRPr="00CD0FEB">
        <w:t xml:space="preserve"> the Ninth Circuit determined that a field representative for a labor union was an exempt administrative employee. Seeking to show otherwise, the plaintiff characterized his duties—primarily advising the local units, negotiating bargaining agreements, and handling grievances—as the union’s principal service to its local units, so as to be in the nature of “production” rather than “administrative” work. In concluding that the purpose of the administrative/production dichotomy was to “clarify the meaning of ‘work directly related to the management policies or general business operations,’ [rather than] to frustrate the purpose and spirit of the entire exemption,”</w:t>
      </w:r>
      <w:r>
        <w:rPr>
          <w:vertAlign w:val="superscript"/>
        </w:rPr>
        <w:footnoteReference w:id="489"/>
      </w:r>
      <w:r w:rsidRPr="00CD0FEB">
        <w:t xml:space="preserve"> the court viewed the representative not as a production employee for his employer union, but as an administrative employee advising and servicing the union’s “customers,” i.e., the local bargaining units.</w:t>
      </w:r>
      <w:r>
        <w:rPr>
          <w:vertAlign w:val="superscript"/>
        </w:rPr>
        <w:footnoteReference w:id="490"/>
      </w:r>
    </w:p>
    <w:p w14:paraId="18D43A9E" w14:textId="77777777" w:rsidR="00201F3F" w:rsidRDefault="00201F3F" w:rsidP="00EB0DDA">
      <w:pPr>
        <w:pStyle w:val="10ATextWithIndent"/>
      </w:pPr>
      <w:r w:rsidRPr="00CD0FEB">
        <w:t>The WHD applied the dichotomy in finding a copy editor at a marketing firm that promoted the sale of books through book clubs to be nonexempt because the employee’s duties merely involved technical steps in the production of marketing materials.</w:t>
      </w:r>
      <w:r>
        <w:rPr>
          <w:vertAlign w:val="superscript"/>
        </w:rPr>
        <w:footnoteReference w:id="491"/>
      </w:r>
      <w:r w:rsidRPr="00CD0FEB">
        <w:t xml:space="preserve"> In an opinion letter issued a year earlier, the WHD likewise applied the administrative/production dichotomy in opining that a “Regional Advocate” responsible for advocating for services to benefit people with disabilities, whose job consisted of providing ongoing day-to-day case management services, investigation, advising, and intake functions, was not primarily tasked with performing work related to the management or general business operations of the employer or its customers.</w:t>
      </w:r>
      <w:r>
        <w:rPr>
          <w:vertAlign w:val="superscript"/>
        </w:rPr>
        <w:footnoteReference w:id="492"/>
      </w:r>
      <w:r w:rsidRPr="00CD0FEB">
        <w:t xml:space="preserve"> By contrast, in </w:t>
      </w:r>
      <w:r w:rsidRPr="00CD0FEB">
        <w:rPr>
          <w:i/>
          <w:iCs/>
        </w:rPr>
        <w:t>Brown v. Serenity C &amp; C, Inc.</w:t>
      </w:r>
      <w:r w:rsidRPr="00CD0FEB">
        <w:t>,</w:t>
      </w:r>
      <w:r>
        <w:rPr>
          <w:rStyle w:val="FootnoteReference"/>
        </w:rPr>
        <w:footnoteReference w:id="493"/>
      </w:r>
      <w:r w:rsidRPr="00CD0FEB">
        <w:t xml:space="preserve"> a district court ruled that a program coordinator for a company that provides support and training to individuals with intellectual and developmental disabilities qualified for the administrative exemption where she “was not providing support and training to Defendant’s Clients with intellectual disabilities, but instead was supervising and supporting the home-based Sponsors who were producing and directly overseeing the service of home care” and, as such, “was not involved in the production side of [the] business.”</w:t>
      </w:r>
      <w:r>
        <w:rPr>
          <w:rStyle w:val="FootnoteReference"/>
        </w:rPr>
        <w:footnoteReference w:id="494"/>
      </w:r>
    </w:p>
    <w:p w14:paraId="20D98875" w14:textId="77777777" w:rsidR="00201F3F" w:rsidRPr="00A11AE0" w:rsidRDefault="00201F3F" w:rsidP="00EB0DDA">
      <w:pPr>
        <w:pStyle w:val="10ATextWithIndent"/>
      </w:pPr>
      <w:r>
        <w:t xml:space="preserve">Similarly, the Third Circuit concluded in </w:t>
      </w:r>
      <w:r>
        <w:rPr>
          <w:i/>
          <w:iCs/>
        </w:rPr>
        <w:t>Perez v. Express Scripts, Inc.</w:t>
      </w:r>
      <w:r>
        <w:t>,</w:t>
      </w:r>
      <w:r>
        <w:rPr>
          <w:rStyle w:val="FootnoteReference"/>
        </w:rPr>
        <w:footnoteReference w:id="495"/>
      </w:r>
      <w:r>
        <w:t xml:space="preserve"> that the work of a Senior Program Communications Manager for a company that manages and administers pharmacy benefit plans for employers, commercial health plans, and governmental entities fell on the administrative, rather than the production, side of the business, reasoning that the company’s product was pharmacy benefit plans and the plaintiff was “was in no way involved in the design or generation of those plans.”</w:t>
      </w:r>
      <w:r>
        <w:rPr>
          <w:rStyle w:val="FootnoteReference"/>
        </w:rPr>
        <w:footnoteReference w:id="496"/>
      </w:r>
      <w:r>
        <w:t xml:space="preserve"> Rather, the plaintiff “coordinated communications to clients about significant matters, including changes to prescription coverage and methods to obtain covered prescription medications.”</w:t>
      </w:r>
      <w:r>
        <w:rPr>
          <w:rStyle w:val="FootnoteReference"/>
        </w:rPr>
        <w:footnoteReference w:id="497"/>
      </w:r>
    </w:p>
    <w:p w14:paraId="5454A7CD" w14:textId="77777777" w:rsidR="00201F3F" w:rsidRPr="00CD0FEB" w:rsidRDefault="00201F3F" w:rsidP="00EB0DDA">
      <w:pPr>
        <w:pStyle w:val="10ATextWithIndent"/>
      </w:pPr>
      <w:r w:rsidRPr="00CD0FEB">
        <w:t xml:space="preserve">The First Circuit, in </w:t>
      </w:r>
      <w:r w:rsidRPr="00CD0FEB">
        <w:rPr>
          <w:i/>
          <w:iCs/>
        </w:rPr>
        <w:t>Walsh v. Unitil Service Corp.</w:t>
      </w:r>
      <w:r w:rsidRPr="00CD0FEB">
        <w:t>,</w:t>
      </w:r>
      <w:r>
        <w:rPr>
          <w:rStyle w:val="FootnoteReference"/>
        </w:rPr>
        <w:footnoteReference w:id="498"/>
      </w:r>
      <w:r w:rsidRPr="00CD0FEB">
        <w:t xml:space="preserve"> adopted a “relational” analysis rooted in the administrative-production dichotomy to determine whether an employee’s primary duty is directly related to the running or servicing of the business. The court explained that,</w:t>
      </w:r>
    </w:p>
    <w:p w14:paraId="4EB63F42" w14:textId="77777777" w:rsidR="00201F3F" w:rsidRPr="00CD0FEB" w:rsidRDefault="00201F3F" w:rsidP="00EE2B38">
      <w:pPr>
        <w:pStyle w:val="09BBlockQuoteWithoutIndent"/>
      </w:pPr>
      <w:r w:rsidRPr="00CD0FEB">
        <w:t>in conducting this analysis, it is often useful to identify and articulate the business purpose of the employer and (if necessary) the employer’s customers. By “business purpose” we mean the production or provision of “the very product or service that the”</w:t>
      </w:r>
      <w:r>
        <w:t xml:space="preserve"> </w:t>
      </w:r>
      <w:r w:rsidRPr="00CD0FEB">
        <w:t>employer or its customers “offers to the public.” … Having done so, one may then compare the employee’s primary duty to the business purpose of the employer and/or the employer’s customers to determine whether the employee’s primary duty directly relates to the business purpose or, conversely, is directly related to the “running or servicing of the business.” …</w:t>
      </w:r>
    </w:p>
    <w:p w14:paraId="40A5B45F" w14:textId="77777777" w:rsidR="00201F3F" w:rsidRPr="00CD0FEB" w:rsidRDefault="00201F3F" w:rsidP="00EE2B38">
      <w:pPr>
        <w:pStyle w:val="09BBlockQuoteWithoutIndent"/>
      </w:pPr>
      <w:r w:rsidRPr="00CD0FEB">
        <w:t>Put slightly differently, the “relational” analysis considers whether an employee’s primary duties are “ancillary” to the business’s “principal production activity” or “principal function.”</w:t>
      </w:r>
      <w:r>
        <w:rPr>
          <w:rStyle w:val="FootnoteReference"/>
          <w:szCs w:val="20"/>
        </w:rPr>
        <w:footnoteReference w:id="499"/>
      </w:r>
    </w:p>
    <w:p w14:paraId="300581D8" w14:textId="77777777" w:rsidR="00201F3F" w:rsidRDefault="00201F3F" w:rsidP="003B3A6B">
      <w:pPr>
        <w:shd w:val="clear" w:color="auto" w:fill="FFFFFF"/>
        <w:ind w:firstLine="720"/>
        <w:rPr>
          <w:rFonts w:eastAsia="Times New Roman"/>
        </w:rPr>
      </w:pPr>
      <w:r w:rsidRPr="00F961CA">
        <w:t xml:space="preserve">Not long after handing down its decision in </w:t>
      </w:r>
      <w:r>
        <w:rPr>
          <w:i/>
          <w:iCs/>
        </w:rPr>
        <w:t>Unitil Service Corp.</w:t>
      </w:r>
      <w:r w:rsidRPr="00F961CA">
        <w:t xml:space="preserve">, the First Circuit, in </w:t>
      </w:r>
      <w:r w:rsidRPr="00F961CA">
        <w:rPr>
          <w:i/>
          <w:iCs/>
        </w:rPr>
        <w:t>Marcus v. American Contract Bridge League</w:t>
      </w:r>
      <w:r w:rsidRPr="00F961CA">
        <w:t>,</w:t>
      </w:r>
      <w:r w:rsidRPr="00F961CA">
        <w:rPr>
          <w:rStyle w:val="FootnoteReference"/>
        </w:rPr>
        <w:footnoteReference w:id="500"/>
      </w:r>
      <w:r w:rsidRPr="00F961CA">
        <w:t xml:space="preserve"> </w:t>
      </w:r>
      <w:r>
        <w:t>applied</w:t>
      </w:r>
      <w:r w:rsidRPr="00F961CA">
        <w:t xml:space="preserve"> th</w:t>
      </w:r>
      <w:r>
        <w:t>e</w:t>
      </w:r>
      <w:r w:rsidRPr="00F961CA">
        <w:t xml:space="preserve"> relational analysis to determine whether several </w:t>
      </w:r>
      <w:r>
        <w:t>roles for</w:t>
      </w:r>
      <w:r w:rsidRPr="00F961CA">
        <w:t xml:space="preserve"> a company in the business of sanctioning bridge tournaments met the requirements of the administrative exemption. Tournament Directors, the </w:t>
      </w:r>
      <w:r>
        <w:t>c</w:t>
      </w:r>
      <w:r w:rsidRPr="00F961CA">
        <w:t xml:space="preserve">ourt concluded, were not administratively exempt because their </w:t>
      </w:r>
      <w:r>
        <w:t>job</w:t>
      </w:r>
      <w:r w:rsidRPr="00F961CA">
        <w:t xml:space="preserve"> was to supervise a duplicate bridge contest, which “when considered in relation to </w:t>
      </w:r>
      <w:r>
        <w:t>[the employer’s]</w:t>
      </w:r>
      <w:r w:rsidRPr="00F961CA">
        <w:t xml:space="preserve"> business purpose, is the very service that </w:t>
      </w:r>
      <w:r>
        <w:t>[the employer]</w:t>
      </w:r>
      <w:r w:rsidRPr="00F961CA">
        <w:t xml:space="preserve"> is in the business of providing.”</w:t>
      </w:r>
      <w:r w:rsidRPr="00F961CA">
        <w:rPr>
          <w:rStyle w:val="FootnoteReference"/>
        </w:rPr>
        <w:footnoteReference w:id="501"/>
      </w:r>
      <w:r w:rsidRPr="00F961CA">
        <w:t xml:space="preserve"> Similarly, the First Circuit </w:t>
      </w:r>
      <w:r>
        <w:t xml:space="preserve">found </w:t>
      </w:r>
      <w:r w:rsidRPr="00F961CA">
        <w:t xml:space="preserve">that </w:t>
      </w:r>
      <w:r w:rsidRPr="00F961CA">
        <w:rPr>
          <w:rFonts w:eastAsia="Times New Roman"/>
          <w:color w:val="000000"/>
        </w:rPr>
        <w:t xml:space="preserve">National Tournament Directors and Associate National Tournament Directors </w:t>
      </w:r>
      <w:r>
        <w:rPr>
          <w:rFonts w:eastAsia="Times New Roman"/>
          <w:color w:val="000000"/>
        </w:rPr>
        <w:t>were misclassified as exempt since their primary duty was to supervise bridge tournaments.</w:t>
      </w:r>
      <w:r>
        <w:rPr>
          <w:rStyle w:val="FootnoteReference"/>
          <w:rFonts w:eastAsia="Times New Roman"/>
          <w:color w:val="000000"/>
        </w:rPr>
        <w:footnoteReference w:id="502"/>
      </w:r>
      <w:r>
        <w:rPr>
          <w:rFonts w:eastAsia="Times New Roman"/>
          <w:color w:val="000000"/>
        </w:rPr>
        <w:t xml:space="preserve"> Even though the </w:t>
      </w:r>
      <w:r w:rsidRPr="001621A1">
        <w:rPr>
          <w:rFonts w:eastAsia="Times New Roman"/>
          <w:color w:val="000000"/>
        </w:rPr>
        <w:t>National Tournament Directors and Associate National Tournament Directors</w:t>
      </w:r>
      <w:r>
        <w:rPr>
          <w:rFonts w:eastAsia="Times New Roman"/>
          <w:color w:val="000000"/>
        </w:rPr>
        <w:t xml:space="preserve"> performed additional duties, “such as training and mentoring other directors in tournament-related areas, guiding disputes concerning game play, and/or drafting tournament regulations, these duties all go towards producing an [the employer’s]</w:t>
      </w:r>
      <w:r w:rsidRPr="00F961CA">
        <w:rPr>
          <w:rFonts w:eastAsia="Times New Roman"/>
          <w:color w:val="000000"/>
        </w:rPr>
        <w:t>-sanctioned bridge tournament</w:t>
      </w:r>
      <w:r>
        <w:rPr>
          <w:rFonts w:eastAsia="Times New Roman"/>
          <w:color w:val="000000"/>
        </w:rPr>
        <w:t>” and, therefore, “[g]</w:t>
      </w:r>
      <w:r w:rsidRPr="00F961CA">
        <w:rPr>
          <w:rFonts w:eastAsia="Times New Roman"/>
          <w:color w:val="000000"/>
        </w:rPr>
        <w:t xml:space="preserve">iven the nature of </w:t>
      </w:r>
      <w:r>
        <w:rPr>
          <w:rFonts w:eastAsia="Times New Roman"/>
          <w:color w:val="000000"/>
        </w:rPr>
        <w:t>[the employer’s]</w:t>
      </w:r>
      <w:r w:rsidRPr="00F961CA">
        <w:rPr>
          <w:rFonts w:eastAsia="Times New Roman"/>
          <w:color w:val="000000"/>
        </w:rPr>
        <w:t xml:space="preserve"> business, their primary duties amount to production work</w:t>
      </w:r>
      <w:r>
        <w:rPr>
          <w:rFonts w:eastAsia="Times New Roman"/>
          <w:color w:val="000000"/>
        </w:rPr>
        <w:t>.”</w:t>
      </w:r>
      <w:r>
        <w:rPr>
          <w:rStyle w:val="FootnoteReference"/>
          <w:rFonts w:eastAsia="Times New Roman"/>
          <w:color w:val="000000"/>
        </w:rPr>
        <w:footnoteReference w:id="503"/>
      </w:r>
    </w:p>
    <w:p w14:paraId="5E53136F" w14:textId="77777777" w:rsidR="00201F3F" w:rsidRPr="00F961CA" w:rsidRDefault="00201F3F" w:rsidP="00F961CA">
      <w:pPr>
        <w:shd w:val="clear" w:color="auto" w:fill="FFFFFF"/>
        <w:ind w:firstLine="720"/>
        <w:rPr>
          <w:rFonts w:eastAsia="Times New Roman"/>
        </w:rPr>
      </w:pPr>
      <w:r>
        <w:rPr>
          <w:rFonts w:eastAsia="Times New Roman"/>
          <w:color w:val="000000"/>
        </w:rPr>
        <w:t>On the other hand, the First Circuit determined that the employer’s Field Supervisors and Area Managers were properly classified as exempt administrative employees in that (1) their primary duties—tournament organization and operations, workforce supervision, executing the strategic direction of field operations, and high-level customer service oriented responsibilities—directly related to the running of the business as these functions “are designed to ensure the long-term integrity of bridge tournaments and satisfaction of [the employer’s] consumers”; and (2) they “had significant supervisory authority over other employees, including writing annual performance reviews and making hiring/firing decisions.”</w:t>
      </w:r>
      <w:r>
        <w:rPr>
          <w:rStyle w:val="FootnoteReference"/>
          <w:rFonts w:eastAsia="Times New Roman"/>
          <w:color w:val="000000"/>
        </w:rPr>
        <w:footnoteReference w:id="504"/>
      </w:r>
      <w:r>
        <w:rPr>
          <w:rFonts w:eastAsia="Times New Roman"/>
          <w:color w:val="000000"/>
        </w:rPr>
        <w:t xml:space="preserve"> The First Circuit also determined that Mentors met the requirements of the administrative exemption since “Mentors ‘engaged in something more than routine’ tournament directing. Instead, Mentors helped run [the employer’s] business by recruiting, supervising, and setting standards for Tournament Directors” and “exercised discretion and independent judgment with respect to matters of significance because ‘higher-level managers generally deferred to’ their recommendations ‘as to important employment decisions.’”</w:t>
      </w:r>
      <w:r>
        <w:rPr>
          <w:rStyle w:val="FootnoteReference"/>
          <w:rFonts w:eastAsia="Times New Roman"/>
          <w:color w:val="000000"/>
        </w:rPr>
        <w:footnoteReference w:id="505"/>
      </w:r>
    </w:p>
    <w:p w14:paraId="341D6C9B" w14:textId="77777777" w:rsidR="00201F3F" w:rsidRPr="00CD0FEB" w:rsidRDefault="00201F3F" w:rsidP="00EB0DDA">
      <w:pPr>
        <w:pStyle w:val="10ATextWithIndent"/>
      </w:pPr>
      <w:r w:rsidRPr="00CD0FEB">
        <w:t xml:space="preserve">In a number of cases, mortgage loan underwriters have claimed to be performing production work and hence misclassified as exempt administrative employees. In one such case, </w:t>
      </w:r>
      <w:r w:rsidRPr="00CD0FEB">
        <w:rPr>
          <w:i/>
          <w:iCs/>
        </w:rPr>
        <w:t>Davis v</w:t>
      </w:r>
      <w:r w:rsidRPr="00CD0FEB">
        <w:t>.</w:t>
      </w:r>
      <w:r w:rsidRPr="00CD0FEB">
        <w:rPr>
          <w:i/>
          <w:iCs/>
        </w:rPr>
        <w:t xml:space="preserve"> J</w:t>
      </w:r>
      <w:r w:rsidRPr="00CD0FEB">
        <w:t>.</w:t>
      </w:r>
      <w:r w:rsidRPr="00CD0FEB">
        <w:rPr>
          <w:i/>
          <w:iCs/>
        </w:rPr>
        <w:t>P</w:t>
      </w:r>
      <w:r w:rsidRPr="00CD0FEB">
        <w:t>.</w:t>
      </w:r>
      <w:r w:rsidRPr="00CD0FEB">
        <w:rPr>
          <w:i/>
          <w:iCs/>
        </w:rPr>
        <w:t xml:space="preserve"> Morgan Chase &amp; Co</w:t>
      </w:r>
      <w:r w:rsidRPr="00CD0FEB">
        <w:t>.,</w:t>
      </w:r>
      <w:r>
        <w:rPr>
          <w:vertAlign w:val="superscript"/>
        </w:rPr>
        <w:footnoteReference w:id="506"/>
      </w:r>
      <w:r w:rsidRPr="00CD0FEB">
        <w:t xml:space="preserve"> the Second Circuit rejected the notion that in order to fall on the production side of the administrative/production dichotomy an employee must turn out something tangible, observing that a “literal reading of ‘production’ to require tangible goods has no basis in law or regulation.”</w:t>
      </w:r>
      <w:r>
        <w:rPr>
          <w:vertAlign w:val="superscript"/>
        </w:rPr>
        <w:footnoteReference w:id="507"/>
      </w:r>
      <w:r w:rsidRPr="00CD0FEB">
        <w:t xml:space="preserve"> The court noted that, as a general proposition, “[a]n employee whose job is to evaluate credit who works in the credit industry is more likely to perform a production job” whereas “[e]mployees who evaluate and extend credit on behalf of a company that is not in the credit industry—extending credit in order to allow customers to purchase a tangible good that the employer manufactured, for example—are generally considered administrative employees.”</w:t>
      </w:r>
      <w:r>
        <w:rPr>
          <w:vertAlign w:val="superscript"/>
        </w:rPr>
        <w:footnoteReference w:id="508"/>
      </w:r>
      <w:r w:rsidRPr="00CD0FEB">
        <w:t xml:space="preserve"> Ultimately, the Second Circuit concluded in </w:t>
      </w:r>
      <w:r w:rsidRPr="00CD0FEB">
        <w:rPr>
          <w:i/>
          <w:iCs/>
        </w:rPr>
        <w:t>Davis</w:t>
      </w:r>
      <w:r w:rsidRPr="00CD0FEB">
        <w:t xml:space="preserve"> that underwriters whose primary duty was to sell loan products under the detailed directions of a “Credit Guide” and who were not “expected to advise customers as to what loan products best met their needs and abilities” did not qualify for the administrative exemption, explaining that</w:t>
      </w:r>
    </w:p>
    <w:p w14:paraId="67DC43A2" w14:textId="77777777" w:rsidR="00201F3F" w:rsidRPr="00CD0FEB" w:rsidRDefault="00201F3F" w:rsidP="00EB0DDA">
      <w:pPr>
        <w:pStyle w:val="09BBlockQuoteWithoutIndent"/>
      </w:pPr>
      <w:r w:rsidRPr="00CD0FEB">
        <w:t>[u]nderwriters at Chase performed work that was primarily functional rather than conceptual. They were not at the heart of the company’s business operations. They had no involvement in determining the future strategy or direction of the business, nor did they perform any other function that in any way related to the business’s overall efficiency or mode of operation. … [T]he underwriters played no role in the establishment of Chase’s credit policy. Rather, they were trained only to apply the credit policy as they found it, as it was articulated to them through the detailed Credit Guide.</w:t>
      </w:r>
      <w:r>
        <w:rPr>
          <w:vertAlign w:val="superscript"/>
        </w:rPr>
        <w:footnoteReference w:id="509"/>
      </w:r>
    </w:p>
    <w:p w14:paraId="081B8914" w14:textId="77777777" w:rsidR="00201F3F" w:rsidRPr="00CD0FEB" w:rsidRDefault="00201F3F" w:rsidP="00EB0DDA">
      <w:pPr>
        <w:pStyle w:val="10ATextWithIndent"/>
      </w:pPr>
      <w:r w:rsidRPr="00CD0FEB">
        <w:t xml:space="preserve">By contrast, the Sixth Circuit ruled in </w:t>
      </w:r>
      <w:r w:rsidRPr="00CD0FEB">
        <w:rPr>
          <w:i/>
          <w:iCs/>
        </w:rPr>
        <w:t>Lutz v</w:t>
      </w:r>
      <w:r w:rsidRPr="00CD0FEB">
        <w:t>.</w:t>
      </w:r>
      <w:r w:rsidRPr="00CD0FEB">
        <w:rPr>
          <w:i/>
          <w:iCs/>
        </w:rPr>
        <w:t xml:space="preserve"> Huntington Bancshares, Inc</w:t>
      </w:r>
      <w:r w:rsidRPr="00CD0FEB">
        <w:t>.</w:t>
      </w:r>
      <w:r>
        <w:rPr>
          <w:vertAlign w:val="superscript"/>
        </w:rPr>
        <w:footnoteReference w:id="510"/>
      </w:r>
      <w:r w:rsidRPr="00CD0FEB">
        <w:t xml:space="preserve"> that residential loan underwriters qualified for the administrative exemption. Drawing a distinction with the approach taken by the Second Circuit, the court in </w:t>
      </w:r>
      <w:r w:rsidRPr="00CD0FEB">
        <w:rPr>
          <w:i/>
          <w:iCs/>
        </w:rPr>
        <w:t>Lutz</w:t>
      </w:r>
      <w:r w:rsidRPr="00CD0FEB">
        <w:t xml:space="preserve"> explained: </w:t>
      </w:r>
    </w:p>
    <w:p w14:paraId="236674F9" w14:textId="77777777" w:rsidR="00201F3F" w:rsidRPr="00CD0FEB" w:rsidRDefault="00201F3F" w:rsidP="00EB0DDA">
      <w:pPr>
        <w:pStyle w:val="09BBlockQuoteWithoutIndent"/>
      </w:pPr>
      <w:r w:rsidRPr="00CD0FEB">
        <w:t>In this circuit, the focus is on whether an employee helps run or service a business—not whether that employee’s duties merely touch on a production activity. … [U]nderwriters perform work that services the Bank’s business, something ancillary to Huntington’s principal production activity. Furthermore, the job duties performed by underwriters resemble those duties performed by positions deemed administrative by the DOL regulations, including claims adjusters and employees in the financial services industry.</w:t>
      </w:r>
      <w:r>
        <w:rPr>
          <w:vertAlign w:val="superscript"/>
        </w:rPr>
        <w:footnoteReference w:id="511"/>
      </w:r>
      <w:r w:rsidRPr="00CD0FEB">
        <w:t xml:space="preserve"> </w:t>
      </w:r>
    </w:p>
    <w:p w14:paraId="2CA22A7B" w14:textId="77777777" w:rsidR="00201F3F" w:rsidRPr="00CD0FEB" w:rsidRDefault="00201F3F" w:rsidP="00EB0DDA">
      <w:pPr>
        <w:pStyle w:val="10ATextWithIndent"/>
      </w:pPr>
      <w:r w:rsidRPr="00CD0FEB">
        <w:t xml:space="preserve">The Sixth Circuit further determined that the underwriters exercised discretion and independent judgment concerning matters of significance, noting that, </w:t>
      </w:r>
    </w:p>
    <w:p w14:paraId="64448919" w14:textId="77777777" w:rsidR="00201F3F" w:rsidRPr="00CD0FEB" w:rsidRDefault="00201F3F" w:rsidP="00EB0DDA">
      <w:pPr>
        <w:pStyle w:val="09BBlockQuoteWithoutIndent"/>
        <w:rPr>
          <w:vertAlign w:val="superscript"/>
        </w:rPr>
      </w:pPr>
      <w:r w:rsidRPr="00CD0FEB">
        <w:t xml:space="preserve">while underwriters do not determine Huntington’s </w:t>
      </w:r>
      <w:r w:rsidRPr="00CD0FEB">
        <w:rPr>
          <w:i/>
          <w:iCs/>
        </w:rPr>
        <w:t>overall</w:t>
      </w:r>
      <w:r w:rsidRPr="00CD0FEB">
        <w:t xml:space="preserve"> risk guidelines, they still make decisions that significantly impact the business and </w:t>
      </w:r>
      <w:r w:rsidRPr="00CD0FEB">
        <w:rPr>
          <w:i/>
          <w:iCs/>
        </w:rPr>
        <w:t>do</w:t>
      </w:r>
      <w:r w:rsidRPr="00CD0FEB">
        <w:t xml:space="preserve"> determine the risk Huntington will accept for any particular loan. Underwriters can approve loans between $250,000 and $1,000,000. Their approval of a loan binds Huntington to that risk, and their denial of an application prevents a customer from acquiring credit.</w:t>
      </w:r>
      <w:r>
        <w:rPr>
          <w:vertAlign w:val="superscript"/>
        </w:rPr>
        <w:footnoteReference w:id="512"/>
      </w:r>
    </w:p>
    <w:p w14:paraId="344C6ACF" w14:textId="77777777" w:rsidR="00201F3F" w:rsidRPr="00CD0FEB" w:rsidRDefault="00201F3F" w:rsidP="00EB0DDA">
      <w:pPr>
        <w:pStyle w:val="10ATextWithIndent"/>
      </w:pPr>
      <w:r w:rsidRPr="00CD0FEB">
        <w:t xml:space="preserve">However, in </w:t>
      </w:r>
      <w:r w:rsidRPr="00CD0FEB">
        <w:rPr>
          <w:i/>
          <w:iCs/>
        </w:rPr>
        <w:t>McKeen-Chaplin v. Provident Savings Bank,</w:t>
      </w:r>
      <w:r>
        <w:rPr>
          <w:vertAlign w:val="superscript"/>
        </w:rPr>
        <w:footnoteReference w:id="513"/>
      </w:r>
      <w:r w:rsidRPr="00CD0FEB">
        <w:t xml:space="preserve"> the Ninth Circuit agreed with the Second Circuit decision in </w:t>
      </w:r>
      <w:r w:rsidRPr="00CD0FEB">
        <w:rPr>
          <w:i/>
          <w:iCs/>
        </w:rPr>
        <w:t>Davis</w:t>
      </w:r>
      <w:r w:rsidRPr="00CD0FEB">
        <w:t xml:space="preserve"> and found that mortgage underwriters did not qualify for the administrative exemption, explaining</w:t>
      </w:r>
    </w:p>
    <w:p w14:paraId="72AA6229" w14:textId="77777777" w:rsidR="00201F3F" w:rsidRPr="00CD0FEB" w:rsidRDefault="00201F3F" w:rsidP="00EB0DDA">
      <w:pPr>
        <w:pStyle w:val="09BBlockQuoteWithoutIndent"/>
      </w:pPr>
      <w:r w:rsidRPr="00CD0FEB">
        <w:t>that where a bank sells mortgage loans and resells the funded loans on the secondary market as a primary font of business, mortgage underwriters who implement guidelines designed by corporate management, and who must ask permission when deviating from protocol, are most accurately considered employees responsible for production, not administrators who manage, guide, and administer the business.</w:t>
      </w:r>
      <w:r>
        <w:rPr>
          <w:vertAlign w:val="superscript"/>
        </w:rPr>
        <w:footnoteReference w:id="514"/>
      </w:r>
    </w:p>
    <w:p w14:paraId="0D84AC5E" w14:textId="77777777" w:rsidR="00201F3F" w:rsidRPr="00CD0FEB" w:rsidRDefault="00201F3F" w:rsidP="00EB0DDA">
      <w:pPr>
        <w:pStyle w:val="10ATextWithIndent"/>
      </w:pPr>
      <w:r w:rsidRPr="00CD0FEB">
        <w:t>The distinction between production employees and those who perform administrative operations that are of substantial importance to the business can lead to different results for the same or similar job titles depending on the setting. For example, an investigator for the post office was not performing a line function and so was determined to be an exempt administrative employee.</w:t>
      </w:r>
      <w:r>
        <w:rPr>
          <w:vertAlign w:val="superscript"/>
        </w:rPr>
        <w:footnoteReference w:id="515"/>
      </w:r>
      <w:r w:rsidRPr="00CD0FEB">
        <w:t xml:space="preserve"> By contrast, where the business of the employer is law enforcement, such as in the case of border patrol agents, investigative work has been deemed nonexempt.</w:t>
      </w:r>
      <w:r>
        <w:rPr>
          <w:vertAlign w:val="superscript"/>
        </w:rPr>
        <w:footnoteReference w:id="516"/>
      </w:r>
      <w:r w:rsidRPr="00CD0FEB">
        <w:t xml:space="preserve"> Similarly, law enforcement employees responsible for investigating crime scenes, gathering evidence, conducting surveillance,</w:t>
      </w:r>
      <w:r>
        <w:rPr>
          <w:vertAlign w:val="superscript"/>
        </w:rPr>
        <w:footnoteReference w:id="517"/>
      </w:r>
      <w:r w:rsidRPr="00CD0FEB">
        <w:t xml:space="preserve"> apprehending smugglers,</w:t>
      </w:r>
      <w:r>
        <w:rPr>
          <w:vertAlign w:val="superscript"/>
        </w:rPr>
        <w:footnoteReference w:id="518"/>
      </w:r>
      <w:r w:rsidRPr="00CD0FEB">
        <w:t xml:space="preserve"> or recommending the sentencing disposition of criminal cases were all found to be nonexempt.</w:t>
      </w:r>
      <w:r>
        <w:rPr>
          <w:vertAlign w:val="superscript"/>
        </w:rPr>
        <w:footnoteReference w:id="519"/>
      </w:r>
    </w:p>
    <w:p w14:paraId="35D55429" w14:textId="77777777" w:rsidR="00201F3F" w:rsidRPr="00CD0FEB" w:rsidRDefault="00201F3F" w:rsidP="00FC14B8">
      <w:pPr>
        <w:pStyle w:val="05Second-LevelHeadABC"/>
      </w:pPr>
      <w:r w:rsidRPr="00CD0FEB">
        <w:t>C.</w:t>
      </w:r>
      <w:r w:rsidRPr="00CD0FEB">
        <w:tab/>
        <w:t>“Discretion and Independent Judgment”</w:t>
      </w:r>
    </w:p>
    <w:p w14:paraId="540A83B5" w14:textId="77777777" w:rsidR="00201F3F" w:rsidRPr="00CD0FEB" w:rsidRDefault="00201F3F" w:rsidP="00FC14B8">
      <w:pPr>
        <w:pStyle w:val="10ATextWithIndent"/>
      </w:pPr>
      <w:r w:rsidRPr="00CD0FEB">
        <w:t>To be considered exempt, an administrative employee’s primary duty must include “the exercise of discretion and independent judgment with respect to matters of significance.”</w:t>
      </w:r>
      <w:r>
        <w:rPr>
          <w:vertAlign w:val="superscript"/>
        </w:rPr>
        <w:footnoteReference w:id="520"/>
      </w:r>
      <w:r w:rsidRPr="00CD0FEB">
        <w:t xml:space="preserve"> The discretion and independent judgment test takes into account both the type of work performed and the importance of that work.</w:t>
      </w:r>
      <w:r>
        <w:rPr>
          <w:vertAlign w:val="superscript"/>
        </w:rPr>
        <w:footnoteReference w:id="521"/>
      </w:r>
    </w:p>
    <w:p w14:paraId="326B964A" w14:textId="77777777" w:rsidR="00201F3F" w:rsidRPr="00CD0FEB" w:rsidRDefault="00201F3F" w:rsidP="00FC14B8">
      <w:pPr>
        <w:pStyle w:val="10ATextWithIndent"/>
      </w:pPr>
      <w:r w:rsidRPr="00CD0FEB">
        <w:t>Generally, “the exercise of discretion and independent judgment involves the comparison and the evaluation of possible courses of conduct, and acting or making a decision after the various possibilities have been considered.”</w:t>
      </w:r>
      <w:r>
        <w:rPr>
          <w:vertAlign w:val="superscript"/>
        </w:rPr>
        <w:footnoteReference w:id="522"/>
      </w:r>
      <w:r w:rsidRPr="00CD0FEB">
        <w:t xml:space="preserve"> The exercise of discretion and independent judgment “implies that the employee has authority to make an independent choice, free from immediate direction or supervision,” even if such choices are subject to review at a higher level.</w:t>
      </w:r>
      <w:r>
        <w:rPr>
          <w:vertAlign w:val="superscript"/>
        </w:rPr>
        <w:footnoteReference w:id="523"/>
      </w:r>
      <w:r w:rsidRPr="00CD0FEB">
        <w:t xml:space="preserve"> So long as the employee possesses the requisite authority to act independently, the discretion and independent judgment requirement may be met even if the employee exercises that discretion conservatively.</w:t>
      </w:r>
      <w:r>
        <w:rPr>
          <w:vertAlign w:val="superscript"/>
        </w:rPr>
        <w:footnoteReference w:id="524"/>
      </w:r>
      <w:r w:rsidRPr="00CD0FEB">
        <w:t xml:space="preserve"> The term “matters of significance” refers to the “level of importance or consequence” of the work performed.</w:t>
      </w:r>
      <w:r>
        <w:rPr>
          <w:vertAlign w:val="superscript"/>
        </w:rPr>
        <w:footnoteReference w:id="525"/>
      </w:r>
      <w:r w:rsidRPr="00CD0FEB">
        <w:t xml:space="preserve"> It is the long-standing position of the DOL that “significance” does not merely mean that an employee’s failure to perform certain duties will cause the employer to experience financial losses, but rather that it will impact the internal functions of the employer or the employer’s customers.</w:t>
      </w:r>
      <w:r>
        <w:rPr>
          <w:vertAlign w:val="superscript"/>
        </w:rPr>
        <w:footnoteReference w:id="526"/>
      </w:r>
    </w:p>
    <w:p w14:paraId="64715F0F" w14:textId="77777777" w:rsidR="00201F3F" w:rsidRPr="00CD0FEB" w:rsidRDefault="00201F3F" w:rsidP="00FC14B8">
      <w:pPr>
        <w:pStyle w:val="10ATextWithIndent"/>
      </w:pPr>
      <w:r w:rsidRPr="00CD0FEB">
        <w:t>Factors to consider in determining if an employee meets the “discretion and independent judgment” prong of the administrative exemption test include but are not limited to whether the employee</w:t>
      </w:r>
    </w:p>
    <w:p w14:paraId="6C58BBE8" w14:textId="77777777" w:rsidR="00201F3F" w:rsidRPr="00CD0FEB" w:rsidRDefault="00201F3F" w:rsidP="00FC14B8">
      <w:pPr>
        <w:pStyle w:val="13AFirst-LevelBulletedList"/>
      </w:pPr>
      <w:r w:rsidRPr="00CD0FEB">
        <w:t>•</w:t>
      </w:r>
      <w:r w:rsidRPr="00CD0FEB">
        <w:tab/>
        <w:t>has authority to formulate, affect, interpret, or implement management policies or operating practices;</w:t>
      </w:r>
    </w:p>
    <w:p w14:paraId="232D9DFB" w14:textId="77777777" w:rsidR="00201F3F" w:rsidRPr="00CD0FEB" w:rsidRDefault="00201F3F" w:rsidP="00FC14B8">
      <w:pPr>
        <w:pStyle w:val="13AFirst-LevelBulletedList"/>
      </w:pPr>
      <w:r w:rsidRPr="00CD0FEB">
        <w:t>•</w:t>
      </w:r>
      <w:r w:rsidRPr="00CD0FEB">
        <w:tab/>
        <w:t>carries out major assignments in conducting the operations of the business;</w:t>
      </w:r>
    </w:p>
    <w:p w14:paraId="281272D6" w14:textId="77777777" w:rsidR="00201F3F" w:rsidRPr="00CD0FEB" w:rsidRDefault="00201F3F" w:rsidP="00FC14B8">
      <w:pPr>
        <w:pStyle w:val="13AFirst-LevelBulletedList"/>
      </w:pPr>
      <w:r w:rsidRPr="00CD0FEB">
        <w:t>•</w:t>
      </w:r>
      <w:r w:rsidRPr="00CD0FEB">
        <w:tab/>
        <w:t>performs work that affects business operations to a substantial degree, even if the employee’s assignments are related to a particular segment of the business;</w:t>
      </w:r>
    </w:p>
    <w:p w14:paraId="66CC4E9C" w14:textId="77777777" w:rsidR="00201F3F" w:rsidRPr="00CD0FEB" w:rsidRDefault="00201F3F" w:rsidP="00FC14B8">
      <w:pPr>
        <w:pStyle w:val="13AFirst-LevelBulletedList"/>
      </w:pPr>
      <w:r w:rsidRPr="00CD0FEB">
        <w:t>•</w:t>
      </w:r>
      <w:r w:rsidRPr="00CD0FEB">
        <w:tab/>
        <w:t>has authority to commit the employer in matters that have significant financial impact;</w:t>
      </w:r>
    </w:p>
    <w:p w14:paraId="46F0B2D4" w14:textId="77777777" w:rsidR="00201F3F" w:rsidRPr="00CD0FEB" w:rsidRDefault="00201F3F" w:rsidP="00FC14B8">
      <w:pPr>
        <w:pStyle w:val="13AFirst-LevelBulletedList"/>
      </w:pPr>
      <w:r w:rsidRPr="00CD0FEB">
        <w:t>•</w:t>
      </w:r>
      <w:r w:rsidRPr="00CD0FEB">
        <w:tab/>
        <w:t>has authority to waive or deviate from established policies and procedures without prior approval;</w:t>
      </w:r>
    </w:p>
    <w:p w14:paraId="1B094808" w14:textId="77777777" w:rsidR="00201F3F" w:rsidRPr="00CD0FEB" w:rsidRDefault="00201F3F" w:rsidP="00FC14B8">
      <w:pPr>
        <w:pStyle w:val="13AFirst-LevelBulletedList"/>
      </w:pPr>
      <w:r w:rsidRPr="00CD0FEB">
        <w:t>•</w:t>
      </w:r>
      <w:r w:rsidRPr="00CD0FEB">
        <w:tab/>
        <w:t>has authority to negotiate and bind the company on significant matters;</w:t>
      </w:r>
    </w:p>
    <w:p w14:paraId="4E1D2CA7" w14:textId="77777777" w:rsidR="00201F3F" w:rsidRPr="00CD0FEB" w:rsidRDefault="00201F3F" w:rsidP="00FC14B8">
      <w:pPr>
        <w:pStyle w:val="13AFirst-LevelBulletedList"/>
      </w:pPr>
      <w:r w:rsidRPr="00CD0FEB">
        <w:t>•</w:t>
      </w:r>
      <w:r w:rsidRPr="00CD0FEB">
        <w:tab/>
        <w:t>provides consultation or expert advice to management;</w:t>
      </w:r>
    </w:p>
    <w:p w14:paraId="5046E306" w14:textId="77777777" w:rsidR="00201F3F" w:rsidRPr="00CD0FEB" w:rsidRDefault="00201F3F" w:rsidP="00FC14B8">
      <w:pPr>
        <w:pStyle w:val="13AFirst-LevelBulletedList"/>
      </w:pPr>
      <w:r w:rsidRPr="00CD0FEB">
        <w:t>•</w:t>
      </w:r>
      <w:r w:rsidRPr="00CD0FEB">
        <w:tab/>
        <w:t>is involved in planning long- or short-term business objectives;</w:t>
      </w:r>
    </w:p>
    <w:p w14:paraId="4A804DA6" w14:textId="77777777" w:rsidR="00201F3F" w:rsidRPr="00CD0FEB" w:rsidRDefault="00201F3F" w:rsidP="00FC14B8">
      <w:pPr>
        <w:pStyle w:val="13AFirst-LevelBulletedList"/>
      </w:pPr>
      <w:r w:rsidRPr="00CD0FEB">
        <w:t>•</w:t>
      </w:r>
      <w:r w:rsidRPr="00CD0FEB">
        <w:tab/>
        <w:t>investigates and resolves matters of significance on behalf of management; and</w:t>
      </w:r>
    </w:p>
    <w:p w14:paraId="372FA56F" w14:textId="77777777" w:rsidR="00201F3F" w:rsidRPr="00CD0FEB" w:rsidRDefault="00201F3F" w:rsidP="00FC14B8">
      <w:pPr>
        <w:pStyle w:val="13AFirst-LevelBulletedList"/>
      </w:pPr>
      <w:r w:rsidRPr="00CD0FEB">
        <w:t>•</w:t>
      </w:r>
      <w:r w:rsidRPr="00CD0FEB">
        <w:tab/>
        <w:t>represents the company in handling complaints, arbitrating disputes, or resolving grievances.</w:t>
      </w:r>
      <w:r>
        <w:rPr>
          <w:vertAlign w:val="superscript"/>
        </w:rPr>
        <w:footnoteReference w:id="527"/>
      </w:r>
    </w:p>
    <w:p w14:paraId="39EA5BC8" w14:textId="77777777" w:rsidR="00201F3F" w:rsidRPr="00CD0FEB" w:rsidRDefault="00201F3F" w:rsidP="00FC14B8">
      <w:pPr>
        <w:pStyle w:val="10ATextWithIndent"/>
      </w:pPr>
      <w:r w:rsidRPr="00CD0FEB">
        <w:t>The mere use of skill in applying “well-established techniques, procedures or specific standards described in manuals or other sources” will not satisfy the “discretion and independent judgment” requirement.</w:t>
      </w:r>
      <w:r>
        <w:rPr>
          <w:vertAlign w:val="superscript"/>
        </w:rPr>
        <w:footnoteReference w:id="528"/>
      </w:r>
      <w:r w:rsidRPr="00CD0FEB">
        <w:t xml:space="preserve"> For example, according to a 2006 opinion letter, a “Senior Legal Analyst” did not qualify for the administrative exemption where her primary job was to prepare memoranda analyzing facts and legal issues for an attorney’s review.</w:t>
      </w:r>
      <w:r>
        <w:rPr>
          <w:vertAlign w:val="superscript"/>
        </w:rPr>
        <w:footnoteReference w:id="529"/>
      </w:r>
      <w:r w:rsidRPr="00CD0FEB">
        <w:t xml:space="preserve"> The WHD determined as a threshold matter that these job duties did not involve “discretion and independent judgment in matters of significance,” but rather involved “the use of particular skills and knowledge in researching and preparing reports,” while the attorney receiving the report retained full discretion and independent judgment to use the information as the attorney saw fit. Even though the analyst at issue was allowed to independently prioritize her assignments, such discretion over “relatively insignificant matters” was not sufficient to satisfy the independent judgment requirement.</w:t>
      </w:r>
    </w:p>
    <w:p w14:paraId="6ECFD3EE" w14:textId="77777777" w:rsidR="00201F3F" w:rsidRPr="00CD0FEB" w:rsidRDefault="00201F3F" w:rsidP="00FC14B8">
      <w:pPr>
        <w:pStyle w:val="10ATextWithIndent"/>
      </w:pPr>
      <w:r w:rsidRPr="00CD0FEB">
        <w:t xml:space="preserve">Along similar lines, in </w:t>
      </w:r>
      <w:r w:rsidRPr="00CD0FEB">
        <w:rPr>
          <w:i/>
          <w:iCs/>
        </w:rPr>
        <w:t>Hobbs v. EVO Inc.</w:t>
      </w:r>
      <w:r w:rsidRPr="00CD0FEB">
        <w:t>,</w:t>
      </w:r>
      <w:r>
        <w:rPr>
          <w:rStyle w:val="FootnoteReference"/>
        </w:rPr>
        <w:footnoteReference w:id="530"/>
      </w:r>
      <w:r w:rsidRPr="00CD0FEB">
        <w:t xml:space="preserve"> the Fifth Circuit found that field engineers employed by a company offering downhole video camera services to clients in the oil and gas industry did not qualify for the administrative exemption. The field engineers operated the camera and “made annotations in the video log during filming, which described well conditions and allowed the client to locate specific points in the footage” before breaking down the equipment and cleaning the camera.</w:t>
      </w:r>
      <w:r>
        <w:rPr>
          <w:rStyle w:val="FootnoteReference"/>
        </w:rPr>
        <w:footnoteReference w:id="531"/>
      </w:r>
      <w:r w:rsidRPr="00CD0FEB">
        <w:t xml:space="preserve"> The Fifth Circuit noted that “field engineers’ annotations were generally descriptive, a running account of the video that the client could later reference to locate particular points in the recording,” and were not analytic.</w:t>
      </w:r>
      <w:r>
        <w:rPr>
          <w:rStyle w:val="FootnoteReference"/>
        </w:rPr>
        <w:footnoteReference w:id="532"/>
      </w:r>
      <w:r w:rsidRPr="00CD0FEB">
        <w:t xml:space="preserve"> Significantly, the employer “identifie[d] no examples of field engineers translating their observations into advice or recommendations regarding what the client could or should do with its well.”</w:t>
      </w:r>
      <w:r>
        <w:rPr>
          <w:rStyle w:val="FootnoteReference"/>
        </w:rPr>
        <w:footnoteReference w:id="533"/>
      </w:r>
    </w:p>
    <w:p w14:paraId="36024E38" w14:textId="77777777" w:rsidR="00201F3F" w:rsidRPr="00CD0FEB" w:rsidRDefault="00201F3F" w:rsidP="00FC14B8">
      <w:pPr>
        <w:pStyle w:val="10ATextWithIndent"/>
      </w:pPr>
      <w:r w:rsidRPr="00CD0FEB">
        <w:t xml:space="preserve">In </w:t>
      </w:r>
      <w:r w:rsidRPr="00CD0FEB">
        <w:rPr>
          <w:i/>
          <w:iCs/>
        </w:rPr>
        <w:t>Beauford v</w:t>
      </w:r>
      <w:r w:rsidRPr="00CD0FEB">
        <w:t>.</w:t>
      </w:r>
      <w:r w:rsidRPr="00CD0FEB">
        <w:rPr>
          <w:i/>
          <w:iCs/>
        </w:rPr>
        <w:t xml:space="preserve"> ActionLink LLC</w:t>
      </w:r>
      <w:r w:rsidRPr="00CD0FEB">
        <w:t>,</w:t>
      </w:r>
      <w:r>
        <w:rPr>
          <w:vertAlign w:val="superscript"/>
        </w:rPr>
        <w:footnoteReference w:id="534"/>
      </w:r>
      <w:r w:rsidRPr="00CD0FEB">
        <w:t xml:space="preserve"> the Eighth Circuit held that brand advocates who visited retail stores to boost sales of certain products were not exempt. The brand advocates had little autonomy or training and were strictly supervised—they could not negotiate prices, make marketing decisions, or decide what inventory to order, and they maintained a close relationship with their supervisors.</w:t>
      </w:r>
      <w:r>
        <w:rPr>
          <w:vertAlign w:val="superscript"/>
        </w:rPr>
        <w:footnoteReference w:id="535"/>
      </w:r>
      <w:r w:rsidRPr="00CD0FEB">
        <w:t xml:space="preserve"> On the other hand, close supervision did not undermine the exempt status of a marketing manager in charge of marketing journals that generated her employer’s largest stream of revenue, developing marketing strategies, budgeting for her division, and writing website content and product descriptions where the monitoring was due to her “own shortcomings, not the lack of autonomy in her position.”</w:t>
      </w:r>
      <w:r>
        <w:rPr>
          <w:vertAlign w:val="superscript"/>
        </w:rPr>
        <w:footnoteReference w:id="536"/>
      </w:r>
      <w:r w:rsidRPr="00CD0FEB">
        <w:t xml:space="preserve"> The district court explained that the plaintiff “cannot bootstrap her own poor work performance into nonexempt status because her employer, with good reason, deemed it necessary to monitor her work closely.”</w:t>
      </w:r>
      <w:r>
        <w:rPr>
          <w:vertAlign w:val="superscript"/>
        </w:rPr>
        <w:footnoteReference w:id="537"/>
      </w:r>
    </w:p>
    <w:p w14:paraId="117F7E75" w14:textId="77777777" w:rsidR="00201F3F" w:rsidRPr="00CD0FEB" w:rsidRDefault="00201F3F" w:rsidP="00FC14B8">
      <w:pPr>
        <w:pStyle w:val="10ATextWithIndent"/>
        <w:rPr>
          <w:vertAlign w:val="superscript"/>
        </w:rPr>
      </w:pPr>
      <w:r w:rsidRPr="00CD0FEB">
        <w:t>“A worker need not have ‘limitless discretion’ or a total lack of supervision to qualify as an administrative employee.”</w:t>
      </w:r>
      <w:r w:rsidRPr="00CD0FEB">
        <w:rPr>
          <w:rStyle w:val="FootnoteReference"/>
        </w:rPr>
        <w:t xml:space="preserve"> </w:t>
      </w:r>
      <w:r>
        <w:rPr>
          <w:rStyle w:val="FootnoteReference"/>
        </w:rPr>
        <w:footnoteReference w:id="538"/>
      </w:r>
      <w:r w:rsidRPr="00CD0FEB">
        <w:t xml:space="preserve"> In </w:t>
      </w:r>
      <w:r w:rsidRPr="00CD0FEB">
        <w:rPr>
          <w:i/>
          <w:iCs/>
        </w:rPr>
        <w:t>Brown v. Nexus Solutions, LLC</w:t>
      </w:r>
      <w:r w:rsidRPr="00CD0FEB">
        <w:t>,</w:t>
      </w:r>
      <w:r>
        <w:rPr>
          <w:rStyle w:val="FootnoteReference"/>
        </w:rPr>
        <w:footnoteReference w:id="539"/>
      </w:r>
      <w:r w:rsidRPr="00CD0FEB">
        <w:t xml:space="preserve"> the Eleventh Circuit concluded that business development managers working on behalf of car dealerships and “tasked with building relationships and developing leads” were properly classified as exempt.</w:t>
      </w:r>
      <w:r>
        <w:rPr>
          <w:rStyle w:val="FootnoteReference"/>
        </w:rPr>
        <w:footnoteReference w:id="540"/>
      </w:r>
      <w:r w:rsidRPr="00CD0FEB">
        <w:t xml:space="preserve"> Acting as facilitators and liaisons between customers and the dealerships, the employees “had a hand in choosing which leads to develop, performed customized research before meeting with selected leads, and delivered presentations that necessarily required some amount of customization.”</w:t>
      </w:r>
      <w:r>
        <w:rPr>
          <w:rStyle w:val="FootnoteReference"/>
        </w:rPr>
        <w:footnoteReference w:id="541"/>
      </w:r>
    </w:p>
    <w:p w14:paraId="63230640" w14:textId="77777777" w:rsidR="00201F3F" w:rsidRPr="00CD0FEB" w:rsidRDefault="00201F3F" w:rsidP="00FC14B8">
      <w:pPr>
        <w:pStyle w:val="10ATextWithIndent"/>
      </w:pPr>
      <w:r w:rsidRPr="00CD0FEB">
        <w:t xml:space="preserve">In </w:t>
      </w:r>
      <w:r w:rsidRPr="00CD0FEB">
        <w:rPr>
          <w:i/>
          <w:iCs/>
        </w:rPr>
        <w:t>Schwartz v. City of New York</w:t>
      </w:r>
      <w:r w:rsidRPr="00CD0FEB">
        <w:t>,</w:t>
      </w:r>
      <w:r>
        <w:rPr>
          <w:rStyle w:val="FootnoteReference"/>
        </w:rPr>
        <w:footnoteReference w:id="542"/>
      </w:r>
      <w:r w:rsidRPr="00CD0FEB">
        <w:t xml:space="preserve"> the Second Circuit concurred with the district court’s determination that an employee of New York City’s Department of Design and Construction (DDC) exercised sufficient discretion and independent judgment to qualify for the administrative exemption. The court cited the plaintiff’s testimony “that, on his own initiative, he built a ‘more sophisticated data tracking system’ from ‘the ground up’ to replace DDC’s existing tracking system” as illustrative of “one way that he had ‘authority to formulate, affect, interpret, or implement management policies or operating practices.”</w:t>
      </w:r>
      <w:r>
        <w:rPr>
          <w:rStyle w:val="FootnoteReference"/>
        </w:rPr>
        <w:footnoteReference w:id="543"/>
      </w:r>
      <w:r w:rsidRPr="00CD0FEB">
        <w:t xml:space="preserve"> Further indicia of discretion and independent judgment included the plaintiff’s “role ‘in planning long- or short-term business objectives’ at DDC, as exemplified by the prominent role he played in the work-order vetting process, his oversight of individual projects including ‘raising the red flags’ when a project was not progressing, and his responsibilities related to adjusting budget projections.”</w:t>
      </w:r>
      <w:r>
        <w:rPr>
          <w:rStyle w:val="FootnoteReference"/>
        </w:rPr>
        <w:footnoteReference w:id="544"/>
      </w:r>
      <w:r w:rsidRPr="00CD0FEB">
        <w:t xml:space="preserve"> Additionally, the plaintiff “provided advice ‘[a]lmost daily’ to the Assistant Commissioner, met with several city officials, and attended meetings at City Hall, thereby providing ‘consultation or expert advice to management.’”</w:t>
      </w:r>
      <w:r>
        <w:rPr>
          <w:rStyle w:val="FootnoteReference"/>
        </w:rPr>
        <w:footnoteReference w:id="545"/>
      </w:r>
    </w:p>
    <w:p w14:paraId="51B3A47C" w14:textId="77777777" w:rsidR="00201F3F" w:rsidRPr="00CD0FEB" w:rsidRDefault="00201F3F" w:rsidP="00FC14B8">
      <w:pPr>
        <w:pStyle w:val="10ATextWithIndent"/>
      </w:pPr>
      <w:r w:rsidRPr="00CD0FEB">
        <w:t>The DOL takes the view that “employees who simply apply well-established techniques or procedures described in manuals or other sources within closely prescribed limits to determine the correct response to an inquiry or set of circumstances” may not be classified as exempt.</w:t>
      </w:r>
      <w:r>
        <w:rPr>
          <w:vertAlign w:val="superscript"/>
        </w:rPr>
        <w:footnoteReference w:id="546"/>
      </w:r>
      <w:r w:rsidRPr="00CD0FEB">
        <w:t xml:space="preserve"> Thus, in a 2005 opinion letter the WHD concluded that security background investigators who had discretion in planning their own workloads, prioritizing and assessing leads, and identifying witnesses to interview did not exercise discretion and independent judgment with respect to matters of significance because they were merely applying their knowledge in following prescribed procedures or determining which procedure to follow.</w:t>
      </w:r>
      <w:r>
        <w:rPr>
          <w:vertAlign w:val="superscript"/>
        </w:rPr>
        <w:footnoteReference w:id="547"/>
      </w:r>
      <w:r w:rsidRPr="00CD0FEB">
        <w:t xml:space="preserve"> Similarly, in </w:t>
      </w:r>
      <w:r w:rsidRPr="00CD0FEB">
        <w:rPr>
          <w:i/>
          <w:iCs/>
        </w:rPr>
        <w:t>Ale v. Tennessee Valley Authority</w:t>
      </w:r>
      <w:r w:rsidRPr="00CD0FEB">
        <w:t>,</w:t>
      </w:r>
      <w:r>
        <w:rPr>
          <w:vertAlign w:val="superscript"/>
        </w:rPr>
        <w:footnoteReference w:id="548"/>
      </w:r>
      <w:r w:rsidRPr="00CD0FEB">
        <w:t xml:space="preserve"> the Sixth Circuit ruled that security shift lieutenants did not qualify for the administrative exemption where nearly every decision they made was prescribed, controlled, or governed by an administrative order or regulation. Thus, the court found that the employees were more like inspectors who used their skill or knowledge in following proscribed procedures or determining which procedure to follow or whether specific standards were met.</w:t>
      </w:r>
      <w:r>
        <w:rPr>
          <w:vertAlign w:val="superscript"/>
        </w:rPr>
        <w:footnoteReference w:id="549"/>
      </w:r>
    </w:p>
    <w:p w14:paraId="73B9FDB7" w14:textId="77777777" w:rsidR="00201F3F" w:rsidRPr="00CD0FEB" w:rsidRDefault="00201F3F" w:rsidP="00FC14B8">
      <w:pPr>
        <w:pStyle w:val="10ATextWithIndent"/>
      </w:pPr>
      <w:r w:rsidRPr="00CD0FEB">
        <w:t xml:space="preserve">On the other hand, special investigators, or SIs, employed by an insurance company who are charged with responsibility for detecting and deterring fraud, with an eye toward “reducing the number of non-meritorious claims that are paid in order to keep [the carrier’s] insurance products competitively priced,” were deemed by the Sixth Circuit, in </w:t>
      </w:r>
      <w:r w:rsidRPr="00CD0FEB">
        <w:rPr>
          <w:i/>
          <w:iCs/>
        </w:rPr>
        <w:t>Foster v</w:t>
      </w:r>
      <w:r w:rsidRPr="00CD0FEB">
        <w:t>.</w:t>
      </w:r>
      <w:r w:rsidRPr="00CD0FEB">
        <w:rPr>
          <w:i/>
          <w:iCs/>
        </w:rPr>
        <w:t xml:space="preserve"> Nationwide Mutual Insurance Co</w:t>
      </w:r>
      <w:r w:rsidRPr="00CD0FEB">
        <w:t>.,</w:t>
      </w:r>
      <w:r>
        <w:rPr>
          <w:vertAlign w:val="superscript"/>
        </w:rPr>
        <w:footnoteReference w:id="550"/>
      </w:r>
      <w:r w:rsidRPr="00CD0FEB">
        <w:t xml:space="preserve"> to be properly classified as exempt administrative employees. The Sixth Circuit distinguished the SIs from the security background investigators addressed in the 2005 opinion letter on the ground that “the SIs’ investigations with the purpose of resolving the indicators of fraud and the legitimacy of the suspicious claims are unlike the narrower more formulaic background investigations into the facts and records that the DOL found did not involve the exercise of discretion and independent judgment with respect to matters of significance,” finding that “[t]he discretion and independent judgment exercised in determining and communicating (albeit informally) the legitimacy or illegitimacy of suspicious claims referred for investigation is a matter of significance to Nationwide.”</w:t>
      </w:r>
      <w:r>
        <w:rPr>
          <w:vertAlign w:val="superscript"/>
        </w:rPr>
        <w:footnoteReference w:id="551"/>
      </w:r>
    </w:p>
    <w:p w14:paraId="4147390F" w14:textId="77777777" w:rsidR="00201F3F" w:rsidRPr="00CD0FEB" w:rsidRDefault="00201F3F" w:rsidP="00FC14B8">
      <w:pPr>
        <w:pStyle w:val="10ATextWithIndent"/>
      </w:pPr>
      <w:r w:rsidRPr="00CD0FEB">
        <w:t>The Fourth Circuit reached the opposite conclusion in a case involving GEICO security investigators likewise responsible for conducting factual investigations into suspected fraudulent claims and reporting the results to claims adjusters.</w:t>
      </w:r>
      <w:r>
        <w:rPr>
          <w:vertAlign w:val="superscript"/>
        </w:rPr>
        <w:footnoteReference w:id="552"/>
      </w:r>
      <w:r w:rsidRPr="00CD0FEB">
        <w:t xml:space="preserve"> Deeming the administrative exemption inapplicable to GEICO’s investigators notwithstanding that the Sixth Circuit, “faced with facts essentially identical to ours, concluded that the exemption applied,” the Fourth Circuit reasoned:</w:t>
      </w:r>
    </w:p>
    <w:p w14:paraId="6464DDB9" w14:textId="77777777" w:rsidR="00201F3F" w:rsidRPr="00CD0FEB" w:rsidRDefault="00201F3F" w:rsidP="00FC14B8">
      <w:pPr>
        <w:pStyle w:val="09BBlockQuoteWithoutIndent"/>
        <w:rPr>
          <w:vertAlign w:val="superscript"/>
        </w:rPr>
      </w:pPr>
      <w:r w:rsidRPr="00CD0FEB">
        <w:t>Their primary duty consists of conducting investigations to resolve narrow factual questions, namely whether particular claims submitted to GEICO were fraudulent. … [T]he investigators have no supervisory responsibility and do not develop, review, evaluate, or recommend GEICO’s business policies or strategies with regard to the claims they investigated. Although their work is important to GEICO, the investigators are in no way part of the management of GEICO and do not run or service the general business operations. Rather, by assisting the Claims Adjusters in processing the claims of GEICO’s insureds, the Investigators’ duties simply consist of the day-to-day carrying out of GEICO’s affairs to the public.</w:t>
      </w:r>
      <w:r>
        <w:rPr>
          <w:vertAlign w:val="superscript"/>
        </w:rPr>
        <w:footnoteReference w:id="553"/>
      </w:r>
    </w:p>
    <w:p w14:paraId="0C9AE3EB" w14:textId="77777777" w:rsidR="00201F3F" w:rsidRPr="00CD0FEB" w:rsidRDefault="00201F3F" w:rsidP="00BD750D">
      <w:pPr>
        <w:pStyle w:val="10ATextWithIndent"/>
      </w:pPr>
      <w:r w:rsidRPr="00CD0FEB">
        <w:t xml:space="preserve">Drawing a parallel to the fraud investigators deemed nonexempt in </w:t>
      </w:r>
      <w:r w:rsidRPr="00CD0FEB">
        <w:rPr>
          <w:i/>
          <w:iCs/>
        </w:rPr>
        <w:t>Calderon</w:t>
      </w:r>
      <w:r w:rsidRPr="00CD0FEB">
        <w:t xml:space="preserve">, the Eleventh Circuit held, in </w:t>
      </w:r>
      <w:r w:rsidRPr="00CD0FEB">
        <w:rPr>
          <w:i/>
          <w:iCs/>
        </w:rPr>
        <w:t>Fowler v. OSP Prevention Group, Inc.</w:t>
      </w:r>
      <w:r w:rsidRPr="00CD0FEB">
        <w:t>,</w:t>
      </w:r>
      <w:r>
        <w:rPr>
          <w:rStyle w:val="FootnoteReference"/>
        </w:rPr>
        <w:footnoteReference w:id="554"/>
      </w:r>
      <w:r w:rsidRPr="00CD0FEB">
        <w:t xml:space="preserve"> that property damage investigators were similarly misclassified as exempt administrative employees. “Like the </w:t>
      </w:r>
      <w:r w:rsidRPr="00CD0FEB">
        <w:rPr>
          <w:i/>
          <w:iCs/>
        </w:rPr>
        <w:t>Calderon</w:t>
      </w:r>
      <w:r w:rsidRPr="00CD0FEB">
        <w:t xml:space="preserve"> fraud investigators,” the plaintiffs in </w:t>
      </w:r>
      <w:r w:rsidRPr="00CD0FEB">
        <w:rPr>
          <w:i/>
          <w:iCs/>
        </w:rPr>
        <w:t>Fowler</w:t>
      </w:r>
      <w:r w:rsidRPr="00CD0FEB">
        <w:t xml:space="preserve"> </w:t>
      </w:r>
    </w:p>
    <w:p w14:paraId="2D265C74" w14:textId="77777777" w:rsidR="00201F3F" w:rsidRPr="00CD0FEB" w:rsidRDefault="00201F3F" w:rsidP="004B3FA1">
      <w:pPr>
        <w:pStyle w:val="10ATextWithIndent"/>
        <w:ind w:left="720" w:firstLine="0"/>
        <w:rPr>
          <w:sz w:val="20"/>
          <w:szCs w:val="20"/>
        </w:rPr>
      </w:pPr>
      <w:r w:rsidRPr="00CD0FEB">
        <w:rPr>
          <w:rStyle w:val="09BBlockQuoteWithoutIndentChar"/>
        </w:rPr>
        <w:t>interviewed witnesses, made credibility determinations, preserved evidence, took photographs, and reviewed property damage. They followed OSP’s prescribed procedures while using their judgment to decide the order of the steps in their investigations and what inferences to draw from the data they gathered. They wrote reports and submitted them to their supervisors. They did not settle claims or develop business strategies. And like the fraud investigators, [they] performed duties that were important but were neither managerial nor directly related to running OSP’s business.</w:t>
      </w:r>
      <w:r>
        <w:rPr>
          <w:rStyle w:val="FootnoteReference"/>
          <w:szCs w:val="20"/>
        </w:rPr>
        <w:footnoteReference w:id="555"/>
      </w:r>
      <w:r w:rsidRPr="00CD0FEB">
        <w:rPr>
          <w:sz w:val="20"/>
          <w:szCs w:val="20"/>
        </w:rPr>
        <w:t xml:space="preserve"> </w:t>
      </w:r>
    </w:p>
    <w:p w14:paraId="33B59CD1" w14:textId="77777777" w:rsidR="00201F3F" w:rsidRPr="00CD0FEB" w:rsidRDefault="00201F3F" w:rsidP="00BD750D">
      <w:pPr>
        <w:pStyle w:val="10ATextWithIndent"/>
      </w:pPr>
      <w:r w:rsidRPr="00CD0FEB">
        <w:t xml:space="preserve">Thus, although the property damage investigators’ role “was </w:t>
      </w:r>
      <w:r w:rsidRPr="00CD0FEB">
        <w:rPr>
          <w:i/>
          <w:iCs/>
        </w:rPr>
        <w:t>essential</w:t>
      </w:r>
      <w:r w:rsidRPr="00CD0FEB">
        <w:t xml:space="preserve"> to the service OSP provides,” they “were not part of OSP’s management, and they did not run or service the general business operations of the company.”</w:t>
      </w:r>
      <w:r>
        <w:rPr>
          <w:rStyle w:val="FootnoteReference"/>
        </w:rPr>
        <w:footnoteReference w:id="556"/>
      </w:r>
    </w:p>
    <w:p w14:paraId="594DCD20" w14:textId="77777777" w:rsidR="00201F3F" w:rsidRPr="00CD0FEB" w:rsidRDefault="00201F3F" w:rsidP="00FC14B8">
      <w:pPr>
        <w:pStyle w:val="10ATextWithIndent"/>
      </w:pPr>
      <w:r w:rsidRPr="00CD0FEB">
        <w:t>An employee may still exercise the requisite discretion and independent judgment where the employee refers to manuals “containing or relating to highly technical, scientific, legal, financial or other similarly complex matters that can be understood or interpreted only by those with advanced or specialized knowledge or skills.”</w:t>
      </w:r>
      <w:r>
        <w:rPr>
          <w:vertAlign w:val="superscript"/>
        </w:rPr>
        <w:footnoteReference w:id="557"/>
      </w:r>
      <w:r w:rsidRPr="00CD0FEB">
        <w:t xml:space="preserve"> In </w:t>
      </w:r>
      <w:r w:rsidRPr="00CD0FEB">
        <w:rPr>
          <w:i/>
          <w:iCs/>
        </w:rPr>
        <w:t>Goff v. Bayada Nurses, Inc</w:t>
      </w:r>
      <w:r w:rsidRPr="00CD0FEB">
        <w:t>.,</w:t>
      </w:r>
      <w:r>
        <w:rPr>
          <w:vertAlign w:val="superscript"/>
        </w:rPr>
        <w:footnoteReference w:id="558"/>
      </w:r>
      <w:r w:rsidRPr="00CD0FEB">
        <w:t xml:space="preserve"> the court ruled that an on-call/staff supervisor for an in-home nursing care provider was covered by the administrative exemption where her main task was matching up specific patient needs with specific nurse skills. Although she did so within the parameters of a nurse assignment coding system, she used discretion in making these placements.</w:t>
      </w:r>
    </w:p>
    <w:p w14:paraId="18C31E3E" w14:textId="77777777" w:rsidR="00201F3F" w:rsidRPr="00CD0FEB" w:rsidRDefault="00201F3F" w:rsidP="00FC14B8">
      <w:pPr>
        <w:pStyle w:val="10ATextWithIndent"/>
      </w:pPr>
      <w:r w:rsidRPr="00CD0FEB">
        <w:t xml:space="preserve">The Sixth Circuit held in </w:t>
      </w:r>
      <w:r w:rsidRPr="00CD0FEB">
        <w:rPr>
          <w:i/>
          <w:iCs/>
        </w:rPr>
        <w:t>Renfro v. Indiana Michigan Power Co</w:t>
      </w:r>
      <w:r w:rsidRPr="00CD0FEB">
        <w:t>.</w:t>
      </w:r>
      <w:r>
        <w:rPr>
          <w:vertAlign w:val="superscript"/>
        </w:rPr>
        <w:footnoteReference w:id="559"/>
      </w:r>
      <w:r w:rsidRPr="00CD0FEB">
        <w:t xml:space="preserve"> that technical writers employed by a power company were properly classified as exempt administrative employees, in that</w:t>
      </w:r>
    </w:p>
    <w:p w14:paraId="106BED4B" w14:textId="77777777" w:rsidR="00201F3F" w:rsidRPr="00CD0FEB" w:rsidRDefault="00201F3F" w:rsidP="00FC14B8">
      <w:pPr>
        <w:pStyle w:val="09BBlockQuoteWithoutIndent"/>
      </w:pPr>
      <w:r w:rsidRPr="00CD0FEB">
        <w:t>[t]hey do not work under constant supervision and, when preparing a procedure, select the best method to maintain the plant’s equipment. Their job requires them to create a clear and understandable set of highly technical instructions for maintaining the electrical and mechanical systems of a particular piece of equipment. Looking to various source materials for some of the technical information and using a computer to aid research and recommendations does not detract from the import of the discretion and independent judgment exercised. Channeling discretion through a manual on procedure does not eliminate the existence of that discretion.</w:t>
      </w:r>
      <w:r>
        <w:rPr>
          <w:vertAlign w:val="superscript"/>
        </w:rPr>
        <w:footnoteReference w:id="560"/>
      </w:r>
    </w:p>
    <w:p w14:paraId="177B15A3" w14:textId="77777777" w:rsidR="00201F3F" w:rsidRPr="00CD0FEB" w:rsidRDefault="00201F3F" w:rsidP="00FC14B8">
      <w:pPr>
        <w:pStyle w:val="10ATextWithIndent"/>
      </w:pPr>
      <w:r w:rsidRPr="00CD0FEB">
        <w:t xml:space="preserve">In an earlier decision in the </w:t>
      </w:r>
      <w:r w:rsidRPr="00CD0FEB">
        <w:rPr>
          <w:i/>
          <w:iCs/>
        </w:rPr>
        <w:t>Renfro</w:t>
      </w:r>
      <w:r w:rsidRPr="00CD0FEB">
        <w:t xml:space="preserve"> case,</w:t>
      </w:r>
      <w:r>
        <w:rPr>
          <w:vertAlign w:val="superscript"/>
        </w:rPr>
        <w:footnoteReference w:id="561"/>
      </w:r>
      <w:r w:rsidRPr="00CD0FEB">
        <w:t xml:space="preserve"> the Sixth Circuit also held that “planners” employed at a nuclear power plant were exempt administrative employees despite the heavily regulated nature of their job. The court explained that the planners independently determined the nature of the repair tasks and prepared repair plans. In creating work packages, the planners determined both which plant procedure applied to particular repairs and whether to replace or repair equipment.</w:t>
      </w:r>
      <w:r>
        <w:rPr>
          <w:vertAlign w:val="superscript"/>
        </w:rPr>
        <w:footnoteReference w:id="562"/>
      </w:r>
    </w:p>
    <w:p w14:paraId="67F9DB50" w14:textId="77777777" w:rsidR="00201F3F" w:rsidRPr="00CD0FEB" w:rsidRDefault="00201F3F" w:rsidP="00FC14B8">
      <w:pPr>
        <w:pStyle w:val="10ATextWithIndent"/>
      </w:pPr>
      <w:r w:rsidRPr="00CD0FEB">
        <w:t>In a 2006 opinion letter, the WHD concluded that a “Loss Prevention Manager” (LPM) at a large retail chain qualified for the administrative exemption.</w:t>
      </w:r>
      <w:r>
        <w:rPr>
          <w:vertAlign w:val="superscript"/>
        </w:rPr>
        <w:footnoteReference w:id="563"/>
      </w:r>
      <w:r w:rsidRPr="00CD0FEB">
        <w:t xml:space="preserve"> The LPM’s primary duties involved “the exercise of discretion and independent judgment with respect to matters of significance” in that the LPM had authority to address inventory shortages, supervise “Loss Prevention Assistants,” implement loss prevention and shortage control programs for the store, determine what internal investigations to pursue and when to conduct interviews, ascertain prosecutable cases, investigate harassment allegations, and consult and provide expert advice to store management with respect to the loss prevention and shortage control program.</w:t>
      </w:r>
      <w:r>
        <w:rPr>
          <w:vertAlign w:val="superscript"/>
        </w:rPr>
        <w:footnoteReference w:id="564"/>
      </w:r>
    </w:p>
    <w:p w14:paraId="775F88BD" w14:textId="77777777" w:rsidR="00201F3F" w:rsidRPr="00CD0FEB" w:rsidRDefault="00201F3F" w:rsidP="00FC14B8">
      <w:pPr>
        <w:pStyle w:val="10ATextWithIndent"/>
      </w:pPr>
      <w:r w:rsidRPr="00CD0FEB">
        <w:t>In another 2006 opinion letter, the DOL found that two community events supervisors (CESs) employed by a municipality qualified for the administrative exemption.</w:t>
      </w:r>
      <w:r>
        <w:rPr>
          <w:vertAlign w:val="superscript"/>
        </w:rPr>
        <w:footnoteReference w:id="565"/>
      </w:r>
      <w:r w:rsidRPr="00CD0FEB">
        <w:t xml:space="preserve"> One CES not only was responsible for planning and coordinating six special events throughout the year, which accounted for $200,000 of the parks department’s $2.5 million annual revenue, but also developed themes, entered into contracts on the municipality’s behalf, and supervised maintenance employees during the events. The other CES organized and coordinated the municipality’s summer day camps, planned the themes and content for the summer camps, and hired and fired employees. Significantly, both employees also entered into contracts on the municipality’s behalf.</w:t>
      </w:r>
      <w:r>
        <w:rPr>
          <w:vertAlign w:val="superscript"/>
        </w:rPr>
        <w:footnoteReference w:id="566"/>
      </w:r>
    </w:p>
    <w:p w14:paraId="270DC475" w14:textId="77777777" w:rsidR="00201F3F" w:rsidRPr="00CD0FEB" w:rsidRDefault="00201F3F" w:rsidP="00FC14B8">
      <w:pPr>
        <w:pStyle w:val="10ATextWithIndent"/>
      </w:pPr>
      <w:r w:rsidRPr="00CD0FEB">
        <w:t xml:space="preserve">In </w:t>
      </w:r>
      <w:r w:rsidRPr="00CD0FEB">
        <w:rPr>
          <w:i/>
          <w:iCs/>
        </w:rPr>
        <w:t>Hamby v. Associated Centers for Therapy</w:t>
      </w:r>
      <w:r w:rsidRPr="00CD0FEB">
        <w:t>,</w:t>
      </w:r>
      <w:r>
        <w:rPr>
          <w:vertAlign w:val="superscript"/>
        </w:rPr>
        <w:footnoteReference w:id="567"/>
      </w:r>
      <w:r w:rsidRPr="00CD0FEB">
        <w:t xml:space="preserve"> the Tenth Circuit ruled that the administrative exemption applied to a family advocate whose self-described duties consisted of (1) supporting the child and his/her family; (2) being an active member of the local teams; (3) being a member of the family team to assist in the strengths and the assessment and care plan and development; (4) mediating between the families and the professionals; (5) providing transportation; (6) completing flex forms for the families as needed; (7) attending or speaking at conferences as needed or assigned; and (8) other duties as assigned by the project director.</w:t>
      </w:r>
      <w:r>
        <w:rPr>
          <w:vertAlign w:val="superscript"/>
        </w:rPr>
        <w:footnoteReference w:id="568"/>
      </w:r>
      <w:r w:rsidRPr="00CD0FEB">
        <w:t xml:space="preserve"> In addition, the advocate was required to be available to parents and families 24 hours a day, seven days a week, and to help them make immediate “game-time” decisions regarding various issues involving the courts, social services, other professionals, and the educational system.</w:t>
      </w:r>
      <w:r>
        <w:rPr>
          <w:vertAlign w:val="superscript"/>
        </w:rPr>
        <w:footnoteReference w:id="569"/>
      </w:r>
    </w:p>
    <w:p w14:paraId="5636717A" w14:textId="77777777" w:rsidR="00201F3F" w:rsidRPr="00CD0FEB" w:rsidRDefault="00201F3F" w:rsidP="00FC14B8">
      <w:pPr>
        <w:pStyle w:val="10ATextWithIndent"/>
      </w:pPr>
      <w:r w:rsidRPr="00CD0FEB">
        <w:t>In a 2006 opinion letter,</w:t>
      </w:r>
      <w:r>
        <w:rPr>
          <w:vertAlign w:val="superscript"/>
        </w:rPr>
        <w:footnoteReference w:id="570"/>
      </w:r>
      <w:r w:rsidRPr="00CD0FEB">
        <w:t xml:space="preserve"> the WHD considered whether the administrative exemption applied to employees of a company that assisted government agencies in acquiring property and complying with the federal funding requirements relating to eminent domain. After examining the job duties of three categories of employees—acquisition agents, relocation agents, and property management agents—the WHD concluded that each was an exempt administrative position. Acquisition agents met the exemption because (1) their duties in the functional areas of purchasing, procurement, and legal and regulatory compliance qualified as work that was directly related to the employer’s management or general business operations; and (2) their responsibilities included interpreting management policies, negotiating with and advising management, binding the client financially on significant matters, inspecting and determining the value of real property, negotiating settlements, and making recommendations regarding litigation, all of which involved the exercise of discretion and independent judgment. Relocation agents met the exemption because (1) they worked in the functional areas of purchasing, government relations, and legal and regulatory compliance, which are management and general business operations functions; and (2) their duties included analyzing housing alternatives, recommending replacement housing payments, advising the client on significant financial matters, negotiating settlements, inspecting property, and representing management in appeals, all of which involved the exercise of discretion and independent judgment. Finally, the property management agents met the exemption because (1) their work involved government relations and legal and regulatory compliance, which qualifies as management and general business operations; and (2) their responsibilities included implementing management policies, carrying out major assignments, quality control, and negotiating on behalf of the company on significant matters, which involved discretion and independent judgment.</w:t>
      </w:r>
    </w:p>
    <w:p w14:paraId="01AC3F46" w14:textId="77777777" w:rsidR="00201F3F" w:rsidRPr="00CD0FEB" w:rsidRDefault="00201F3F" w:rsidP="00FC14B8">
      <w:pPr>
        <w:pStyle w:val="05Second-LevelHeadABC"/>
      </w:pPr>
      <w:r w:rsidRPr="00CD0FEB">
        <w:t>D.</w:t>
      </w:r>
      <w:r w:rsidRPr="00CD0FEB">
        <w:tab/>
        <w:t>Regulatory Application of Principles to Specific Job Categories</w:t>
      </w:r>
    </w:p>
    <w:p w14:paraId="48040DC3" w14:textId="77777777" w:rsidR="00201F3F" w:rsidRPr="00CD0FEB" w:rsidRDefault="00201F3F" w:rsidP="00FC14B8">
      <w:pPr>
        <w:pStyle w:val="10ATextWithIndent"/>
      </w:pPr>
      <w:r w:rsidRPr="00CD0FEB">
        <w:t>The 2004 regulations incorporated “a new section 541.203 which includes illustration of the application of the administrative duties test to particular occupations. Many of the examples are from … the existing regulations. Other examples reflect existing case law.”</w:t>
      </w:r>
      <w:r>
        <w:rPr>
          <w:vertAlign w:val="superscript"/>
        </w:rPr>
        <w:footnoteReference w:id="571"/>
      </w:r>
    </w:p>
    <w:p w14:paraId="5E90C78F" w14:textId="77777777" w:rsidR="00201F3F" w:rsidRPr="00CD0FEB" w:rsidRDefault="00201F3F" w:rsidP="00FC14B8">
      <w:pPr>
        <w:pStyle w:val="06Third-LevelHead123"/>
      </w:pPr>
      <w:r w:rsidRPr="00CD0FEB">
        <w:t>1.</w:t>
      </w:r>
      <w:r w:rsidRPr="00CD0FEB">
        <w:tab/>
        <w:t>Insurance Claims Adjusters—29 C.F.R. §541.203(a)</w:t>
      </w:r>
    </w:p>
    <w:p w14:paraId="7344A1FF" w14:textId="77777777" w:rsidR="00201F3F" w:rsidRPr="00CD0FEB" w:rsidRDefault="00201F3F" w:rsidP="00FC14B8">
      <w:pPr>
        <w:pStyle w:val="10ATextWithIndent"/>
      </w:pPr>
      <w:r w:rsidRPr="00CD0FEB">
        <w:t>According to the DOL, insurance claims adjusters “generally meet the duties requirements for the administrative exemption,”</w:t>
      </w:r>
      <w:r>
        <w:rPr>
          <w:vertAlign w:val="superscript"/>
        </w:rPr>
        <w:footnoteReference w:id="572"/>
      </w:r>
      <w:r w:rsidRPr="00CD0FEB">
        <w:t xml:space="preserve"> but this is not a blanket rule. To qualify for the exemption, a claims adjuster’s duties must “include activities such as interviewing insureds, witnesses, and physicians; inspecting property damage; reviewing factual information to prepare damage estimates; evaluating and making recommendations regarding coverage of claims; determining liability and total value of a claim; negotiating settlements; and making recommendations regarding litigation.”</w:t>
      </w:r>
      <w:r>
        <w:rPr>
          <w:vertAlign w:val="superscript"/>
        </w:rPr>
        <w:footnoteReference w:id="573"/>
      </w:r>
    </w:p>
    <w:p w14:paraId="2B07A6CE" w14:textId="77777777" w:rsidR="00201F3F" w:rsidRPr="00CD0FEB" w:rsidRDefault="00201F3F" w:rsidP="00FC14B8">
      <w:pPr>
        <w:pStyle w:val="10ATextWithIndent"/>
      </w:pPr>
      <w:r w:rsidRPr="00CD0FEB">
        <w:t xml:space="preserve">Notably, in an opinion letter issued less than six months after the effective date of this regulatory example, the WHD determined that certain insurance claims adjusters were </w:t>
      </w:r>
      <w:r w:rsidRPr="00CD0FEB">
        <w:rPr>
          <w:i/>
          <w:iCs/>
        </w:rPr>
        <w:t>not</w:t>
      </w:r>
      <w:r w:rsidRPr="00CD0FEB">
        <w:t xml:space="preserve"> administratively exempt, emphasizing that 29 C.F.R. §541.203(a) “simply provides an illustration of the application of the administrative duties test; it does not provide a blanket exemption for claims adjusters.”</w:t>
      </w:r>
      <w:r>
        <w:rPr>
          <w:vertAlign w:val="superscript"/>
        </w:rPr>
        <w:footnoteReference w:id="574"/>
      </w:r>
      <w:r w:rsidRPr="00CD0FEB">
        <w:t xml:space="preserve"> This letter found that “junior-level claims adjusters” should be classified as nonexempt because their work involves “routine, recurrent, and repetitive tasks” such as conducting telephone interviews with a list of prepared questions in order to assess the validity of workers’ compensation claims and does not involve the significant exercise of discretion and independent judgment.</w:t>
      </w:r>
      <w:r>
        <w:rPr>
          <w:vertAlign w:val="superscript"/>
        </w:rPr>
        <w:footnoteReference w:id="575"/>
      </w:r>
    </w:p>
    <w:p w14:paraId="5F96E75A" w14:textId="77777777" w:rsidR="00201F3F" w:rsidRPr="00CD0FEB" w:rsidRDefault="00201F3F" w:rsidP="00FC14B8">
      <w:pPr>
        <w:pStyle w:val="10ATextWithIndent"/>
      </w:pPr>
      <w:r w:rsidRPr="00CD0FEB">
        <w:t>A few months later, the WHD reiterated that junior-level claims adjusters were not exempt because they did not exercise sufficient discretion and independent judgment.</w:t>
      </w:r>
      <w:r>
        <w:rPr>
          <w:vertAlign w:val="superscript"/>
        </w:rPr>
        <w:footnoteReference w:id="576"/>
      </w:r>
      <w:r w:rsidRPr="00CD0FEB">
        <w:t xml:space="preserve"> However, the same opinion letter deemed more senior claims adjusters imbued with greater independence and greater discretion in handling claims to be exempt. The WHD also opined that the primary duty of both the junior- and senior-level adjusters was work directly related to the management or general business operations of the employer’s customers and that the first prong of the duties test was satisfied where the employer was a third-party administrator that did not sell insurance policies but rather sold claims adjusting services to insurance companies.</w:t>
      </w:r>
      <w:r>
        <w:rPr>
          <w:vertAlign w:val="superscript"/>
        </w:rPr>
        <w:footnoteReference w:id="577"/>
      </w:r>
    </w:p>
    <w:p w14:paraId="3B366294" w14:textId="77777777" w:rsidR="00201F3F" w:rsidRPr="00CD0FEB" w:rsidRDefault="00201F3F" w:rsidP="00FC14B8">
      <w:pPr>
        <w:pStyle w:val="10ATextWithIndent"/>
      </w:pPr>
      <w:r w:rsidRPr="00CD0FEB">
        <w:t xml:space="preserve">In </w:t>
      </w:r>
      <w:r w:rsidRPr="00CD0FEB">
        <w:rPr>
          <w:i/>
          <w:iCs/>
        </w:rPr>
        <w:t>Miller v. Farmers Insurance Exchange</w:t>
      </w:r>
      <w:r w:rsidRPr="00CD0FEB">
        <w:t>,</w:t>
      </w:r>
      <w:r>
        <w:rPr>
          <w:vertAlign w:val="superscript"/>
        </w:rPr>
        <w:footnoteReference w:id="578"/>
      </w:r>
      <w:r w:rsidRPr="00CD0FEB">
        <w:t xml:space="preserve"> the Ninth Circuit observed that “the use of computer software to estimate claims does not eliminate the need for discretion and judgment any more than does resort to other reference works or to the opinions of appraisers and other experts.”</w:t>
      </w:r>
      <w:r>
        <w:rPr>
          <w:vertAlign w:val="superscript"/>
        </w:rPr>
        <w:footnoteReference w:id="579"/>
      </w:r>
      <w:r w:rsidRPr="00CD0FEB">
        <w:t xml:space="preserve"> A similar sentiment was echoed by the Fifth Circuit in </w:t>
      </w:r>
      <w:r w:rsidRPr="00CD0FEB">
        <w:rPr>
          <w:i/>
          <w:iCs/>
        </w:rPr>
        <w:t>Cheatham v</w:t>
      </w:r>
      <w:r w:rsidRPr="00CD0FEB">
        <w:t>.</w:t>
      </w:r>
      <w:r w:rsidRPr="00CD0FEB">
        <w:rPr>
          <w:i/>
          <w:iCs/>
        </w:rPr>
        <w:t xml:space="preserve"> Allstate Insurance Co</w:t>
      </w:r>
      <w:r w:rsidRPr="00CD0FEB">
        <w:t>.,</w:t>
      </w:r>
      <w:r>
        <w:rPr>
          <w:vertAlign w:val="superscript"/>
        </w:rPr>
        <w:footnoteReference w:id="580"/>
      </w:r>
      <w:r w:rsidRPr="00CD0FEB">
        <w:t xml:space="preserve"> the Eighth Circuit in </w:t>
      </w:r>
      <w:r w:rsidRPr="00CD0FEB">
        <w:rPr>
          <w:i/>
          <w:iCs/>
        </w:rPr>
        <w:t>McAllister v</w:t>
      </w:r>
      <w:r w:rsidRPr="00CD0FEB">
        <w:t>.</w:t>
      </w:r>
      <w:r w:rsidRPr="00CD0FEB">
        <w:rPr>
          <w:i/>
          <w:iCs/>
        </w:rPr>
        <w:t xml:space="preserve"> Transamerica Occidental Life Insurance Co</w:t>
      </w:r>
      <w:r w:rsidRPr="00CD0FEB">
        <w:t>.,</w:t>
      </w:r>
      <w:r>
        <w:rPr>
          <w:vertAlign w:val="superscript"/>
        </w:rPr>
        <w:footnoteReference w:id="581"/>
      </w:r>
      <w:r w:rsidRPr="00CD0FEB">
        <w:t xml:space="preserve"> and the District of Columbia Circuit in </w:t>
      </w:r>
      <w:r w:rsidRPr="00CD0FEB">
        <w:rPr>
          <w:i/>
          <w:iCs/>
        </w:rPr>
        <w:t>Robinson-Smith v</w:t>
      </w:r>
      <w:r w:rsidRPr="00CD0FEB">
        <w:t>.</w:t>
      </w:r>
      <w:r w:rsidRPr="00CD0FEB">
        <w:rPr>
          <w:i/>
          <w:iCs/>
        </w:rPr>
        <w:t xml:space="preserve"> Government Employees Insurance Co</w:t>
      </w:r>
      <w:r w:rsidRPr="00CD0FEB">
        <w:t>.</w:t>
      </w:r>
      <w:r>
        <w:rPr>
          <w:vertAlign w:val="superscript"/>
        </w:rPr>
        <w:footnoteReference w:id="582"/>
      </w:r>
      <w:r w:rsidRPr="00CD0FEB">
        <w:t xml:space="preserve"> On the other hand, in </w:t>
      </w:r>
      <w:r w:rsidRPr="00CD0FEB">
        <w:rPr>
          <w:i/>
          <w:iCs/>
        </w:rPr>
        <w:t>Harper v. GEICO</w:t>
      </w:r>
      <w:r w:rsidRPr="00CD0FEB">
        <w:t>,</w:t>
      </w:r>
      <w:r>
        <w:rPr>
          <w:vertAlign w:val="superscript"/>
        </w:rPr>
        <w:footnoteReference w:id="583"/>
      </w:r>
      <w:r w:rsidRPr="00CD0FEB">
        <w:t xml:space="preserve"> the Second Circuit found that a genuine dispute of material fact existed as to whether telephone claims representatives had sufficient discretion and independent judgment to qualify for the administrative exemption given that such discretion appeared to be significantly limited by the employer’s automated “ClaimIQ” system.</w:t>
      </w:r>
      <w:r>
        <w:rPr>
          <w:vertAlign w:val="superscript"/>
        </w:rPr>
        <w:footnoteReference w:id="584"/>
      </w:r>
    </w:p>
    <w:p w14:paraId="30709D69" w14:textId="77777777" w:rsidR="00201F3F" w:rsidRPr="00CD0FEB" w:rsidRDefault="00201F3F" w:rsidP="00FC14B8">
      <w:pPr>
        <w:pStyle w:val="10ATextWithIndent"/>
      </w:pPr>
      <w:r w:rsidRPr="00CD0FEB">
        <w:t>Note that the Consolidated Appropriations Act, 2018 added an exemption for insurance claims adjusters working on insurance claims arising from major disasters.</w:t>
      </w:r>
      <w:r>
        <w:rPr>
          <w:vertAlign w:val="superscript"/>
        </w:rPr>
        <w:footnoteReference w:id="585"/>
      </w:r>
      <w:r w:rsidRPr="00CD0FEB">
        <w:t xml:space="preserve"> Although this exemption deals with insurance claims adjusters, it is not a Section 213(a)(1) exemption; rather, it is a Section 207 exemption, and a discussion of its requirements is found in Chapter 6, Other Statutory Exemptions, §V.D [Section 207 Exceptions From the Overtime Requirements of the FLSA; Section 207(s) Exception: Employees Engaged As Major Disaster Claims Adjusters].</w:t>
      </w:r>
      <w:r>
        <w:rPr>
          <w:vertAlign w:val="superscript"/>
        </w:rPr>
        <w:footnoteReference w:id="586"/>
      </w:r>
    </w:p>
    <w:p w14:paraId="6B539038" w14:textId="77777777" w:rsidR="00201F3F" w:rsidRPr="00CD0FEB" w:rsidRDefault="00201F3F" w:rsidP="00FC14B8">
      <w:pPr>
        <w:pStyle w:val="06Third-LevelHead123"/>
      </w:pPr>
      <w:r w:rsidRPr="00CD0FEB">
        <w:t>2.</w:t>
      </w:r>
      <w:r w:rsidRPr="00CD0FEB">
        <w:tab/>
        <w:t>Financial Services Industry Employees—29 C.F.R. §541.203(b)</w:t>
      </w:r>
    </w:p>
    <w:p w14:paraId="7FD0B4B1" w14:textId="77777777" w:rsidR="00201F3F" w:rsidRPr="00CD0FEB" w:rsidRDefault="00201F3F" w:rsidP="00FC14B8">
      <w:pPr>
        <w:pStyle w:val="10ATextWithIndent"/>
      </w:pPr>
      <w:r w:rsidRPr="00CD0FEB">
        <w:t>Per the regulations, employees working in the financial services industry will</w:t>
      </w:r>
    </w:p>
    <w:p w14:paraId="04B0F05A" w14:textId="77777777" w:rsidR="00201F3F" w:rsidRPr="00CD0FEB" w:rsidRDefault="00201F3F" w:rsidP="00FC14B8">
      <w:pPr>
        <w:pStyle w:val="09BBlockQuoteWithoutIndent"/>
      </w:pPr>
      <w:r w:rsidRPr="00CD0FEB">
        <w:t>generally meet the duties requirements for the administrative exemption if their duties include work such as collecting and analyzing information regarding the customer’s income, assets, investments or debts; determining which financial products best meet the customer’s needs and financial circumstances; advising the customer regarding the advantages and disadvantages of different financial products; and marketing, servicing or promoting the employer’s financial products.</w:t>
      </w:r>
      <w:r>
        <w:rPr>
          <w:vertAlign w:val="superscript"/>
        </w:rPr>
        <w:footnoteReference w:id="587"/>
      </w:r>
    </w:p>
    <w:p w14:paraId="13015E87" w14:textId="77777777" w:rsidR="00201F3F" w:rsidRPr="00CD0FEB" w:rsidRDefault="00201F3F" w:rsidP="00FC14B8">
      <w:pPr>
        <w:pStyle w:val="10ATextWithIndent"/>
      </w:pPr>
      <w:r w:rsidRPr="00CD0FEB">
        <w:t>However, the regulations also note that a financial services employee whose primary duty is selling financial products does not qualify for the administrative exemption.</w:t>
      </w:r>
      <w:r>
        <w:rPr>
          <w:vertAlign w:val="superscript"/>
        </w:rPr>
        <w:footnoteReference w:id="588"/>
      </w:r>
    </w:p>
    <w:p w14:paraId="36940C81" w14:textId="77777777" w:rsidR="00201F3F" w:rsidRPr="00CD0FEB" w:rsidRDefault="00201F3F" w:rsidP="00FC14B8">
      <w:pPr>
        <w:pStyle w:val="10ATextWithIndent"/>
      </w:pPr>
      <w:r w:rsidRPr="00CD0FEB">
        <w:t>In its 2004 final rule, the DOL pointed out that the regulation distinguishes between exempt and nonexempt financial services employees based on the primary duty they perform, not the identity of the customers they serve.</w:t>
      </w:r>
      <w:r>
        <w:rPr>
          <w:vertAlign w:val="superscript"/>
        </w:rPr>
        <w:footnoteReference w:id="589"/>
      </w:r>
      <w:r w:rsidRPr="00CD0FEB">
        <w:t xml:space="preserve"> For example, a financial services employee whose primary duty is gathering and analyzing facts and providing consulting advice to assist customers in choosing among many complex financial products may be an exempt administrative employee,</w:t>
      </w:r>
      <w:r>
        <w:rPr>
          <w:vertAlign w:val="superscript"/>
        </w:rPr>
        <w:footnoteReference w:id="590"/>
      </w:r>
      <w:r w:rsidRPr="00CD0FEB">
        <w:t xml:space="preserve"> whereas an employee whose primary duty is sales is not administratively exempt.</w:t>
      </w:r>
      <w:r>
        <w:rPr>
          <w:vertAlign w:val="superscript"/>
        </w:rPr>
        <w:footnoteReference w:id="591"/>
      </w:r>
      <w:r w:rsidRPr="00CD0FEB">
        <w:t xml:space="preserve"> </w:t>
      </w:r>
    </w:p>
    <w:p w14:paraId="68B071D3" w14:textId="77777777" w:rsidR="00201F3F" w:rsidRPr="00CD0FEB" w:rsidRDefault="00201F3F" w:rsidP="00FC14B8">
      <w:pPr>
        <w:pStyle w:val="10ATextWithIndent"/>
      </w:pPr>
      <w:r w:rsidRPr="00CD0FEB">
        <w:t>Registered representatives responsible for “collecting the clients’ financial information (including assets, income, debts and other liabilities, cash flow, and tax status), analyzing the information, comparing and evaluating possible investment options, and identifying investment strategies and potential investments based on their knowledge of market conditions and the clients’ particular circumstances” qualified for the administrative exemption where “[t]hey advise[d] their clients on the advantages and disadvantages of various investment opportunities” and “thus use their expertise and knowledge of the securities industry and markets to analyze and to interpret the client’s investment objectives in light of various factors, and then provide individualized investment advice that is suited to those objectives.”</w:t>
      </w:r>
      <w:r>
        <w:rPr>
          <w:vertAlign w:val="superscript"/>
        </w:rPr>
        <w:footnoteReference w:id="592"/>
      </w:r>
    </w:p>
    <w:p w14:paraId="540B97FF" w14:textId="77777777" w:rsidR="00201F3F" w:rsidRPr="00CD0FEB" w:rsidRDefault="00201F3F" w:rsidP="00FC14B8">
      <w:pPr>
        <w:pStyle w:val="10ATextWithIndent"/>
      </w:pPr>
      <w:r w:rsidRPr="00CD0FEB">
        <w:t>Similarly, the DOL determined that insurance agents qualified for the administrative exemption where their primary duty included</w:t>
      </w:r>
    </w:p>
    <w:p w14:paraId="5BD30480" w14:textId="77777777" w:rsidR="00201F3F" w:rsidRPr="00CD0FEB" w:rsidRDefault="00201F3F" w:rsidP="00FC14B8">
      <w:pPr>
        <w:pStyle w:val="09BBlockQuoteWithoutIndent"/>
      </w:pPr>
      <w:r w:rsidRPr="00CD0FEB">
        <w:t>meeting with the current or prospective clients, typically in person, to collect and discuss each client’s life insurance and financial information; analyzing the information collected from current and prospective clients and comparing and evaluating possible life insurance and financial products to develop individualized advice and strategies for each client based on each client’s insurance and financial status, risk tolerance, needs, and objections; providing individualized advice and recommendations to current and prospective clients on the purchase of life insurance and other financial products; and structuring transactions to ensure that they result in maximum benefit for clients, while also conforming with the laws, regulations, and requirements governing the insurance industry (and, where applicable, the securities industry).</w:t>
      </w:r>
      <w:r>
        <w:rPr>
          <w:vertAlign w:val="superscript"/>
        </w:rPr>
        <w:footnoteReference w:id="593"/>
      </w:r>
    </w:p>
    <w:p w14:paraId="49608DCC" w14:textId="77777777" w:rsidR="00201F3F" w:rsidRPr="00CD0FEB" w:rsidRDefault="00201F3F" w:rsidP="00FC14B8">
      <w:pPr>
        <w:pStyle w:val="10ATextWithIndent"/>
      </w:pPr>
      <w:r w:rsidRPr="00CD0FEB">
        <w:t xml:space="preserve">The DOL explained that, like insurance industry employees at issue in several court cases where the administrative exemption was deemed applicable, </w:t>
      </w:r>
    </w:p>
    <w:p w14:paraId="182CA926" w14:textId="77777777" w:rsidR="00201F3F" w:rsidRPr="00CD0FEB" w:rsidRDefault="00201F3F" w:rsidP="00FC14B8">
      <w:pPr>
        <w:pStyle w:val="09BBlockQuoteWithoutIndent"/>
      </w:pPr>
      <w:r w:rsidRPr="00CD0FEB">
        <w:t>the agents service[d] their employer’s financial services business by engaging in promotion and business development activities, including the marketing, servicing, and promoting of the employing firm’s insurance and financial services and products, and by making themselves visible to the appropriate segments of the public in order to meet and retain potential new clients for their employing firm.</w:t>
      </w:r>
      <w:r>
        <w:rPr>
          <w:vertAlign w:val="superscript"/>
        </w:rPr>
        <w:footnoteReference w:id="594"/>
      </w:r>
    </w:p>
    <w:p w14:paraId="0461C8B6" w14:textId="77777777" w:rsidR="00201F3F" w:rsidRPr="00CD0FEB" w:rsidRDefault="00201F3F" w:rsidP="00FC14B8">
      <w:pPr>
        <w:pStyle w:val="10ATextWithIndent"/>
      </w:pPr>
      <w:r w:rsidRPr="00CD0FEB">
        <w:t xml:space="preserve">Along similar lines, in </w:t>
      </w:r>
      <w:r w:rsidRPr="00CD0FEB">
        <w:rPr>
          <w:i/>
          <w:iCs/>
        </w:rPr>
        <w:t>Jones v. New Orleans Regional Physician Hospital Organization</w:t>
      </w:r>
      <w:r w:rsidRPr="00CD0FEB">
        <w:t>,</w:t>
      </w:r>
      <w:r>
        <w:rPr>
          <w:rStyle w:val="FootnoteReference"/>
        </w:rPr>
        <w:footnoteReference w:id="595"/>
      </w:r>
      <w:r w:rsidRPr="00CD0FEB">
        <w:t xml:space="preserve"> the Fifth Circuit held that contracting specialists employed by a managed care company offering a Medicare Advantage Plan insurance product were properly classified as exempt where they “did not write, produce, or sell [the company’s] product: insurance policies” but instead “</w:t>
      </w:r>
      <w:r w:rsidRPr="00CD0FEB">
        <w:rPr>
          <w:shd w:val="clear" w:color="auto" w:fill="FFFFFF"/>
        </w:rPr>
        <w:t>their role was supporting and servicing the company’s business operations by maintaining and enlarging its provider network.</w:t>
      </w:r>
      <w:r w:rsidRPr="00CD0FEB">
        <w:t>”</w:t>
      </w:r>
      <w:r>
        <w:rPr>
          <w:rStyle w:val="FootnoteReference"/>
        </w:rPr>
        <w:footnoteReference w:id="596"/>
      </w:r>
      <w:r w:rsidRPr="00CD0FEB">
        <w:t xml:space="preserve"> The Fifth Circuit concluded that the administrative exemption likewise applied to operations specialists responsible for a variety of functions directly relating to the company’s general business operations, including “</w:t>
      </w:r>
      <w:r w:rsidRPr="00CD0FEB">
        <w:rPr>
          <w:shd w:val="clear" w:color="auto" w:fill="FFFFFF"/>
        </w:rPr>
        <w:t>(1) understanding new products and processes, (2) establishing project timelines, (3) coordinating activities for new and continuing projects, (4) serving as liaison between departments and documenting processes, (5) observing department processes and brainstorming potential improvements, and (6) dispensing advice to managers on how to improve department processes or workflows.</w:t>
      </w:r>
      <w:r w:rsidRPr="00CD0FEB">
        <w:t>”</w:t>
      </w:r>
      <w:r>
        <w:rPr>
          <w:rStyle w:val="FootnoteReference"/>
        </w:rPr>
        <w:footnoteReference w:id="597"/>
      </w:r>
      <w:r w:rsidRPr="00CD0FEB">
        <w:t xml:space="preserve"> Finally, the Fifth Circuit also found that the administrative exemption was properly applied to a pharmacy Part D specialist </w:t>
      </w:r>
      <w:sdt>
        <w:sdtPr>
          <w:tag w:val="goog_rdk_0"/>
          <w:id w:val="-788354184"/>
        </w:sdtPr>
        <w:sdtEndPr/>
        <w:sdtContent/>
      </w:sdt>
      <w:r w:rsidRPr="00CD0FEB">
        <w:t>with auditing and related responsibilities “</w:t>
      </w:r>
      <w:r w:rsidRPr="00CD0FEB">
        <w:rPr>
          <w:shd w:val="clear" w:color="auto" w:fill="FFFFFF"/>
        </w:rPr>
        <w:t>comparable to several illustrative categories listed in the relevant regulation, including auditing, insurance, quality control, and legal and regulatory compliance</w:t>
      </w:r>
      <w:r w:rsidRPr="00CD0FEB">
        <w:t>.”</w:t>
      </w:r>
      <w:r>
        <w:rPr>
          <w:rStyle w:val="FootnoteReference"/>
        </w:rPr>
        <w:footnoteReference w:id="598"/>
      </w:r>
      <w:r w:rsidRPr="00CD0FEB">
        <w:t xml:space="preserve"> </w:t>
      </w:r>
    </w:p>
    <w:p w14:paraId="365DA08B" w14:textId="77777777" w:rsidR="00201F3F" w:rsidRPr="00CD0FEB" w:rsidRDefault="00201F3F" w:rsidP="00FC14B8">
      <w:pPr>
        <w:pStyle w:val="10ATextWithIndent"/>
      </w:pPr>
      <w:r w:rsidRPr="00CD0FEB">
        <w:t xml:space="preserve">On the other hand, in </w:t>
      </w:r>
      <w:r w:rsidRPr="00CD0FEB">
        <w:rPr>
          <w:i/>
          <w:iCs/>
        </w:rPr>
        <w:t>Davis v</w:t>
      </w:r>
      <w:r w:rsidRPr="00CD0FEB">
        <w:t>.</w:t>
      </w:r>
      <w:r w:rsidRPr="00CD0FEB">
        <w:rPr>
          <w:i/>
          <w:iCs/>
        </w:rPr>
        <w:t xml:space="preserve"> J</w:t>
      </w:r>
      <w:r w:rsidRPr="00CD0FEB">
        <w:t>.</w:t>
      </w:r>
      <w:r w:rsidRPr="00CD0FEB">
        <w:rPr>
          <w:i/>
          <w:iCs/>
        </w:rPr>
        <w:t>P</w:t>
      </w:r>
      <w:r w:rsidRPr="00CD0FEB">
        <w:t>.</w:t>
      </w:r>
      <w:r w:rsidRPr="00CD0FEB">
        <w:rPr>
          <w:i/>
          <w:iCs/>
        </w:rPr>
        <w:t xml:space="preserve"> Morgan Chase &amp; Co</w:t>
      </w:r>
      <w:r w:rsidRPr="00CD0FEB">
        <w:t>.,</w:t>
      </w:r>
      <w:r>
        <w:rPr>
          <w:vertAlign w:val="superscript"/>
        </w:rPr>
        <w:footnoteReference w:id="599"/>
      </w:r>
      <w:r w:rsidRPr="00CD0FEB">
        <w:t xml:space="preserve"> the Second Circuit ruled that underwriters were misclassified as exempt where they were not “expected to advise customers as to what loan products best met their needs and abilities,” but rather “were given a loan application and followed ­procedures specified in the Credit Guide in order to produce a yes or no decision.”</w:t>
      </w:r>
      <w:r>
        <w:rPr>
          <w:vertAlign w:val="superscript"/>
        </w:rPr>
        <w:footnoteReference w:id="600"/>
      </w:r>
      <w:r w:rsidRPr="00CD0FEB">
        <w:t xml:space="preserve"> By contrast, the Sixth Circuit held in </w:t>
      </w:r>
      <w:r w:rsidRPr="00CD0FEB">
        <w:rPr>
          <w:i/>
          <w:iCs/>
        </w:rPr>
        <w:t>Lutz v</w:t>
      </w:r>
      <w:r w:rsidRPr="00CD0FEB">
        <w:t>.</w:t>
      </w:r>
      <w:r w:rsidRPr="00CD0FEB">
        <w:rPr>
          <w:i/>
          <w:iCs/>
        </w:rPr>
        <w:t xml:space="preserve"> Huntington Bancshares, Inc</w:t>
      </w:r>
      <w:r w:rsidRPr="00CD0FEB">
        <w:t>.</w:t>
      </w:r>
      <w:r>
        <w:rPr>
          <w:vertAlign w:val="superscript"/>
        </w:rPr>
        <w:footnoteReference w:id="601"/>
      </w:r>
      <w:r w:rsidRPr="00CD0FEB">
        <w:t xml:space="preserve"> that loan underwriters were properly classified as exempt notwithstanding that they were bound by the bank’s underwriting guidelines because the guidelines “do not prevent its underwriters from acting outside its parameters. By imposing stipulations, creating exceptions, proposing counteroffers, and flagging applications, underwriters exercise independent judgment to depart from a straight approval or denial of a loan application based solely on the Guidelines.”</w:t>
      </w:r>
      <w:r>
        <w:rPr>
          <w:vertAlign w:val="superscript"/>
        </w:rPr>
        <w:footnoteReference w:id="602"/>
      </w:r>
      <w:r w:rsidRPr="00CD0FEB">
        <w:t xml:space="preserve"> </w:t>
      </w:r>
    </w:p>
    <w:p w14:paraId="40E4D7B4" w14:textId="77777777" w:rsidR="00201F3F" w:rsidRPr="00CD0FEB" w:rsidRDefault="00201F3F" w:rsidP="00FC14B8">
      <w:pPr>
        <w:pStyle w:val="10ATextWithIndent"/>
      </w:pPr>
      <w:r w:rsidRPr="00CD0FEB">
        <w:t xml:space="preserve">A year later in </w:t>
      </w:r>
      <w:r w:rsidRPr="00CD0FEB">
        <w:rPr>
          <w:i/>
          <w:iCs/>
        </w:rPr>
        <w:t>McKeen-Chaplin v. Provident Savings Bank</w:t>
      </w:r>
      <w:r w:rsidRPr="00CD0FEB">
        <w:t>,</w:t>
      </w:r>
      <w:r>
        <w:rPr>
          <w:vertAlign w:val="superscript"/>
        </w:rPr>
        <w:footnoteReference w:id="603"/>
      </w:r>
      <w:r w:rsidRPr="00CD0FEB">
        <w:t xml:space="preserve"> the Ninth Circuit sided with the Sixth Circuit and held that mortgage underwriters did not qualify for the administrative exemption, explaining that</w:t>
      </w:r>
    </w:p>
    <w:p w14:paraId="2633DAC0" w14:textId="77777777" w:rsidR="00201F3F" w:rsidRPr="00CD0FEB" w:rsidRDefault="00201F3F" w:rsidP="00FC14B8">
      <w:pPr>
        <w:pStyle w:val="09BBlockQuoteWithoutIndent"/>
      </w:pPr>
      <w:r w:rsidRPr="00CD0FEB">
        <w:t>where a bank sells mortgage loans and resells the funded loans on the secondary market as a primary font of business, mortgage underwriters who implement guidelines designed by corporate management, and who must ask permission when deviating from protocol, are most accurately considered employees responsible for production, not administrators who manage, guide, and administer the business.</w:t>
      </w:r>
      <w:r>
        <w:rPr>
          <w:vertAlign w:val="superscript"/>
        </w:rPr>
        <w:footnoteReference w:id="604"/>
      </w:r>
    </w:p>
    <w:p w14:paraId="2E5BC0BB" w14:textId="77777777" w:rsidR="00201F3F" w:rsidRPr="00CD0FEB" w:rsidRDefault="00201F3F" w:rsidP="00FC14B8">
      <w:pPr>
        <w:pStyle w:val="10ATextWithIndent"/>
      </w:pPr>
      <w:r w:rsidRPr="00CD0FEB">
        <w:t>The DOL has gone back and forth on the exempt status of mortgage underwriters. In 2006, the DOL had opined that a mortgage loan officer responsible for collecting and analyzing customers’ financial data, determining whether a customer qualified, and presenting options for the terms of a loan to the customer exercised the requisite discretion and independent judgment.</w:t>
      </w:r>
      <w:r>
        <w:rPr>
          <w:vertAlign w:val="superscript"/>
        </w:rPr>
        <w:footnoteReference w:id="605"/>
      </w:r>
      <w:r w:rsidRPr="00CD0FEB">
        <w:t xml:space="preserve"> However, in 2010, the DOL withdrew this opinion letter by way of an Administrator’s Interpretation that reached the opposite conclusion, finding that mortgage loan officers did not qualify for the administrative exemption. The DOL explained:</w:t>
      </w:r>
    </w:p>
    <w:p w14:paraId="10FD9CA1" w14:textId="77777777" w:rsidR="00201F3F" w:rsidRPr="00CD0FEB" w:rsidRDefault="00201F3F" w:rsidP="00FC14B8">
      <w:pPr>
        <w:pStyle w:val="09BBlockQuoteWithoutIndent"/>
      </w:pPr>
      <w:r w:rsidRPr="00CD0FEB">
        <w:t>Contrary to the assumption in Opinion Letter FLSA 2006-31, the administrative exemption is only applicable to employees that meet the requirements set forth in 29 C.F.R. §541.200. The regulation at 29 C.F.R. §541.203(b) merely provides an example to help distinguish between those employees in the financial services industry whose primary duty is related to the management or general operations of the employer’s customers and those whose primary duty is selling the employer’s financial products. The fact example at 29 C.F.R. §541.203(b) is not an alternative test, and its guidance cannot result in it “swallowing” the requirements of 29 C.F.R. §541.200.</w:t>
      </w:r>
    </w:p>
    <w:p w14:paraId="6C6E8608" w14:textId="77777777" w:rsidR="00201F3F" w:rsidRPr="00CD0FEB" w:rsidRDefault="00201F3F" w:rsidP="00FC14B8">
      <w:pPr>
        <w:pStyle w:val="09BBlockQuoteWithoutIndent"/>
      </w:pPr>
      <w:r w:rsidRPr="00CD0FEB">
        <w:t>[M]ortgage loan officers typically have the primary duty of making sales on behalf of their employer; as such, their primary duty is not directly related to the management or general business operations of their employer or their employer’s customers. Because of its misleading assumption and selective and narrow analysis, Opinion Letter FLSA2006-31 does not comport with this interpretive guidance and is withdrawn. Similarly, an Opinion Letter dated February 16, 2001, 2001 WL 1558764, also is withdrawn as inconsistent with this analysis.</w:t>
      </w:r>
      <w:r>
        <w:rPr>
          <w:vertAlign w:val="superscript"/>
        </w:rPr>
        <w:footnoteReference w:id="606"/>
      </w:r>
    </w:p>
    <w:p w14:paraId="6718CDED" w14:textId="77777777" w:rsidR="00201F3F" w:rsidRPr="00CD0FEB" w:rsidRDefault="00201F3F" w:rsidP="00FC14B8">
      <w:pPr>
        <w:pStyle w:val="10ATextWithIndent"/>
      </w:pPr>
      <w:r w:rsidRPr="00CD0FEB">
        <w:t>The Administrator’s Interpretation also emphasized that the “‘production versus administrative’ dichotomy” is “a relevant and useful tool in appropriate cases to identify employees who should be excluded from the exemption.”</w:t>
      </w:r>
      <w:r>
        <w:rPr>
          <w:vertAlign w:val="superscript"/>
        </w:rPr>
        <w:footnoteReference w:id="607"/>
      </w:r>
      <w:r w:rsidRPr="00CD0FEB">
        <w:t xml:space="preserve"> Using this analytic tool, the DOL found that the typical mortgage loan officer’s “duties involve the day-to-day carrying out of the employer’s business and, thus, fall squarely on the production side of the business.”</w:t>
      </w:r>
      <w:r>
        <w:rPr>
          <w:vertAlign w:val="superscript"/>
        </w:rPr>
        <w:footnoteReference w:id="608"/>
      </w:r>
      <w:r w:rsidRPr="00CD0FEB">
        <w:t xml:space="preserve"> The DOL concluded that </w:t>
      </w:r>
    </w:p>
    <w:p w14:paraId="3DA0E207" w14:textId="77777777" w:rsidR="00201F3F" w:rsidRPr="00CD0FEB" w:rsidRDefault="00201F3F" w:rsidP="00FC14B8">
      <w:pPr>
        <w:pStyle w:val="09BBlockQuoteWithoutIndent"/>
      </w:pPr>
      <w:r w:rsidRPr="00CD0FEB">
        <w:t>[b]ased on the … analysis of the typical mortgage loan officer’s duties and conclusion that his or her primary duty is making sales for the employer, and because homeowners do not have management or general business operations, a typical mortgage loan officer’s primary duty is not related to the management or general business operations of the employer’s customers.</w:t>
      </w:r>
      <w:r>
        <w:rPr>
          <w:vertAlign w:val="superscript"/>
        </w:rPr>
        <w:footnoteReference w:id="609"/>
      </w:r>
    </w:p>
    <w:p w14:paraId="600BF3B8" w14:textId="77777777" w:rsidR="00201F3F" w:rsidRPr="00CD0FEB" w:rsidRDefault="00201F3F" w:rsidP="00FC14B8">
      <w:pPr>
        <w:pStyle w:val="10ATextWithIndent"/>
      </w:pPr>
      <w:r w:rsidRPr="00CD0FEB">
        <w:t xml:space="preserve">In </w:t>
      </w:r>
      <w:r w:rsidRPr="00CD0FEB">
        <w:rPr>
          <w:i/>
          <w:iCs/>
        </w:rPr>
        <w:t>Henry v</w:t>
      </w:r>
      <w:r w:rsidRPr="00CD0FEB">
        <w:t>.</w:t>
      </w:r>
      <w:r w:rsidRPr="00CD0FEB">
        <w:rPr>
          <w:i/>
          <w:iCs/>
        </w:rPr>
        <w:t xml:space="preserve"> Quicken Loans, Inc</w:t>
      </w:r>
      <w:r w:rsidRPr="00CD0FEB">
        <w:t>.,</w:t>
      </w:r>
      <w:r>
        <w:rPr>
          <w:vertAlign w:val="superscript"/>
        </w:rPr>
        <w:footnoteReference w:id="610"/>
      </w:r>
      <w:r w:rsidRPr="00CD0FEB">
        <w:t xml:space="preserve"> the Sixth Circuit determined that the exempt status of mortgage bankers turned on a question of fact and was properly left for resolution by a jury, at least where, as in that case, there was conflicting evidence as to the bankers’ primary job functions and whether those activities involved management-like responsibilities, discretion, and independent judgment. Accordingly, the Sixth Circuit affirmed the district court’s denial of the plaintiffs’ posttrial motion for judgment as a matter of law and upheld the jury’s determination that the employer’s classification of the mortgage brokers as exempt administrative employees was proper.</w:t>
      </w:r>
      <w:r>
        <w:rPr>
          <w:vertAlign w:val="superscript"/>
        </w:rPr>
        <w:footnoteReference w:id="611"/>
      </w:r>
    </w:p>
    <w:p w14:paraId="4591B721" w14:textId="77777777" w:rsidR="00201F3F" w:rsidRPr="00CD0FEB" w:rsidRDefault="00201F3F" w:rsidP="00FC14B8">
      <w:pPr>
        <w:pStyle w:val="06Third-LevelHead123"/>
      </w:pPr>
      <w:r w:rsidRPr="00CD0FEB">
        <w:t>3.</w:t>
      </w:r>
      <w:r w:rsidRPr="00CD0FEB">
        <w:tab/>
        <w:t>Team Leaders—29 C.F.R. §541.203(c)</w:t>
      </w:r>
    </w:p>
    <w:p w14:paraId="022B4C4D" w14:textId="77777777" w:rsidR="00201F3F" w:rsidRPr="00CD0FEB" w:rsidRDefault="00201F3F" w:rsidP="00FC14B8">
      <w:pPr>
        <w:pStyle w:val="10ATextWithIndent"/>
      </w:pPr>
      <w:r w:rsidRPr="00CD0FEB">
        <w:t>According to the DOL regulations, team leaders in charge of major projects ordinarily qualify for the administrative exemption regardless of whether they exercise supervisory responsibility over other members of the team.</w:t>
      </w:r>
      <w:r>
        <w:rPr>
          <w:vertAlign w:val="superscript"/>
        </w:rPr>
        <w:footnoteReference w:id="612"/>
      </w:r>
      <w:r w:rsidRPr="00CD0FEB">
        <w:t xml:space="preserve"> The regulation offers several illustrative examples of such “major projects,” including “purchasing, selling or closing all or part of the business, negotiating a real estate transaction or collective bargaining agreement, or designing and implementing productivity improvements … .”</w:t>
      </w:r>
      <w:r>
        <w:rPr>
          <w:vertAlign w:val="superscript"/>
        </w:rPr>
        <w:footnoteReference w:id="613"/>
      </w:r>
    </w:p>
    <w:p w14:paraId="521ADB3F" w14:textId="77777777" w:rsidR="00201F3F" w:rsidRPr="00CD0FEB" w:rsidRDefault="00201F3F" w:rsidP="00FC14B8">
      <w:pPr>
        <w:pStyle w:val="10ATextWithIndent"/>
      </w:pPr>
      <w:r w:rsidRPr="00CD0FEB">
        <w:t>In a pair of simultaneously reissued opinion letters, the DOL concluded that project supervisors in the residential homebuilding industry and project superintendents employed by a commercial construction company were properly designated as exempt administrative employees. On the residential side, the project supervisors were responsible for overseeing and coordinating the construction of the home and served as the employer’s representative at the worksite in dealings with subcontractors, suppliers, customers, and government inspectors:</w:t>
      </w:r>
    </w:p>
    <w:p w14:paraId="6B59DF58" w14:textId="77777777" w:rsidR="00201F3F" w:rsidRPr="00CD0FEB" w:rsidRDefault="00201F3F" w:rsidP="00FC14B8">
      <w:pPr>
        <w:pStyle w:val="09BBlockQuoteWithoutIndent"/>
      </w:pPr>
      <w:r w:rsidRPr="00CD0FEB">
        <w:t>In discharging these duties, the project supervisor evaluates the quality and efficiency of the subcontractors’ and suppliers’ work, is authorized to stop their work to correct any observed deficiencies, and may require them to remove any of their employees from the worksite. If necessary, the project supervisor may recommend the dismissal of subcontractors and suppliers whose work is not satisfactory. When a particular subcontractor’s contract is up for renewal, the project supervisor provides significant input as to who will be re-contracted for future services.</w:t>
      </w:r>
      <w:r>
        <w:rPr>
          <w:vertAlign w:val="superscript"/>
        </w:rPr>
        <w:footnoteReference w:id="614"/>
      </w:r>
    </w:p>
    <w:p w14:paraId="71DA338B" w14:textId="77777777" w:rsidR="00201F3F" w:rsidRPr="00CD0FEB" w:rsidRDefault="00201F3F" w:rsidP="00FC14B8">
      <w:pPr>
        <w:pStyle w:val="10BTextWithoutIndent"/>
        <w:rPr>
          <w:vertAlign w:val="superscript"/>
        </w:rPr>
      </w:pPr>
      <w:r w:rsidRPr="00CD0FEB">
        <w:t>Similarly, the project superintendents were “responsible for overseeing a commercial construction project from start to finish,” including hiring subcontractors, implementing change orders, and supervising the subcontractors’ work.</w:t>
      </w:r>
      <w:r>
        <w:rPr>
          <w:vertAlign w:val="superscript"/>
        </w:rPr>
        <w:footnoteReference w:id="615"/>
      </w:r>
    </w:p>
    <w:p w14:paraId="5AF85002" w14:textId="77777777" w:rsidR="00201F3F" w:rsidRPr="00CD0FEB" w:rsidRDefault="00201F3F" w:rsidP="00FC14B8">
      <w:pPr>
        <w:pStyle w:val="06Third-LevelHead123"/>
      </w:pPr>
      <w:r w:rsidRPr="00CD0FEB">
        <w:t>4.</w:t>
      </w:r>
      <w:r w:rsidRPr="00CD0FEB">
        <w:tab/>
        <w:t>Executive Assistants—29 C.F.R. §541.203(d)</w:t>
      </w:r>
    </w:p>
    <w:p w14:paraId="032247F4" w14:textId="77777777" w:rsidR="00201F3F" w:rsidRPr="00CD0FEB" w:rsidRDefault="00201F3F" w:rsidP="00FC14B8">
      <w:pPr>
        <w:pStyle w:val="10ATextWithIndent"/>
      </w:pPr>
      <w:r w:rsidRPr="00CD0FEB">
        <w:t>The exemption would not apply to an employee responsible for “performing duties that involve clerical or secretarial work, recording or tabulating data, and performing other mechanical repetitive and routine work.”</w:t>
      </w:r>
      <w:r>
        <w:rPr>
          <w:vertAlign w:val="superscript"/>
        </w:rPr>
        <w:footnoteReference w:id="616"/>
      </w:r>
      <w:r w:rsidRPr="00CD0FEB">
        <w:t xml:space="preserve"> However, per the regulations, “[a]n executive assistant or administrative assistant to a business owner or senior executive of a large business generally meets the duties requirements for the administrative exemption if such employee, without specific instructions or prescribed procedures, has been delegated authority regarding matters of significance.”</w:t>
      </w:r>
      <w:r>
        <w:rPr>
          <w:vertAlign w:val="superscript"/>
        </w:rPr>
        <w:footnoteReference w:id="617"/>
      </w:r>
    </w:p>
    <w:p w14:paraId="552F0C58" w14:textId="77777777" w:rsidR="00201F3F" w:rsidRPr="00CD0FEB" w:rsidRDefault="00201F3F" w:rsidP="00FC14B8">
      <w:pPr>
        <w:pStyle w:val="10ATextWithIndent"/>
      </w:pPr>
      <w:r w:rsidRPr="00CD0FEB">
        <w:t xml:space="preserve">For example, in </w:t>
      </w:r>
      <w:r w:rsidRPr="00CD0FEB">
        <w:rPr>
          <w:i/>
          <w:iCs/>
        </w:rPr>
        <w:t>Seltzer v. Dresdner Kleinwort Wasserstein, Inc.</w:t>
      </w:r>
      <w:r w:rsidRPr="00CD0FEB">
        <w:t>,</w:t>
      </w:r>
      <w:r>
        <w:rPr>
          <w:vertAlign w:val="superscript"/>
        </w:rPr>
        <w:footnoteReference w:id="618"/>
      </w:r>
      <w:r w:rsidRPr="00CD0FEB">
        <w:t xml:space="preserve"> a federal district court determined that an executive secretary to the president of a large financial institution was properly classified as an exempt administrative employee, emphasizing several factors: her “salary was significantly higher than other nonexempt assistants who did not work for senior executives”; she enjoyed an additional week of vacation as well as unlimited sick time; she was responsible for the president’s “personal checking account, and exercised discretion when putting calls through to [him] or interrupting him as required”; she “worked with the heads of many Fortune 500 companies”; she served as the president’s “lead assistant”; and she suggested that a temporary worker be hired as a permanent employee.</w:t>
      </w:r>
      <w:r>
        <w:rPr>
          <w:vertAlign w:val="superscript"/>
        </w:rPr>
        <w:footnoteReference w:id="619"/>
      </w:r>
    </w:p>
    <w:p w14:paraId="08F9685D" w14:textId="77777777" w:rsidR="00201F3F" w:rsidRPr="00CD0FEB" w:rsidRDefault="00201F3F" w:rsidP="00FC14B8">
      <w:pPr>
        <w:pStyle w:val="10ATextWithIndent"/>
      </w:pPr>
      <w:r w:rsidRPr="00CD0FEB">
        <w:t xml:space="preserve">By contrast, in </w:t>
      </w:r>
      <w:r w:rsidRPr="00CD0FEB">
        <w:rPr>
          <w:i/>
          <w:iCs/>
        </w:rPr>
        <w:t>Scott v. OTS Inc.</w:t>
      </w:r>
      <w:r w:rsidRPr="00CD0FEB">
        <w:t>,</w:t>
      </w:r>
      <w:r>
        <w:rPr>
          <w:vertAlign w:val="superscript"/>
        </w:rPr>
        <w:footnoteReference w:id="620"/>
      </w:r>
      <w:r w:rsidRPr="00CD0FEB">
        <w:t xml:space="preserve"> a federal district court determined that a clerical worker at a computer training school with both exempt and nonexempt duties did not qualify for the administrative exemption. The employee had a variety of duties that were clerical in nature, including answering phones, filing, copying, and handling reception of students. However, she also handled bookkeeping, did some sales work, and supervised the operation of the school on Saturdays and Sundays when the school was open on weekends. The court found that the bulk of her time was spent on routine clerical duties that required little, if any, discretion and independent judgment and that even her supervision of the testing was fairly basic, as she was required to direct any nonroutine issues to her supervisor.</w:t>
      </w:r>
    </w:p>
    <w:p w14:paraId="63255A7A" w14:textId="77777777" w:rsidR="00201F3F" w:rsidRPr="00CD0FEB" w:rsidRDefault="00201F3F" w:rsidP="00FC14B8">
      <w:pPr>
        <w:pStyle w:val="06Third-LevelHead123"/>
      </w:pPr>
      <w:r w:rsidRPr="00CD0FEB">
        <w:t>5.</w:t>
      </w:r>
      <w:r w:rsidRPr="00CD0FEB">
        <w:tab/>
        <w:t>Human Resources Personnel—29 C.F.R. §541.203(e)</w:t>
      </w:r>
    </w:p>
    <w:p w14:paraId="2B0CD7FB" w14:textId="77777777" w:rsidR="00201F3F" w:rsidRPr="00CD0FEB" w:rsidRDefault="00201F3F" w:rsidP="00FC14B8">
      <w:pPr>
        <w:pStyle w:val="10ATextWithIndent"/>
      </w:pPr>
      <w:r w:rsidRPr="00CD0FEB">
        <w:t>According to the DOL regulations:</w:t>
      </w:r>
    </w:p>
    <w:p w14:paraId="26C693F9" w14:textId="77777777" w:rsidR="00201F3F" w:rsidRPr="00CD0FEB" w:rsidRDefault="00201F3F" w:rsidP="00FC14B8">
      <w:pPr>
        <w:pStyle w:val="09BBlockQuoteWithoutIndent"/>
      </w:pPr>
      <w:r w:rsidRPr="00CD0FEB">
        <w:t>Human resources managers who formulate, interpret or implement employment policies and management consultants who study the operations of a business and propose changes in organization generally meet the duties requirements for the administrative exemption. However, personnel clerks who “screen” applicants to obtain data regarding their minimum qualifications and fitness for employment generally do not meet the duties requirements for the administrative exemption.</w:t>
      </w:r>
      <w:r>
        <w:rPr>
          <w:vertAlign w:val="superscript"/>
        </w:rPr>
        <w:footnoteReference w:id="621"/>
      </w:r>
    </w:p>
    <w:p w14:paraId="2B277E7E" w14:textId="77777777" w:rsidR="00201F3F" w:rsidRPr="00CD0FEB" w:rsidRDefault="00201F3F" w:rsidP="00FC14B8">
      <w:pPr>
        <w:pStyle w:val="10ATextWithIndent"/>
      </w:pPr>
      <w:r w:rsidRPr="00CD0FEB">
        <w:t>Elaborating on this distinction, the DOL noted,</w:t>
      </w:r>
    </w:p>
    <w:p w14:paraId="252C62BE" w14:textId="77777777" w:rsidR="00201F3F" w:rsidRPr="00CD0FEB" w:rsidRDefault="00201F3F" w:rsidP="00FC14B8">
      <w:pPr>
        <w:pStyle w:val="09BBlockQuoteWithoutIndent"/>
      </w:pPr>
      <w:r w:rsidRPr="00CD0FEB">
        <w:t>Such personnel clerks typically will reject all applicants who do not meet minimum standards for the particular job or for employment by the company. The minimum standards are usually set by the exempt human resources manager or other company officials, and the decision to hire from the group of qualified applicants who do meet the minimum standards is similarly made by the exempt human resources manager or other company officials. Thus, when the interviewing and screening functions are performed by the human resources manager or personnel manager who makes the hiring decision or makes recommendations for hiring from the pool of qualified applicants, such duties constitute exempt work, even though routine, because this work is directly and closely related to the employee’s exempt functions.</w:t>
      </w:r>
      <w:r>
        <w:rPr>
          <w:vertAlign w:val="superscript"/>
        </w:rPr>
        <w:footnoteReference w:id="622"/>
      </w:r>
    </w:p>
    <w:p w14:paraId="32D4EAFE" w14:textId="77777777" w:rsidR="00201F3F" w:rsidRPr="00CD0FEB" w:rsidRDefault="00201F3F" w:rsidP="00FC14B8">
      <w:pPr>
        <w:pStyle w:val="10ATextWithIndent"/>
        <w:rPr>
          <w:vertAlign w:val="superscript"/>
        </w:rPr>
      </w:pPr>
      <w:r w:rsidRPr="00CD0FEB">
        <w:t xml:space="preserve">In </w:t>
      </w:r>
      <w:r w:rsidRPr="00CD0FEB">
        <w:rPr>
          <w:i/>
          <w:iCs/>
        </w:rPr>
        <w:t>Perry v</w:t>
      </w:r>
      <w:r w:rsidRPr="00CD0FEB">
        <w:t>.</w:t>
      </w:r>
      <w:r w:rsidRPr="00CD0FEB">
        <w:rPr>
          <w:i/>
          <w:iCs/>
        </w:rPr>
        <w:t xml:space="preserve"> Randstad General Partner (US) LLC</w:t>
      </w:r>
      <w:r w:rsidRPr="00CD0FEB">
        <w:t>,</w:t>
      </w:r>
      <w:r>
        <w:rPr>
          <w:vertAlign w:val="superscript"/>
        </w:rPr>
        <w:footnoteReference w:id="623"/>
      </w:r>
      <w:r w:rsidRPr="00CD0FEB">
        <w:t xml:space="preserve"> the Sixth Circuit determined that account managers and senior account managers for a temporary staffing company were properly classified as exempt administrative employees. The court reasoned that matchmaking, an exempt administrative function, was the plaintiffs’ primary duty and “matching candidates to clients based on fit—meaning subjective criteria such as the match between a candidate’s personality and a client’s corporate culture—as opposed to objective criteria such as years of experience or test scores, involves meaningful discretion and independent judgment.”</w:t>
      </w:r>
      <w:r>
        <w:rPr>
          <w:vertAlign w:val="superscript"/>
        </w:rPr>
        <w:footnoteReference w:id="624"/>
      </w:r>
      <w:r w:rsidRPr="00CD0FEB">
        <w:t xml:space="preserve"> On the other hand, the Sixth Circuit determined that the district court erred in ruling as a matter of law that staffing consultants and senior staffing consultants met the requirements for the administrative exemption because a reasonable trier of fact could conclude that the plaintiffs’ primary duties in these roles “were their non-exempt sales and routine recruiting tasks, not their exempt matchmaking duties.”</w:t>
      </w:r>
      <w:r>
        <w:rPr>
          <w:vertAlign w:val="superscript"/>
        </w:rPr>
        <w:footnoteReference w:id="625"/>
      </w:r>
    </w:p>
    <w:p w14:paraId="2D47CF31" w14:textId="77777777" w:rsidR="00201F3F" w:rsidRPr="00CD0FEB" w:rsidRDefault="00201F3F" w:rsidP="00FC14B8">
      <w:pPr>
        <w:pStyle w:val="06Third-LevelHead123"/>
      </w:pPr>
      <w:r w:rsidRPr="00CD0FEB">
        <w:t>6.</w:t>
      </w:r>
      <w:r w:rsidRPr="00CD0FEB">
        <w:tab/>
        <w:t>Purchasing Agents—29 C.F.R. §541.203(f)</w:t>
      </w:r>
    </w:p>
    <w:p w14:paraId="36E45821" w14:textId="77777777" w:rsidR="00201F3F" w:rsidRPr="00CD0FEB" w:rsidRDefault="00201F3F" w:rsidP="00FC14B8">
      <w:pPr>
        <w:pStyle w:val="10ATextWithIndent"/>
      </w:pPr>
      <w:r w:rsidRPr="00CD0FEB">
        <w:t>DOL regulations state that “[p]urchasing agents with authority to bind the company on significant purchases generally meet the duties requirements for the administrative exemption even if they must consult with top management officials when making a purchase commitment for raw materials in excess of the contemplated plant needs.”</w:t>
      </w:r>
      <w:r>
        <w:rPr>
          <w:vertAlign w:val="superscript"/>
        </w:rPr>
        <w:footnoteReference w:id="626"/>
      </w:r>
    </w:p>
    <w:p w14:paraId="7115AED8" w14:textId="77777777" w:rsidR="00201F3F" w:rsidRPr="00CD0FEB" w:rsidRDefault="00201F3F" w:rsidP="00FC14B8">
      <w:pPr>
        <w:pStyle w:val="06Third-LevelHead123"/>
      </w:pPr>
      <w:r w:rsidRPr="00CD0FEB">
        <w:t>7.</w:t>
      </w:r>
      <w:r w:rsidRPr="00CD0FEB">
        <w:tab/>
        <w:t>Inspectors—29 C.F.R. §541.203(g)</w:t>
      </w:r>
    </w:p>
    <w:p w14:paraId="67E191E6" w14:textId="77777777" w:rsidR="00201F3F" w:rsidRPr="00CD0FEB" w:rsidRDefault="00201F3F" w:rsidP="00FC14B8">
      <w:pPr>
        <w:pStyle w:val="10ATextWithIndent"/>
      </w:pPr>
      <w:r w:rsidRPr="00CD0FEB">
        <w:t>The DOL takes the position that “[o]rdinary inspection work generally does not meet the duties requirements for the administrative exemption.”</w:t>
      </w:r>
      <w:r>
        <w:rPr>
          <w:vertAlign w:val="superscript"/>
        </w:rPr>
        <w:footnoteReference w:id="627"/>
      </w:r>
      <w:r w:rsidRPr="00CD0FEB">
        <w:t xml:space="preserve"> By way of explanation, the DOL observed that</w:t>
      </w:r>
    </w:p>
    <w:p w14:paraId="53A70117" w14:textId="77777777" w:rsidR="00201F3F" w:rsidRPr="00CD0FEB" w:rsidRDefault="00201F3F" w:rsidP="00FC14B8">
      <w:pPr>
        <w:pStyle w:val="09BBlockQuoteWithoutIndent"/>
      </w:pPr>
      <w:r w:rsidRPr="00CD0FEB">
        <w:t>Inspectors normally perform specialized work along standardized lines involving well-established techniques and procedures which may have been catalogued and described in manuals or other sources. Such inspectors rely on techniques and skills acquired by special training or experience. They have some leeway in the performance of their work but only within closely prescribed limits.</w:t>
      </w:r>
      <w:r>
        <w:rPr>
          <w:vertAlign w:val="superscript"/>
        </w:rPr>
        <w:footnoteReference w:id="628"/>
      </w:r>
    </w:p>
    <w:p w14:paraId="48E1B5B5" w14:textId="77777777" w:rsidR="00201F3F" w:rsidRPr="00CD0FEB" w:rsidRDefault="00201F3F" w:rsidP="00FC14B8">
      <w:pPr>
        <w:pStyle w:val="10ATextWithIndent"/>
      </w:pPr>
      <w:r w:rsidRPr="00CD0FEB">
        <w:t>However, inspectors performing highly specialized work may qualify for the exemption;</w:t>
      </w:r>
      <w:r>
        <w:rPr>
          <w:vertAlign w:val="superscript"/>
        </w:rPr>
        <w:footnoteReference w:id="629"/>
      </w:r>
      <w:r w:rsidRPr="00CD0FEB">
        <w:t xml:space="preserve"> other courts have declined to apply the administrative exemption where an inspector’s work is more routine.</w:t>
      </w:r>
      <w:r>
        <w:rPr>
          <w:vertAlign w:val="superscript"/>
        </w:rPr>
        <w:footnoteReference w:id="630"/>
      </w:r>
    </w:p>
    <w:p w14:paraId="1604BF3E" w14:textId="77777777" w:rsidR="00201F3F" w:rsidRPr="00CD0FEB" w:rsidRDefault="00201F3F" w:rsidP="00FC14B8">
      <w:pPr>
        <w:pStyle w:val="06Third-LevelHead123"/>
      </w:pPr>
      <w:r w:rsidRPr="00CD0FEB">
        <w:t>8.</w:t>
      </w:r>
      <w:r w:rsidRPr="00CD0FEB">
        <w:tab/>
        <w:t>Examiners/Graders—29 C.F.R. §541.203(h)</w:t>
      </w:r>
    </w:p>
    <w:p w14:paraId="4F2962DF" w14:textId="77777777" w:rsidR="00201F3F" w:rsidRPr="00CD0FEB" w:rsidRDefault="00201F3F" w:rsidP="00FC14B8">
      <w:pPr>
        <w:pStyle w:val="10ATextWithIndent"/>
      </w:pPr>
      <w:r w:rsidRPr="00CD0FEB">
        <w:t>Examiners, or graders, do not fit within the scope of the administrative exemption where their work involves “the comparison of products with established standards which are frequently catalogued.”</w:t>
      </w:r>
      <w:r>
        <w:rPr>
          <w:vertAlign w:val="superscript"/>
        </w:rPr>
        <w:footnoteReference w:id="631"/>
      </w:r>
      <w:r w:rsidRPr="00CD0FEB">
        <w:t xml:space="preserve"> The exemption remains inapplicable to employees who ultimately memorize the applicable standards and no longer find it necessary to consult manuals as the work still does not entail the exercise of discretion and independent judgment.</w:t>
      </w:r>
      <w:r>
        <w:rPr>
          <w:vertAlign w:val="superscript"/>
        </w:rPr>
        <w:footnoteReference w:id="632"/>
      </w:r>
    </w:p>
    <w:p w14:paraId="01C2EB71" w14:textId="77777777" w:rsidR="00201F3F" w:rsidRPr="00CD0FEB" w:rsidRDefault="00201F3F" w:rsidP="00FC14B8">
      <w:pPr>
        <w:pStyle w:val="06Third-LevelHead123"/>
      </w:pPr>
      <w:r w:rsidRPr="00CD0FEB">
        <w:t>9.</w:t>
      </w:r>
      <w:r w:rsidRPr="00CD0FEB">
        <w:tab/>
        <w:t>Buyers—29 C.F.R. §541.203(i)</w:t>
      </w:r>
    </w:p>
    <w:p w14:paraId="2DCF0D24" w14:textId="77777777" w:rsidR="00201F3F" w:rsidRPr="00CD0FEB" w:rsidRDefault="00201F3F" w:rsidP="00FC14B8">
      <w:pPr>
        <w:pStyle w:val="10ATextWithIndent"/>
      </w:pPr>
      <w:r w:rsidRPr="00CD0FEB">
        <w:t>A buyer for a retail store meets the duties requirements for the administrative exemption where the buyer is responsible for evaluating reports on competitors’ prices in order to set the employer’s prices.</w:t>
      </w:r>
      <w:r>
        <w:rPr>
          <w:vertAlign w:val="superscript"/>
        </w:rPr>
        <w:footnoteReference w:id="633"/>
      </w:r>
      <w:r w:rsidRPr="00CD0FEB">
        <w:t xml:space="preserve"> However, “[c]omparison shopping performed by an employee of a retail store who merely reports to the buyer the prices at a competitor’s store does not qualify for the administrative exemption.”</w:t>
      </w:r>
      <w:r>
        <w:rPr>
          <w:vertAlign w:val="superscript"/>
        </w:rPr>
        <w:footnoteReference w:id="634"/>
      </w:r>
    </w:p>
    <w:p w14:paraId="7B37F5AB" w14:textId="77777777" w:rsidR="00201F3F" w:rsidRPr="00CD0FEB" w:rsidRDefault="00201F3F" w:rsidP="00FC14B8">
      <w:pPr>
        <w:pStyle w:val="06Third-LevelHead123"/>
      </w:pPr>
      <w:r w:rsidRPr="00CD0FEB">
        <w:t>10.</w:t>
      </w:r>
      <w:r w:rsidRPr="00CD0FEB">
        <w:tab/>
        <w:t>Investigators—29 C.F.R. §541.203(j)</w:t>
      </w:r>
    </w:p>
    <w:p w14:paraId="2CD89EED" w14:textId="77777777" w:rsidR="00201F3F" w:rsidRPr="00CD0FEB" w:rsidRDefault="00201F3F" w:rsidP="00FC14B8">
      <w:pPr>
        <w:pStyle w:val="10ATextWithIndent"/>
      </w:pPr>
      <w:r w:rsidRPr="00CD0FEB">
        <w:t>As a final example, the DOL notes:</w:t>
      </w:r>
    </w:p>
    <w:p w14:paraId="0D55C30A" w14:textId="77777777" w:rsidR="00201F3F" w:rsidRPr="00CD0FEB" w:rsidRDefault="00201F3F" w:rsidP="00FC14B8">
      <w:pPr>
        <w:pStyle w:val="09BBlockQuoteWithoutIndent"/>
      </w:pPr>
      <w:r w:rsidRPr="00CD0FEB">
        <w:t>Public sector inspectors or investigators of various types, such as fire prevention or safety, building or construction, health or sanitation, environmental or soils specialists and similar employees, generally do not meet the duties requirements for the administrative exemption because their work typically does not involve work directly related to the management or general business operations of the employer. Such employees also do not qualify for the administrative exemption because their work involves the use of skills and technical abilities in gathering factual information, applying known standards or prescribed procedures, determining which procedure to follow, or determining whether prescribed standards or criteria are met.</w:t>
      </w:r>
      <w:r>
        <w:rPr>
          <w:vertAlign w:val="superscript"/>
        </w:rPr>
        <w:footnoteReference w:id="635"/>
      </w:r>
    </w:p>
    <w:p w14:paraId="2E28216A" w14:textId="77777777" w:rsidR="00201F3F" w:rsidRPr="00CD0FEB" w:rsidRDefault="00201F3F" w:rsidP="00FC14B8">
      <w:pPr>
        <w:pStyle w:val="10ATextWithIndent"/>
      </w:pPr>
      <w:r w:rsidRPr="00CD0FEB">
        <w:t>In a 2005 opinion letter,</w:t>
      </w:r>
      <w:r>
        <w:rPr>
          <w:vertAlign w:val="superscript"/>
        </w:rPr>
        <w:footnoteReference w:id="636"/>
      </w:r>
      <w:r w:rsidRPr="00CD0FEB">
        <w:t xml:space="preserve"> the DOL found that background investigators were not exempt administrative employees where their primary duty was “diligent and accurate fact-finding,” the results of which were turned over to others who then made decisions based on those facts.</w:t>
      </w:r>
      <w:r>
        <w:rPr>
          <w:vertAlign w:val="superscript"/>
        </w:rPr>
        <w:footnoteReference w:id="637"/>
      </w:r>
      <w:r w:rsidRPr="00CD0FEB">
        <w:t xml:space="preserve"> The letter reasoned that these activities were more related to providing ongoing day-to-day security investigative services, rather than performing administrative functions directly related to the management or general business operations.</w:t>
      </w:r>
      <w:r>
        <w:rPr>
          <w:vertAlign w:val="superscript"/>
        </w:rPr>
        <w:footnoteReference w:id="638"/>
      </w:r>
      <w:r w:rsidRPr="00CD0FEB">
        <w:t xml:space="preserve"> </w:t>
      </w:r>
    </w:p>
    <w:p w14:paraId="54969D9F" w14:textId="77777777" w:rsidR="00201F3F" w:rsidRPr="00CD0FEB" w:rsidRDefault="00201F3F" w:rsidP="00FC14B8">
      <w:pPr>
        <w:pStyle w:val="10ATextWithIndent"/>
      </w:pPr>
      <w:r w:rsidRPr="00CD0FEB">
        <w:t>In another opinion letter, the DOL determined that analysts and special agents responsible for investigating insurance fraud did not qualify for administrative exemption where their primary duty involved day-to-day gathering, analyzing, and reporting of information.</w:t>
      </w:r>
      <w:r>
        <w:rPr>
          <w:vertAlign w:val="superscript"/>
        </w:rPr>
        <w:footnoteReference w:id="639"/>
      </w:r>
      <w:r w:rsidRPr="00CD0FEB">
        <w:t xml:space="preserve"> On the other hand, in this same letter the DOL opined that field information analysts responsible for “managing the collection of intelligence information, coordinating the collection efforts of area personnel and evaluating and approving information to ensure accuracy and relevancy” were properly classified as exempt administrative employees because this work “directly relates to the functional area of quality control.”</w:t>
      </w:r>
      <w:r>
        <w:rPr>
          <w:vertAlign w:val="superscript"/>
        </w:rPr>
        <w:footnoteReference w:id="640"/>
      </w:r>
    </w:p>
    <w:p w14:paraId="3129CCDB" w14:textId="77777777" w:rsidR="00201F3F" w:rsidRPr="00CD0FEB" w:rsidRDefault="00201F3F" w:rsidP="00FC14B8">
      <w:pPr>
        <w:pStyle w:val="10ATextWithIndent"/>
        <w:rPr>
          <w:vertAlign w:val="superscript"/>
        </w:rPr>
      </w:pPr>
      <w:r w:rsidRPr="00CD0FEB">
        <w:t xml:space="preserve">In </w:t>
      </w:r>
      <w:r w:rsidRPr="00CD0FEB">
        <w:rPr>
          <w:i/>
          <w:iCs/>
        </w:rPr>
        <w:t>Bynum v. Clayton County Public Schools</w:t>
      </w:r>
      <w:r w:rsidRPr="00CD0FEB">
        <w:t>,</w:t>
      </w:r>
      <w:r>
        <w:rPr>
          <w:vertAlign w:val="superscript"/>
        </w:rPr>
        <w:footnoteReference w:id="641"/>
      </w:r>
      <w:r w:rsidRPr="00CD0FEB">
        <w:t xml:space="preserve"> an investigator for the school district’s police department was deemed properly classified as an exempt administrative employee. At issue in the case was whether the plaintiff’s primary duty—performing investigations—included the exercise of discretion and independent judgment with respect to matters of significance. The evidence showed that the plaintiff identified suspects; interviewed victims, informants, and witnesses; followed leads; assessed reliability and credibility; developed facts in order to formulate supportable conclusions; and made recommendations as to whether probable cause existed to pursue criminal charges.</w:t>
      </w:r>
      <w:r>
        <w:rPr>
          <w:vertAlign w:val="superscript"/>
        </w:rPr>
        <w:footnoteReference w:id="642"/>
      </w:r>
      <w:r w:rsidRPr="00CD0FEB">
        <w:t xml:space="preserve"> The court found that this culminating exercise of making a recommendation based on the information collected met no fewer than four of the factors identified in 29 C.F.R. §541.202(b) and therefore concluded that the plaintiff exercised discretion and independent judgment.</w:t>
      </w:r>
      <w:r>
        <w:rPr>
          <w:vertAlign w:val="superscript"/>
        </w:rPr>
        <w:footnoteReference w:id="643"/>
      </w:r>
    </w:p>
    <w:p w14:paraId="2BA4BD35" w14:textId="77777777" w:rsidR="00201F3F" w:rsidRPr="00CD0FEB" w:rsidRDefault="00201F3F" w:rsidP="00FC14B8">
      <w:pPr>
        <w:pStyle w:val="05Second-LevelHeadABC"/>
      </w:pPr>
      <w:r w:rsidRPr="00CD0FEB">
        <w:t>E.</w:t>
      </w:r>
      <w:r w:rsidRPr="00CD0FEB">
        <w:tab/>
        <w:t>“Educational Establishments”</w:t>
      </w:r>
    </w:p>
    <w:p w14:paraId="69FB7750" w14:textId="77777777" w:rsidR="00201F3F" w:rsidRPr="00CD0FEB" w:rsidRDefault="00201F3F" w:rsidP="00FC14B8">
      <w:pPr>
        <w:pStyle w:val="10ATextWithIndent"/>
      </w:pPr>
      <w:r w:rsidRPr="00CD0FEB">
        <w:t>The administrative exemption extends to employees “[w]hose primary duty is performing administrative functions directly related to academic instruction or training in an educational establishment or department or subdivision thereof,”</w:t>
      </w:r>
      <w:r>
        <w:rPr>
          <w:vertAlign w:val="superscript"/>
        </w:rPr>
        <w:footnoteReference w:id="644"/>
      </w:r>
      <w:r w:rsidRPr="00CD0FEB">
        <w:t xml:space="preserve"> so long as such employees meet the generally applicable compensation requirement, “exclusive of board, lodging or other facilities,” or receive a salary “which is at least equal to the entrance salary for teachers in the educational establishment by which employed.”</w:t>
      </w:r>
      <w:r>
        <w:rPr>
          <w:vertAlign w:val="superscript"/>
        </w:rPr>
        <w:footnoteReference w:id="645"/>
      </w:r>
      <w:r w:rsidRPr="00CD0FEB">
        <w:t xml:space="preserve"> For purposes of the exemption, no distinction is drawn between public and private schools or between those operated for profit and not for profit.</w:t>
      </w:r>
      <w:r>
        <w:rPr>
          <w:vertAlign w:val="superscript"/>
        </w:rPr>
        <w:footnoteReference w:id="646"/>
      </w:r>
    </w:p>
    <w:p w14:paraId="6F1D28D4" w14:textId="77777777" w:rsidR="00201F3F" w:rsidRPr="00CD0FEB" w:rsidRDefault="00201F3F" w:rsidP="00FC14B8">
      <w:pPr>
        <w:pStyle w:val="10ATextWithIndent"/>
      </w:pPr>
      <w:r w:rsidRPr="00CD0FEB">
        <w:t>Under the regulations, “employees engaged in academic administrative functions” include the following:</w:t>
      </w:r>
    </w:p>
    <w:p w14:paraId="4CB43504" w14:textId="77777777" w:rsidR="00201F3F" w:rsidRPr="00CD0FEB" w:rsidRDefault="00201F3F" w:rsidP="00FC14B8">
      <w:pPr>
        <w:pStyle w:val="13AFirst-LevelBulletedList"/>
      </w:pPr>
      <w:r w:rsidRPr="00CD0FEB">
        <w:t>•</w:t>
      </w:r>
      <w:r w:rsidRPr="00CD0FEB">
        <w:tab/>
        <w:t>the superintendent or other head of an elementary or secondary school system, and any assistants, responsible for administration of such matters as curriculum, quality and methods of instructing, measuring and testing the learning potential and achievement of students, establishing and maintaining academic and grading standards, and other aspects of the teaching program;</w:t>
      </w:r>
    </w:p>
    <w:p w14:paraId="3862B8CA" w14:textId="77777777" w:rsidR="00201F3F" w:rsidRPr="00CD0FEB" w:rsidRDefault="00201F3F" w:rsidP="00FC14B8">
      <w:pPr>
        <w:pStyle w:val="13AFirst-LevelBulletedList"/>
      </w:pPr>
      <w:r w:rsidRPr="00CD0FEB">
        <w:t>•</w:t>
      </w:r>
      <w:r w:rsidRPr="00CD0FEB">
        <w:tab/>
        <w:t>the principal and any vice-principals responsible for the operation of an elementary or secondary school;</w:t>
      </w:r>
    </w:p>
    <w:p w14:paraId="3E57EB29" w14:textId="77777777" w:rsidR="00201F3F" w:rsidRPr="00CD0FEB" w:rsidRDefault="00201F3F" w:rsidP="00FC14B8">
      <w:pPr>
        <w:pStyle w:val="13AFirst-LevelBulletedList"/>
      </w:pPr>
      <w:r w:rsidRPr="00CD0FEB">
        <w:t>•</w:t>
      </w:r>
      <w:r w:rsidRPr="00CD0FEB">
        <w:tab/>
        <w:t>department heads in institutions of higher education responsible for the administration of the mathematics department, the English department, the foreign language department, etc.;</w:t>
      </w:r>
    </w:p>
    <w:p w14:paraId="4DE54C33" w14:textId="77777777" w:rsidR="00201F3F" w:rsidRPr="00CD0FEB" w:rsidRDefault="00201F3F" w:rsidP="00FC14B8">
      <w:pPr>
        <w:pStyle w:val="13AFirst-LevelBulletedList"/>
      </w:pPr>
      <w:r w:rsidRPr="00CD0FEB">
        <w:t>•</w:t>
      </w:r>
      <w:r w:rsidRPr="00CD0FEB">
        <w:tab/>
        <w:t>academic counselors who perform work such as administering school testing programs, assisting students with academic problems, and advising students concerning degree requirements; and</w:t>
      </w:r>
    </w:p>
    <w:p w14:paraId="70A9253A" w14:textId="77777777" w:rsidR="00201F3F" w:rsidRPr="00CD0FEB" w:rsidRDefault="00201F3F" w:rsidP="00FC14B8">
      <w:pPr>
        <w:pStyle w:val="13AFirst-LevelBulletedList"/>
      </w:pPr>
      <w:r w:rsidRPr="00CD0FEB">
        <w:t>•</w:t>
      </w:r>
      <w:r w:rsidRPr="00CD0FEB">
        <w:tab/>
        <w:t>other employees with similar responsibilities.</w:t>
      </w:r>
      <w:r>
        <w:rPr>
          <w:vertAlign w:val="superscript"/>
        </w:rPr>
        <w:footnoteReference w:id="647"/>
      </w:r>
    </w:p>
    <w:p w14:paraId="24062712" w14:textId="77777777" w:rsidR="00201F3F" w:rsidRPr="00CD0FEB" w:rsidRDefault="00201F3F" w:rsidP="00FC14B8">
      <w:pPr>
        <w:pStyle w:val="10ATextWithIndent"/>
      </w:pPr>
      <w:r w:rsidRPr="00CD0FEB">
        <w:t>The term “performing administrative functions directly related to academic instruction or training” denotes administrative work that relates to the academic operations in a school, rather than to its general business operations.</w:t>
      </w:r>
      <w:r>
        <w:rPr>
          <w:vertAlign w:val="superscript"/>
        </w:rPr>
        <w:footnoteReference w:id="648"/>
      </w:r>
      <w:r w:rsidRPr="00CD0FEB">
        <w:t xml:space="preserve"> Thus, in order to be exempt, academic administrative personnel must perform “operations directly in the field of education.”</w:t>
      </w:r>
      <w:r>
        <w:rPr>
          <w:vertAlign w:val="superscript"/>
        </w:rPr>
        <w:footnoteReference w:id="649"/>
      </w:r>
      <w:r w:rsidRPr="00CD0FEB">
        <w:t xml:space="preserve"> Jobs that are substantively outside the educational field do not come within the scope of the exemption.</w:t>
      </w:r>
      <w:r>
        <w:rPr>
          <w:vertAlign w:val="superscript"/>
        </w:rPr>
        <w:footnoteReference w:id="650"/>
      </w:r>
    </w:p>
    <w:p w14:paraId="1B15A0E7" w14:textId="77777777" w:rsidR="00201F3F" w:rsidRPr="00CD0FEB" w:rsidRDefault="00201F3F" w:rsidP="00FC14B8">
      <w:pPr>
        <w:pStyle w:val="10ATextWithIndent"/>
      </w:pPr>
      <w:r w:rsidRPr="00CD0FEB">
        <w:t>For example, individuals in jobs that relate to building management and maintenance or to the health of the students and staff—such as social workers, psychologists, dietitians, and lunch room managers—are not considered to be academic administrative personnel.</w:t>
      </w:r>
      <w:r>
        <w:rPr>
          <w:vertAlign w:val="superscript"/>
        </w:rPr>
        <w:footnoteReference w:id="651"/>
      </w:r>
      <w:r w:rsidRPr="00CD0FEB">
        <w:t xml:space="preserve"> By the same token, according to the WHD, college admissions counselors primarily responsible for student recruitment did not satisfy the academic administration prong of “the primary duty” test because their work was not “directly in the field of education.”</w:t>
      </w:r>
      <w:r>
        <w:rPr>
          <w:vertAlign w:val="superscript"/>
        </w:rPr>
        <w:footnoteReference w:id="652"/>
      </w:r>
      <w:r w:rsidRPr="00CD0FEB">
        <w:t xml:space="preserve"> On the other hand, in a 2005 opinion letter, the WHD opined that certain “Academic Advisors” and “Intervention Specialists” at a community college qualified as exempt academic administrative employees.</w:t>
      </w:r>
      <w:r>
        <w:rPr>
          <w:vertAlign w:val="superscript"/>
        </w:rPr>
        <w:footnoteReference w:id="653"/>
      </w:r>
      <w:r w:rsidRPr="00CD0FEB">
        <w:t xml:space="preserve"> Because the employees at issue assisted students in their academic pursuits by aiding them in class selection, educational goals, and graduation requirements, they were akin to “academic counselors who perform work such as administering school testing programs, assisting students with academic problems, and advising students regarding degree requirements.”</w:t>
      </w:r>
      <w:r>
        <w:rPr>
          <w:vertAlign w:val="superscript"/>
        </w:rPr>
        <w:footnoteReference w:id="654"/>
      </w:r>
    </w:p>
    <w:p w14:paraId="27CA7CB6" w14:textId="77777777" w:rsidR="00201F3F" w:rsidRPr="00CD0FEB" w:rsidRDefault="00201F3F" w:rsidP="00FC14B8">
      <w:pPr>
        <w:pStyle w:val="04First-LevelHeadIIIIII"/>
      </w:pPr>
      <w:r w:rsidRPr="00CD0FEB">
        <w:t>VII.</w:t>
      </w:r>
      <w:r w:rsidRPr="00CD0FEB">
        <w:t> </w:t>
      </w:r>
      <w:r w:rsidRPr="00CD0FEB">
        <w:t>The Professional Exemption</w:t>
      </w:r>
    </w:p>
    <w:p w14:paraId="1E1F0DD6" w14:textId="77777777" w:rsidR="00201F3F" w:rsidRPr="00CD0FEB" w:rsidRDefault="00201F3F" w:rsidP="00FC14B8">
      <w:pPr>
        <w:pStyle w:val="10ATextWithIndent"/>
      </w:pPr>
      <w:r w:rsidRPr="00CD0FEB">
        <w:t>The DOL recognizes four distinct types of exempt professional employees: “learned” professionals,</w:t>
      </w:r>
      <w:r>
        <w:rPr>
          <w:vertAlign w:val="superscript"/>
        </w:rPr>
        <w:footnoteReference w:id="655"/>
      </w:r>
      <w:r w:rsidRPr="00CD0FEB">
        <w:t xml:space="preserve"> “artistic” or “creative” professionals,</w:t>
      </w:r>
      <w:r>
        <w:rPr>
          <w:vertAlign w:val="superscript"/>
        </w:rPr>
        <w:footnoteReference w:id="656"/>
      </w:r>
      <w:r w:rsidRPr="00CD0FEB">
        <w:t xml:space="preserve"> “teachers,”</w:t>
      </w:r>
      <w:r>
        <w:rPr>
          <w:vertAlign w:val="superscript"/>
        </w:rPr>
        <w:footnoteReference w:id="657"/>
      </w:r>
      <w:r w:rsidRPr="00CD0FEB">
        <w:t xml:space="preserve"> and employees engaged in the practice of law or medicine.</w:t>
      </w:r>
      <w:r>
        <w:rPr>
          <w:vertAlign w:val="superscript"/>
        </w:rPr>
        <w:footnoteReference w:id="658"/>
      </w:r>
      <w:r w:rsidRPr="00CD0FEB">
        <w:t xml:space="preserve"> In addition, the DOL continues to recognize certain computer professionals as exempt; however, the exemption for skilled computer employees is defined in a separate regulatory subpart.</w:t>
      </w:r>
      <w:r>
        <w:rPr>
          <w:vertAlign w:val="superscript"/>
        </w:rPr>
        <w:footnoteReference w:id="659"/>
      </w:r>
      <w:r w:rsidRPr="00CD0FEB">
        <w:t xml:space="preserve"> “Learned” professionals and “artistic” or “creative” professionals must be compensated on a salary or fee basis (as defined in the regulations) at a rate of not less than $684 per week.</w:t>
      </w:r>
      <w:r>
        <w:rPr>
          <w:vertAlign w:val="superscript"/>
        </w:rPr>
        <w:footnoteReference w:id="660"/>
      </w:r>
    </w:p>
    <w:p w14:paraId="28629BAB" w14:textId="77777777" w:rsidR="00201F3F" w:rsidRPr="00CD0FEB" w:rsidRDefault="00201F3F" w:rsidP="00FC14B8">
      <w:pPr>
        <w:pStyle w:val="10ATextWithIndent"/>
      </w:pPr>
      <w:r w:rsidRPr="00CD0FEB">
        <w:t>With regard to the public sector, the regulations provide that “[a]lthough some police officers, fire fighters, paramedics, emergency medical technicians and similar employees have college degrees, a specialized academic degree is not a standard prerequisite for employment in such occupations.”</w:t>
      </w:r>
      <w:r>
        <w:rPr>
          <w:vertAlign w:val="superscript"/>
        </w:rPr>
        <w:footnoteReference w:id="661"/>
      </w:r>
      <w:r w:rsidRPr="00CD0FEB">
        <w:t xml:space="preserve"> This is discussed in Chapter 11, Government Employment, §IV.A.4 [FLSA Exemptions Applied to Public Sector Employees; The White-Collar Exemptions; Applying White-Collar Exemptions to Emergency Responder Personnel]. </w:t>
      </w:r>
    </w:p>
    <w:p w14:paraId="69FAA930" w14:textId="77777777" w:rsidR="00201F3F" w:rsidRPr="00CD0FEB" w:rsidRDefault="00201F3F" w:rsidP="00FC14B8">
      <w:pPr>
        <w:pStyle w:val="05Second-LevelHeadABC"/>
      </w:pPr>
      <w:r w:rsidRPr="00CD0FEB">
        <w:t>A.</w:t>
      </w:r>
      <w:r w:rsidRPr="00CD0FEB">
        <w:tab/>
        <w:t>Learned Professionals</w:t>
      </w:r>
    </w:p>
    <w:p w14:paraId="50398DDF" w14:textId="77777777" w:rsidR="00201F3F" w:rsidRPr="00CD0FEB" w:rsidRDefault="00201F3F" w:rsidP="00FC14B8">
      <w:pPr>
        <w:pStyle w:val="10ATextWithIndent"/>
      </w:pPr>
      <w:r w:rsidRPr="00CD0FEB">
        <w:t>The primary duty test for learned professionals has three elements:</w:t>
      </w:r>
    </w:p>
    <w:p w14:paraId="4B049261" w14:textId="77777777" w:rsidR="00201F3F" w:rsidRPr="00CD0FEB" w:rsidRDefault="00201F3F" w:rsidP="00FC14B8">
      <w:pPr>
        <w:pStyle w:val="11AFirst-LevelList123forshortphrases"/>
      </w:pPr>
      <w:r w:rsidRPr="00CD0FEB">
        <w:t>(1)</w:t>
      </w:r>
      <w:r w:rsidRPr="00CD0FEB">
        <w:tab/>
        <w:t>The employee must perform work requiring advanced knowledge, defined as work that is predominantly intellectual in character and that includes work requiring the consistent exercise of discretion and judgment;</w:t>
      </w:r>
      <w:r>
        <w:rPr>
          <w:vertAlign w:val="superscript"/>
        </w:rPr>
        <w:footnoteReference w:id="662"/>
      </w:r>
    </w:p>
    <w:p w14:paraId="0970826F" w14:textId="77777777" w:rsidR="00201F3F" w:rsidRPr="00CD0FEB" w:rsidRDefault="00201F3F" w:rsidP="00FC14B8">
      <w:pPr>
        <w:pStyle w:val="11AFirst-LevelList123forshortphrases"/>
      </w:pPr>
      <w:r w:rsidRPr="00CD0FEB">
        <w:t>(2)</w:t>
      </w:r>
      <w:r w:rsidRPr="00CD0FEB">
        <w:tab/>
        <w:t>The advanced knowledge must be “in a field of science or learning”;</w:t>
      </w:r>
      <w:r>
        <w:rPr>
          <w:vertAlign w:val="superscript"/>
        </w:rPr>
        <w:footnoteReference w:id="663"/>
      </w:r>
      <w:r w:rsidRPr="00CD0FEB">
        <w:t xml:space="preserve"> and</w:t>
      </w:r>
    </w:p>
    <w:p w14:paraId="3C48A515" w14:textId="77777777" w:rsidR="00201F3F" w:rsidRPr="00CD0FEB" w:rsidRDefault="00201F3F" w:rsidP="00FC14B8">
      <w:pPr>
        <w:pStyle w:val="11AFirst-LevelList123forshortphrases"/>
      </w:pPr>
      <w:r w:rsidRPr="00CD0FEB">
        <w:t>(3)</w:t>
      </w:r>
      <w:r w:rsidRPr="00CD0FEB">
        <w:tab/>
        <w:t>The advanced knowledge must be “customarily acquired by a prolonged course of specialized intellectual instruction.”</w:t>
      </w:r>
      <w:r>
        <w:rPr>
          <w:vertAlign w:val="superscript"/>
        </w:rPr>
        <w:footnoteReference w:id="664"/>
      </w:r>
    </w:p>
    <w:p w14:paraId="49F1D86A" w14:textId="77777777" w:rsidR="00201F3F" w:rsidRPr="00CD0FEB" w:rsidRDefault="00201F3F" w:rsidP="00FC14B8">
      <w:pPr>
        <w:pStyle w:val="10ATextWithIndent"/>
      </w:pPr>
      <w:r w:rsidRPr="00CD0FEB">
        <w:t>An exempt learned professional must satisfy all three criteria. Compensation requirements regarding the professional exemption are discussed in Section IV [The Salary Basis Test] of this chapter. As with the executive and administrative exemptions, the “primary duty” means the principal, main, major, or most important duty that the employee performs.</w:t>
      </w:r>
      <w:r>
        <w:rPr>
          <w:vertAlign w:val="superscript"/>
        </w:rPr>
        <w:footnoteReference w:id="665"/>
      </w:r>
      <w:r w:rsidRPr="00CD0FEB">
        <w:t xml:space="preserve"> </w:t>
      </w:r>
    </w:p>
    <w:p w14:paraId="5E0846C7" w14:textId="77777777" w:rsidR="00201F3F" w:rsidRPr="00CD0FEB" w:rsidRDefault="00201F3F" w:rsidP="00FC14B8">
      <w:pPr>
        <w:pStyle w:val="06Third-LevelHead123"/>
      </w:pPr>
      <w:r w:rsidRPr="00CD0FEB">
        <w:t>1.</w:t>
      </w:r>
      <w:r w:rsidRPr="00CD0FEB">
        <w:tab/>
        <w:t>“Work Requiring Advanced Knowledge”</w:t>
      </w:r>
    </w:p>
    <w:p w14:paraId="7E902C30" w14:textId="77777777" w:rsidR="00201F3F" w:rsidRPr="00CD0FEB" w:rsidRDefault="00201F3F" w:rsidP="00FC14B8">
      <w:pPr>
        <w:pStyle w:val="10ATextWithIndent"/>
      </w:pPr>
      <w:r w:rsidRPr="00CD0FEB">
        <w:t>“Work requiring advanced knowledge” is predominately intellectual in character and includes work requiring the consistent exercise of discretion and judgment as opposed to work involving routine mental, manual, mechanical, or physical work.</w:t>
      </w:r>
      <w:r>
        <w:rPr>
          <w:vertAlign w:val="superscript"/>
        </w:rPr>
        <w:footnoteReference w:id="666"/>
      </w:r>
      <w:r w:rsidRPr="00CD0FEB">
        <w:t xml:space="preserve"> The requisite advanced knowledge cannot be obtained at the high school level and an employee who performs work requiring advanced knowledge generally uses the advanced knowledge to analyze, interpret, or make deductions from varying facts or circumstances.</w:t>
      </w:r>
      <w:r>
        <w:rPr>
          <w:vertAlign w:val="superscript"/>
        </w:rPr>
        <w:footnoteReference w:id="667"/>
      </w:r>
    </w:p>
    <w:p w14:paraId="7BFC1CDA" w14:textId="77777777" w:rsidR="00201F3F" w:rsidRPr="00CD0FEB" w:rsidRDefault="00201F3F" w:rsidP="00FC14B8">
      <w:pPr>
        <w:pStyle w:val="10ATextWithIndent"/>
      </w:pPr>
      <w:r w:rsidRPr="00CD0FEB">
        <w:t>The regulatory requirement that the work must involve the “consistent exercise of discretion and judgment”</w:t>
      </w:r>
      <w:r>
        <w:rPr>
          <w:vertAlign w:val="superscript"/>
        </w:rPr>
        <w:footnoteReference w:id="668"/>
      </w:r>
      <w:r w:rsidRPr="00CD0FEB">
        <w:t xml:space="preserve"> is similar to, but “less stringent” than, the “discretion and independent judgment” standard of the administrative exemption.</w:t>
      </w:r>
      <w:r>
        <w:rPr>
          <w:vertAlign w:val="superscript"/>
        </w:rPr>
        <w:footnoteReference w:id="669"/>
      </w:r>
      <w:r w:rsidRPr="00CD0FEB">
        <w:t xml:space="preserve"> As the Second Circuit explained, “the burden of satisfying the professional exemption’s advanced-knowledge requirement by application of the ‘discretion and judgment’ standard is not particularly stringent, at least when compared to the ‘discretion and independent judgment’ standard applicable to administrative employees.”</w:t>
      </w:r>
      <w:r>
        <w:rPr>
          <w:vertAlign w:val="superscript"/>
        </w:rPr>
        <w:footnoteReference w:id="670"/>
      </w:r>
      <w:r w:rsidRPr="00CD0FEB">
        <w:t xml:space="preserve"> The Second Circuit has further observed that</w:t>
      </w:r>
    </w:p>
    <w:p w14:paraId="11EBDB4C" w14:textId="77777777" w:rsidR="00201F3F" w:rsidRPr="00CD0FEB" w:rsidRDefault="00201F3F" w:rsidP="00FC14B8">
      <w:pPr>
        <w:pStyle w:val="09BBlockQuoteWithoutIndent"/>
      </w:pPr>
      <w:r w:rsidRPr="00CD0FEB">
        <w:t xml:space="preserve">the advanced-knowledge inquiry does not take place in a vacuum. In conducting the inquiry, we do not necessarily look to the freedom of an employee to deviate from the employer’s policies. Rather, “the professional exemption requires the exercise of discretion and judgment </w:t>
      </w:r>
      <w:r w:rsidRPr="00CD0FEB">
        <w:rPr>
          <w:i/>
          <w:iCs/>
        </w:rPr>
        <w:t>characteristic of the learned profession at issue</w:t>
      </w:r>
      <w:r w:rsidRPr="00CD0FEB">
        <w:t>.”</w:t>
      </w:r>
      <w:r>
        <w:rPr>
          <w:vertAlign w:val="superscript"/>
        </w:rPr>
        <w:footnoteReference w:id="671"/>
      </w:r>
    </w:p>
    <w:p w14:paraId="2048AF14" w14:textId="77777777" w:rsidR="00201F3F" w:rsidRPr="00CD0FEB" w:rsidRDefault="00201F3F" w:rsidP="00FC14B8">
      <w:pPr>
        <w:pStyle w:val="10ATextWithIndent"/>
      </w:pPr>
      <w:r w:rsidRPr="00CD0FEB">
        <w:t xml:space="preserve">For example, in </w:t>
      </w:r>
      <w:r w:rsidRPr="00CD0FEB">
        <w:rPr>
          <w:i/>
          <w:iCs/>
        </w:rPr>
        <w:t>Crowe v. ExamWorks, Inc.,</w:t>
      </w:r>
      <w:r>
        <w:rPr>
          <w:vertAlign w:val="superscript"/>
        </w:rPr>
        <w:footnoteReference w:id="672"/>
      </w:r>
      <w:r w:rsidRPr="00CD0FEB">
        <w:t xml:space="preserve"> the court followed the reasoning in </w:t>
      </w:r>
      <w:r w:rsidRPr="00CD0FEB">
        <w:rPr>
          <w:i/>
          <w:iCs/>
        </w:rPr>
        <w:t>Withrow v. Sedgwick Claims Management Service,</w:t>
      </w:r>
      <w:r>
        <w:rPr>
          <w:vertAlign w:val="superscript"/>
        </w:rPr>
        <w:footnoteReference w:id="673"/>
      </w:r>
      <w:r w:rsidRPr="00CD0FEB">
        <w:rPr>
          <w:vertAlign w:val="superscript"/>
        </w:rPr>
        <w:t xml:space="preserve"> </w:t>
      </w:r>
      <w:r w:rsidRPr="00CD0FEB">
        <w:t>in determining that a utilization review nurse who was an RN “used her advanced knowledge to consistently exercise judgment in determining whether a treatment requested by a claimant was related to the compensable injury” and “used her discretion to decide whether a particular request required an independent medical evaluation.”</w:t>
      </w:r>
      <w:r>
        <w:rPr>
          <w:vertAlign w:val="superscript"/>
        </w:rPr>
        <w:footnoteReference w:id="674"/>
      </w:r>
      <w:r w:rsidRPr="00CD0FEB">
        <w:t xml:space="preserve"> The court gave little weight to the fact that “the universe of a plaintiff’s possible decisions is limited to recommending modification or cancellation of treatment,” concluding that the plaintiff used advanced knowledge and discretion in preparing the recommendation.</w:t>
      </w:r>
      <w:r>
        <w:rPr>
          <w:vertAlign w:val="superscript"/>
        </w:rPr>
        <w:footnoteReference w:id="675"/>
      </w:r>
      <w:r w:rsidRPr="00CD0FEB">
        <w:t xml:space="preserve"> </w:t>
      </w:r>
    </w:p>
    <w:p w14:paraId="1F715C26" w14:textId="77777777" w:rsidR="00201F3F" w:rsidRPr="00CD0FEB" w:rsidRDefault="00201F3F" w:rsidP="00FC14B8">
      <w:pPr>
        <w:pStyle w:val="10ATextWithIndent"/>
      </w:pPr>
      <w:r w:rsidRPr="00CD0FEB">
        <w:t>The DOL has found that sales engineers perform work requiring advanced knowledge when they are responsible for collecting data and samples, verifying industry and market standards, developing files of engineering specifications, and making recommendations for changes in their company’s motor designs.</w:t>
      </w:r>
      <w:r>
        <w:rPr>
          <w:vertAlign w:val="superscript"/>
        </w:rPr>
        <w:footnoteReference w:id="676"/>
      </w:r>
      <w:r w:rsidRPr="00CD0FEB">
        <w:t xml:space="preserve"> Along similar lines, in </w:t>
      </w:r>
      <w:r w:rsidRPr="00CD0FEB">
        <w:rPr>
          <w:i/>
          <w:iCs/>
        </w:rPr>
        <w:t>Stevins &amp; Provident Construction Co.</w:t>
      </w:r>
      <w:r w:rsidRPr="00CD0FEB">
        <w:t>,</w:t>
      </w:r>
      <w:r>
        <w:rPr>
          <w:vertAlign w:val="superscript"/>
        </w:rPr>
        <w:footnoteReference w:id="677"/>
      </w:r>
      <w:r w:rsidRPr="00CD0FEB">
        <w:t xml:space="preserve"> the Eleventh Circuit determined that a construction superintendent who possessed a Bachelor of Science degree in civil engineering and construction along with a Certified General Contractor Class “A” Builders License was properly classified as an exempt professional in that his advanced specialized knowledge was essential to the performance of his job functions. According to the Eleventh Circuit, the construction superintendent was free to deviate from design plans, order materials without seeking approval from the project manager, answer subcontractors’ questions, approve invoices, and modify schedules and blueprints.</w:t>
      </w:r>
      <w:r>
        <w:rPr>
          <w:vertAlign w:val="superscript"/>
        </w:rPr>
        <w:footnoteReference w:id="678"/>
      </w:r>
      <w:r w:rsidRPr="00CD0FEB">
        <w:t xml:space="preserve"> However, the professional exemption has been found inapplicable where this specialized knowledge was not needed for the job,</w:t>
      </w:r>
      <w:r>
        <w:rPr>
          <w:vertAlign w:val="superscript"/>
        </w:rPr>
        <w:footnoteReference w:id="679"/>
      </w:r>
      <w:r w:rsidRPr="00CD0FEB">
        <w:t xml:space="preserve"> or where the job did not require knowledge of a sufficiently advanced nature.</w:t>
      </w:r>
      <w:r>
        <w:rPr>
          <w:vertAlign w:val="superscript"/>
        </w:rPr>
        <w:footnoteReference w:id="680"/>
      </w:r>
    </w:p>
    <w:p w14:paraId="5AE8D507" w14:textId="77777777" w:rsidR="00201F3F" w:rsidRPr="00CD0FEB" w:rsidRDefault="00201F3F" w:rsidP="00FC14B8">
      <w:pPr>
        <w:pStyle w:val="10ATextWithIndent"/>
      </w:pPr>
      <w:r w:rsidRPr="00CD0FEB">
        <w:t>Generally, an employee who carries out his or her duties in a mechanical or routine manner and has no authority to make independent decisions in performing those duties does not exercise discretion and judgment.</w:t>
      </w:r>
      <w:r>
        <w:rPr>
          <w:vertAlign w:val="superscript"/>
        </w:rPr>
        <w:footnoteReference w:id="681"/>
      </w:r>
      <w:r w:rsidRPr="00CD0FEB">
        <w:t xml:space="preserve"> Similarly, a Registered Dietician exercised sufficient discretion and judgment as a matter of law where she created diet plans under doctors’ supervision and monitored and evaluated patient care, even where her monitoring of patients’ overall nutrition, diabetes management, and mineral metabolism was subject to a computerized monitoring program.</w:t>
      </w:r>
      <w:r>
        <w:rPr>
          <w:vertAlign w:val="superscript"/>
        </w:rPr>
        <w:footnoteReference w:id="682"/>
      </w:r>
    </w:p>
    <w:p w14:paraId="3141425D" w14:textId="77777777" w:rsidR="00201F3F" w:rsidRPr="00CD0FEB" w:rsidRDefault="00201F3F" w:rsidP="00FC14B8">
      <w:pPr>
        <w:pStyle w:val="10ATextWithIndent"/>
      </w:pPr>
      <w:r w:rsidRPr="00CD0FEB">
        <w:t xml:space="preserve">The First Circuit ruled in </w:t>
      </w:r>
      <w:r w:rsidRPr="00CD0FEB">
        <w:rPr>
          <w:i/>
          <w:iCs/>
        </w:rPr>
        <w:t>DeJesus-Rentas v. Baxter Pharmacy Services Corp.</w:t>
      </w:r>
      <w:r>
        <w:rPr>
          <w:vertAlign w:val="superscript"/>
        </w:rPr>
        <w:footnoteReference w:id="683"/>
      </w:r>
      <w:r w:rsidRPr="00CD0FEB">
        <w:t xml:space="preserve"> that licensed compounding pharmacists who analyzed, approved, and filled prescription requests were exempt professionals despite being bound by standard operating procedures. Among other indicia of discretion and judgment, the pharmacists not only were responsible for determining whether prescribed drugs were contraindicated and, if so, contacting the prescribing physician to discuss possible modifications, but also supervised between 8 and 10 pharmacy technicians and performed their duties without close supervision.</w:t>
      </w:r>
      <w:r>
        <w:rPr>
          <w:vertAlign w:val="superscript"/>
        </w:rPr>
        <w:footnoteReference w:id="684"/>
      </w:r>
    </w:p>
    <w:p w14:paraId="2F9BB4F1" w14:textId="77777777" w:rsidR="00201F3F" w:rsidRPr="00CD0FEB" w:rsidRDefault="00201F3F" w:rsidP="00FC14B8">
      <w:pPr>
        <w:pStyle w:val="10ATextWithIndent"/>
      </w:pPr>
      <w:r w:rsidRPr="00CD0FEB">
        <w:t>However, an employee whose primary duty consists of advising the employer on how to improve job quality and efficiency may not exercise the requisite judgment and discretion where the employee has no authority to actually make these changes. For example, one court has held that a field engineer hired to assess the job performance of subcontractors, to monitor their compliance with job specifications, and to file inspection reports suggesting corrective changes would not qualify as an exempt professional.</w:t>
      </w:r>
      <w:r>
        <w:rPr>
          <w:vertAlign w:val="superscript"/>
        </w:rPr>
        <w:footnoteReference w:id="685"/>
      </w:r>
    </w:p>
    <w:p w14:paraId="03793C26" w14:textId="77777777" w:rsidR="00201F3F" w:rsidRPr="00CD0FEB" w:rsidRDefault="00201F3F" w:rsidP="00FC14B8">
      <w:pPr>
        <w:pStyle w:val="06Third-LevelHead123"/>
      </w:pPr>
      <w:r w:rsidRPr="00CD0FEB">
        <w:t>2.</w:t>
      </w:r>
      <w:r w:rsidRPr="00CD0FEB">
        <w:tab/>
        <w:t>“Field of Science or Learning”</w:t>
      </w:r>
    </w:p>
    <w:p w14:paraId="5D0532ED" w14:textId="77777777" w:rsidR="00201F3F" w:rsidRPr="00CD0FEB" w:rsidRDefault="00201F3F" w:rsidP="00FC14B8">
      <w:pPr>
        <w:pStyle w:val="10ATextWithIndent"/>
      </w:pPr>
      <w:r w:rsidRPr="00CD0FEB">
        <w:t xml:space="preserve">According to the regulations, the phrase “field of science or learning” includes </w:t>
      </w:r>
    </w:p>
    <w:p w14:paraId="2B7FA5FC" w14:textId="77777777" w:rsidR="00201F3F" w:rsidRPr="00CD0FEB" w:rsidRDefault="00201F3F" w:rsidP="00FC14B8">
      <w:pPr>
        <w:pStyle w:val="09BBlockQuoteWithoutIndent"/>
      </w:pPr>
      <w:r w:rsidRPr="00CD0FEB">
        <w:t>the traditional professions of law, medicine, theology, accounting, actuarial computation, engineering, architecture, teaching, various types of physical, chemical, and biological sciences, pharmacy and other similar occupations that have a recognized professional status as distinguished from the mechanical arts or skilled trades where in some instances the knowledge is of a fairly advanced type, but is not in a field of science or learning.</w:t>
      </w:r>
      <w:r>
        <w:rPr>
          <w:vertAlign w:val="superscript"/>
        </w:rPr>
        <w:footnoteReference w:id="686"/>
      </w:r>
      <w:r w:rsidRPr="00CD0FEB">
        <w:t xml:space="preserve"> </w:t>
      </w:r>
    </w:p>
    <w:p w14:paraId="5B0F8000" w14:textId="77777777" w:rsidR="00201F3F" w:rsidRPr="00CD0FEB" w:rsidRDefault="00201F3F" w:rsidP="00FC14B8">
      <w:pPr>
        <w:pStyle w:val="10ATextWithIndent"/>
      </w:pPr>
      <w:r w:rsidRPr="00CD0FEB">
        <w:t>By contrast, the “electrician occupation” is not a “field of science and learning.”</w:t>
      </w:r>
      <w:r>
        <w:rPr>
          <w:vertAlign w:val="superscript"/>
        </w:rPr>
        <w:footnoteReference w:id="687"/>
      </w:r>
      <w:r w:rsidRPr="00CD0FEB">
        <w:t xml:space="preserve"> Similarly, according to an opinion letter, the professional exemption did not apply to avionics technicians who </w:t>
      </w:r>
    </w:p>
    <w:p w14:paraId="7CAE5677" w14:textId="77777777" w:rsidR="00201F3F" w:rsidRPr="00CD0FEB" w:rsidRDefault="00201F3F" w:rsidP="00FC14B8">
      <w:pPr>
        <w:pStyle w:val="09BBlockQuoteWithoutIndent"/>
      </w:pPr>
      <w:r w:rsidRPr="00CD0FEB">
        <w:t>troubleshoot and repair [i]nformation technology failures in sophisticated avionics and electrical equipment at a military avionics test facility; service equipment, test [equipment], participate in design and production of the equipment, and recommend improvements; assist in integrating [i]nformation technology software and hardware systems and possess significant background and knowledge of many types of software and hardware domains.</w:t>
      </w:r>
      <w:r>
        <w:rPr>
          <w:vertAlign w:val="superscript"/>
        </w:rPr>
        <w:footnoteReference w:id="688"/>
      </w:r>
      <w:r w:rsidRPr="00CD0FEB">
        <w:t xml:space="preserve"> </w:t>
      </w:r>
    </w:p>
    <w:p w14:paraId="47380499" w14:textId="77777777" w:rsidR="00201F3F" w:rsidRPr="00CD0FEB" w:rsidRDefault="00201F3F" w:rsidP="00FC14B8">
      <w:pPr>
        <w:pStyle w:val="10ATextWithIndent"/>
      </w:pPr>
      <w:r w:rsidRPr="00CD0FEB">
        <w:t>Both the courts and the DOL have addressed whether pilots meet the requirements for the learned professional exemption. The DOL has a longstanding position that “pilots do not qualify for the professional exemption.”</w:t>
      </w:r>
      <w:r>
        <w:rPr>
          <w:vertAlign w:val="superscript"/>
        </w:rPr>
        <w:footnoteReference w:id="689"/>
      </w:r>
      <w:r w:rsidRPr="00CD0FEB">
        <w:t xml:space="preserve"> </w:t>
      </w:r>
    </w:p>
    <w:p w14:paraId="4B1534AD" w14:textId="77777777" w:rsidR="00201F3F" w:rsidRPr="00CD0FEB" w:rsidRDefault="00201F3F" w:rsidP="00FC14B8">
      <w:pPr>
        <w:pStyle w:val="09BBlockQuoteWithoutIndent"/>
      </w:pPr>
      <w:r w:rsidRPr="00CD0FEB">
        <w:t xml:space="preserve">The primary duty of pilots does not “[r]equir[e] knowledge of an advanced type in a field of science or learning customarily acquired by a prolonged course of specialized intellectual instruction.” </w:t>
      </w:r>
      <w:r w:rsidRPr="00CD0FEB">
        <w:br/>
        <w:t>[citations omitted.] “While it is true that the duties of many helicopter pilots and copilots require considerable knowledge of navigation, meteorology, engineering and flight theory, and they must pass stringent examinations given by Federal Aviation Administration, it is still the experience in actual flight which is the most important element in qualifying as a pilot or copilot.” Wage and Hour Opinion Letter January 20, 1975. Therefore, because the helicopter pilots do not satisfy the duties requirement under the regulations, they are not exempt professional employees under the Act.</w:t>
      </w:r>
      <w:r>
        <w:rPr>
          <w:vertAlign w:val="superscript"/>
        </w:rPr>
        <w:footnoteReference w:id="690"/>
      </w:r>
      <w:r w:rsidRPr="00CD0FEB">
        <w:t xml:space="preserve"> </w:t>
      </w:r>
    </w:p>
    <w:p w14:paraId="0792BB8D" w14:textId="77777777" w:rsidR="00201F3F" w:rsidRPr="00CD0FEB" w:rsidRDefault="00201F3F" w:rsidP="00FC14B8">
      <w:pPr>
        <w:pStyle w:val="10BTextWithoutIndent"/>
      </w:pPr>
      <w:r w:rsidRPr="00CD0FEB">
        <w:t>The DOL has maintained that aviation is not “a field of science or learning” and that the knowledge required to be a pilot is not “customarily acquired by a prolonged course of specialized intellectual instruction” within the meaning of the regulations.</w:t>
      </w:r>
      <w:r>
        <w:rPr>
          <w:vertAlign w:val="superscript"/>
        </w:rPr>
        <w:footnoteReference w:id="691"/>
      </w:r>
    </w:p>
    <w:p w14:paraId="2331B683" w14:textId="77777777" w:rsidR="00201F3F" w:rsidRPr="00CD0FEB" w:rsidRDefault="00201F3F" w:rsidP="00FC14B8">
      <w:pPr>
        <w:pStyle w:val="10ATextWithIndent"/>
      </w:pPr>
      <w:r w:rsidRPr="00CD0FEB">
        <w:t xml:space="preserve">On the other hand, the Fifth Circuit in </w:t>
      </w:r>
      <w:r w:rsidRPr="00CD0FEB">
        <w:rPr>
          <w:i/>
          <w:iCs/>
        </w:rPr>
        <w:t>Paul v. Petroleum Equipment Tools Co.</w:t>
      </w:r>
      <w:r>
        <w:rPr>
          <w:vertAlign w:val="superscript"/>
        </w:rPr>
        <w:footnoteReference w:id="692"/>
      </w:r>
      <w:r w:rsidRPr="00CD0FEB">
        <w:t xml:space="preserve"> concluded that an airplane pilot was a “learned professional,” </w:t>
      </w:r>
      <w:r w:rsidRPr="00CD0FEB">
        <w:rPr>
          <w:spacing w:val="3"/>
        </w:rPr>
        <w:t>reasoning that in order to obtain a commercial license and instrument rating, a pilot must “acquire extensive knowledge of aerodynamics, airplane regulations, airplane operations, instrument procedures, aeronautical charts, and weather forecasting.”</w:t>
      </w:r>
      <w:r>
        <w:rPr>
          <w:spacing w:val="4"/>
          <w:vertAlign w:val="superscript"/>
        </w:rPr>
        <w:footnoteReference w:id="693"/>
      </w:r>
      <w:r w:rsidRPr="00CD0FEB">
        <w:rPr>
          <w:spacing w:val="3"/>
        </w:rPr>
        <w:t xml:space="preserve"> The court also noted that pilots are required to receive instruction from a flight instructor, log a certain number of hours of flight time, and pass written and practical tests.</w:t>
      </w:r>
      <w:r>
        <w:rPr>
          <w:spacing w:val="4"/>
          <w:vertAlign w:val="superscript"/>
        </w:rPr>
        <w:footnoteReference w:id="694"/>
      </w:r>
      <w:r w:rsidRPr="00CD0FEB">
        <w:rPr>
          <w:spacing w:val="3"/>
        </w:rPr>
        <w:t xml:space="preserve"> Based on these facts the court in </w:t>
      </w:r>
      <w:r w:rsidRPr="00CD0FEB">
        <w:rPr>
          <w:i/>
          <w:iCs/>
          <w:spacing w:val="3"/>
        </w:rPr>
        <w:t xml:space="preserve">Paul </w:t>
      </w:r>
      <w:r w:rsidRPr="00CD0FEB">
        <w:rPr>
          <w:spacing w:val="3"/>
        </w:rPr>
        <w:t>determined that this is “extensive, formal, and specialized training” comparable to that undergone by nurses, accountants, and actuaries.</w:t>
      </w:r>
      <w:r>
        <w:rPr>
          <w:spacing w:val="4"/>
          <w:vertAlign w:val="superscript"/>
        </w:rPr>
        <w:footnoteReference w:id="695"/>
      </w:r>
      <w:r w:rsidRPr="00CD0FEB">
        <w:rPr>
          <w:spacing w:val="3"/>
        </w:rPr>
        <w:t xml:space="preserve"> </w:t>
      </w:r>
      <w:r w:rsidRPr="00CD0FEB">
        <w:t>The Fifth Circuit further found that an airline pilot who had discretion to decide what route to take, to judge if weather disturbances might require cancellation of a flight, and to determine whether a particular plane is air-worthy met the discretion and judgment requirement of the learned professional exemption.</w:t>
      </w:r>
      <w:r>
        <w:rPr>
          <w:vertAlign w:val="superscript"/>
        </w:rPr>
        <w:footnoteReference w:id="696"/>
      </w:r>
      <w:r w:rsidRPr="00CD0FEB">
        <w:t xml:space="preserve"> </w:t>
      </w:r>
    </w:p>
    <w:p w14:paraId="45339276" w14:textId="77777777" w:rsidR="00201F3F" w:rsidRPr="00CD0FEB" w:rsidRDefault="00201F3F" w:rsidP="00FC14B8">
      <w:pPr>
        <w:pStyle w:val="10ATextWithIndent"/>
      </w:pPr>
      <w:r w:rsidRPr="00CD0FEB">
        <w:t xml:space="preserve">However, the Third Circuit declined to follow the reasoning of </w:t>
      </w:r>
      <w:r w:rsidRPr="00CD0FEB">
        <w:rPr>
          <w:i/>
          <w:iCs/>
        </w:rPr>
        <w:t>Paul</w:t>
      </w:r>
      <w:r w:rsidRPr="00CD0FEB">
        <w:t>, instead adopting an analysis “that is consistent with the Department of Labor’s interpretation of the regulations” and concluding that pilots were not learned professionals.</w:t>
      </w:r>
      <w:r>
        <w:rPr>
          <w:spacing w:val="4"/>
          <w:vertAlign w:val="superscript"/>
        </w:rPr>
        <w:footnoteReference w:id="697"/>
      </w:r>
      <w:r w:rsidRPr="00CD0FEB">
        <w:t xml:space="preserve"> The Third Circuit found that flight certificates awarded to helicopter pilots were not the equivalent of an advanced academic degree, reasoning that “[l]ogging in-flight hours, in-flight instruction, and passing practical and written tests do not qualify as a ‘prolonged course of specialized intellectual instruction and study.’”</w:t>
      </w:r>
      <w:r>
        <w:rPr>
          <w:vertAlign w:val="superscript"/>
        </w:rPr>
        <w:footnoteReference w:id="698"/>
      </w:r>
      <w:r w:rsidRPr="00CD0FEB">
        <w:t xml:space="preserve"> The court agreed with a district court’s characterization of helicopter pilots as “merely highly trained technicians.”</w:t>
      </w:r>
      <w:r>
        <w:rPr>
          <w:vertAlign w:val="superscript"/>
        </w:rPr>
        <w:footnoteReference w:id="699"/>
      </w:r>
      <w:r w:rsidRPr="00CD0FEB">
        <w:t xml:space="preserve"> </w:t>
      </w:r>
    </w:p>
    <w:p w14:paraId="66868EA8" w14:textId="77777777" w:rsidR="00201F3F" w:rsidRPr="00CD0FEB" w:rsidRDefault="00201F3F" w:rsidP="00FC14B8">
      <w:pPr>
        <w:pStyle w:val="10ATextWithIndent"/>
      </w:pPr>
      <w:r w:rsidRPr="00CD0FEB">
        <w:t>In 2018, the DOL reissued a previously withdrawn 2009 opinion letter, and again found that civilian helicopter pilots were not learned professionals.</w:t>
      </w:r>
      <w:r>
        <w:rPr>
          <w:vertAlign w:val="superscript"/>
        </w:rPr>
        <w:footnoteReference w:id="700"/>
      </w:r>
      <w:r w:rsidRPr="00CD0FEB">
        <w:t xml:space="preserve"> At the same time, the WHD reaffirmed its non-enforcement position with respect to certain pilots: </w:t>
      </w:r>
    </w:p>
    <w:p w14:paraId="531BC269" w14:textId="77777777" w:rsidR="00201F3F" w:rsidRPr="00CD0FEB" w:rsidRDefault="00201F3F" w:rsidP="00FC14B8">
      <w:pPr>
        <w:pStyle w:val="09BBlockQuoteWithoutIndent"/>
      </w:pPr>
      <w:r w:rsidRPr="00CD0FEB">
        <w:t>WHD … takes a position of non-enforcement with regard to pilots and copilots of airplanes and rotorcraft who hold an FAA Airline Transport Certificate or Commercial Certificate, … who are engaged in the following activities:</w:t>
      </w:r>
    </w:p>
    <w:p w14:paraId="6AFE07E4" w14:textId="77777777" w:rsidR="00201F3F" w:rsidRPr="00CD0FEB" w:rsidRDefault="00201F3F" w:rsidP="00FC14B8">
      <w:pPr>
        <w:pStyle w:val="09BBlockQuoteWithoutIndent"/>
        <w:ind w:left="1440" w:hanging="360"/>
      </w:pPr>
      <w:r w:rsidRPr="00CD0FEB">
        <w:t xml:space="preserve">(1) </w:t>
      </w:r>
      <w:r w:rsidRPr="00CD0FEB">
        <w:tab/>
        <w:t xml:space="preserve">Flying of aircraft as business or company pilots; </w:t>
      </w:r>
    </w:p>
    <w:p w14:paraId="2E819630" w14:textId="77777777" w:rsidR="00201F3F" w:rsidRPr="00CD0FEB" w:rsidRDefault="00201F3F" w:rsidP="00FC14B8">
      <w:pPr>
        <w:pStyle w:val="09BBlockQuoteWithoutIndent"/>
        <w:ind w:left="1440" w:hanging="360"/>
      </w:pPr>
      <w:r w:rsidRPr="00CD0FEB">
        <w:t xml:space="preserve">(2) </w:t>
      </w:r>
      <w:r w:rsidRPr="00CD0FEB">
        <w:tab/>
        <w:t xml:space="preserve">Aerial mineral exploration; </w:t>
      </w:r>
    </w:p>
    <w:p w14:paraId="3C6B79B1" w14:textId="77777777" w:rsidR="00201F3F" w:rsidRPr="00CD0FEB" w:rsidRDefault="00201F3F" w:rsidP="00FC14B8">
      <w:pPr>
        <w:pStyle w:val="09BBlockQuoteWithoutIndent"/>
        <w:ind w:left="1440" w:hanging="360"/>
      </w:pPr>
      <w:r w:rsidRPr="00CD0FEB">
        <w:t xml:space="preserve">(3) </w:t>
      </w:r>
      <w:r w:rsidRPr="00CD0FEB">
        <w:tab/>
        <w:t xml:space="preserve">Aerial mapping and photography; </w:t>
      </w:r>
    </w:p>
    <w:p w14:paraId="0228555E" w14:textId="77777777" w:rsidR="00201F3F" w:rsidRPr="00CD0FEB" w:rsidRDefault="00201F3F" w:rsidP="00FC14B8">
      <w:pPr>
        <w:pStyle w:val="09BBlockQuoteWithoutIndent"/>
        <w:ind w:left="1440" w:hanging="360"/>
      </w:pPr>
      <w:r w:rsidRPr="00CD0FEB">
        <w:t xml:space="preserve">(4) </w:t>
      </w:r>
      <w:r w:rsidRPr="00CD0FEB">
        <w:tab/>
        <w:t xml:space="preserve">Aerial forest fire protection; </w:t>
      </w:r>
    </w:p>
    <w:p w14:paraId="605FB75C" w14:textId="77777777" w:rsidR="00201F3F" w:rsidRPr="00CD0FEB" w:rsidRDefault="00201F3F" w:rsidP="00FC14B8">
      <w:pPr>
        <w:pStyle w:val="09BBlockQuoteWithoutIndent"/>
        <w:ind w:left="1440" w:hanging="360"/>
      </w:pPr>
      <w:r w:rsidRPr="00CD0FEB">
        <w:t xml:space="preserve">(5) </w:t>
      </w:r>
      <w:r w:rsidRPr="00CD0FEB">
        <w:tab/>
        <w:t xml:space="preserve">Aerial meteorological research; </w:t>
      </w:r>
    </w:p>
    <w:p w14:paraId="530A37D0" w14:textId="77777777" w:rsidR="00201F3F" w:rsidRPr="00CD0FEB" w:rsidRDefault="00201F3F" w:rsidP="00FC14B8">
      <w:pPr>
        <w:pStyle w:val="09BBlockQuoteWithoutIndent"/>
        <w:ind w:left="1440" w:hanging="360"/>
      </w:pPr>
      <w:r w:rsidRPr="00CD0FEB">
        <w:t xml:space="preserve">(6) </w:t>
      </w:r>
      <w:r w:rsidRPr="00CD0FEB">
        <w:tab/>
        <w:t xml:space="preserve">Test flights of aircraft in connection with engineering, production, or sale; </w:t>
      </w:r>
    </w:p>
    <w:p w14:paraId="4A0C0CEA" w14:textId="77777777" w:rsidR="00201F3F" w:rsidRPr="00CD0FEB" w:rsidRDefault="00201F3F" w:rsidP="00FC14B8">
      <w:pPr>
        <w:pStyle w:val="09BBlockQuoteWithoutIndent"/>
        <w:ind w:left="1440" w:hanging="360"/>
      </w:pPr>
      <w:r w:rsidRPr="00CD0FEB">
        <w:t xml:space="preserve">(7) </w:t>
      </w:r>
      <w:r w:rsidRPr="00CD0FEB">
        <w:tab/>
        <w:t xml:space="preserve">Aerial logging, fire suppression, forest fertilizing, forest seeding, forest spraying, and related activities involving precision flying over mountainous forest areas; </w:t>
      </w:r>
    </w:p>
    <w:p w14:paraId="4B584B7E" w14:textId="77777777" w:rsidR="00201F3F" w:rsidRPr="00CD0FEB" w:rsidRDefault="00201F3F" w:rsidP="00FC14B8">
      <w:pPr>
        <w:pStyle w:val="09BBlockQuoteWithoutIndent"/>
        <w:ind w:left="1440" w:hanging="360"/>
      </w:pPr>
      <w:r w:rsidRPr="00CD0FEB">
        <w:t xml:space="preserve">(8) </w:t>
      </w:r>
      <w:r w:rsidRPr="00CD0FEB">
        <w:tab/>
        <w:t xml:space="preserve">Flying activities in connection with transmission tower construction, transmission line construction, transportation of completed structures with precision setting of footings, concrete pouring; or </w:t>
      </w:r>
    </w:p>
    <w:p w14:paraId="1554FC7D" w14:textId="77777777" w:rsidR="00201F3F" w:rsidRPr="00CD0FEB" w:rsidRDefault="00201F3F" w:rsidP="00FC14B8">
      <w:pPr>
        <w:pStyle w:val="09BBlockQuoteWithoutIndent"/>
        <w:ind w:left="1440" w:hanging="360"/>
      </w:pPr>
      <w:r w:rsidRPr="00CD0FEB">
        <w:t xml:space="preserve">(9) </w:t>
      </w:r>
      <w:r w:rsidRPr="00CD0FEB">
        <w:tab/>
        <w:t xml:space="preserve">Aerial construction of sections of oil drilling rigs and pipe-lines, and ski-lift and fire lookout constructions. </w:t>
      </w:r>
    </w:p>
    <w:p w14:paraId="78670779" w14:textId="77777777" w:rsidR="00201F3F" w:rsidRPr="00CD0FEB" w:rsidRDefault="00201F3F" w:rsidP="00FC14B8">
      <w:pPr>
        <w:pStyle w:val="09BBlockQuoteWithoutIndent"/>
      </w:pPr>
      <w:r w:rsidRPr="00CD0FEB">
        <w:t>See Wage and Hour Division Field Operations Handbook § 52L01; Wage and Hour Opinion Letters February 7, 1992, September 2, 1975, January 20, 1975, and May 25, 1971.</w:t>
      </w:r>
      <w:r>
        <w:rPr>
          <w:vertAlign w:val="superscript"/>
        </w:rPr>
        <w:footnoteReference w:id="701"/>
      </w:r>
    </w:p>
    <w:p w14:paraId="23969269" w14:textId="77777777" w:rsidR="00201F3F" w:rsidRPr="00CD0FEB" w:rsidRDefault="00201F3F" w:rsidP="00FC14B8">
      <w:pPr>
        <w:pStyle w:val="10ATextWithIndent"/>
      </w:pPr>
      <w:r w:rsidRPr="00CD0FEB">
        <w:t xml:space="preserve">In </w:t>
      </w:r>
      <w:r w:rsidRPr="00CD0FEB">
        <w:rPr>
          <w:i/>
          <w:iCs/>
        </w:rPr>
        <w:t>McCoy v. North Slope Borough</w:t>
      </w:r>
      <w:r w:rsidRPr="00CD0FEB">
        <w:t>,</w:t>
      </w:r>
      <w:r>
        <w:rPr>
          <w:vertAlign w:val="superscript"/>
        </w:rPr>
        <w:footnoteReference w:id="702"/>
      </w:r>
      <w:r w:rsidRPr="00CD0FEB">
        <w:rPr>
          <w:i/>
          <w:iCs/>
        </w:rPr>
        <w:t xml:space="preserve"> </w:t>
      </w:r>
      <w:r w:rsidRPr="00CD0FEB">
        <w:t>the court found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r>
        <w:rPr>
          <w:vertAlign w:val="superscript"/>
        </w:rPr>
        <w:footnoteReference w:id="703"/>
      </w:r>
    </w:p>
    <w:p w14:paraId="627B9DE2" w14:textId="77777777" w:rsidR="00201F3F" w:rsidRPr="00CD0FEB" w:rsidRDefault="00201F3F" w:rsidP="00FC14B8">
      <w:pPr>
        <w:pStyle w:val="10ATextWithIndent"/>
      </w:pPr>
      <w:r w:rsidRPr="00CD0FEB">
        <w:t>The Administrator has concluded that training consisting of 7 to 12 months of five-days-a-week classroom instruction with a minimum of 1,225 classroom hours, hands-on electronics training, and a follow-on course of 240 to 480 hours in classroom and laboratory did not add up to a prolonged course of specialized intellectual instruction within the meaning of the regulation.</w:t>
      </w:r>
      <w:r>
        <w:rPr>
          <w:vertAlign w:val="superscript"/>
        </w:rPr>
        <w:footnoteReference w:id="704"/>
      </w:r>
    </w:p>
    <w:p w14:paraId="3B64DBD7" w14:textId="77777777" w:rsidR="00201F3F" w:rsidRPr="00CD0FEB" w:rsidRDefault="00201F3F" w:rsidP="00FC14B8">
      <w:pPr>
        <w:pStyle w:val="10ATextWithIndent"/>
      </w:pPr>
      <w:r w:rsidRPr="00CD0FEB">
        <w:t xml:space="preserve">Although, in </w:t>
      </w:r>
      <w:r w:rsidRPr="00CD0FEB">
        <w:rPr>
          <w:i/>
          <w:iCs/>
        </w:rPr>
        <w:t>Rosenberg v. Renal Advantage</w:t>
      </w:r>
      <w:r w:rsidRPr="00CD0FEB">
        <w:t>,</w:t>
      </w:r>
      <w:r>
        <w:rPr>
          <w:vertAlign w:val="superscript"/>
        </w:rPr>
        <w:footnoteReference w:id="705"/>
      </w:r>
      <w:r w:rsidRPr="00CD0FEB">
        <w:t xml:space="preserve"> the district court found that a Registered Dietician met the “advanced knowledge” test where the job required a bachelor’s degree in nutrition or dietetics, registration with the American Dietician Association, a state license in states that require one, and one year of clinical experience, health care workers in limited technical occupations will generally not qualify as exempt employees. For example, the WHD opined that dietitians seldom qualify as exempt professionals.</w:t>
      </w:r>
      <w:r>
        <w:rPr>
          <w:vertAlign w:val="superscript"/>
        </w:rPr>
        <w:footnoteReference w:id="706"/>
      </w:r>
      <w:r w:rsidRPr="00CD0FEB">
        <w:t xml:space="preserve"> Paramedics who were required to have classroom training, practical experience, and certification as emergency medical technicians but were not required to have any academic degree were also not considered to be exempt professional employees.</w:t>
      </w:r>
      <w:r>
        <w:rPr>
          <w:vertAlign w:val="superscript"/>
        </w:rPr>
        <w:footnoteReference w:id="707"/>
      </w:r>
      <w:r w:rsidRPr="00CD0FEB">
        <w:t xml:space="preserve"> In an opinion letter, the WHD concluded that medical coders responsible for translating medical diagnosis into codes for reimbursement from insurers were not exempt because medical coding is not generally recognized by colleges and universities as a bona fide academic discipline.</w:t>
      </w:r>
      <w:r>
        <w:rPr>
          <w:vertAlign w:val="superscript"/>
        </w:rPr>
        <w:footnoteReference w:id="708"/>
      </w:r>
      <w:r w:rsidRPr="00CD0FEB">
        <w:t xml:space="preserve"> In </w:t>
      </w:r>
      <w:r w:rsidRPr="00CD0FEB">
        <w:rPr>
          <w:i/>
          <w:iCs/>
        </w:rPr>
        <w:t>Radtke v. Lifecare Management Partners</w:t>
      </w:r>
      <w:r w:rsidRPr="00CD0FEB">
        <w:t>,</w:t>
      </w:r>
      <w:r>
        <w:rPr>
          <w:vertAlign w:val="superscript"/>
        </w:rPr>
        <w:footnoteReference w:id="709"/>
      </w:r>
      <w:r w:rsidRPr="00CD0FEB">
        <w:t xml:space="preserve"> the District of Columbia Circuit upheld a jury verdict finding that medical records coders were improperly classified as exempt professionals where the plaintiffs introduced evidence that their coding of medical records did not require independent judgment because the relevant codes and descriptions were specified in the employer’s manuals.</w:t>
      </w:r>
      <w:r>
        <w:rPr>
          <w:vertAlign w:val="superscript"/>
        </w:rPr>
        <w:footnoteReference w:id="710"/>
      </w:r>
    </w:p>
    <w:p w14:paraId="2752A0CC" w14:textId="77777777" w:rsidR="00201F3F" w:rsidRPr="00CD0FEB" w:rsidRDefault="00201F3F" w:rsidP="00FC14B8">
      <w:pPr>
        <w:pStyle w:val="06Third-LevelHead123"/>
      </w:pPr>
      <w:r w:rsidRPr="00CD0FEB">
        <w:t>3.</w:t>
      </w:r>
      <w:r w:rsidRPr="00CD0FEB">
        <w:tab/>
        <w:t>“Customarily Acquired by a Prolonged Course of Specialized Intellectual Instruction”</w:t>
      </w:r>
    </w:p>
    <w:p w14:paraId="27EF75D9" w14:textId="77777777" w:rsidR="00201F3F" w:rsidRPr="00CD0FEB" w:rsidRDefault="00201F3F" w:rsidP="00FC14B8">
      <w:pPr>
        <w:pStyle w:val="10ATextWithIndent"/>
      </w:pPr>
      <w:r w:rsidRPr="00CD0FEB">
        <w:t>An exempt professional’s requisite knowledge must be “customarily acquired by a prolonged course of specialized intellectual instruction.”</w:t>
      </w:r>
      <w:r>
        <w:rPr>
          <w:vertAlign w:val="superscript"/>
        </w:rPr>
        <w:footnoteReference w:id="711"/>
      </w:r>
      <w:r w:rsidRPr="00CD0FEB">
        <w:t xml:space="preserve"> In this context, the term “customarily acquired” means that “specialized academic training is a standard prerequisite for entrance into the profession”</w:t>
      </w:r>
      <w:r>
        <w:rPr>
          <w:vertAlign w:val="superscript"/>
        </w:rPr>
        <w:footnoteReference w:id="712"/>
      </w:r>
      <w:r w:rsidRPr="00CD0FEB">
        <w:t xml:space="preserve"> and should be read to mean the exemption “is also available to employees in such professions who have substantially the same knowledge level and perform substantially the same work as the degreed employees, but who attained the advanced knowledge through a combination of work experience and intellectual instruction.”</w:t>
      </w:r>
      <w:r>
        <w:rPr>
          <w:vertAlign w:val="superscript"/>
        </w:rPr>
        <w:footnoteReference w:id="713"/>
      </w:r>
    </w:p>
    <w:p w14:paraId="2888C11A" w14:textId="77777777" w:rsidR="00201F3F" w:rsidRPr="00CD0FEB" w:rsidRDefault="00201F3F" w:rsidP="00FC14B8">
      <w:pPr>
        <w:pStyle w:val="10ATextWithIndent"/>
      </w:pPr>
      <w:r w:rsidRPr="00CD0FEB">
        <w:t xml:space="preserve">In </w:t>
      </w:r>
      <w:r w:rsidRPr="00CD0FEB">
        <w:rPr>
          <w:i/>
          <w:iCs/>
        </w:rPr>
        <w:t>Isett v. Aetna Life Insurance Co.</w:t>
      </w:r>
      <w:r w:rsidRPr="00CD0FEB">
        <w:t>,</w:t>
      </w:r>
      <w:r>
        <w:rPr>
          <w:vertAlign w:val="superscript"/>
        </w:rPr>
        <w:footnoteReference w:id="714"/>
      </w:r>
      <w:r w:rsidRPr="00CD0FEB">
        <w:t xml:space="preserve"> the Second Circuit considered whether the professional exemption applied to a registered nurse working outside a clinical setting and responsible for reviewing denials of claims for insurance coverage of medical services, determining whether the requested services are in fact medically necessary, and, if so, approving such claims without further review from a physician. As the circuit court framed the issue: “[W]e address the applicability of the FLSA’s professional exemption to an employee who acts in a manner consistent with the central characteristics of the profession at issue but does so outside of that profession’s traditional employment setting.”</w:t>
      </w:r>
      <w:r>
        <w:rPr>
          <w:vertAlign w:val="superscript"/>
        </w:rPr>
        <w:footnoteReference w:id="715"/>
      </w:r>
      <w:r w:rsidRPr="00CD0FEB">
        <w:t xml:space="preserve"> The Second Circuit explained that</w:t>
      </w:r>
    </w:p>
    <w:p w14:paraId="2164CFEC" w14:textId="77777777" w:rsidR="00201F3F" w:rsidRPr="00CD0FEB" w:rsidRDefault="00201F3F" w:rsidP="00FC14B8">
      <w:pPr>
        <w:pStyle w:val="09BBlockQuoteWithoutIndent"/>
      </w:pPr>
      <w:r w:rsidRPr="00CD0FEB">
        <w:t xml:space="preserve">[o]ur focus under the third prong [of the primary duty test for exempt professionals] is not circumscribed to the employer’s decision to require an advanced degree. While the employer’s minimum academic qualifications may be relevant—even </w:t>
      </w:r>
      <w:r w:rsidRPr="00CD0FEB">
        <w:rPr>
          <w:i/>
          <w:iCs/>
        </w:rPr>
        <w:t>highly</w:t>
      </w:r>
      <w:r w:rsidRPr="00CD0FEB">
        <w:t xml:space="preserve"> relevant—our focus is on the actual duties of the job at issue. Specifically, under this prong, a court must identify the job’s primary duty to determine if that duty is consistent with the employer’s requirement of specialized instruction. A primary duty is consistent with the requirement of specialized instruction where the duty calls on advanced knowledge that is typically acquired through a prolonged course of study.</w:t>
      </w:r>
      <w:r>
        <w:rPr>
          <w:vertAlign w:val="superscript"/>
        </w:rPr>
        <w:footnoteReference w:id="716"/>
      </w:r>
      <w:r w:rsidRPr="00CD0FEB">
        <w:t xml:space="preserve"> </w:t>
      </w:r>
    </w:p>
    <w:p w14:paraId="33896388" w14:textId="77777777" w:rsidR="00201F3F" w:rsidRPr="00CD0FEB" w:rsidRDefault="00201F3F" w:rsidP="00FC14B8">
      <w:pPr>
        <w:pStyle w:val="10ATextWithIndent"/>
      </w:pPr>
      <w:r w:rsidRPr="00CD0FEB">
        <w:t xml:space="preserve">Applying this analysis, the Second Circuit concluded that utilization review nurses were properly treated as exempt professionals, reasoning that </w:t>
      </w:r>
    </w:p>
    <w:p w14:paraId="38BC273B" w14:textId="77777777" w:rsidR="00201F3F" w:rsidRPr="00CD0FEB" w:rsidRDefault="00201F3F" w:rsidP="00FC14B8">
      <w:pPr>
        <w:pStyle w:val="09BBlockQuoteWithoutIndent"/>
      </w:pPr>
      <w:r w:rsidRPr="00CD0FEB">
        <w:t>[t]he advanced knowledge of nurse consultants—how to visualize a sick patient to decide, under minimal supervision, whether the patient should be admitted to a hospital, whether the correct level of care was provided, and whether the length of the hospital stay was appropriate—is derived from specialized academic instruction and comparable unsupervised clinical experience, as opposed to mere on-the-job training.</w:t>
      </w:r>
      <w:r>
        <w:rPr>
          <w:vertAlign w:val="superscript"/>
        </w:rPr>
        <w:footnoteReference w:id="717"/>
      </w:r>
    </w:p>
    <w:p w14:paraId="2539DF92" w14:textId="77777777" w:rsidR="00201F3F" w:rsidRPr="00CD0FEB" w:rsidRDefault="00201F3F" w:rsidP="00FC14B8">
      <w:pPr>
        <w:pStyle w:val="10ATextWithIndent"/>
      </w:pPr>
      <w:r w:rsidRPr="00CD0FEB">
        <w:t>In sum, the court concluded that “Isett’s primary duty calls on advanced nursing knowledge that is at the core of the prolonged course of study that registered nurses receive before entering their profession.”</w:t>
      </w:r>
      <w:r>
        <w:rPr>
          <w:vertAlign w:val="superscript"/>
        </w:rPr>
        <w:footnoteReference w:id="718"/>
      </w:r>
      <w:r w:rsidRPr="00CD0FEB">
        <w:t xml:space="preserve"> </w:t>
      </w:r>
    </w:p>
    <w:p w14:paraId="3842B569" w14:textId="77777777" w:rsidR="00201F3F" w:rsidRPr="00CD0FEB" w:rsidRDefault="00201F3F" w:rsidP="00FC14B8">
      <w:pPr>
        <w:pStyle w:val="10ATextWithIndent"/>
      </w:pPr>
      <w:r w:rsidRPr="00CD0FEB">
        <w:t>The best prima facie evidence that an employee meets the requirement of knowledge “customarily acquired by a prolonged course of specialized intellectual instruction” is possession of the appropriate academic degree.</w:t>
      </w:r>
      <w:r>
        <w:rPr>
          <w:vertAlign w:val="superscript"/>
        </w:rPr>
        <w:footnoteReference w:id="719"/>
      </w:r>
      <w:r w:rsidRPr="00CD0FEB">
        <w:t xml:space="preserve"> Thus, in </w:t>
      </w:r>
      <w:r w:rsidRPr="00CD0FEB">
        <w:rPr>
          <w:i/>
          <w:iCs/>
        </w:rPr>
        <w:t>Young v. Cooper Cameron Corp.</w:t>
      </w:r>
      <w:r w:rsidRPr="00CD0FEB">
        <w:t>,</w:t>
      </w:r>
      <w:r>
        <w:rPr>
          <w:vertAlign w:val="superscript"/>
        </w:rPr>
        <w:footnoteReference w:id="720"/>
      </w:r>
      <w:r w:rsidRPr="00CD0FEB">
        <w:t xml:space="preserve"> the Second Circuit ruled that a product design specialist who designed hydraulic power systems for oil drilling rigs was improperly classified as an exempt professional. Although the design specialist position required 12 years of relevant experience, there was no particular educational prerequisite and none of the incumbents actually had a college degree.</w:t>
      </w:r>
    </w:p>
    <w:p w14:paraId="72366105" w14:textId="77777777" w:rsidR="00201F3F" w:rsidRPr="00CD0FEB" w:rsidRDefault="00201F3F" w:rsidP="00FC14B8">
      <w:pPr>
        <w:pStyle w:val="10ATextWithIndent"/>
      </w:pPr>
      <w:r w:rsidRPr="00CD0FEB">
        <w:t>Either the degree or the specialized course of instruction must be sufficiently specialized and relate directly to the position.</w:t>
      </w:r>
      <w:r>
        <w:rPr>
          <w:vertAlign w:val="superscript"/>
        </w:rPr>
        <w:footnoteReference w:id="721"/>
      </w:r>
      <w:r w:rsidRPr="00CD0FEB">
        <w:t xml:space="preserve"> For example, the learned professional exemption does not apply to social workers where the educational requirements established by the employer “may be satisfied by degrees in fields as diverse as anthropology, education, criminal justice, and gerontology.”</w:t>
      </w:r>
      <w:r>
        <w:rPr>
          <w:vertAlign w:val="superscript"/>
        </w:rPr>
        <w:footnoteReference w:id="722"/>
      </w:r>
      <w:r w:rsidRPr="00CD0FEB">
        <w:t xml:space="preserve"> In so holding, the Ninth Circuit explained that “[t]he requirement of a degree or sufficient coursework in any of several fields broadly related to a position suggests that only general academic training is necessary, with the employer relying upon apprenticeship and experience to develop the advanced skills necessary for effective performance as a social worker.”</w:t>
      </w:r>
      <w:r>
        <w:rPr>
          <w:vertAlign w:val="superscript"/>
        </w:rPr>
        <w:footnoteReference w:id="723"/>
      </w:r>
      <w:r w:rsidRPr="00CD0FEB">
        <w:t xml:space="preserve"> As the Ninth Circuit observed, the WHD had previously found that social work caseworkers’ requisite knowledge may be acquired (1) either in a master’s degree program in social work or human behavioral science or a bachelor’s degree program with a major in human behavioral science with certain courses, along with (2) one year of experience as a professional caseworker.</w:t>
      </w:r>
      <w:r>
        <w:rPr>
          <w:vertAlign w:val="superscript"/>
        </w:rPr>
        <w:footnoteReference w:id="724"/>
      </w:r>
      <w:r w:rsidRPr="00CD0FEB">
        <w:t xml:space="preserve"> The Ninth Circuit also relied on a second opinion letter concluding that social workers with master’s degrees were exempt but that caseworkers with bachelor’s degrees in “social sciences” did not meet this prong of the exemption.</w:t>
      </w:r>
      <w:r>
        <w:rPr>
          <w:vertAlign w:val="superscript"/>
        </w:rPr>
        <w:footnoteReference w:id="725"/>
      </w:r>
    </w:p>
    <w:p w14:paraId="2B3501E4" w14:textId="77777777" w:rsidR="00201F3F" w:rsidRPr="00CD0FEB" w:rsidRDefault="00201F3F" w:rsidP="00FC14B8">
      <w:pPr>
        <w:pStyle w:val="10ATextWithIndent"/>
      </w:pPr>
      <w:r w:rsidRPr="00CD0FEB">
        <w:t xml:space="preserve">The Ninth Circuit’s decision in </w:t>
      </w:r>
      <w:r w:rsidRPr="00CD0FEB">
        <w:rPr>
          <w:i/>
          <w:iCs/>
        </w:rPr>
        <w:t>Solis v. Washington</w:t>
      </w:r>
      <w:r w:rsidRPr="00CD0FEB">
        <w:t xml:space="preserve"> follows established prior law. In </w:t>
      </w:r>
      <w:r w:rsidRPr="00CD0FEB">
        <w:rPr>
          <w:i/>
          <w:iCs/>
        </w:rPr>
        <w:t>Dybach v. State of Florida Department of Corrections</w:t>
      </w:r>
      <w:r w:rsidRPr="00CD0FEB">
        <w:t>,</w:t>
      </w:r>
      <w:r>
        <w:rPr>
          <w:vertAlign w:val="superscript"/>
        </w:rPr>
        <w:footnoteReference w:id="726"/>
      </w:r>
      <w:r w:rsidRPr="00CD0FEB">
        <w:t xml:space="preserve"> the Eleventh Circuit held that probation officers who were required to have bachelor’s degrees in any field did not qualify for the learned professional exemption, and in </w:t>
      </w:r>
      <w:r w:rsidRPr="00CD0FEB">
        <w:rPr>
          <w:i/>
          <w:iCs/>
        </w:rPr>
        <w:t>Vela v. City of Houston</w:t>
      </w:r>
      <w:r w:rsidRPr="00CD0FEB">
        <w:t>,</w:t>
      </w:r>
      <w:r>
        <w:rPr>
          <w:vertAlign w:val="superscript"/>
        </w:rPr>
        <w:footnoteReference w:id="727"/>
      </w:r>
      <w:r w:rsidRPr="00CD0FEB">
        <w:t xml:space="preserve"> emergency medical technicians and paramedics did not satisfy this prong of the test where they were required only to complete specified hours of didactic training along with clinical and field experience. However, in </w:t>
      </w:r>
      <w:r w:rsidRPr="00CD0FEB">
        <w:rPr>
          <w:i/>
          <w:iCs/>
        </w:rPr>
        <w:t>Reich v. Wyoming</w:t>
      </w:r>
      <w:r w:rsidRPr="00CD0FEB">
        <w:t>,</w:t>
      </w:r>
      <w:r>
        <w:rPr>
          <w:vertAlign w:val="superscript"/>
        </w:rPr>
        <w:footnoteReference w:id="728"/>
      </w:r>
      <w:r w:rsidRPr="00CD0FEB">
        <w:t xml:space="preserve"> a bachelor’s degree in wildlife management or wildlife biology sufficed for finding game wardens to be professionals.</w:t>
      </w:r>
    </w:p>
    <w:p w14:paraId="2B965215" w14:textId="77777777" w:rsidR="00201F3F" w:rsidRPr="00CD0FEB" w:rsidRDefault="00201F3F" w:rsidP="00FC14B8">
      <w:pPr>
        <w:pStyle w:val="10ATextWithIndent"/>
      </w:pPr>
      <w:r w:rsidRPr="00CD0FEB">
        <w:t>The Third Circuit has held that flight certificates awarded to helicopter pilots were not the equivalent of an advanced academic degree, and therefore the pilots were misclassified as exempt learned professionals, reasoning that “[l]ogging in-flight hours, in-flight instruction, and passing practical and written tests do not qualify as a ‘prolonged course of specialized intellectual instruction and study.’”</w:t>
      </w:r>
      <w:r>
        <w:rPr>
          <w:vertAlign w:val="superscript"/>
        </w:rPr>
        <w:footnoteReference w:id="729"/>
      </w:r>
      <w:r w:rsidRPr="00CD0FEB">
        <w:t xml:space="preserve"> The court agreed with a district court’s characterization of helicopter pilots as “merely highly trained technicians.”</w:t>
      </w:r>
      <w:r>
        <w:rPr>
          <w:vertAlign w:val="superscript"/>
        </w:rPr>
        <w:footnoteReference w:id="730"/>
      </w:r>
      <w:r w:rsidRPr="00CD0FEB">
        <w:t xml:space="preserve"> Regulatory guidance also suggests pilots may not qualify for the professional exemption.</w:t>
      </w:r>
      <w:r>
        <w:rPr>
          <w:vertAlign w:val="superscript"/>
        </w:rPr>
        <w:footnoteReference w:id="731"/>
      </w:r>
    </w:p>
    <w:p w14:paraId="40D7C9B1" w14:textId="77777777" w:rsidR="00201F3F" w:rsidRPr="00CD0FEB" w:rsidRDefault="00201F3F" w:rsidP="00FC14B8">
      <w:pPr>
        <w:pStyle w:val="06Third-LevelHead123"/>
      </w:pPr>
      <w:r w:rsidRPr="00CD0FEB">
        <w:t>4.</w:t>
      </w:r>
      <w:r w:rsidRPr="00CD0FEB">
        <w:tab/>
        <w:t>Regulatory Guidance on Specific Learned Professional Occupations</w:t>
      </w:r>
    </w:p>
    <w:p w14:paraId="316171E1" w14:textId="77777777" w:rsidR="00201F3F" w:rsidRPr="00CD0FEB" w:rsidRDefault="00201F3F" w:rsidP="00FC14B8">
      <w:pPr>
        <w:pStyle w:val="10ATextWithIndent"/>
      </w:pPr>
      <w:r w:rsidRPr="00CD0FEB">
        <w:t>The regulations provide guidance as to whether certain specific occupations generally come within the scope of the exemption for learned professionals.</w:t>
      </w:r>
      <w:r>
        <w:rPr>
          <w:vertAlign w:val="superscript"/>
        </w:rPr>
        <w:footnoteReference w:id="732"/>
      </w:r>
      <w:r w:rsidRPr="00CD0FEB">
        <w:t xml:space="preserve"> These are set forth below. The </w:t>
      </w:r>
      <w:r w:rsidRPr="00CD0FEB">
        <w:rPr>
          <w:i/>
          <w:iCs/>
        </w:rPr>
        <w:t>Field Operations Handbook</w:t>
      </w:r>
      <w:r w:rsidRPr="00CD0FEB">
        <w:t xml:space="preserve"> also provides subregulatory guidance as to some specific occupations.</w:t>
      </w:r>
      <w:r>
        <w:rPr>
          <w:vertAlign w:val="superscript"/>
        </w:rPr>
        <w:footnoteReference w:id="733"/>
      </w:r>
      <w:r w:rsidRPr="00CD0FEB">
        <w:t xml:space="preserve"> Finally, the regulations caution that the areas in which the learned professional exemption may be available are expanding.</w:t>
      </w:r>
      <w:r>
        <w:rPr>
          <w:vertAlign w:val="superscript"/>
        </w:rPr>
        <w:footnoteReference w:id="734"/>
      </w:r>
    </w:p>
    <w:p w14:paraId="025A91C5" w14:textId="77777777" w:rsidR="00201F3F" w:rsidRPr="00CD0FEB" w:rsidRDefault="00201F3F" w:rsidP="00FC14B8">
      <w:pPr>
        <w:pStyle w:val="07Fourth-LevelHeadabc"/>
      </w:pPr>
      <w:r w:rsidRPr="00CD0FEB">
        <w:t>a.</w:t>
      </w:r>
      <w:r w:rsidRPr="00CD0FEB">
        <w:tab/>
        <w:t>Registered or Certified Medical Technologists—29 C.F.R. §541.301(e)(1)</w:t>
      </w:r>
    </w:p>
    <w:p w14:paraId="6796DB8D" w14:textId="77777777" w:rsidR="00201F3F" w:rsidRPr="00CD0FEB" w:rsidRDefault="00201F3F" w:rsidP="00FC14B8">
      <w:pPr>
        <w:pStyle w:val="10ATextWithIndent"/>
      </w:pPr>
      <w:r w:rsidRPr="00CD0FEB">
        <w:t>Registered or certified medical technologists qualify as exempt learned professionals where the technologist must complete three years of academic preprofessional study in an accredited college or university plus a fourth year of professional course work approved by the AMA Council of Medical Education.</w:t>
      </w:r>
      <w:r>
        <w:rPr>
          <w:vertAlign w:val="superscript"/>
        </w:rPr>
        <w:footnoteReference w:id="735"/>
      </w:r>
    </w:p>
    <w:p w14:paraId="217197C7" w14:textId="77777777" w:rsidR="00201F3F" w:rsidRPr="00CD0FEB" w:rsidRDefault="00201F3F" w:rsidP="00FC14B8">
      <w:pPr>
        <w:pStyle w:val="10ATextWithIndent"/>
      </w:pPr>
      <w:r w:rsidRPr="00CD0FEB">
        <w:t>X-ray technicians who are only responsible for the technical quality of images are not exempt.</w:t>
      </w:r>
      <w:r>
        <w:rPr>
          <w:vertAlign w:val="superscript"/>
        </w:rPr>
        <w:footnoteReference w:id="736"/>
      </w:r>
      <w:r w:rsidRPr="00CD0FEB">
        <w:t xml:space="preserve"> Similarly, in a 2008 opinion letter, the DOL opined that Certified Occupational Therapist Assistants who were required to complete “at least 60 academic semester credits or the equivalent from an accredited institution of higher education” did not qualify for the learned professional exemption because “the completion of 60 semester hours does not qualify as a ‘prolonged course of specialized intellectual instruction,’” as distinguished from “the more rigorous course of study required for registered or certified medical technologists,” a profession that is ordinarily exempt.</w:t>
      </w:r>
      <w:r>
        <w:rPr>
          <w:vertAlign w:val="superscript"/>
        </w:rPr>
        <w:footnoteReference w:id="737"/>
      </w:r>
      <w:r w:rsidRPr="00CD0FEB">
        <w:t xml:space="preserve"> The DOL has been clear that “[t]he existence of a mandatory, accredited certification program does not override the regulatory requirement for a prolonged course of specialized intellectual instruction for entry into the field.”</w:t>
      </w:r>
      <w:r>
        <w:rPr>
          <w:vertAlign w:val="superscript"/>
        </w:rPr>
        <w:footnoteReference w:id="738"/>
      </w:r>
      <w:r w:rsidRPr="00CD0FEB">
        <w:t xml:space="preserve"> The exemption was likewise deemed inapplicable to ultrasound technologists.</w:t>
      </w:r>
      <w:r>
        <w:rPr>
          <w:vertAlign w:val="superscript"/>
        </w:rPr>
        <w:footnoteReference w:id="739"/>
      </w:r>
    </w:p>
    <w:p w14:paraId="1DD878D3" w14:textId="77777777" w:rsidR="00201F3F" w:rsidRPr="00CD0FEB" w:rsidRDefault="00201F3F" w:rsidP="00FC14B8">
      <w:pPr>
        <w:pStyle w:val="07Fourth-LevelHeadabc"/>
      </w:pPr>
      <w:r w:rsidRPr="00CD0FEB">
        <w:t>b.</w:t>
      </w:r>
      <w:r w:rsidRPr="00CD0FEB">
        <w:tab/>
        <w:t>Nurses—29 C.F.R. §541.301(e)(2)</w:t>
      </w:r>
    </w:p>
    <w:p w14:paraId="149FEDBA" w14:textId="77777777" w:rsidR="00201F3F" w:rsidRPr="00CD0FEB" w:rsidRDefault="00201F3F" w:rsidP="00FC14B8">
      <w:pPr>
        <w:pStyle w:val="10ATextWithIndent"/>
      </w:pPr>
      <w:r w:rsidRPr="00CD0FEB">
        <w:t>Although licensed practical nurses and similar health care employees generally do not qualify as exempt professionals because such occupations do not typically require a specialized advanced academic degree,</w:t>
      </w:r>
      <w:r>
        <w:rPr>
          <w:vertAlign w:val="superscript"/>
        </w:rPr>
        <w:footnoteReference w:id="740"/>
      </w:r>
      <w:r w:rsidRPr="00CD0FEB">
        <w:t xml:space="preserve"> state board certified registered nurses ordinarily meet the duties requirements for the learned professional exemption.</w:t>
      </w:r>
      <w:r>
        <w:rPr>
          <w:vertAlign w:val="superscript"/>
        </w:rPr>
        <w:footnoteReference w:id="741"/>
      </w:r>
      <w:r w:rsidRPr="00CD0FEB">
        <w:t xml:space="preserve"> The Second Circuit, in </w:t>
      </w:r>
      <w:r w:rsidRPr="00CD0FEB">
        <w:rPr>
          <w:i/>
          <w:iCs/>
        </w:rPr>
        <w:t>Isett v. Aetna Life Insurance Co.</w:t>
      </w:r>
      <w:r w:rsidRPr="00CD0FEB">
        <w:t>,</w:t>
      </w:r>
      <w:r>
        <w:rPr>
          <w:vertAlign w:val="superscript"/>
        </w:rPr>
        <w:footnoteReference w:id="742"/>
      </w:r>
      <w:r w:rsidRPr="00CD0FEB">
        <w:t xml:space="preserve"> explained the distinction between registered nurses and licensed practical nurses as pertinent to the professional exemption, observing that</w:t>
      </w:r>
    </w:p>
    <w:p w14:paraId="566FBF74" w14:textId="77777777" w:rsidR="00201F3F" w:rsidRPr="00CD0FEB" w:rsidRDefault="00201F3F" w:rsidP="00FC14B8">
      <w:pPr>
        <w:pStyle w:val="09BBlockQuoteWithoutIndent"/>
      </w:pPr>
      <w:r w:rsidRPr="00CD0FEB">
        <w:t>the practice of registered nursing is characterized primarily by the ability to act independent of direction, or under minimal supervision, on the basis of collected clinical data. Licensed practical nurses collect patient data and likely even analyze it, but are not trained to interpret it in a way that allows them to act independently or without direct supervision. The ability to act independently requires substantive command of clinical data, which allows registered nurses, among other things, to provide, supervise, modify, or approve the administration of medically necessary services under limited supervision.</w:t>
      </w:r>
      <w:r>
        <w:rPr>
          <w:vertAlign w:val="superscript"/>
        </w:rPr>
        <w:footnoteReference w:id="743"/>
      </w:r>
    </w:p>
    <w:p w14:paraId="1810988A" w14:textId="77777777" w:rsidR="00201F3F" w:rsidRPr="00CD0FEB" w:rsidRDefault="00201F3F" w:rsidP="00FC14B8">
      <w:pPr>
        <w:pStyle w:val="10BTextWithoutIndent"/>
      </w:pPr>
      <w:r w:rsidRPr="00CD0FEB">
        <w:t xml:space="preserve">In </w:t>
      </w:r>
      <w:r w:rsidRPr="00CD0FEB">
        <w:rPr>
          <w:i/>
          <w:iCs/>
        </w:rPr>
        <w:t>Isett</w:t>
      </w:r>
      <w:r w:rsidRPr="00CD0FEB">
        <w:t>, the Second Circuit rejected the plaintiffs’ contention that “it is only the performance of traditional clinical duties—</w:t>
      </w:r>
      <w:r w:rsidRPr="00CD0FEB">
        <w:rPr>
          <w:i/>
          <w:iCs/>
        </w:rPr>
        <w:t>e.g.</w:t>
      </w:r>
      <w:r w:rsidRPr="00CD0FEB">
        <w:t>, bedside nursing, guiding medical treatment, administering medications, performing diagnostic tests, and analyzing results—that endows registered nurses with a status we describe as ‘professional’”</w:t>
      </w:r>
      <w:r>
        <w:rPr>
          <w:vertAlign w:val="superscript"/>
        </w:rPr>
        <w:footnoteReference w:id="744"/>
      </w:r>
      <w:r w:rsidRPr="00CD0FEB">
        <w:t xml:space="preserve"> and held that utilization review nurses responsible for evaluating claims for insurance benefits that were initially denied and making a clinical determination of medical necessity</w:t>
      </w:r>
      <w:r>
        <w:rPr>
          <w:vertAlign w:val="superscript"/>
        </w:rPr>
        <w:footnoteReference w:id="745"/>
      </w:r>
      <w:r w:rsidRPr="00CD0FEB">
        <w:t xml:space="preserve"> were properly classified as exempt professionals.</w:t>
      </w:r>
      <w:r>
        <w:rPr>
          <w:vertAlign w:val="superscript"/>
        </w:rPr>
        <w:footnoteReference w:id="746"/>
      </w:r>
      <w:r w:rsidRPr="00CD0FEB">
        <w:t xml:space="preserve"> In so holding, the Second Circuit rejected plaintiffs’ reliance on </w:t>
      </w:r>
      <w:r w:rsidRPr="00CD0FEB">
        <w:rPr>
          <w:i/>
          <w:iCs/>
        </w:rPr>
        <w:t>Rego v. Liberty Mutual Managed Care, LLC</w:t>
      </w:r>
      <w:r w:rsidRPr="00CD0FEB">
        <w:t>,</w:t>
      </w:r>
      <w:r>
        <w:rPr>
          <w:vertAlign w:val="superscript"/>
        </w:rPr>
        <w:footnoteReference w:id="747"/>
      </w:r>
      <w:r w:rsidRPr="00CD0FEB">
        <w:t xml:space="preserve"> as “misplaced, if not mistaken altogether,” noting that </w:t>
      </w:r>
      <w:r w:rsidRPr="00CD0FEB">
        <w:rPr>
          <w:i/>
          <w:iCs/>
        </w:rPr>
        <w:t>Rego</w:t>
      </w:r>
      <w:r w:rsidRPr="00CD0FEB">
        <w:t>’s holding rests on the “mistaken legal premise … that because the nurses’ work ‘did not involve the consistent exercise of discretion and judgment’ for purposes of the administrative exemption, the nurses ‘did not, by definition, engage in work requiring advanced knowledge’” and reiterating that “the professional exemption’s ‘discretion and independent judgment’ standard is less stringent than the administrative exemption’s ‘discretion and independent judgment’ standard.”</w:t>
      </w:r>
      <w:r>
        <w:rPr>
          <w:vertAlign w:val="superscript"/>
        </w:rPr>
        <w:footnoteReference w:id="748"/>
      </w:r>
      <w:r w:rsidRPr="00CD0FEB">
        <w:t xml:space="preserve"> </w:t>
      </w:r>
    </w:p>
    <w:p w14:paraId="4FB89FFA" w14:textId="77777777" w:rsidR="00201F3F" w:rsidRPr="00CD0FEB" w:rsidRDefault="00201F3F" w:rsidP="00FC14B8">
      <w:pPr>
        <w:pStyle w:val="10ATextWithIndent"/>
      </w:pPr>
      <w:r w:rsidRPr="00CD0FEB">
        <w:t xml:space="preserve">Consistent with </w:t>
      </w:r>
      <w:r w:rsidRPr="00CD0FEB">
        <w:rPr>
          <w:i/>
          <w:iCs/>
        </w:rPr>
        <w:t>Isett</w:t>
      </w:r>
      <w:r w:rsidRPr="00CD0FEB">
        <w:t xml:space="preserve"> is </w:t>
      </w:r>
      <w:r w:rsidRPr="00CD0FEB">
        <w:rPr>
          <w:i/>
          <w:iCs/>
        </w:rPr>
        <w:t>Williams v</w:t>
      </w:r>
      <w:r w:rsidRPr="00CD0FEB">
        <w:t>.</w:t>
      </w:r>
      <w:r w:rsidRPr="00CD0FEB">
        <w:rPr>
          <w:i/>
          <w:iCs/>
        </w:rPr>
        <w:t xml:space="preserve"> Genex Services, LLC</w:t>
      </w:r>
      <w:r w:rsidRPr="00CD0FEB">
        <w:t>,</w:t>
      </w:r>
      <w:r>
        <w:rPr>
          <w:vertAlign w:val="superscript"/>
        </w:rPr>
        <w:footnoteReference w:id="749"/>
      </w:r>
      <w:r w:rsidRPr="00CD0FEB">
        <w:t xml:space="preserve"> where the Fourth Circuit held that a registered nurse working as a field medical case manager for a provider of integrated managed care services was properly classified as an exempt professional. </w:t>
      </w:r>
    </w:p>
    <w:p w14:paraId="78DE1C59" w14:textId="77777777" w:rsidR="00201F3F" w:rsidRPr="00CD0FEB" w:rsidRDefault="00201F3F" w:rsidP="00FC14B8">
      <w:pPr>
        <w:pStyle w:val="07Fourth-LevelHeadabc"/>
      </w:pPr>
      <w:r w:rsidRPr="00CD0FEB">
        <w:t>c.</w:t>
      </w:r>
      <w:r w:rsidRPr="00CD0FEB">
        <w:tab/>
        <w:t>Dental Hygienists—29 C.F.R. §541.301(e)(3)</w:t>
      </w:r>
    </w:p>
    <w:p w14:paraId="7BF27D10" w14:textId="77777777" w:rsidR="00201F3F" w:rsidRPr="00CD0FEB" w:rsidRDefault="00201F3F" w:rsidP="00FC14B8">
      <w:pPr>
        <w:pStyle w:val="10ATextWithIndent"/>
      </w:pPr>
      <w:r w:rsidRPr="00CD0FEB">
        <w:t>Dental hygienists who have completed four years of study at an accredited college or university in a program approved by the Commission on Accreditation of Dental and Dental Auxiliary Education Programs of the American Dental Association will generally meet the duties requirements.</w:t>
      </w:r>
      <w:r>
        <w:rPr>
          <w:vertAlign w:val="superscript"/>
        </w:rPr>
        <w:footnoteReference w:id="750"/>
      </w:r>
    </w:p>
    <w:p w14:paraId="20B4BD09" w14:textId="77777777" w:rsidR="00201F3F" w:rsidRPr="00CD0FEB" w:rsidRDefault="00201F3F" w:rsidP="00FC14B8">
      <w:pPr>
        <w:pStyle w:val="07Fourth-LevelHeadabc"/>
      </w:pPr>
      <w:r w:rsidRPr="00CD0FEB">
        <w:t>d.</w:t>
      </w:r>
      <w:r w:rsidRPr="00CD0FEB">
        <w:tab/>
        <w:t>Physician Assistants—29 C.F.R. §541.301(e)(4)</w:t>
      </w:r>
    </w:p>
    <w:p w14:paraId="50C4BD3D" w14:textId="77777777" w:rsidR="00201F3F" w:rsidRPr="00CD0FEB" w:rsidRDefault="00201F3F" w:rsidP="00FC14B8">
      <w:pPr>
        <w:pStyle w:val="10ATextWithIndent"/>
      </w:pPr>
      <w:r w:rsidRPr="00CD0FEB">
        <w:t>The regulation requires completion of four years of study, including graduation from a physician assistant program accredited by the Accreditation Review Commission on Education for the Physician Assistant, and certification by the National Commission on Certification of Physician Assistants generally to qualify for the exemption and that the Physician Assistant be licensed as a condition of working in their particular state of employment.</w:t>
      </w:r>
      <w:r>
        <w:rPr>
          <w:vertAlign w:val="superscript"/>
        </w:rPr>
        <w:footnoteReference w:id="751"/>
      </w:r>
    </w:p>
    <w:p w14:paraId="269CA521" w14:textId="77777777" w:rsidR="00201F3F" w:rsidRPr="00CD0FEB" w:rsidRDefault="00201F3F" w:rsidP="00FC14B8">
      <w:pPr>
        <w:pStyle w:val="07Fourth-LevelHeadabc"/>
      </w:pPr>
      <w:r w:rsidRPr="00CD0FEB">
        <w:t>e.</w:t>
      </w:r>
      <w:r w:rsidRPr="00CD0FEB">
        <w:tab/>
        <w:t>Accountants—29 C.F.R. §541.301(e)(5)</w:t>
      </w:r>
    </w:p>
    <w:p w14:paraId="62779FE7" w14:textId="77777777" w:rsidR="00201F3F" w:rsidRPr="00CD0FEB" w:rsidRDefault="00201F3F" w:rsidP="00FC14B8">
      <w:pPr>
        <w:pStyle w:val="10ATextWithIndent"/>
      </w:pPr>
      <w:r w:rsidRPr="00CD0FEB">
        <w:t>Certified public accountants (CPAs) generally meet the duties requirement.</w:t>
      </w:r>
      <w:r>
        <w:rPr>
          <w:vertAlign w:val="superscript"/>
        </w:rPr>
        <w:footnoteReference w:id="752"/>
      </w:r>
      <w:r w:rsidRPr="00CD0FEB">
        <w:t xml:space="preserve"> Many other accountants who are not CPAs but perform similar duties may also qualify for the learned professional exemption.</w:t>
      </w:r>
      <w:r>
        <w:rPr>
          <w:vertAlign w:val="superscript"/>
        </w:rPr>
        <w:footnoteReference w:id="753"/>
      </w:r>
      <w:r w:rsidRPr="00CD0FEB">
        <w:t xml:space="preserve"> For example, the Seventh Circuit, in </w:t>
      </w:r>
      <w:r w:rsidRPr="00CD0FEB">
        <w:rPr>
          <w:i/>
          <w:iCs/>
        </w:rPr>
        <w:t>Piscione v. Ernst &amp; Young, L.L.P.</w:t>
      </w:r>
      <w:r w:rsidRPr="00CD0FEB">
        <w:t>,</w:t>
      </w:r>
      <w:r>
        <w:rPr>
          <w:vertAlign w:val="superscript"/>
        </w:rPr>
        <w:footnoteReference w:id="754"/>
      </w:r>
      <w:r w:rsidRPr="00CD0FEB">
        <w:t xml:space="preserve"> found that a benefits plans practice group employee qualified as an exempt professional because he performed duties that required advanced knowledge, as evidenced by his college degree in mathematics, his continuing education on changes in tax law, and his membership in the Society of Actuaries.</w:t>
      </w:r>
    </w:p>
    <w:p w14:paraId="223E549C" w14:textId="77777777" w:rsidR="00201F3F" w:rsidRPr="00CD0FEB" w:rsidRDefault="00201F3F" w:rsidP="00FC14B8">
      <w:pPr>
        <w:pStyle w:val="10ATextWithIndent"/>
      </w:pPr>
      <w:r w:rsidRPr="00CD0FEB">
        <w:t>The exemption ordinarily does not apply to accounting clerks, bookkeepers, and other similar employees who normally perform routine work.</w:t>
      </w:r>
      <w:r>
        <w:rPr>
          <w:vertAlign w:val="superscript"/>
        </w:rPr>
        <w:footnoteReference w:id="755"/>
      </w:r>
      <w:r w:rsidRPr="00CD0FEB">
        <w:t xml:space="preserve"> At issue in </w:t>
      </w:r>
      <w:r w:rsidRPr="00CD0FEB">
        <w:rPr>
          <w:i/>
          <w:iCs/>
        </w:rPr>
        <w:t>Pippins v. KPMG LLP </w:t>
      </w:r>
      <w:r>
        <w:rPr>
          <w:vertAlign w:val="superscript"/>
        </w:rPr>
        <w:footnoteReference w:id="756"/>
      </w:r>
      <w:r w:rsidRPr="00CD0FEB">
        <w:t xml:space="preserve"> was the status of “audit associates” for KPMG who occupied the lowest rung of the ladder as “accountants.” The plaintiffs argued that their work did not require specialized academic training or involve the consistent exercise of advanced knowledge or professional judgment since they allegedly performed low-level routine work. For its part, KPMG argued that although audit associates held entry-level positions, they performed tasks requiring the informed judgment characteristic of the accounting profession and relied on skills and knowledge obtained through specialized prior education directed toward professional accountancy accreditation. Like the district court, the court of appeals was swayed by KPMG’s argument, concluding that the junior audit associates performed work requiring advanced knowledge despite the entry-level nature of their work and the high degree of supervision to which they were subject,</w:t>
      </w:r>
      <w:r>
        <w:rPr>
          <w:vertAlign w:val="superscript"/>
        </w:rPr>
        <w:footnoteReference w:id="757"/>
      </w:r>
      <w:r w:rsidRPr="00CD0FEB">
        <w:t xml:space="preserve"> and explaining:</w:t>
      </w:r>
    </w:p>
    <w:p w14:paraId="4C40A988" w14:textId="77777777" w:rsidR="00201F3F" w:rsidRPr="00CD0FEB" w:rsidRDefault="00201F3F" w:rsidP="00FC14B8">
      <w:pPr>
        <w:pStyle w:val="09BBlockQuoteWithoutIndent"/>
      </w:pPr>
      <w:r w:rsidRPr="00CD0FEB">
        <w:t>Thus, we take from our sister circuits’ decisions the sensible proposition that the learned professions exemption applies if workers rely on advanced knowledge of their specialty to exercise discretion and judgment that is characteristic of their field of intellectual endeavor. This interpretation accords with the plain language of the regulations as well as with the Supreme Court’s instruction that the FLSA’s “emphasis on the capacity of the employee counsels in favor of a functional, rather than a formal, inquiry, one that views an employee’s responsibilities in the context of the particular industry in which the employee works.”</w:t>
      </w:r>
      <w:r>
        <w:rPr>
          <w:vertAlign w:val="superscript"/>
        </w:rPr>
        <w:footnoteReference w:id="758"/>
      </w:r>
    </w:p>
    <w:p w14:paraId="67B49D79" w14:textId="77777777" w:rsidR="00201F3F" w:rsidRPr="00105650" w:rsidRDefault="00201F3F" w:rsidP="00FC14B8">
      <w:pPr>
        <w:pStyle w:val="07Fourth-LevelHeadabc"/>
      </w:pPr>
      <w:r w:rsidRPr="00105650">
        <w:t>f.</w:t>
      </w:r>
      <w:r w:rsidRPr="00105650">
        <w:tab/>
        <w:t>Chefs—29 C.F.R. §541.301(e)(6)</w:t>
      </w:r>
    </w:p>
    <w:p w14:paraId="170A0759" w14:textId="77777777" w:rsidR="00201F3F" w:rsidRPr="00CD0FEB" w:rsidRDefault="00201F3F" w:rsidP="00FC14B8">
      <w:pPr>
        <w:pStyle w:val="10ATextWithIndent"/>
      </w:pPr>
      <w:r w:rsidRPr="00CD0FEB">
        <w:t>Executive chefs and sous chefs who have attained four-year specialized culinary arts degrees will generally meet the exemption’s duties requirements.</w:t>
      </w:r>
      <w:r>
        <w:rPr>
          <w:vertAlign w:val="superscript"/>
        </w:rPr>
        <w:footnoteReference w:id="759"/>
      </w:r>
      <w:r w:rsidRPr="00CD0FEB">
        <w:t xml:space="preserve"> However, the learned professional exemption will generally not apply to cooks who perform routine mental, manual, mechanical, or physical work.</w:t>
      </w:r>
      <w:r>
        <w:rPr>
          <w:vertAlign w:val="superscript"/>
        </w:rPr>
        <w:footnoteReference w:id="760"/>
      </w:r>
    </w:p>
    <w:p w14:paraId="76C89362" w14:textId="77777777" w:rsidR="00201F3F" w:rsidRPr="00105650" w:rsidRDefault="00201F3F" w:rsidP="00FC14B8">
      <w:pPr>
        <w:pStyle w:val="07Fourth-LevelHeadabc"/>
      </w:pPr>
      <w:r w:rsidRPr="00105650">
        <w:t>g.</w:t>
      </w:r>
      <w:r w:rsidRPr="00105650">
        <w:tab/>
        <w:t>Paralegals—29 C.F.R. §541.301(e)(7)</w:t>
      </w:r>
    </w:p>
    <w:p w14:paraId="07CAFD55" w14:textId="77777777" w:rsidR="00201F3F" w:rsidRPr="00CD0FEB" w:rsidRDefault="00201F3F" w:rsidP="00FC14B8">
      <w:pPr>
        <w:pStyle w:val="10ATextWithIndent"/>
      </w:pPr>
      <w:r w:rsidRPr="00CD0FEB">
        <w:t>The regulation specifically excludes most paralegals and legal assistants from the learned professional exemption because an advanced academic degree is not a standard prerequisite for entry into the field.</w:t>
      </w:r>
      <w:r>
        <w:rPr>
          <w:vertAlign w:val="superscript"/>
        </w:rPr>
        <w:footnoteReference w:id="761"/>
      </w:r>
      <w:r w:rsidRPr="00CD0FEB">
        <w:t xml:space="preserve"> However, paralegals who possess advanced specialized degrees in another field, such as engineers, and use this advanced knowledge while performing their paralegal duties (as in patent matters) would qualify for the exemption.</w:t>
      </w:r>
      <w:r>
        <w:rPr>
          <w:vertAlign w:val="superscript"/>
        </w:rPr>
        <w:footnoteReference w:id="762"/>
      </w:r>
    </w:p>
    <w:p w14:paraId="11655A8F" w14:textId="77777777" w:rsidR="00201F3F" w:rsidRPr="00CD0FEB" w:rsidRDefault="00201F3F" w:rsidP="00D358F2">
      <w:pPr>
        <w:pStyle w:val="07Fourth-LevelHeadabc"/>
      </w:pPr>
      <w:r w:rsidRPr="00CD0FEB">
        <w:t>h.</w:t>
      </w:r>
      <w:r w:rsidRPr="00CD0FEB">
        <w:tab/>
        <w:t>Athletic Trainers—29 C.F.R. §541.301(e)(8)</w:t>
      </w:r>
    </w:p>
    <w:p w14:paraId="784FC7A8" w14:textId="77777777" w:rsidR="00201F3F" w:rsidRPr="00CD0FEB" w:rsidRDefault="00201F3F" w:rsidP="00D358F2">
      <w:pPr>
        <w:pStyle w:val="10ATextWithIndent"/>
      </w:pPr>
      <w:r w:rsidRPr="00CD0FEB">
        <w:t xml:space="preserve">Drawing on the Fifth Circuit’s decision in </w:t>
      </w:r>
      <w:r w:rsidRPr="00CD0FEB">
        <w:rPr>
          <w:i/>
          <w:iCs/>
        </w:rPr>
        <w:t>Owsley v. San Antonio Independent School District</w:t>
      </w:r>
      <w:r w:rsidRPr="00CD0FEB">
        <w:t>,</w:t>
      </w:r>
      <w:r>
        <w:rPr>
          <w:vertAlign w:val="superscript"/>
        </w:rPr>
        <w:footnoteReference w:id="763"/>
      </w:r>
      <w:r w:rsidRPr="00CD0FEB">
        <w:t xml:space="preserve"> the regulations provide that athletic trainers with four-year academic degrees in accredited specialized curricula related to treatment of athletes will generally meet the duties requirements for the exemption.</w:t>
      </w:r>
      <w:r>
        <w:rPr>
          <w:vertAlign w:val="superscript"/>
        </w:rPr>
        <w:footnoteReference w:id="764"/>
      </w:r>
      <w:r w:rsidRPr="00CD0FEB">
        <w:t xml:space="preserve"> In </w:t>
      </w:r>
      <w:r w:rsidRPr="00CD0FEB">
        <w:rPr>
          <w:i/>
          <w:iCs/>
        </w:rPr>
        <w:t>Owsley</w:t>
      </w:r>
      <w:r w:rsidRPr="00CD0FEB">
        <w:t>, the Fifth Circuit found that athletic trainers consistently exercised discretion and judgment as they were expected to (1) establish specific procedures to be carried out by a coach and/or student trainer in the event of an emergency; (2) be responsible for communication with parents, physicians, coordinating trainers, and coaches concerning injured athletes; and (3) determine the athlete’s return to practice or playing status following an athletic injury.</w:t>
      </w:r>
      <w:r>
        <w:rPr>
          <w:vertAlign w:val="superscript"/>
        </w:rPr>
        <w:footnoteReference w:id="765"/>
      </w:r>
      <w:r w:rsidRPr="00CD0FEB">
        <w:t xml:space="preserve"> In addition, the trainers applied discretionary skills within a standard framework to (1) assess the extent of an injury based on standard treatment guidelines; (2) perform neurological evaluations by assessing consciousness, intellectual performance, sensation, and movement according to standard guidelines; and (3) determine whether the athlete should continue to practice/play after an injury based on well-established tests and criteria when a physician is not present.</w:t>
      </w:r>
      <w:r>
        <w:rPr>
          <w:vertAlign w:val="superscript"/>
        </w:rPr>
        <w:footnoteReference w:id="766"/>
      </w:r>
    </w:p>
    <w:p w14:paraId="27AB8293" w14:textId="77777777" w:rsidR="00201F3F" w:rsidRPr="00CD0FEB" w:rsidRDefault="00201F3F" w:rsidP="00D358F2">
      <w:pPr>
        <w:pStyle w:val="07Fourth-LevelHeadabc"/>
      </w:pPr>
      <w:r w:rsidRPr="00CD0FEB">
        <w:t>i.</w:t>
      </w:r>
      <w:r w:rsidRPr="00CD0FEB">
        <w:tab/>
        <w:t>Funeral Directors or Embalmers—29 C.F.R. §541.301(e)(9)</w:t>
      </w:r>
    </w:p>
    <w:p w14:paraId="79BD15B2" w14:textId="77777777" w:rsidR="00201F3F" w:rsidRPr="00CD0FEB" w:rsidRDefault="00201F3F" w:rsidP="00D358F2">
      <w:pPr>
        <w:pStyle w:val="10ATextWithIndent"/>
      </w:pPr>
      <w:r w:rsidRPr="00CD0FEB">
        <w:t>Generally, funeral directors and embalmers who are licensed by and working in a state that requires a four-year degree program accredited by the American Board of Funeral Service Education will meet the duties test of the learned professional exemption.</w:t>
      </w:r>
      <w:r>
        <w:rPr>
          <w:vertAlign w:val="superscript"/>
        </w:rPr>
        <w:footnoteReference w:id="767"/>
      </w:r>
      <w:r w:rsidRPr="00CD0FEB">
        <w:t xml:space="preserve"> In addition, the embalming and cremation processes were found to be a field of science and learning because they “require knowledge and application of relevant sciences such as anatomy, biology, and chemistry.”</w:t>
      </w:r>
      <w:r>
        <w:rPr>
          <w:vertAlign w:val="superscript"/>
        </w:rPr>
        <w:footnoteReference w:id="768"/>
      </w:r>
    </w:p>
    <w:p w14:paraId="65F634C3" w14:textId="77777777" w:rsidR="00201F3F" w:rsidRPr="00CD0FEB" w:rsidRDefault="00201F3F" w:rsidP="00D358F2">
      <w:pPr>
        <w:pStyle w:val="07Fourth-LevelHeadabc"/>
      </w:pPr>
      <w:r w:rsidRPr="00CD0FEB">
        <w:t>j.</w:t>
      </w:r>
      <w:r w:rsidRPr="00CD0FEB">
        <w:tab/>
        <w:t>Potential Newly Certified Occupations—29 C.F.R. §541.301(f)</w:t>
      </w:r>
    </w:p>
    <w:p w14:paraId="31531AA5" w14:textId="77777777" w:rsidR="00201F3F" w:rsidRPr="00CD0FEB" w:rsidRDefault="00201F3F" w:rsidP="00D358F2">
      <w:pPr>
        <w:pStyle w:val="10ATextWithIndent"/>
      </w:pPr>
      <w:r w:rsidRPr="00CD0FEB">
        <w:t>The 2004 regulation additionally suggested that the exemption may be available to new occupations subject to similar specialized accredited curricula supervised by similar certifying organizations: “[w]hen an advanced specialized degree has become a standard requirement for a particular occupation, that occupation may have acquired the characteristics of a learned profession.”</w:t>
      </w:r>
      <w:r>
        <w:rPr>
          <w:vertAlign w:val="superscript"/>
        </w:rPr>
        <w:footnoteReference w:id="769"/>
      </w:r>
    </w:p>
    <w:p w14:paraId="5C3204CE" w14:textId="77777777" w:rsidR="00201F3F" w:rsidRPr="00CD0FEB" w:rsidRDefault="00201F3F" w:rsidP="00D358F2">
      <w:pPr>
        <w:pStyle w:val="05Second-LevelHeadABC"/>
      </w:pPr>
      <w:r w:rsidRPr="00CD0FEB">
        <w:t>B.</w:t>
      </w:r>
      <w:r w:rsidRPr="00CD0FEB">
        <w:tab/>
        <w:t>Creative Professionals</w:t>
      </w:r>
    </w:p>
    <w:p w14:paraId="05EF3D03" w14:textId="77777777" w:rsidR="00201F3F" w:rsidRPr="00CD0FEB" w:rsidRDefault="00201F3F" w:rsidP="00D358F2">
      <w:pPr>
        <w:pStyle w:val="10ATextWithIndent"/>
      </w:pPr>
      <w:r w:rsidRPr="00CD0FEB">
        <w:t>An artistic or creative professional is exempt if the employee’s primary duty requires invention, imagination, originality, or talent in a recognized field of artistic or creative endeavor.</w:t>
      </w:r>
      <w:r>
        <w:rPr>
          <w:vertAlign w:val="superscript"/>
        </w:rPr>
        <w:footnoteReference w:id="770"/>
      </w:r>
      <w:r w:rsidRPr="00CD0FEB">
        <w:t xml:space="preserve"> Recognized fields of artistic or creative endeavor include music, writing, acting, and the graphic arts.</w:t>
      </w:r>
      <w:r>
        <w:rPr>
          <w:vertAlign w:val="superscript"/>
        </w:rPr>
        <w:footnoteReference w:id="771"/>
      </w:r>
      <w:r w:rsidRPr="00CD0FEB">
        <w:t xml:space="preserve"> Athletes are not included and, therefore, a district court determined that minor league baseball players do not qualify for the creative professional exemption.</w:t>
      </w:r>
      <w:r>
        <w:rPr>
          <w:rStyle w:val="FootnoteReference"/>
        </w:rPr>
        <w:footnoteReference w:id="772"/>
      </w:r>
    </w:p>
    <w:p w14:paraId="46045E54" w14:textId="77777777" w:rsidR="00201F3F" w:rsidRPr="00CD0FEB" w:rsidRDefault="00201F3F" w:rsidP="00D358F2">
      <w:pPr>
        <w:pStyle w:val="10ATextWithIndent"/>
      </w:pPr>
      <w:r w:rsidRPr="00CD0FEB">
        <w:t>Exempt duties do not include work that can be produced by a person with only general manual or intellectual ability and training.</w:t>
      </w:r>
      <w:r>
        <w:rPr>
          <w:vertAlign w:val="superscript"/>
        </w:rPr>
        <w:footnoteReference w:id="773"/>
      </w:r>
      <w:r w:rsidRPr="00CD0FEB">
        <w:t xml:space="preserve"> This distinguishes the work of a creative professional from work that primarily depends on intelligence, diligence, and accuracy.</w:t>
      </w:r>
      <w:r>
        <w:rPr>
          <w:vertAlign w:val="superscript"/>
        </w:rPr>
        <w:footnoteReference w:id="774"/>
      </w:r>
      <w:r w:rsidRPr="00CD0FEB">
        <w:t xml:space="preserve"> Thus, in </w:t>
      </w:r>
      <w:r w:rsidRPr="00CD0FEB">
        <w:rPr>
          <w:i/>
          <w:iCs/>
        </w:rPr>
        <w:t>Shaw v. Prentice Hall, Inc.</w:t>
      </w:r>
      <w:r w:rsidRPr="00CD0FEB">
        <w:t>,</w:t>
      </w:r>
      <w:r>
        <w:rPr>
          <w:vertAlign w:val="superscript"/>
        </w:rPr>
        <w:footnoteReference w:id="775"/>
      </w:r>
      <w:r w:rsidRPr="00CD0FEB">
        <w:t xml:space="preserve"> a federal district court ruled that a production editor/senior production editor for a publishing company was not covered by the professional exemption. Although the plaintiff “did perform some arguably creative editing tasks, her principal duty was to manage a book project through the editing and publishing process, work which required diligence, good time management, organization and assertiveness, but not invention, imagination or talent in a[n] artistic field of endeavor.”</w:t>
      </w:r>
      <w:r>
        <w:rPr>
          <w:vertAlign w:val="superscript"/>
        </w:rPr>
        <w:footnoteReference w:id="776"/>
      </w:r>
    </w:p>
    <w:p w14:paraId="30A385DF" w14:textId="77777777" w:rsidR="00201F3F" w:rsidRPr="00CD0FEB" w:rsidRDefault="00201F3F" w:rsidP="00D358F2">
      <w:pPr>
        <w:pStyle w:val="10ATextWithIndent"/>
      </w:pPr>
      <w:r w:rsidRPr="00CD0FEB">
        <w:t>The regulation allots a separate subsection to the field of journalism,</w:t>
      </w:r>
      <w:r>
        <w:rPr>
          <w:vertAlign w:val="superscript"/>
        </w:rPr>
        <w:footnoteReference w:id="777"/>
      </w:r>
      <w:r w:rsidRPr="00CD0FEB">
        <w:t xml:space="preserve"> and, recognizing that journalists’ duties “vary along a spectrum from the exempt to the nonexempt,” cautions that a determination of exempt creative status must be made on a “case-by-case basis.”</w:t>
      </w:r>
      <w:r>
        <w:rPr>
          <w:vertAlign w:val="superscript"/>
        </w:rPr>
        <w:footnoteReference w:id="778"/>
      </w:r>
      <w:r w:rsidRPr="00CD0FEB">
        <w:t xml:space="preserve"> In general, journalists who simply collect, organize, and record information, or do not contribute a unique or creative interpretation or analysis, are unlikely to be exempt.</w:t>
      </w:r>
      <w:r>
        <w:rPr>
          <w:vertAlign w:val="superscript"/>
        </w:rPr>
        <w:footnoteReference w:id="779"/>
      </w:r>
    </w:p>
    <w:p w14:paraId="0C538F30" w14:textId="77777777" w:rsidR="00201F3F" w:rsidRPr="00CD0FEB" w:rsidRDefault="00201F3F" w:rsidP="00D358F2">
      <w:pPr>
        <w:pStyle w:val="10ATextWithIndent"/>
      </w:pPr>
      <w:r w:rsidRPr="00CD0FEB">
        <w:t xml:space="preserve">In </w:t>
      </w:r>
      <w:r w:rsidRPr="00CD0FEB">
        <w:rPr>
          <w:i/>
          <w:iCs/>
        </w:rPr>
        <w:t>Reich v. Gateway Press</w:t>
      </w:r>
      <w:r w:rsidRPr="00CD0FEB">
        <w:t>,</w:t>
      </w:r>
      <w:r>
        <w:rPr>
          <w:vertAlign w:val="superscript"/>
        </w:rPr>
        <w:footnoteReference w:id="780"/>
      </w:r>
      <w:r w:rsidRPr="00CD0FEB">
        <w:t xml:space="preserve"> the reporters at issue were responsible for following up on press releases, attending meetings, interviewing local officials, and recording their findings in articles. Their duties generally consisted of covering a particular beat and reporting facts in a straightforward, understandable way. The Third Circuit held that where such routine fact-gathering and reporting constitutes a journalist’s day-to-day duties, the journalist is performing nonexempt work.</w:t>
      </w:r>
      <w:r>
        <w:rPr>
          <w:vertAlign w:val="superscript"/>
        </w:rPr>
        <w:footnoteReference w:id="781"/>
      </w:r>
      <w:r w:rsidRPr="00CD0FEB">
        <w:t xml:space="preserve"> In such circumstances, the court stated that the occasional feature article or editorial that does depend upon the journalist’s invention, imagination, or talent will not change the underlying nonexempt nature of the employee’s work.</w:t>
      </w:r>
      <w:r>
        <w:rPr>
          <w:vertAlign w:val="superscript"/>
        </w:rPr>
        <w:footnoteReference w:id="782"/>
      </w:r>
    </w:p>
    <w:p w14:paraId="7CA8C960" w14:textId="77777777" w:rsidR="00201F3F" w:rsidRPr="00CD0FEB" w:rsidRDefault="00201F3F" w:rsidP="00D358F2">
      <w:pPr>
        <w:pStyle w:val="10ATextWithIndent"/>
      </w:pPr>
      <w:r w:rsidRPr="00CD0FEB">
        <w:t xml:space="preserve">Likewise, in </w:t>
      </w:r>
      <w:r w:rsidRPr="00CD0FEB">
        <w:rPr>
          <w:i/>
          <w:iCs/>
        </w:rPr>
        <w:t>Wang v</w:t>
      </w:r>
      <w:r w:rsidRPr="00CD0FEB">
        <w:t>.</w:t>
      </w:r>
      <w:r w:rsidRPr="00CD0FEB">
        <w:rPr>
          <w:i/>
          <w:iCs/>
        </w:rPr>
        <w:t xml:space="preserve"> Chinese Daily News, Inc</w:t>
      </w:r>
      <w:r w:rsidRPr="00CD0FEB">
        <w:t>.,</w:t>
      </w:r>
      <w:r>
        <w:rPr>
          <w:vertAlign w:val="superscript"/>
        </w:rPr>
        <w:footnoteReference w:id="783"/>
      </w:r>
      <w:r w:rsidRPr="00CD0FEB">
        <w:t xml:space="preserve"> the Ninth Circuit concluded that the professional exemption did not apply to reporters for a Chinese-language daily newspaper with a circulation of 30,000 whose articles “do not have the sophistication of the national-level papers at which one might expect to find the small minority of journalists who are exempt.”</w:t>
      </w:r>
      <w:r>
        <w:rPr>
          <w:vertAlign w:val="superscript"/>
        </w:rPr>
        <w:footnoteReference w:id="784"/>
      </w:r>
      <w:r w:rsidRPr="00CD0FEB">
        <w:t xml:space="preserve"> In reaching this conclusion, the court of appeals noted that many of the reporters’ “articles may be characterized as ‘standard recounts of public information created by gathering facts on routine community events,’ as opposed to the product of in-depth analysis.”</w:t>
      </w:r>
      <w:r>
        <w:rPr>
          <w:vertAlign w:val="superscript"/>
        </w:rPr>
        <w:footnoteReference w:id="785"/>
      </w:r>
    </w:p>
    <w:p w14:paraId="724256C4" w14:textId="77777777" w:rsidR="00201F3F" w:rsidRPr="00CD0FEB" w:rsidRDefault="00201F3F" w:rsidP="00D358F2">
      <w:pPr>
        <w:pStyle w:val="10ATextWithIndent"/>
      </w:pPr>
      <w:r w:rsidRPr="00CD0FEB">
        <w:t>However, more complex, analytical journalistic writing may qualify as exempt work. Courts have recognized that many modern reporters who engage in analytical reporting must exercise invention, imagination, and talent to perform their work.</w:t>
      </w:r>
      <w:r>
        <w:rPr>
          <w:vertAlign w:val="superscript"/>
        </w:rPr>
        <w:footnoteReference w:id="786"/>
      </w:r>
      <w:r w:rsidRPr="00CD0FEB">
        <w:t xml:space="preserve"> In contrast to the reporter sent out with specific instructions as to what story to cover and how to cover it, a journalist who must generate story ideas, “write engaging, imaginative prose,” or “produce stories containing thoughtful analysis of complex issues” may qualify as an exempt artistic professional.</w:t>
      </w:r>
      <w:r>
        <w:rPr>
          <w:vertAlign w:val="superscript"/>
        </w:rPr>
        <w:footnoteReference w:id="787"/>
      </w:r>
    </w:p>
    <w:p w14:paraId="760796CF" w14:textId="77777777" w:rsidR="00201F3F" w:rsidRPr="00CD0FEB" w:rsidRDefault="00201F3F" w:rsidP="00D358F2">
      <w:pPr>
        <w:pStyle w:val="10ATextWithIndent"/>
      </w:pPr>
      <w:r w:rsidRPr="00CD0FEB">
        <w:t>Television, radio, and other electronic media journalists may be exempt as creative professionals if their primary duty is conducting “on air” interviews, writing editorials, serving as commentators, or the like.</w:t>
      </w:r>
      <w:r>
        <w:rPr>
          <w:vertAlign w:val="superscript"/>
        </w:rPr>
        <w:footnoteReference w:id="788"/>
      </w:r>
      <w:r w:rsidRPr="00CD0FEB">
        <w:t xml:space="preserve"> The challenge is to differentiate between employees who “work in a medium capable of bearing creative expression, but whose duties are nevertheless functional in nature” and employees who truly produce innately creative work.</w:t>
      </w:r>
      <w:r>
        <w:rPr>
          <w:vertAlign w:val="superscript"/>
        </w:rPr>
        <w:footnoteReference w:id="789"/>
      </w:r>
    </w:p>
    <w:p w14:paraId="1C317BE9" w14:textId="77777777" w:rsidR="00201F3F" w:rsidRPr="00CD0FEB" w:rsidRDefault="00201F3F" w:rsidP="00D358F2">
      <w:pPr>
        <w:pStyle w:val="10ATextWithIndent"/>
      </w:pPr>
      <w:r w:rsidRPr="00CD0FEB">
        <w:t>Historically, the structure of television news organizations, particularly the establishment of both editorial policy and the visual format of news programs by upper management, has resulted in most television journalists being deemed beyond the scope of the creative professional exemption. Reporters who are directed to cover particular stories and instructed as to the focus of the story and the individuals to interview in order to create a balanced story within an established format have been found not to use sufficient creativity, invention, imagination, or talent to be considered exempt.</w:t>
      </w:r>
      <w:r>
        <w:rPr>
          <w:vertAlign w:val="superscript"/>
        </w:rPr>
        <w:footnoteReference w:id="790"/>
      </w:r>
      <w:r w:rsidRPr="00CD0FEB">
        <w:t xml:space="preserve"> Similarly, it has been held that directors who generally operate within accepted guidelines to generate a program that meets a prescribed look also fail to use sufficient invention, imagination, or talent to be considered exempt.</w:t>
      </w:r>
      <w:r>
        <w:rPr>
          <w:vertAlign w:val="superscript"/>
        </w:rPr>
        <w:footnoteReference w:id="791"/>
      </w:r>
      <w:r w:rsidRPr="00CD0FEB">
        <w:t xml:space="preserve"> The same has held true for news producers who follow accepted conventions in selecting and grouping stories and pacing a newscast; they have been found to be nonexempt.</w:t>
      </w:r>
      <w:r>
        <w:rPr>
          <w:vertAlign w:val="superscript"/>
        </w:rPr>
        <w:footnoteReference w:id="792"/>
      </w:r>
    </w:p>
    <w:p w14:paraId="316B6519" w14:textId="77777777" w:rsidR="00201F3F" w:rsidRPr="00CD0FEB" w:rsidRDefault="00201F3F" w:rsidP="00D358F2">
      <w:pPr>
        <w:pStyle w:val="10ATextWithIndent"/>
      </w:pPr>
      <w:r w:rsidRPr="00CD0FEB">
        <w:t xml:space="preserve">However, the Second Circuit, in </w:t>
      </w:r>
      <w:r w:rsidRPr="00CD0FEB">
        <w:rPr>
          <w:i/>
          <w:iCs/>
        </w:rPr>
        <w:t>Freeman v. National Broadcasting Co.</w:t>
      </w:r>
      <w:r w:rsidRPr="00CD0FEB">
        <w:t>,</w:t>
      </w:r>
      <w:r>
        <w:rPr>
          <w:vertAlign w:val="superscript"/>
        </w:rPr>
        <w:footnoteReference w:id="793"/>
      </w:r>
      <w:r w:rsidRPr="00CD0FEB">
        <w:t xml:space="preserve"> held that television news writers, editors, producers, and field producers of the </w:t>
      </w:r>
      <w:r w:rsidRPr="00CD0FEB">
        <w:rPr>
          <w:i/>
          <w:iCs/>
        </w:rPr>
        <w:t>NBC Nightly News</w:t>
      </w:r>
      <w:r w:rsidRPr="00CD0FEB">
        <w:t xml:space="preserve"> qualified for exempt status as artistic professionals. The court found it inconsistent with the protectionist objectives of the FLSA to apply the overtime requirements to highly skilled and respected broadcast journalists: “The FLSA is properly construed as a shield to protect unwary workers; it is not a sword by which writers and producers at the pinnacle of accomplishment and prestige in broadcast journalism may obtain a benefit from their employer for which they did not bargain.”</w:t>
      </w:r>
      <w:r>
        <w:rPr>
          <w:vertAlign w:val="superscript"/>
        </w:rPr>
        <w:footnoteReference w:id="794"/>
      </w:r>
    </w:p>
    <w:p w14:paraId="0012468E" w14:textId="77777777" w:rsidR="00201F3F" w:rsidRPr="00CD0FEB" w:rsidRDefault="00201F3F" w:rsidP="00D358F2">
      <w:pPr>
        <w:pStyle w:val="05Second-LevelHeadABC"/>
      </w:pPr>
      <w:r w:rsidRPr="00CD0FEB">
        <w:t>C.</w:t>
      </w:r>
      <w:r w:rsidRPr="00CD0FEB">
        <w:tab/>
        <w:t>Teachers</w:t>
      </w:r>
    </w:p>
    <w:p w14:paraId="58295A3A" w14:textId="77777777" w:rsidR="00201F3F" w:rsidRPr="00CD0FEB" w:rsidRDefault="00201F3F" w:rsidP="00D358F2">
      <w:pPr>
        <w:pStyle w:val="10ATextWithIndent"/>
      </w:pPr>
      <w:r w:rsidRPr="00CD0FEB">
        <w:t>A teacher is exempt where the primary duty of the job is “teaching, tutoring, instructing, or lecturing in the activity of imparting knowledge,” and the teacher “is employed and engaged in this activity as a teacher in an educational establishment.”</w:t>
      </w:r>
      <w:r>
        <w:rPr>
          <w:vertAlign w:val="superscript"/>
        </w:rPr>
        <w:footnoteReference w:id="795"/>
      </w:r>
      <w:r w:rsidRPr="00CD0FEB">
        <w:t xml:space="preserve"> The regulations also provide that the requirements of 29 C.F.R. §541.300 (general rules for professional employees) and the requirements of subpart G of the 541 regulations (salary requirements) do not apply to teaching professionals.</w:t>
      </w:r>
      <w:r>
        <w:rPr>
          <w:vertAlign w:val="superscript"/>
        </w:rPr>
        <w:footnoteReference w:id="796"/>
      </w:r>
    </w:p>
    <w:p w14:paraId="45773618" w14:textId="77777777" w:rsidR="00201F3F" w:rsidRPr="00CD0FEB" w:rsidRDefault="00201F3F" w:rsidP="00D358F2">
      <w:pPr>
        <w:pStyle w:val="10ATextWithIndent"/>
      </w:pPr>
      <w:r w:rsidRPr="00CD0FEB">
        <w:t>Correctional facilities,</w:t>
      </w:r>
      <w:r>
        <w:rPr>
          <w:vertAlign w:val="superscript"/>
        </w:rPr>
        <w:footnoteReference w:id="797"/>
      </w:r>
      <w:r w:rsidRPr="00CD0FEB">
        <w:t xml:space="preserve"> day-care centers,</w:t>
      </w:r>
      <w:r>
        <w:rPr>
          <w:vertAlign w:val="superscript"/>
        </w:rPr>
        <w:footnoteReference w:id="798"/>
      </w:r>
      <w:r w:rsidRPr="00CD0FEB">
        <w:t xml:space="preserve"> church-operated schools,</w:t>
      </w:r>
      <w:r>
        <w:rPr>
          <w:vertAlign w:val="superscript"/>
        </w:rPr>
        <w:footnoteReference w:id="799"/>
      </w:r>
      <w:r w:rsidRPr="00CD0FEB">
        <w:t xml:space="preserve"> and language learning centers</w:t>
      </w:r>
      <w:r>
        <w:rPr>
          <w:vertAlign w:val="superscript"/>
        </w:rPr>
        <w:footnoteReference w:id="800"/>
      </w:r>
      <w:r w:rsidRPr="00CD0FEB">
        <w:t xml:space="preserve"> may constitute educational institutions within the meaning of the teaching exemption. On the other hand, a large for-profit corporation that employs workers to conduct on-the-job training for its staff would not qualify as a bona fide educational establishment if the instructors are simply supervising, directing, and training employees who are performing work functions.</w:t>
      </w:r>
      <w:r>
        <w:rPr>
          <w:vertAlign w:val="superscript"/>
        </w:rPr>
        <w:footnoteReference w:id="801"/>
      </w:r>
    </w:p>
    <w:p w14:paraId="096301BA" w14:textId="77777777" w:rsidR="00201F3F" w:rsidRPr="00CD0FEB" w:rsidRDefault="00201F3F" w:rsidP="00D358F2">
      <w:pPr>
        <w:pStyle w:val="10ATextWithIndent"/>
      </w:pPr>
      <w:r w:rsidRPr="00CD0FEB">
        <w:t>The regulation not only notes the possession of a teaching certificate as a clear means of identifying those contemplated as being potentially exempt teachers,</w:t>
      </w:r>
      <w:r>
        <w:rPr>
          <w:vertAlign w:val="superscript"/>
        </w:rPr>
        <w:footnoteReference w:id="802"/>
      </w:r>
      <w:r w:rsidRPr="00CD0FEB">
        <w:t xml:space="preserve"> but also contains examples of the types of teachers who are generally exempt:</w:t>
      </w:r>
    </w:p>
    <w:p w14:paraId="3645E93A" w14:textId="77777777" w:rsidR="00201F3F" w:rsidRPr="00CD0FEB" w:rsidRDefault="00201F3F" w:rsidP="00D358F2">
      <w:pPr>
        <w:pStyle w:val="09BBlockQuoteWithoutIndent"/>
      </w:pPr>
      <w:r w:rsidRPr="00CD0FEB">
        <w:t>Regular academic teachers; teachers of kindergarten or nursery school pupils; teachers of gifted or disabled children; teachers of skilled and semi-skilled trades and occupations; teachers engaged in automobile driving instruction; aircraft flight instructors; home economics teachers; and vocal or instrumental music instructors. Those faculty members who are engaged as teachers but also spend a considerable amount of their time in extracurricular activities such as coaching athletic teams or acting as moderators or advisers in such areas as drama, speech, debate or journalism are engaged in teaching.</w:t>
      </w:r>
      <w:r>
        <w:rPr>
          <w:vertAlign w:val="superscript"/>
        </w:rPr>
        <w:footnoteReference w:id="803"/>
      </w:r>
    </w:p>
    <w:p w14:paraId="331139CD" w14:textId="77777777" w:rsidR="00201F3F" w:rsidRPr="00CD0FEB" w:rsidRDefault="00201F3F" w:rsidP="00D358F2">
      <w:pPr>
        <w:pStyle w:val="10ATextWithIndent"/>
      </w:pPr>
      <w:r w:rsidRPr="00CD0FEB">
        <w:t>Thus, the exemption applies to preschool teachers,</w:t>
      </w:r>
      <w:r>
        <w:rPr>
          <w:vertAlign w:val="superscript"/>
        </w:rPr>
        <w:footnoteReference w:id="804"/>
      </w:r>
      <w:r w:rsidRPr="00CD0FEB">
        <w:t xml:space="preserve"> as well as “Nutritional Outreach Instructors” employed by a university’s Extension Services Department responsible for teaching classes on healthy nutrition and cooking techniques to the public at a variety of locations, such as community centers, churches, and homes.</w:t>
      </w:r>
      <w:r>
        <w:rPr>
          <w:vertAlign w:val="superscript"/>
        </w:rPr>
        <w:footnoteReference w:id="805"/>
      </w:r>
      <w:r w:rsidRPr="00CD0FEB">
        <w:t xml:space="preserve"> The DOL has also opined that “[c]oaches qualify for the exemption if their primary duty is teaching and imparting knowledge to students in an educational establishment.”</w:t>
      </w:r>
      <w:r>
        <w:rPr>
          <w:vertAlign w:val="superscript"/>
        </w:rPr>
        <w:footnoteReference w:id="806"/>
      </w:r>
      <w:r w:rsidRPr="00CD0FEB">
        <w:t xml:space="preserve"> In other opinion letters, the DOL has determined that the teaching professional exemption applies to certain flight school instructors,</w:t>
      </w:r>
      <w:r>
        <w:rPr>
          <w:vertAlign w:val="superscript"/>
        </w:rPr>
        <w:footnoteReference w:id="807"/>
      </w:r>
      <w:r w:rsidRPr="00CD0FEB">
        <w:t xml:space="preserve"> a certified scuba instructor for a nonprofit organization,</w:t>
      </w:r>
      <w:r>
        <w:rPr>
          <w:vertAlign w:val="superscript"/>
        </w:rPr>
        <w:footnoteReference w:id="808"/>
      </w:r>
      <w:r w:rsidRPr="00CD0FEB">
        <w:t xml:space="preserve"> and air traffic control instructors.</w:t>
      </w:r>
      <w:r>
        <w:rPr>
          <w:vertAlign w:val="superscript"/>
        </w:rPr>
        <w:footnoteReference w:id="809"/>
      </w:r>
    </w:p>
    <w:p w14:paraId="36E33E3F" w14:textId="77777777" w:rsidR="00201F3F" w:rsidRPr="00CD0FEB" w:rsidRDefault="00201F3F" w:rsidP="00D358F2">
      <w:pPr>
        <w:pStyle w:val="10ATextWithIndent"/>
      </w:pPr>
      <w:r w:rsidRPr="00CD0FEB">
        <w:t>In a 2005 opinion letter, the DOL determined that the duties of substitute teachers qualify for the teaching professional exemption as long as the substitute’s primary duty is teaching and imparting knowledge in an educational establishment. However, substitute teachers whose primary duties are not related to teaching students—e.g., performing general clerical, administrative, or manual labor—do not qualify for the teaching professional exemption.</w:t>
      </w:r>
      <w:r>
        <w:rPr>
          <w:vertAlign w:val="superscript"/>
        </w:rPr>
        <w:footnoteReference w:id="810"/>
      </w:r>
    </w:p>
    <w:p w14:paraId="46D7C962" w14:textId="77777777" w:rsidR="00201F3F" w:rsidRPr="00CD0FEB" w:rsidRDefault="00201F3F" w:rsidP="00D358F2">
      <w:pPr>
        <w:pStyle w:val="10ATextWithIndent"/>
      </w:pPr>
      <w:r w:rsidRPr="00CD0FEB">
        <w:t>In a 2006 opinion letter, the DOL found that instructors at a technical school providing courses in automotive, motorcycle, and marine repair were exempt as teaching professionals, noting that although an advanced degree or teaching certificate was not required, the instructors qualified because they were certified by a nationally recognized trade organization, met the state’s requirements to teach in a vocational school, and performed the usual duties of a teacher. The technical school was also accredited by a nationally recognized accrediting organization for career schools and required its teachers to have at least a high school degree and five years of experience in a related field.</w:t>
      </w:r>
      <w:r>
        <w:rPr>
          <w:vertAlign w:val="superscript"/>
        </w:rPr>
        <w:footnoteReference w:id="811"/>
      </w:r>
    </w:p>
    <w:p w14:paraId="5F558DEA" w14:textId="77777777" w:rsidR="00201F3F" w:rsidRPr="00CD0FEB" w:rsidRDefault="00201F3F" w:rsidP="00D358F2">
      <w:pPr>
        <w:pStyle w:val="10ATextWithIndent"/>
      </w:pPr>
      <w:r w:rsidRPr="00CD0FEB">
        <w:t>By contrast, in a 2003 opinion letter, the DOL observed that a training officer employed by the Minnesota Department of Labor and Industry was not an exempt professional employee.</w:t>
      </w:r>
      <w:r>
        <w:rPr>
          <w:vertAlign w:val="superscript"/>
        </w:rPr>
        <w:footnoteReference w:id="812"/>
      </w:r>
      <w:r w:rsidRPr="00CD0FEB">
        <w:t xml:space="preserve"> The employee’s job entailed training new Occupational Safety and Health Administration (OSHA) investigators; giving presentations on OSHA standards to outside groups such as employers, employees, and the general public; writing and assembling a newsletter for the public; answering questions and taking complaints from the public via telephone, letter, and e-mail; and reviewing employer responses to informal complaints. Although the individual employee in question had an undergraduate degree in chemical engineering and a graduate degree in human resource development, the DOL found that the training position did not require a specialized degree for entry and thus did not qualify as requiring advanced knowledge in a field of science or learning.</w:t>
      </w:r>
      <w:r>
        <w:rPr>
          <w:vertAlign w:val="superscript"/>
        </w:rPr>
        <w:footnoteReference w:id="813"/>
      </w:r>
      <w:r w:rsidRPr="00CD0FEB">
        <w:t xml:space="preserve"> </w:t>
      </w:r>
    </w:p>
    <w:p w14:paraId="703237A0" w14:textId="77777777" w:rsidR="00201F3F" w:rsidRPr="00CD0FEB" w:rsidRDefault="00201F3F" w:rsidP="00D358F2">
      <w:pPr>
        <w:pStyle w:val="10ATextWithIndent"/>
      </w:pPr>
      <w:r w:rsidRPr="00CD0FEB">
        <w:t>Similarly, firearms instructors at the Federal Law Enforcement Training Center did not qualify as exempt teachers where they instructed as to an assigned curriculum and spent a significant amount of time at the firing range “ensuring that the law enforcement officers shooting at the targets are handling the weapons in a safe manner and training the officers in marksmanship skill.”</w:t>
      </w:r>
      <w:r>
        <w:rPr>
          <w:vertAlign w:val="superscript"/>
        </w:rPr>
        <w:footnoteReference w:id="814"/>
      </w:r>
    </w:p>
    <w:p w14:paraId="518CEB5C" w14:textId="77777777" w:rsidR="00201F3F" w:rsidRPr="00CD0FEB" w:rsidRDefault="00201F3F" w:rsidP="00D358F2">
      <w:pPr>
        <w:pStyle w:val="05Second-LevelHeadABC"/>
      </w:pPr>
      <w:r w:rsidRPr="00CD0FEB">
        <w:t>D.</w:t>
      </w:r>
      <w:r w:rsidRPr="00CD0FEB">
        <w:tab/>
        <w:t>Employees Engaged in the Practice of Law or Medicine</w:t>
      </w:r>
    </w:p>
    <w:p w14:paraId="262E1A8A" w14:textId="77777777" w:rsidR="00201F3F" w:rsidRPr="00CD0FEB" w:rsidRDefault="00201F3F" w:rsidP="00D358F2">
      <w:pPr>
        <w:pStyle w:val="10ATextWithIndent"/>
      </w:pPr>
      <w:r w:rsidRPr="00CD0FEB">
        <w:t>The regulations provide that the term “employee employed in a bona fide professional capacity” in Section 213(a)(1) of the FLSA also shall mean</w:t>
      </w:r>
    </w:p>
    <w:p w14:paraId="51BCEC1C" w14:textId="77777777" w:rsidR="00201F3F" w:rsidRPr="00CD0FEB" w:rsidRDefault="00201F3F" w:rsidP="00D358F2">
      <w:pPr>
        <w:pStyle w:val="09BBlockQuoteWithoutIndent"/>
      </w:pPr>
      <w:r w:rsidRPr="00CD0FEB">
        <w:t>(1) Any employee who is the holder of a valid license or certificate permitting the practice of law or medicine or any of their branches and is actually engaged in the practice thereof; and</w:t>
      </w:r>
    </w:p>
    <w:p w14:paraId="57BACF0E" w14:textId="77777777" w:rsidR="00201F3F" w:rsidRPr="00CD0FEB" w:rsidRDefault="00201F3F" w:rsidP="00D358F2">
      <w:pPr>
        <w:pStyle w:val="09BBlockQuoteWithoutIndent"/>
      </w:pPr>
      <w:r w:rsidRPr="00CD0FEB">
        <w:t>(2) Any employee who is the holder of the requisite academic degree for the general practice of medicine and is engaged in an internship or resident program pursuant to the practice of the profession.</w:t>
      </w:r>
      <w:r>
        <w:rPr>
          <w:vertAlign w:val="superscript"/>
        </w:rPr>
        <w:footnoteReference w:id="815"/>
      </w:r>
    </w:p>
    <w:p w14:paraId="34A6209B" w14:textId="77777777" w:rsidR="00201F3F" w:rsidRPr="00CD0FEB" w:rsidRDefault="00201F3F" w:rsidP="00D358F2">
      <w:pPr>
        <w:pStyle w:val="10ATextWithIndent"/>
      </w:pPr>
      <w:r w:rsidRPr="00CD0FEB">
        <w:t>The regulations also provide that in the case of medicine, “the exemption applies to physicians and other practitioners licensed and practicing in the field of medical science and healing or any of the medical specialties practiced by physicians or practitioners.”</w:t>
      </w:r>
      <w:r>
        <w:rPr>
          <w:vertAlign w:val="superscript"/>
        </w:rPr>
        <w:footnoteReference w:id="816"/>
      </w:r>
      <w:r w:rsidRPr="00CD0FEB">
        <w:t xml:space="preserve"> Moreover, the term “physicians” includes medical doctors including general practitioners and specialists, osteopathic physicians (doctors of osteopathy), podiatrists, dentists (doctors of dental medicine), and optometrists (doctors of optometry or bachelors of science in optometry),</w:t>
      </w:r>
      <w:r>
        <w:rPr>
          <w:vertAlign w:val="superscript"/>
        </w:rPr>
        <w:footnoteReference w:id="817"/>
      </w:r>
      <w:r w:rsidRPr="00CD0FEB">
        <w:t xml:space="preserve"> but according to one court, does not extend to a licensed acupuncturist who is not a medical doctor.</w:t>
      </w:r>
      <w:r>
        <w:rPr>
          <w:vertAlign w:val="superscript"/>
        </w:rPr>
        <w:footnoteReference w:id="818"/>
      </w:r>
    </w:p>
    <w:p w14:paraId="643DAFF3" w14:textId="77777777" w:rsidR="00201F3F" w:rsidRPr="00CD0FEB" w:rsidRDefault="00201F3F" w:rsidP="00D358F2">
      <w:pPr>
        <w:pStyle w:val="10ATextWithIndent"/>
      </w:pPr>
      <w:r w:rsidRPr="00CD0FEB">
        <w:t>The regulations also provide that employees engaged in internship or resident programs, whether or not licensed to practice prior to commencement of the program, qualify as exempt professionals if they enter such internship or resident programs after earning the appropriate degree required for the general practice of their profession.</w:t>
      </w:r>
      <w:r>
        <w:rPr>
          <w:vertAlign w:val="superscript"/>
        </w:rPr>
        <w:footnoteReference w:id="819"/>
      </w:r>
    </w:p>
    <w:p w14:paraId="2D93EEB8" w14:textId="77777777" w:rsidR="00201F3F" w:rsidRPr="00CD0FEB" w:rsidRDefault="00201F3F" w:rsidP="00D358F2">
      <w:pPr>
        <w:pStyle w:val="10ATextWithIndent"/>
      </w:pPr>
      <w:r w:rsidRPr="00CD0FEB">
        <w:t>Finally, the regulations provide that the requirements of 29 C.F.R. §541.300 (general rules for professional employees) and the requirements of subpart G of the 541 regulations (salary requirements) do not apply to employees engaged in the practice of law or medicine as described in the 29 C.F.R. §541.304 regulation.</w:t>
      </w:r>
      <w:r>
        <w:rPr>
          <w:vertAlign w:val="superscript"/>
        </w:rPr>
        <w:footnoteReference w:id="820"/>
      </w:r>
      <w:r w:rsidRPr="00CD0FEB">
        <w:t xml:space="preserve"> So, for example, a licensed attorney “engaged in the practice of law” need not be compensated on a salary basis in order to qualify for the exemption.</w:t>
      </w:r>
      <w:r>
        <w:rPr>
          <w:vertAlign w:val="superscript"/>
        </w:rPr>
        <w:footnoteReference w:id="821"/>
      </w:r>
    </w:p>
    <w:p w14:paraId="1F39E2D6" w14:textId="77777777" w:rsidR="00201F3F" w:rsidRPr="00CD0FEB" w:rsidRDefault="00201F3F" w:rsidP="00D358F2">
      <w:pPr>
        <w:pStyle w:val="10ATextWithIndent"/>
      </w:pPr>
      <w:r w:rsidRPr="00CD0FEB">
        <w:t>Some cases have tested the limits of the “engaged in the practice” prong of this test.</w:t>
      </w:r>
      <w:r>
        <w:rPr>
          <w:rStyle w:val="FootnoteReference"/>
        </w:rPr>
        <w:footnoteReference w:id="822"/>
      </w:r>
      <w:r w:rsidRPr="00CD0FEB">
        <w:t xml:space="preserve"> In </w:t>
      </w:r>
      <w:r w:rsidRPr="00CD0FEB">
        <w:rPr>
          <w:i/>
          <w:iCs/>
        </w:rPr>
        <w:t>Lola v. Skadden, Arps, Slate, Meagher &amp; Flom, LLP</w:t>
      </w:r>
      <w:r w:rsidRPr="00CD0FEB">
        <w:t>,</w:t>
      </w:r>
      <w:r>
        <w:rPr>
          <w:vertAlign w:val="superscript"/>
        </w:rPr>
        <w:footnoteReference w:id="823"/>
      </w:r>
      <w:r w:rsidRPr="00CD0FEB">
        <w:t xml:space="preserve"> the Second Circuit reversed the trial court’s dismissal of a contract attorney’s overtime claims arising from document review work performed in North Carolina. Ruling that the question of whether the document review at issue was “engaging in the practice of law” or so mechanical to be outside the bounds of professional practice was an issue of state law (North Carolina), the appellate panel remanded the case to the trial court to determine if the plaintiff exercised at least a modicum of independent legal judgment in the course of his document review project.</w:t>
      </w:r>
      <w:r>
        <w:rPr>
          <w:vertAlign w:val="superscript"/>
        </w:rPr>
        <w:footnoteReference w:id="824"/>
      </w:r>
      <w:r w:rsidRPr="00CD0FEB">
        <w:t xml:space="preserve"> This decision contrasts with another where the plaintiff, a licensed and practicing attorney, was hired for document review on a complex case. Noting that “[a]ttorneys engaged in document review must assess the relevance and responsiveness of each document, along with any privilege issues presented,” the court concluded that such tasks were no less “legal” simply because they were routine or performed under guidelines, and found that the plaintiff was engaged in the practice of law and therefore exempt from overtime.</w:t>
      </w:r>
      <w:r>
        <w:rPr>
          <w:vertAlign w:val="superscript"/>
        </w:rPr>
        <w:footnoteReference w:id="825"/>
      </w:r>
    </w:p>
    <w:p w14:paraId="0ABFE4FE" w14:textId="77777777" w:rsidR="00201F3F" w:rsidRPr="00CD0FEB" w:rsidRDefault="00201F3F" w:rsidP="00D358F2">
      <w:pPr>
        <w:pStyle w:val="04First-LevelHeadIIIIII"/>
      </w:pPr>
      <w:r w:rsidRPr="00CD0FEB">
        <w:t>VIII.</w:t>
      </w:r>
      <w:r w:rsidRPr="00CD0FEB">
        <w:t> </w:t>
      </w:r>
      <w:r w:rsidRPr="00CD0FEB">
        <w:t>Highly Compensated Employees</w:t>
      </w:r>
    </w:p>
    <w:p w14:paraId="7EC08F0E" w14:textId="77777777" w:rsidR="00201F3F" w:rsidRPr="00CD0FEB" w:rsidRDefault="00201F3F" w:rsidP="00D358F2">
      <w:pPr>
        <w:pStyle w:val="10ATextWithIndent"/>
      </w:pPr>
      <w:r w:rsidRPr="00CD0FEB">
        <w:t>The 2004 amendments created a new white-collar exemption test for certain “highly compensated” employees. This exemption is only available to employees whose primary duty includes office or nonmanual work; who customarily and regularly perform one or more of the exempt duties or responsibilities of an exempt executive, administrative, or professional employee; and who meet a heightened salary requirement.</w:t>
      </w:r>
      <w:r>
        <w:rPr>
          <w:vertAlign w:val="superscript"/>
        </w:rPr>
        <w:footnoteReference w:id="826"/>
      </w:r>
    </w:p>
    <w:p w14:paraId="3C3D016D" w14:textId="77777777" w:rsidR="00201F3F" w:rsidRPr="00CD0FEB" w:rsidRDefault="00201F3F" w:rsidP="00D358F2">
      <w:pPr>
        <w:pStyle w:val="05Second-LevelHeadABC"/>
      </w:pPr>
      <w:r w:rsidRPr="00CD0FEB">
        <w:t>A.</w:t>
      </w:r>
      <w:r w:rsidRPr="00CD0FEB">
        <w:tab/>
        <w:t>Compensation Requirements</w:t>
      </w:r>
    </w:p>
    <w:p w14:paraId="0B6C7776" w14:textId="77777777" w:rsidR="00201F3F" w:rsidRPr="00CD0FEB" w:rsidRDefault="00201F3F" w:rsidP="00D358F2">
      <w:pPr>
        <w:pStyle w:val="10ATextWithIndent"/>
      </w:pPr>
      <w:r w:rsidRPr="00CD0FEB">
        <w:t>The compensation threshold for highly compensated employees is $107,432 per annum (increased from $100,000 per annum effective January 1, 2020), which includes at least $684 per week paid on a salary or fee basis.</w:t>
      </w:r>
      <w:r>
        <w:rPr>
          <w:vertAlign w:val="superscript"/>
        </w:rPr>
        <w:footnoteReference w:id="827"/>
      </w:r>
      <w:r w:rsidRPr="00CD0FEB">
        <w:t xml:space="preserve"> The $107,432 amount may include commissions, nondiscretionary bonuses, and other nondiscretionary payments earned during a 52-week period, but does not include credit for board, lodging, or other facilities, payments for medical or life insurance, or contributions to retirement plans or other fringe benefits.</w:t>
      </w:r>
      <w:r>
        <w:rPr>
          <w:vertAlign w:val="superscript"/>
        </w:rPr>
        <w:footnoteReference w:id="828"/>
      </w:r>
      <w:r w:rsidRPr="00CD0FEB">
        <w:t xml:space="preserve"> “Additionally, the weekly salary amount of $684 must be paid in its entirety. Employers may not use nondiscretionary bonuses and incentive payments (including commissions) to satisfy any portion of the weekly standard salary level for [highly compensated employees].”</w:t>
      </w:r>
      <w:r>
        <w:rPr>
          <w:vertAlign w:val="superscript"/>
        </w:rPr>
        <w:footnoteReference w:id="829"/>
      </w:r>
    </w:p>
    <w:p w14:paraId="5B2F9A92" w14:textId="77777777" w:rsidR="00201F3F" w:rsidRPr="00CD0FEB" w:rsidRDefault="00201F3F" w:rsidP="00D358F2">
      <w:pPr>
        <w:pStyle w:val="10ATextWithIndent"/>
      </w:pPr>
      <w:r w:rsidRPr="00CD0FEB">
        <w:t>A district court rejected the contention that total compensation should be determined solely on the basis of W-2 earnings and held that pre-tax employee contributions to a 401(k) account and for health insurance premiums are properly included in assessing whether an employee is “highly compensated” as this represents “a voluntary use of funds that the employee would be free to spend elsewhere” and “[t]he choice to spend those earnings on pre-tax contributions does nothing to alter what was earned.”</w:t>
      </w:r>
      <w:r>
        <w:rPr>
          <w:vertAlign w:val="superscript"/>
        </w:rPr>
        <w:footnoteReference w:id="830"/>
      </w:r>
      <w:r w:rsidRPr="00CD0FEB">
        <w:t xml:space="preserve"> At least one court has held that discretionary bonuses are includable in the calculation of a purportedly exempt employee’s total annual compensation for purposes of determining whether the employee met the $100,000 threshold in effect at the time.</w:t>
      </w:r>
      <w:r>
        <w:rPr>
          <w:vertAlign w:val="superscript"/>
        </w:rPr>
        <w:footnoteReference w:id="831"/>
      </w:r>
    </w:p>
    <w:p w14:paraId="4C49AF6D" w14:textId="77777777" w:rsidR="00201F3F" w:rsidRPr="00CD0FEB" w:rsidRDefault="00201F3F" w:rsidP="00D358F2">
      <w:pPr>
        <w:pStyle w:val="10ATextWithIndent"/>
      </w:pPr>
      <w:r w:rsidRPr="00CD0FEB">
        <w:t xml:space="preserve">The Second Circuit ruled in </w:t>
      </w:r>
      <w:r w:rsidRPr="00CD0FEB">
        <w:rPr>
          <w:i/>
          <w:iCs/>
        </w:rPr>
        <w:t>Anani v. CVS Rx Services, Inc.</w:t>
      </w:r>
      <w:r>
        <w:rPr>
          <w:rStyle w:val="FootnoteReference"/>
        </w:rPr>
        <w:footnoteReference w:id="832"/>
      </w:r>
      <w:r w:rsidRPr="00CD0FEB">
        <w:t xml:space="preserve"> that the salary basis requirement may be met where the total compensation (salary plus “extras”) exceeds the minimum threshold, even if it might otherwise fail the “reasonable relationship” test in Section 541.604(b), which requires a ratio between the fixed amount and the extra compensation.</w:t>
      </w:r>
      <w:r>
        <w:rPr>
          <w:vertAlign w:val="superscript"/>
        </w:rPr>
        <w:footnoteReference w:id="833"/>
      </w:r>
      <w:r w:rsidRPr="00CD0FEB">
        <w:t xml:space="preserve"> The First Circuit agreed in </w:t>
      </w:r>
      <w:r w:rsidRPr="00CD0FEB">
        <w:rPr>
          <w:i/>
          <w:iCs/>
        </w:rPr>
        <w:t>Litz v. Saint Consulting Group, Inc.</w:t>
      </w:r>
      <w:r w:rsidRPr="00CD0FEB">
        <w:t>,</w:t>
      </w:r>
      <w:r>
        <w:rPr>
          <w:vertAlign w:val="superscript"/>
        </w:rPr>
        <w:footnoteReference w:id="834"/>
      </w:r>
      <w:r w:rsidRPr="00CD0FEB">
        <w:t xml:space="preserve"> noting that the plaintiffs “sensibly abandoned … the argument that section 541.604(b) applies to highly compensated employees.”</w:t>
      </w:r>
      <w:r>
        <w:rPr>
          <w:vertAlign w:val="superscript"/>
        </w:rPr>
        <w:footnoteReference w:id="835"/>
      </w:r>
      <w:r w:rsidRPr="00CD0FEB">
        <w:t xml:space="preserve"> However, the U.S. Supreme Court concluded otherwise in </w:t>
      </w:r>
      <w:r w:rsidRPr="00CD0FEB">
        <w:rPr>
          <w:i/>
          <w:iCs/>
        </w:rPr>
        <w:t>Helix Energy Solutions Group, Inc. v. Hewitt</w:t>
      </w:r>
      <w:r w:rsidRPr="00CD0FEB">
        <w:t>,</w:t>
      </w:r>
      <w:r>
        <w:rPr>
          <w:rStyle w:val="FootnoteReference"/>
        </w:rPr>
        <w:footnoteReference w:id="836"/>
      </w:r>
      <w:r w:rsidRPr="00CD0FEB">
        <w:t xml:space="preserve"> holding that “§604(b) applies, just as §602(a) does, to the HCE and the general [salary basis] rules alike.”</w:t>
      </w:r>
      <w:r>
        <w:rPr>
          <w:rStyle w:val="FootnoteReference"/>
        </w:rPr>
        <w:footnoteReference w:id="837"/>
      </w:r>
      <w:r w:rsidRPr="00CD0FEB">
        <w:t xml:space="preserve"> </w:t>
      </w:r>
    </w:p>
    <w:p w14:paraId="41DBC103" w14:textId="77777777" w:rsidR="00201F3F" w:rsidRPr="00CD0FEB" w:rsidRDefault="00201F3F" w:rsidP="00D358F2">
      <w:pPr>
        <w:pStyle w:val="10ATextWithIndent"/>
      </w:pPr>
      <w:r w:rsidRPr="00CD0FEB">
        <w:t xml:space="preserve">The Sixth Circuit distinguished </w:t>
      </w:r>
      <w:r w:rsidRPr="00CD0FEB">
        <w:rPr>
          <w:i/>
          <w:iCs/>
        </w:rPr>
        <w:t>Anani</w:t>
      </w:r>
      <w:r w:rsidRPr="00CD0FEB">
        <w:t xml:space="preserve"> and </w:t>
      </w:r>
      <w:r w:rsidRPr="00CD0FEB">
        <w:rPr>
          <w:i/>
          <w:iCs/>
        </w:rPr>
        <w:t>Litz</w:t>
      </w:r>
      <w:r w:rsidRPr="00CD0FEB">
        <w:t xml:space="preserve"> in cases where the employees’ compensation takes the form of a daily rate of pay.</w:t>
      </w:r>
      <w:r>
        <w:rPr>
          <w:rStyle w:val="FootnoteReference"/>
        </w:rPr>
        <w:footnoteReference w:id="838"/>
      </w:r>
      <w:r w:rsidRPr="00CD0FEB">
        <w:t xml:space="preserve"> The plaintiffs in </w:t>
      </w:r>
      <w:r w:rsidRPr="00CD0FEB">
        <w:rPr>
          <w:i/>
          <w:iCs/>
        </w:rPr>
        <w:t>Hughes v. Gulf Interstate Field Services, Inc.</w:t>
      </w:r>
      <w:r>
        <w:rPr>
          <w:vertAlign w:val="superscript"/>
        </w:rPr>
        <w:footnoteReference w:id="839"/>
      </w:r>
      <w:r w:rsidRPr="00CD0FEB">
        <w:t xml:space="preserve"> were welding inspectors on a pipeline project, paid a salary of “$337/Day Worked,” and told they would be working six days a week and 10 hours a day. The welders earned more than $100,000 per year, on an annualized rate, but argued they were not paid on a salary basis because the “day rate” was not augmented by a guaranteed minimum.</w:t>
      </w:r>
      <w:r>
        <w:rPr>
          <w:rStyle w:val="FootnoteReference"/>
        </w:rPr>
        <w:footnoteReference w:id="840"/>
      </w:r>
      <w:r w:rsidRPr="00CD0FEB">
        <w:t xml:space="preserve"> The district court found that an “actual payment practice”—regardless of the existence of a guarantee—controlled the salary basis question, and there was no dispute that the plaintiffs were paid the $100,000.</w:t>
      </w:r>
      <w:r>
        <w:rPr>
          <w:vertAlign w:val="superscript"/>
        </w:rPr>
        <w:footnoteReference w:id="841"/>
      </w:r>
      <w:r w:rsidRPr="00CD0FEB">
        <w:t xml:space="preserve"> On appeal, the Sixth Circuit reversed and remanded, finding that it mattered, for purposes of the salary basis requirement, whether day rate workers were guaranteed the requisite minimum weekly salary, thus creating a genuine issue as to whether such a guarantee existed.</w:t>
      </w:r>
      <w:r>
        <w:rPr>
          <w:vertAlign w:val="superscript"/>
        </w:rPr>
        <w:footnoteReference w:id="842"/>
      </w:r>
      <w:r w:rsidRPr="00CD0FEB">
        <w:t xml:space="preserve"> The court distinguished </w:t>
      </w:r>
      <w:r w:rsidRPr="00CD0FEB">
        <w:rPr>
          <w:i/>
          <w:iCs/>
        </w:rPr>
        <w:t>Anani</w:t>
      </w:r>
      <w:r w:rsidRPr="00CD0FEB">
        <w:t xml:space="preserve"> and </w:t>
      </w:r>
      <w:r w:rsidRPr="00CD0FEB">
        <w:rPr>
          <w:i/>
          <w:iCs/>
        </w:rPr>
        <w:t xml:space="preserve">Litz </w:t>
      </w:r>
      <w:r w:rsidRPr="00CD0FEB">
        <w:t xml:space="preserve">on the basis that in these cases, as in </w:t>
      </w:r>
      <w:r w:rsidRPr="00CD0FEB">
        <w:rPr>
          <w:i/>
          <w:iCs/>
        </w:rPr>
        <w:t>Orton v. Johnny’s Lunch Franchise, LLC</w:t>
      </w:r>
      <w:r w:rsidRPr="00CD0FEB">
        <w:t>,</w:t>
      </w:r>
      <w:r>
        <w:rPr>
          <w:vertAlign w:val="superscript"/>
        </w:rPr>
        <w:footnoteReference w:id="843"/>
      </w:r>
      <w:r w:rsidRPr="00CD0FEB">
        <w:t xml:space="preserve"> the plaintiffs were “undisputedly guaranteed weekly base salaries above the qualifying level.”</w:t>
      </w:r>
      <w:r>
        <w:rPr>
          <w:vertAlign w:val="superscript"/>
        </w:rPr>
        <w:footnoteReference w:id="844"/>
      </w:r>
      <w:r w:rsidRPr="00CD0FEB">
        <w:t xml:space="preserve"> </w:t>
      </w:r>
    </w:p>
    <w:p w14:paraId="268876D2" w14:textId="77777777" w:rsidR="00201F3F" w:rsidRPr="00CD0FEB" w:rsidRDefault="00201F3F" w:rsidP="00D358F2">
      <w:pPr>
        <w:pStyle w:val="10ATextWithIndent"/>
      </w:pPr>
      <w:r w:rsidRPr="00CD0FEB">
        <w:t>In conjunction with the issuance of a salary threshold increase for highly compensated employees to $107,432, the DOL clarified that to qualify for the exemption an employee must receive $684 each week exclusive of variable compensation.</w:t>
      </w:r>
      <w:r>
        <w:rPr>
          <w:vertAlign w:val="superscript"/>
        </w:rPr>
        <w:footnoteReference w:id="845"/>
      </w:r>
    </w:p>
    <w:p w14:paraId="5C430AE3" w14:textId="77777777" w:rsidR="00201F3F" w:rsidRPr="00CD0FEB" w:rsidRDefault="00201F3F" w:rsidP="00D358F2">
      <w:pPr>
        <w:pStyle w:val="10ATextWithIndent"/>
      </w:pPr>
      <w:r w:rsidRPr="00CD0FEB">
        <w:t>There is also a special “topping-up” payment rule, which provides that</w:t>
      </w:r>
    </w:p>
    <w:p w14:paraId="130593F0" w14:textId="77777777" w:rsidR="00201F3F" w:rsidRPr="00CD0FEB" w:rsidRDefault="00201F3F" w:rsidP="00D358F2">
      <w:pPr>
        <w:pStyle w:val="09BBlockQuoteWithoutIndent"/>
      </w:pPr>
      <w:r w:rsidRPr="00CD0FEB">
        <w:t>if the employee’s total annual compensation does not total at least [$107,432] by the last pay period of the 52-week period, the employer may, during the last pay period or within one month after the end of the 52-week period, make one final payment sufficient to achieve the required level.</w:t>
      </w:r>
      <w:r>
        <w:rPr>
          <w:vertAlign w:val="superscript"/>
        </w:rPr>
        <w:footnoteReference w:id="846"/>
      </w:r>
    </w:p>
    <w:p w14:paraId="58092020" w14:textId="77777777" w:rsidR="00201F3F" w:rsidRPr="00CD0FEB" w:rsidRDefault="00201F3F" w:rsidP="00D358F2">
      <w:pPr>
        <w:pStyle w:val="10ATextWithIndent"/>
      </w:pPr>
      <w:r w:rsidRPr="00CD0FEB">
        <w:t>To illustrate the point, the regulation offers the following example:</w:t>
      </w:r>
    </w:p>
    <w:p w14:paraId="71223F78" w14:textId="77777777" w:rsidR="00201F3F" w:rsidRPr="00CD0FEB" w:rsidRDefault="00201F3F" w:rsidP="00D358F2">
      <w:pPr>
        <w:pStyle w:val="09BBlockQuoteWithoutIndent"/>
      </w:pPr>
      <w:r w:rsidRPr="00CD0FEB">
        <w:t>[A]n employee may earn $80,000 in base salary, and the employer may anticipate based upon past sales that the employee also will earn $20,000 in commissions. However, due to poor sales in the final quarter of the year, the employee actually only earns $10,000 in commissions. In this situation, the employer may within one month after the end of the year make a payment of at least $10,000 to the employee. Any such final payment made after the end of the 52-week period may count only toward the prior year’s total annual compensation and not toward the total annual compensation in the year it was paid. If the employer fails to make such a payment, the employee does not qualify as a highly compensated employee … . </w:t>
      </w:r>
      <w:r>
        <w:rPr>
          <w:vertAlign w:val="superscript"/>
        </w:rPr>
        <w:footnoteReference w:id="847"/>
      </w:r>
    </w:p>
    <w:p w14:paraId="49E9C240" w14:textId="77777777" w:rsidR="00201F3F" w:rsidRPr="00CD0FEB" w:rsidRDefault="00201F3F" w:rsidP="00D358F2">
      <w:pPr>
        <w:pStyle w:val="10ATextWithIndent"/>
      </w:pPr>
      <w:r w:rsidRPr="00CD0FEB">
        <w:t>The “topping-up” latitude also extends to employees who have been employed for less than one year.</w:t>
      </w:r>
      <w:r>
        <w:rPr>
          <w:vertAlign w:val="superscript"/>
        </w:rPr>
        <w:footnoteReference w:id="848"/>
      </w:r>
      <w:r w:rsidRPr="00CD0FEB">
        <w:t xml:space="preserve"> Thus,</w:t>
      </w:r>
    </w:p>
    <w:p w14:paraId="27CDDB35" w14:textId="77777777" w:rsidR="00201F3F" w:rsidRPr="00CD0FEB" w:rsidRDefault="00201F3F" w:rsidP="00D358F2">
      <w:pPr>
        <w:pStyle w:val="09BBlockQuoteWithoutIndent"/>
      </w:pPr>
      <w:r w:rsidRPr="00CD0FEB">
        <w:t xml:space="preserve">An employee who does not work a full year for the employer, either because the employee is newly hired after the beginning of the year or ends the employment before the end of the year, may qualify for exemption [as a highly compensated employee] if the employee receives a </w:t>
      </w:r>
      <w:r w:rsidRPr="00CD0FEB">
        <w:rPr>
          <w:i/>
          <w:iCs/>
        </w:rPr>
        <w:t>pro rata</w:t>
      </w:r>
      <w:r w:rsidRPr="00CD0FEB">
        <w:t xml:space="preserve"> portion of the [$107,432] minimum … based upon the number of weeks that the employee will be or has been employed.</w:t>
      </w:r>
      <w:r>
        <w:rPr>
          <w:vertAlign w:val="superscript"/>
        </w:rPr>
        <w:footnoteReference w:id="849"/>
      </w:r>
    </w:p>
    <w:p w14:paraId="1F5F3E72" w14:textId="77777777" w:rsidR="00201F3F" w:rsidRPr="00CD0FEB" w:rsidRDefault="00201F3F" w:rsidP="00D358F2">
      <w:pPr>
        <w:pStyle w:val="05Second-LevelHeadABC"/>
      </w:pPr>
      <w:r w:rsidRPr="00CD0FEB">
        <w:t>B.</w:t>
      </w:r>
      <w:r w:rsidRPr="00CD0FEB">
        <w:tab/>
        <w:t>Duties Requirements</w:t>
      </w:r>
    </w:p>
    <w:p w14:paraId="23EB6C1D" w14:textId="77777777" w:rsidR="00201F3F" w:rsidRPr="00CD0FEB" w:rsidRDefault="00201F3F" w:rsidP="00D358F2">
      <w:pPr>
        <w:pStyle w:val="10ATextWithIndent"/>
      </w:pPr>
      <w:r w:rsidRPr="00CD0FEB">
        <w:t>The highly compensated employee (HCE) exemption only applies to employees whose primary duty includes performing office or other nonmanual work.</w:t>
      </w:r>
      <w:r>
        <w:rPr>
          <w:vertAlign w:val="superscript"/>
        </w:rPr>
        <w:footnoteReference w:id="850"/>
      </w:r>
      <w:r w:rsidRPr="00CD0FEB">
        <w:t xml:space="preserve"> Production line and construction workers like carpenters or mechanics will not qualify for the exemption no matter how highly paid they may be.</w:t>
      </w:r>
      <w:r>
        <w:rPr>
          <w:vertAlign w:val="superscript"/>
        </w:rPr>
        <w:footnoteReference w:id="851"/>
      </w:r>
    </w:p>
    <w:p w14:paraId="199F6011" w14:textId="77777777" w:rsidR="00201F3F" w:rsidRPr="00CD0FEB" w:rsidRDefault="00201F3F" w:rsidP="00D358F2">
      <w:pPr>
        <w:pStyle w:val="10ATextWithIndent"/>
      </w:pPr>
      <w:r w:rsidRPr="00CD0FEB">
        <w:t>“In crafting the highly compensated employee exemption, the Department of Labor made it easier on both employers and courts” by streamlining the duties test in recognition of the fact that “level of compensation is the principal consideration.”</w:t>
      </w:r>
      <w:r>
        <w:rPr>
          <w:vertAlign w:val="superscript"/>
        </w:rPr>
        <w:footnoteReference w:id="852"/>
      </w:r>
      <w:r w:rsidRPr="00CD0FEB">
        <w:t xml:space="preserve"> Because “[a] high level of compensation is a strong indicator of an employee’s exempt status,” a detailed analysis of a highly compensated employee’s job duties is unnecessary.</w:t>
      </w:r>
      <w:r>
        <w:rPr>
          <w:vertAlign w:val="superscript"/>
        </w:rPr>
        <w:footnoteReference w:id="853"/>
      </w:r>
      <w:r w:rsidRPr="00CD0FEB">
        <w:t xml:space="preserve"> To qualify for the exemption, an employee meeting the compensation requirement need only “customarily and regularly” perform one or more of the exempt functions of an executive, administrative, or professional employee.</w:t>
      </w:r>
      <w:r>
        <w:rPr>
          <w:vertAlign w:val="superscript"/>
        </w:rPr>
        <w:footnoteReference w:id="854"/>
      </w:r>
      <w:r w:rsidRPr="00CD0FEB">
        <w:t xml:space="preserve"> “An employee may qualify as a highly compensated executive, for example, if the employee customarily and regularly directs the work of two or more other employees, even though the employee does not meet all of the other requirements for the executive exemption … .”</w:t>
      </w:r>
      <w:r>
        <w:rPr>
          <w:vertAlign w:val="superscript"/>
        </w:rPr>
        <w:footnoteReference w:id="855"/>
      </w:r>
      <w:r w:rsidRPr="00CD0FEB">
        <w:t xml:space="preserve"> Similarly,</w:t>
      </w:r>
    </w:p>
    <w:p w14:paraId="12352340" w14:textId="77777777" w:rsidR="00201F3F" w:rsidRPr="00CD0FEB" w:rsidRDefault="00201F3F" w:rsidP="00D358F2">
      <w:pPr>
        <w:pStyle w:val="09BBlockQuoteWithoutIndent"/>
      </w:pPr>
      <w:r w:rsidRPr="00CD0FEB">
        <w:t>employees may be exempt as administrative HCEs even if they do not meet all the elements in the standalone administrative exemption. So an employee could be an administrative HCE if the employee customarily and regularly performed “office or non-manual work directly related to the management or general operations of the employer,” even if the employee’s duties did not include “the exercise of discretion and independent judgment with respect to matters of significance.”</w:t>
      </w:r>
      <w:r>
        <w:rPr>
          <w:vertAlign w:val="superscript"/>
        </w:rPr>
        <w:footnoteReference w:id="856"/>
      </w:r>
    </w:p>
    <w:p w14:paraId="1B961522" w14:textId="77777777" w:rsidR="00201F3F" w:rsidRPr="00CD0FEB" w:rsidRDefault="00201F3F" w:rsidP="00D358F2">
      <w:pPr>
        <w:pStyle w:val="10ATextWithIndent"/>
      </w:pPr>
      <w:r w:rsidRPr="00CD0FEB">
        <w:t xml:space="preserve">Addressing the highly compensated “duties” test in </w:t>
      </w:r>
      <w:r w:rsidRPr="00CD0FEB">
        <w:rPr>
          <w:i/>
          <w:iCs/>
        </w:rPr>
        <w:t>McCoy v. North Slope Borough</w:t>
      </w:r>
      <w:r w:rsidRPr="00CD0FEB">
        <w:t>,</w:t>
      </w:r>
      <w:r>
        <w:rPr>
          <w:vertAlign w:val="superscript"/>
        </w:rPr>
        <w:footnoteReference w:id="857"/>
      </w:r>
      <w:r w:rsidRPr="00CD0FEB">
        <w:rPr>
          <w:i/>
          <w:iCs/>
        </w:rPr>
        <w:t xml:space="preserve"> </w:t>
      </w:r>
      <w:r w:rsidRPr="00CD0FEB">
        <w:t>the court found that flying an airplane entails highly technical decision making requiring extensive and specialized training. Even though there were manuals, the pilots, particularly in emergency situations while flying, would need to carefully exercise independent judgment without supervision. The court also found that flying a search and rescue plane was a matter of significance. Accordingly, pilots who earned $100,000 a year (the operative threshold at the time) were exempt as highly compensated employees.</w:t>
      </w:r>
      <w:r>
        <w:rPr>
          <w:vertAlign w:val="superscript"/>
        </w:rPr>
        <w:footnoteReference w:id="858"/>
      </w:r>
    </w:p>
    <w:p w14:paraId="67B58CBF" w14:textId="77777777" w:rsidR="00201F3F" w:rsidRPr="00CD0FEB" w:rsidRDefault="00201F3F" w:rsidP="00D358F2">
      <w:pPr>
        <w:pStyle w:val="04First-LevelHeadIIIIII"/>
      </w:pPr>
      <w:r w:rsidRPr="00CD0FEB">
        <w:rPr>
          <w:caps/>
        </w:rPr>
        <w:t>IX.</w:t>
      </w:r>
      <w:r w:rsidRPr="00CD0FEB">
        <w:rPr>
          <w:caps/>
        </w:rPr>
        <w:t> </w:t>
      </w:r>
      <w:r w:rsidRPr="00CD0FEB">
        <w:t xml:space="preserve">Computer-Related Occupations </w:t>
      </w:r>
    </w:p>
    <w:p w14:paraId="3AE55B98" w14:textId="77777777" w:rsidR="00201F3F" w:rsidRPr="00CD0FEB" w:rsidRDefault="00201F3F" w:rsidP="00D358F2">
      <w:pPr>
        <w:pStyle w:val="10ATextWithIndent"/>
      </w:pPr>
      <w:r w:rsidRPr="00CD0FEB">
        <w:t>Enacted in 1996, Section 213(a)(17) provides an exemption for</w:t>
      </w:r>
    </w:p>
    <w:p w14:paraId="0BF7B8C1" w14:textId="77777777" w:rsidR="00201F3F" w:rsidRPr="00CD0FEB" w:rsidRDefault="00201F3F" w:rsidP="00D358F2">
      <w:pPr>
        <w:pStyle w:val="09BBlockQuoteWithoutIndent"/>
      </w:pPr>
      <w:r w:rsidRPr="00CD0FEB">
        <w:t>any employee who is a computer systems analyst, computer programmer, software engineer, or other similarly skilled worker, whose primary duty is—</w:t>
      </w:r>
    </w:p>
    <w:p w14:paraId="3977721F" w14:textId="77777777" w:rsidR="00201F3F" w:rsidRPr="00CD0FEB" w:rsidRDefault="00201F3F" w:rsidP="00D358F2">
      <w:pPr>
        <w:pStyle w:val="09BBlockQuoteWithoutIndent"/>
        <w:ind w:left="1080"/>
      </w:pPr>
      <w:r w:rsidRPr="00CD0FEB">
        <w:t>(A) the application of systems analysis techniques and procedures, including consulting with users, to determine hardware, software, or system functional specifications;</w:t>
      </w:r>
    </w:p>
    <w:p w14:paraId="3661D6F8" w14:textId="77777777" w:rsidR="00201F3F" w:rsidRPr="00CD0FEB" w:rsidRDefault="00201F3F" w:rsidP="00D358F2">
      <w:pPr>
        <w:pStyle w:val="09BBlockQuoteWithoutIndent"/>
        <w:ind w:left="1080"/>
      </w:pPr>
      <w:r w:rsidRPr="00CD0FEB">
        <w:t>(B) the design, development, documentation, analysis, creation, testing, or modification of computer systems or programs, including prototypes, based on and related to user or system design specifications;</w:t>
      </w:r>
    </w:p>
    <w:p w14:paraId="6280BB6A" w14:textId="77777777" w:rsidR="00201F3F" w:rsidRPr="00CD0FEB" w:rsidRDefault="00201F3F" w:rsidP="00D358F2">
      <w:pPr>
        <w:pStyle w:val="09BBlockQuoteWithoutIndent"/>
        <w:ind w:left="1080"/>
      </w:pPr>
      <w:r w:rsidRPr="00CD0FEB">
        <w:t>(C) the design, documentation, testing, creation, or modification of computer programs related to machine operating systems; or</w:t>
      </w:r>
    </w:p>
    <w:p w14:paraId="7FA2AABE" w14:textId="77777777" w:rsidR="00201F3F" w:rsidRPr="00CD0FEB" w:rsidRDefault="00201F3F" w:rsidP="00D358F2">
      <w:pPr>
        <w:pStyle w:val="09BBlockQuoteWithoutIndent"/>
        <w:ind w:left="1080"/>
      </w:pPr>
      <w:r w:rsidRPr="00CD0FEB">
        <w:t xml:space="preserve">(D) a combination of duties described in subparagraphs (A), (B), and (C) the performance of which requires the same level of skills, and </w:t>
      </w:r>
    </w:p>
    <w:p w14:paraId="1E7D480A" w14:textId="77777777" w:rsidR="00201F3F" w:rsidRPr="00CD0FEB" w:rsidRDefault="00201F3F" w:rsidP="00D358F2">
      <w:pPr>
        <w:pStyle w:val="09BBlockQuoteWithoutIndent"/>
        <w:ind w:left="1080"/>
      </w:pPr>
      <w:r w:rsidRPr="00CD0FEB">
        <w:t>who, in the case of an employee who is compensated on an hourly basis, is compensated at a rate of not less than $27.63 an hour.</w:t>
      </w:r>
      <w:r>
        <w:rPr>
          <w:vertAlign w:val="superscript"/>
        </w:rPr>
        <w:footnoteReference w:id="859"/>
      </w:r>
    </w:p>
    <w:p w14:paraId="47417BC7" w14:textId="77777777" w:rsidR="00201F3F" w:rsidRPr="00CD0FEB" w:rsidRDefault="00201F3F" w:rsidP="00D358F2">
      <w:pPr>
        <w:pStyle w:val="10ATextWithIndent"/>
      </w:pPr>
      <w:r w:rsidRPr="00CD0FEB">
        <w:t>Section 213(a)(17) broadened the previous “computer professional” exemption (Section 213(a)(1)) by</w:t>
      </w:r>
    </w:p>
    <w:p w14:paraId="36365A75" w14:textId="77777777" w:rsidR="00201F3F" w:rsidRPr="00CD0FEB" w:rsidRDefault="00201F3F" w:rsidP="00D358F2">
      <w:pPr>
        <w:pStyle w:val="11AFirst-LevelList123forshortphrases"/>
      </w:pPr>
      <w:r w:rsidRPr="00CD0FEB">
        <w:t>(1)</w:t>
      </w:r>
      <w:r w:rsidRPr="00CD0FEB">
        <w:tab/>
        <w:t xml:space="preserve">“eliminating the requirement that the employee’s work require the exercise of independent judgment” and discretion; </w:t>
      </w:r>
    </w:p>
    <w:p w14:paraId="5E391A30" w14:textId="77777777" w:rsidR="00201F3F" w:rsidRPr="00CD0FEB" w:rsidRDefault="00201F3F" w:rsidP="00D358F2">
      <w:pPr>
        <w:pStyle w:val="11AFirst-LevelList123forshortphrases"/>
      </w:pPr>
      <w:r w:rsidRPr="00CD0FEB">
        <w:t xml:space="preserve">(2) </w:t>
      </w:r>
      <w:r w:rsidRPr="00CD0FEB">
        <w:tab/>
        <w:t>eliminating any reference to educational requirements; and</w:t>
      </w:r>
    </w:p>
    <w:p w14:paraId="4FAE7B8D" w14:textId="77777777" w:rsidR="00201F3F" w:rsidRPr="00CD0FEB" w:rsidRDefault="00201F3F" w:rsidP="00D358F2">
      <w:pPr>
        <w:pStyle w:val="11AFirst-LevelList123forshortphrases"/>
      </w:pPr>
      <w:r w:rsidRPr="00CD0FEB">
        <w:t xml:space="preserve">(3) </w:t>
      </w:r>
      <w:r w:rsidRPr="00CD0FEB">
        <w:tab/>
        <w:t>dispensing with the earlier requirement that the employee must have “‘achieved a level of proficiency in the theoretical and practical application of a body of highly specialized knowledge.’”</w:t>
      </w:r>
      <w:r>
        <w:rPr>
          <w:vertAlign w:val="superscript"/>
        </w:rPr>
        <w:footnoteReference w:id="860"/>
      </w:r>
    </w:p>
    <w:p w14:paraId="73C6C170" w14:textId="77777777" w:rsidR="00201F3F" w:rsidRPr="00CD0FEB" w:rsidRDefault="00201F3F" w:rsidP="00D358F2">
      <w:pPr>
        <w:pStyle w:val="10ATextWithIndent"/>
      </w:pPr>
      <w:r w:rsidRPr="00CD0FEB">
        <w:t>When the DOL revised the Part 541 regulations in 2004, it determined that Section 213(a)(1) of the FLSA no longer gave the Secretary the authority to define and delimit the term “computer professional.”</w:t>
      </w:r>
    </w:p>
    <w:p w14:paraId="2AF7D123" w14:textId="77777777" w:rsidR="00201F3F" w:rsidRPr="00CD0FEB" w:rsidRDefault="00201F3F" w:rsidP="00D358F2">
      <w:pPr>
        <w:pStyle w:val="09BBlockQuoteWithoutIndent"/>
      </w:pPr>
      <w:r w:rsidRPr="00CD0FEB">
        <w:t>While the Department recognizes that the computer employee exemption has been particularly confusing given its history, and that comments were invited on whether any further clarifications were possible under the terms of the statute, the Department believes that creating two different definitions for computer employees exempt under sections 13(a)(1) and 13(a)(17) of the FLSA would be inappropriate given that Congress recently spoke directly on this issue in 1996 under section 13(a)(17). Moreover, adopting such inconsistent definitions would be confusing and unwieldy for the regulated community.</w:t>
      </w:r>
      <w:r>
        <w:rPr>
          <w:vertAlign w:val="superscript"/>
        </w:rPr>
        <w:footnoteReference w:id="861"/>
      </w:r>
    </w:p>
    <w:p w14:paraId="001EF17A" w14:textId="77777777" w:rsidR="00201F3F" w:rsidRPr="00CD0FEB" w:rsidRDefault="00201F3F" w:rsidP="00D358F2">
      <w:pPr>
        <w:pStyle w:val="10BTextWithoutIndent"/>
      </w:pPr>
      <w:r w:rsidRPr="00CD0FEB">
        <w:t>For that reason, the 2004 regulations essentially mirror the language of the 1996 statute.</w:t>
      </w:r>
      <w:r>
        <w:rPr>
          <w:vertAlign w:val="superscript"/>
        </w:rPr>
        <w:footnoteReference w:id="862"/>
      </w:r>
    </w:p>
    <w:p w14:paraId="3E228CEB" w14:textId="77777777" w:rsidR="00201F3F" w:rsidRPr="00CD0FEB" w:rsidRDefault="00201F3F" w:rsidP="00D358F2">
      <w:pPr>
        <w:pStyle w:val="10ATextWithIndent"/>
      </w:pPr>
      <w:r w:rsidRPr="00CD0FEB">
        <w:t>Another significant difference between Section 213(a)(1) and Section 213(a)(17) computer employees is the compensation criteria. The Section 213(a)(1) exemption applies to any computer employee compensated on a salary or fee basis of not less than $684/week. The Section 213(a)(17) exemption applies to any computer employee compensated on an hourly basis at a rate of not less than $27.63 an hour.</w:t>
      </w:r>
      <w:r>
        <w:rPr>
          <w:vertAlign w:val="superscript"/>
        </w:rPr>
        <w:footnoteReference w:id="863"/>
      </w:r>
      <w:r w:rsidRPr="00CD0FEB">
        <w:t xml:space="preserve"> In </w:t>
      </w:r>
      <w:r w:rsidRPr="00CD0FEB">
        <w:rPr>
          <w:i/>
          <w:iCs/>
        </w:rPr>
        <w:t>Jones v. Judge Technical Services, Inc.</w:t>
      </w:r>
      <w:r w:rsidRPr="00CD0FEB">
        <w:t>,</w:t>
      </w:r>
      <w:r>
        <w:rPr>
          <w:vertAlign w:val="superscript"/>
        </w:rPr>
        <w:footnoteReference w:id="864"/>
      </w:r>
      <w:r w:rsidRPr="00CD0FEB">
        <w:t xml:space="preserve"> the district court rejected the notion that the $27.63 is a minimum wage under Section 206, finding the “average” minimum hourly pay does not apply in this context.</w:t>
      </w:r>
      <w:r>
        <w:rPr>
          <w:vertAlign w:val="superscript"/>
        </w:rPr>
        <w:footnoteReference w:id="865"/>
      </w:r>
    </w:p>
    <w:p w14:paraId="4E84E4AB" w14:textId="77777777" w:rsidR="00201F3F" w:rsidRPr="00CD0FEB" w:rsidRDefault="00201F3F" w:rsidP="00D358F2">
      <w:pPr>
        <w:pStyle w:val="10ATextWithIndent"/>
      </w:pPr>
      <w:r w:rsidRPr="00CD0FEB">
        <w:t>As noted above, the computer employee exemption is limited to systems analysts, programmers, software engineers, and “other similarly skilled workers in the computer field.”</w:t>
      </w:r>
      <w:r>
        <w:rPr>
          <w:vertAlign w:val="superscript"/>
        </w:rPr>
        <w:footnoteReference w:id="866"/>
      </w:r>
      <w:r w:rsidRPr="00CD0FEB">
        <w:t xml:space="preserve"> Employees whose work is highly dependent on, or facilitated by, computers do not fall within the exemption.</w:t>
      </w:r>
      <w:r>
        <w:rPr>
          <w:vertAlign w:val="superscript"/>
        </w:rPr>
        <w:footnoteReference w:id="867"/>
      </w:r>
      <w:r w:rsidRPr="00CD0FEB">
        <w:t xml:space="preserve"> Therefore, a drafter or engineer who must heavily rely on computers or computer programs to perform his or her work, but who is not primarily engaged in systems analysis or programming, is not covered by the exemption for computer professionals. The exemption is similarly inapplicable to employees engaged in the manufacture, repair, or maintenance of computer hardware and related equipment.</w:t>
      </w:r>
      <w:r>
        <w:rPr>
          <w:vertAlign w:val="superscript"/>
        </w:rPr>
        <w:footnoteReference w:id="868"/>
      </w:r>
      <w:r w:rsidRPr="00CD0FEB">
        <w:t>As one court explained,</w:t>
      </w:r>
    </w:p>
    <w:p w14:paraId="5B455F6B" w14:textId="77777777" w:rsidR="00201F3F" w:rsidRPr="00CD0FEB" w:rsidRDefault="00201F3F" w:rsidP="00D358F2">
      <w:pPr>
        <w:pStyle w:val="09BBlockQuoteWithoutIndent"/>
      </w:pPr>
      <w:r w:rsidRPr="00CD0FEB">
        <w:t xml:space="preserve">tasks like installing new software, configuring software and hardware, and troubleshooting problems with applications, networks and hardware—all of which involve computers but require a lesser degree of technical know-how and sophistication—do not fall within the exemption. </w:t>
      </w:r>
    </w:p>
    <w:p w14:paraId="0F6A69E9" w14:textId="77777777" w:rsidR="00201F3F" w:rsidRPr="00CD0FEB" w:rsidRDefault="00201F3F" w:rsidP="00D358F2">
      <w:pPr>
        <w:pStyle w:val="09BBlockQuoteWithoutIndent"/>
      </w:pPr>
      <w:r w:rsidRPr="00CD0FEB">
        <w:t>That being said, some courts have also classified “complex” troubleshooting as an exempt activity. The line between non-exempt troubleshooting and exempt troubleshooting appears to lie in how the employee approaches the problem and what level of knowledge must be brought to bear on the issue: troubleshooting is more likely to be considered exempt if the employee “has to be creative” and apply sophisticated technical knowledge to “come up with a solution,” as opposed to employing “canned answers” to solve it.</w:t>
      </w:r>
      <w:r>
        <w:rPr>
          <w:vertAlign w:val="superscript"/>
        </w:rPr>
        <w:footnoteReference w:id="869"/>
      </w:r>
    </w:p>
    <w:p w14:paraId="006DC18D" w14:textId="77777777" w:rsidR="00201F3F" w:rsidRPr="00CD0FEB" w:rsidRDefault="00201F3F" w:rsidP="00D358F2">
      <w:pPr>
        <w:pStyle w:val="10ATextWithIndent"/>
      </w:pPr>
      <w:r w:rsidRPr="00CD0FEB">
        <w:t xml:space="preserve">In </w:t>
      </w:r>
      <w:r w:rsidRPr="00CD0FEB">
        <w:rPr>
          <w:i/>
          <w:iCs/>
        </w:rPr>
        <w:t>Martin v. Indiana Michigan Power Co.</w:t>
      </w:r>
      <w:r w:rsidRPr="00CD0FEB">
        <w:t>,</w:t>
      </w:r>
      <w:r>
        <w:rPr>
          <w:vertAlign w:val="superscript"/>
        </w:rPr>
        <w:footnoteReference w:id="870"/>
      </w:r>
      <w:r w:rsidRPr="00CD0FEB">
        <w:t xml:space="preserve"> the Sixth Circuit ruled that an “IT Support Specialist” did not fall within the computer professional exemption. The employee’s main job functions were to install, upgrade, and maintain computer workstation software, install hardware and cable for the company’s local area network (LAN), and troubleshoot problems at individual workstations in response to employee calls to the company’s IT “help desk.” However, the employee had no computer certifications and had only a high school degree. The Sixth Circuit emphasized that the regulations in effect at the time required “theoretical and practical application of highly specialized knowledge </w:t>
      </w:r>
      <w:r w:rsidRPr="00CD0FEB">
        <w:rPr>
          <w:i/>
          <w:iCs/>
        </w:rPr>
        <w:t>in computer systems analysis, programming, and software engineering</w:t>
      </w:r>
      <w:r w:rsidRPr="00CD0FEB">
        <w:t xml:space="preserve">,” not merely “highly-specialized knowledge </w:t>
      </w:r>
      <w:r w:rsidRPr="00CD0FEB">
        <w:rPr>
          <w:i/>
          <w:iCs/>
        </w:rPr>
        <w:t>of computers and software</w:t>
      </w:r>
      <w:r w:rsidRPr="00CD0FEB">
        <w:t>.”</w:t>
      </w:r>
      <w:r>
        <w:rPr>
          <w:vertAlign w:val="superscript"/>
        </w:rPr>
        <w:footnoteReference w:id="871"/>
      </w:r>
      <w:r w:rsidRPr="00CD0FEB">
        <w:t xml:space="preserve"> The court found that the plaintiff “[did] not do computer programming or software engineering; nor [did] he perform systems analysis, which involves making actual, analytical decisions about how [the employer’s] computer network should function.”</w:t>
      </w:r>
      <w:r>
        <w:rPr>
          <w:vertAlign w:val="superscript"/>
        </w:rPr>
        <w:footnoteReference w:id="872"/>
      </w:r>
    </w:p>
    <w:p w14:paraId="0DA6F0A7" w14:textId="77777777" w:rsidR="00201F3F" w:rsidRPr="00CD0FEB" w:rsidRDefault="00201F3F" w:rsidP="00D358F2">
      <w:pPr>
        <w:pStyle w:val="10ATextWithIndent"/>
      </w:pPr>
      <w:r w:rsidRPr="00CD0FEB">
        <w:t xml:space="preserve">By contrast, in </w:t>
      </w:r>
      <w:r w:rsidRPr="00CD0FEB">
        <w:rPr>
          <w:i/>
          <w:iCs/>
        </w:rPr>
        <w:t>Olorode v. Streamingedge, Inc</w:t>
      </w:r>
      <w:r w:rsidRPr="00CD0FEB">
        <w:t>.,</w:t>
      </w:r>
      <w:r>
        <w:rPr>
          <w:vertAlign w:val="superscript"/>
        </w:rPr>
        <w:footnoteReference w:id="873"/>
      </w:r>
      <w:r w:rsidRPr="00CD0FEB">
        <w:t xml:space="preserve"> even though the plaintiff alleged that he spent one-third of his time performing the same work as nonexempt help desk employees, the court credited his testimony on the importance of his role to the company, and gave substantial weight to his multiple technical certifications, in finding the exemption applicable. Adopting the findings of the magistrate judge, the court granted summary judgment to the employer because the primary purpose of the plaintiff’s role was to provide critical network and software support to the defendant’s client’s brokers, and these duties are consonant with those of exempt computer employees.</w:t>
      </w:r>
      <w:r>
        <w:rPr>
          <w:vertAlign w:val="superscript"/>
        </w:rPr>
        <w:footnoteReference w:id="874"/>
      </w:r>
    </w:p>
    <w:p w14:paraId="586AF382" w14:textId="77777777" w:rsidR="00201F3F" w:rsidRPr="00CD0FEB" w:rsidRDefault="00201F3F" w:rsidP="00D358F2">
      <w:pPr>
        <w:pStyle w:val="10ATextWithIndent"/>
      </w:pPr>
      <w:r w:rsidRPr="00CD0FEB">
        <w:t xml:space="preserve">And in </w:t>
      </w:r>
      <w:r w:rsidRPr="00CD0FEB">
        <w:rPr>
          <w:i/>
          <w:iCs/>
        </w:rPr>
        <w:t>Bagwell v. Florida Broadband, LLC</w:t>
      </w:r>
      <w:r w:rsidRPr="00CD0FEB">
        <w:t>,</w:t>
      </w:r>
      <w:r>
        <w:rPr>
          <w:vertAlign w:val="superscript"/>
        </w:rPr>
        <w:footnoteReference w:id="875"/>
      </w:r>
      <w:r w:rsidRPr="00CD0FEB">
        <w:t xml:space="preserve"> the computer exemption was deemed applicable to an employee responsible for developing, improving, and maintaining the company’s network system. In carrying out this duty, the employee wrote specifications for wireless network topology, routers, and switches used in the network, specified protocols used in the network, designed and ensured proper installation of all cabling infrastructure (maintaining network availability and security), interacted with clients for level 3 support, consulted with clients for LAN design and technical specifications, interacted with vendors for pricing and availability of materials, scheduled technical field staff for surveys and installations, scheduled maintenance of the network, maintained detailed network documentation, approved site installations of infrastructure and equipment, designed and implemented LAN infrastructure, recommended purchases of equipment, and evaluated emerging technologies.</w:t>
      </w:r>
      <w:r>
        <w:rPr>
          <w:vertAlign w:val="superscript"/>
        </w:rPr>
        <w:footnoteReference w:id="876"/>
      </w:r>
    </w:p>
    <w:p w14:paraId="1A0CBA74" w14:textId="77777777" w:rsidR="00201F3F" w:rsidRPr="00CD0FEB" w:rsidRDefault="00201F3F" w:rsidP="00D358F2">
      <w:pPr>
        <w:pStyle w:val="10ATextWithIndent"/>
      </w:pPr>
      <w:r w:rsidRPr="00CD0FEB">
        <w:t>As illustrated by cases such as </w:t>
      </w:r>
      <w:r w:rsidRPr="00CD0FEB">
        <w:rPr>
          <w:i/>
          <w:iCs/>
        </w:rPr>
        <w:t>Clarke v. JPMorgan Chase Bank, N.A.</w:t>
      </w:r>
      <w:r>
        <w:rPr>
          <w:vertAlign w:val="superscript"/>
        </w:rPr>
        <w:footnoteReference w:id="877"/>
      </w:r>
      <w:r w:rsidRPr="00CD0FEB">
        <w:t xml:space="preserve"> and </w:t>
      </w:r>
      <w:r w:rsidRPr="00CD0FEB">
        <w:rPr>
          <w:i/>
          <w:iCs/>
        </w:rPr>
        <w:t>Bobadilla v. MDRC</w:t>
      </w:r>
      <w:r w:rsidRPr="00CD0FEB">
        <w:t>,</w:t>
      </w:r>
      <w:r>
        <w:rPr>
          <w:vertAlign w:val="superscript"/>
        </w:rPr>
        <w:footnoteReference w:id="878"/>
      </w:r>
      <w:r w:rsidRPr="00CD0FEB">
        <w:t xml:space="preserve"> the computer employee exemption calls for a fact-intensive analysis of the duties of the employees in order to evaluate whether their computer-related responsibilities rise to the level required by the exemption. In </w:t>
      </w:r>
      <w:r w:rsidRPr="00CD0FEB">
        <w:rPr>
          <w:i/>
          <w:iCs/>
        </w:rPr>
        <w:t>Sethi v. Narod</w:t>
      </w:r>
      <w:r w:rsidRPr="00CD0FEB">
        <w:t>,</w:t>
      </w:r>
      <w:r>
        <w:rPr>
          <w:sz w:val="21"/>
          <w:szCs w:val="21"/>
          <w:vertAlign w:val="superscript"/>
        </w:rPr>
        <w:footnoteReference w:id="879"/>
      </w:r>
      <w:r w:rsidRPr="00CD0FEB">
        <w:t xml:space="preserve"> the district court enumerated the factors considered by the courts in </w:t>
      </w:r>
      <w:r w:rsidRPr="00CD0FEB">
        <w:rPr>
          <w:i/>
          <w:iCs/>
        </w:rPr>
        <w:t>Clarke</w:t>
      </w:r>
      <w:r w:rsidRPr="00CD0FEB">
        <w:t xml:space="preserve"> and </w:t>
      </w:r>
      <w:r w:rsidRPr="00CD0FEB">
        <w:rPr>
          <w:i/>
          <w:iCs/>
        </w:rPr>
        <w:t>Bobadilla</w:t>
      </w:r>
      <w:r w:rsidRPr="00CD0FEB">
        <w:t>:</w:t>
      </w:r>
    </w:p>
    <w:p w14:paraId="7559A571" w14:textId="77777777" w:rsidR="00201F3F" w:rsidRPr="00CD0FEB" w:rsidRDefault="00201F3F" w:rsidP="00D358F2">
      <w:pPr>
        <w:pStyle w:val="09BBlockQuoteWithoutIndent"/>
      </w:pPr>
      <w:r w:rsidRPr="00CD0FEB">
        <w:t>(1) the volume of data the employee managed; (2) the number of users the employee supported; (3) the type and complexity of the problems that were handled by the employee, including whether complicated problems were specifically escalated to the employee; (4) the layers of assistance below the employee to handle lower-level or simple problems, including whether there was a helpdesk below the employee to handle routine issues; (5) the skill level of the employee, including certifications held, and the relevance and importance of those skills and certifications in the execution of the job; (6) the level of initiative, creativity, strategy, etc., allowed the employee in the execution of their job responsibilities; (7) the priority of the employee’s work relative to the overall work of the company; and (8) the relation of their role and compensation as compared to other technical employees. Despite the fact-heavy nature of the inquiry, in </w:t>
      </w:r>
      <w:r w:rsidRPr="00CD0FEB">
        <w:rPr>
          <w:i/>
          <w:iCs/>
        </w:rPr>
        <w:t>Bobadilla</w:t>
      </w:r>
      <w:r w:rsidRPr="00CD0FEB">
        <w:t xml:space="preserve"> the court concluded that Bobadilla qualified as an exempt computer employee, and granted defendant’s motion for summary judgment. Similarly, in </w:t>
      </w:r>
      <w:r w:rsidRPr="00CD0FEB">
        <w:rPr>
          <w:i/>
          <w:iCs/>
        </w:rPr>
        <w:t>Clarke</w:t>
      </w:r>
      <w:r w:rsidRPr="00CD0FEB">
        <w:t> the court found that one plaintiff also qualified as an exempt computer employee, and granted defendant’s motion for summary judgment as to that plaintiff.</w:t>
      </w:r>
      <w:r>
        <w:rPr>
          <w:vertAlign w:val="superscript"/>
        </w:rPr>
        <w:footnoteReference w:id="880"/>
      </w:r>
    </w:p>
    <w:p w14:paraId="0B2CCDD3" w14:textId="77777777" w:rsidR="00201F3F" w:rsidRPr="00CD0FEB" w:rsidRDefault="00201F3F" w:rsidP="00D358F2">
      <w:pPr>
        <w:pStyle w:val="10BTextWithoutIndent"/>
      </w:pPr>
      <w:r w:rsidRPr="00CD0FEB">
        <w:t xml:space="preserve">And in </w:t>
      </w:r>
      <w:r w:rsidRPr="00CD0FEB">
        <w:rPr>
          <w:i/>
          <w:iCs/>
        </w:rPr>
        <w:t>Friedman v. National Indemnity Co.</w:t>
      </w:r>
      <w:r w:rsidRPr="00CD0FEB">
        <w:t>,</w:t>
      </w:r>
      <w:r>
        <w:rPr>
          <w:vertAlign w:val="superscript"/>
        </w:rPr>
        <w:footnoteReference w:id="881"/>
      </w:r>
      <w:r w:rsidRPr="00CD0FEB">
        <w:t xml:space="preserve"> the court granted partial summary judgment for the employer because the computer employee played </w:t>
      </w:r>
    </w:p>
    <w:p w14:paraId="50E0CF2C" w14:textId="77777777" w:rsidR="00201F3F" w:rsidRPr="00CD0FEB" w:rsidRDefault="00201F3F" w:rsidP="00D358F2">
      <w:pPr>
        <w:pStyle w:val="09BBlockQuoteWithoutIndent"/>
      </w:pPr>
      <w:r w:rsidRPr="00CD0FEB">
        <w:t>an integral role in the design of National Indemnity’s network infrastructure [as] demonstrated by [plaintiff’s] own testimony that he delivered “facts and choices” about the “core network.” In particular, “he made recommendations concerning components, about pricing, about the [value-added reseller] that was going to service or sell the product, about warranty, about service, about the technology that was being used, [and] about a plethora of things.” He also engineered the interplay between access devices, aggregation devices, and the network core. And he planned, implemented, and maintained network backup and recovery mechanisms for the data center. Plaintiff also provided “high level technical support on software and server issues,” identified “super complex” server problems, and worked to solve National Indemnity’s “significant [and] persistent” network issues.</w:t>
      </w:r>
      <w:r>
        <w:rPr>
          <w:vertAlign w:val="superscript"/>
        </w:rPr>
        <w:footnoteReference w:id="882"/>
      </w:r>
    </w:p>
    <w:p w14:paraId="5B78BBAD" w14:textId="77777777" w:rsidR="00201F3F" w:rsidRPr="00CD0FEB" w:rsidRDefault="00201F3F" w:rsidP="00D358F2">
      <w:pPr>
        <w:pStyle w:val="10ATextWithIndent"/>
      </w:pPr>
      <w:r w:rsidRPr="00CD0FEB">
        <w:t>By contrast, another district court denied the employer’s motion for summary judgment where there were heavily disputed issues of material fact as to the nature and complexity of the plaintiff’s responsibilities, with the plaintiff alleging that his job was merely “desktop support” while the defendant argued that the plaintiff’s responsibilities were more involved.</w:t>
      </w:r>
      <w:r>
        <w:rPr>
          <w:vertAlign w:val="superscript"/>
        </w:rPr>
        <w:footnoteReference w:id="883"/>
      </w:r>
    </w:p>
    <w:p w14:paraId="41C4BCE1" w14:textId="77777777" w:rsidR="00201F3F" w:rsidRPr="00CD0FEB" w:rsidRDefault="00201F3F" w:rsidP="00D358F2">
      <w:pPr>
        <w:pStyle w:val="10ATextWithIndent"/>
      </w:pPr>
      <w:r w:rsidRPr="00CD0FEB">
        <w:t>The regulations point out that, in appropriate circumstances, computer employees may also qualify for the executive or administrative exemption.</w:t>
      </w:r>
      <w:r>
        <w:rPr>
          <w:vertAlign w:val="superscript"/>
        </w:rPr>
        <w:footnoteReference w:id="884"/>
      </w:r>
      <w:r w:rsidRPr="00CD0FEB">
        <w:t xml:space="preserve"> By way of illustration, the DOL observed that “systems analysts and computer programmers generally meet the duties requirements for the administrative exemption if their primary duty involves work such as planning, scheduling, and coordinating activities required to develop systems to solve complex business, scientific or engineering problems of the employer.”</w:t>
      </w:r>
      <w:r>
        <w:rPr>
          <w:vertAlign w:val="superscript"/>
        </w:rPr>
        <w:footnoteReference w:id="885"/>
      </w:r>
    </w:p>
    <w:p w14:paraId="338EE632" w14:textId="77777777" w:rsidR="00201F3F" w:rsidRPr="00CD0FEB" w:rsidRDefault="00201F3F" w:rsidP="00D358F2">
      <w:pPr>
        <w:pStyle w:val="10ATextWithIndent"/>
      </w:pPr>
      <w:r w:rsidRPr="00CD0FEB">
        <w:t>Similarly, a senior or lead computer programmer who manages the work of two or more other programmers in a customarily recognized department or subdivision of the employer, and whose recommendations as to the hiring, firing, advancement, promotion, or other change of status of the other programmers are given particular weight, generally meets the duties requirements for the executive exemption.</w:t>
      </w:r>
      <w:r>
        <w:rPr>
          <w:vertAlign w:val="superscript"/>
        </w:rPr>
        <w:footnoteReference w:id="886"/>
      </w:r>
    </w:p>
    <w:p w14:paraId="0C21D992" w14:textId="77777777" w:rsidR="00201F3F" w:rsidRPr="00CD0FEB" w:rsidRDefault="00201F3F" w:rsidP="00D358F2">
      <w:pPr>
        <w:pStyle w:val="04First-LevelHeadIIIIII"/>
      </w:pPr>
      <w:r w:rsidRPr="00CD0FEB">
        <w:t>X.</w:t>
      </w:r>
      <w:r w:rsidRPr="00CD0FEB">
        <w:t> </w:t>
      </w:r>
      <w:r w:rsidRPr="00CD0FEB">
        <w:t>The Outside Sales Exemption</w:t>
      </w:r>
    </w:p>
    <w:p w14:paraId="09A45B82" w14:textId="77777777" w:rsidR="00201F3F" w:rsidRPr="00CD0FEB" w:rsidRDefault="00201F3F" w:rsidP="00D358F2">
      <w:pPr>
        <w:pStyle w:val="10ATextWithIndent"/>
      </w:pPr>
      <w:r w:rsidRPr="00CD0FEB">
        <w:t>To come within the scope of the outside sales exemption, an employee must satisfy both a duties test and a “location” test.</w:t>
      </w:r>
      <w:r>
        <w:rPr>
          <w:vertAlign w:val="superscript"/>
        </w:rPr>
        <w:footnoteReference w:id="887"/>
      </w:r>
      <w:r w:rsidRPr="00CD0FEB">
        <w:t xml:space="preserve"> However, unlike the other Section 213(a)(1) exemptions, the outside sales exemption has neither a salary level nor a salary basis requirement.</w:t>
      </w:r>
      <w:r>
        <w:rPr>
          <w:vertAlign w:val="superscript"/>
        </w:rPr>
        <w:footnoteReference w:id="888"/>
      </w:r>
      <w:r w:rsidRPr="00CD0FEB">
        <w:t xml:space="preserve"> An outside salesperson’s primary duty must consist of “making sales” while customarily and regularly engaged away from the employer’s places of business.</w:t>
      </w:r>
      <w:r>
        <w:rPr>
          <w:vertAlign w:val="superscript"/>
        </w:rPr>
        <w:footnoteReference w:id="889"/>
      </w:r>
      <w:r w:rsidRPr="00CD0FEB">
        <w:t xml:space="preserve"> In the alternative, the employee’s primary duty may be “obtaining orders or contracts for the performance of services or the use of facilities when consideration will be paid for the services or facilities by the client or customer.”</w:t>
      </w:r>
      <w:r>
        <w:rPr>
          <w:vertAlign w:val="superscript"/>
        </w:rPr>
        <w:footnoteReference w:id="890"/>
      </w:r>
      <w:r w:rsidRPr="00CD0FEB">
        <w:t xml:space="preserve"> Like the making of sales, these activities must be engaged in away from the employer’s place of business.</w:t>
      </w:r>
      <w:r>
        <w:rPr>
          <w:vertAlign w:val="superscript"/>
        </w:rPr>
        <w:footnoteReference w:id="891"/>
      </w:r>
      <w:r w:rsidRPr="00CD0FEB">
        <w:t xml:space="preserve"> The DOL’s inclusion in the regulations of functions in the nature of obtaining orders or contracts for services or use of facilities among the exempt duties of an outside salesperson expands the scope of the exemption beyond mere sales of commodities.</w:t>
      </w:r>
      <w:r>
        <w:rPr>
          <w:vertAlign w:val="superscript"/>
        </w:rPr>
        <w:footnoteReference w:id="892"/>
      </w:r>
    </w:p>
    <w:p w14:paraId="015736D0" w14:textId="77777777" w:rsidR="00201F3F" w:rsidRPr="00CD0FEB" w:rsidRDefault="00201F3F" w:rsidP="00D358F2">
      <w:pPr>
        <w:pStyle w:val="10ATextWithIndent"/>
      </w:pPr>
      <w:r w:rsidRPr="00CD0FEB">
        <w:t>As the Tenth Circuit observed,</w:t>
      </w:r>
    </w:p>
    <w:p w14:paraId="09DE7FF7" w14:textId="77777777" w:rsidR="00201F3F" w:rsidRPr="00CD0FEB" w:rsidRDefault="00201F3F" w:rsidP="00D358F2">
      <w:pPr>
        <w:pStyle w:val="09BBlockQuoteWithoutIndent"/>
      </w:pPr>
      <w:r w:rsidRPr="00CD0FEB">
        <w:t>determining whether an employee is an outside salesman for purposes of the FLSA can be a fact-intensive endeavor, turning on, for example, the extent of the employee’s authority to enter contracts, the amount of time spent away from the employer’s place of business, or whether the employee’s other duties were incidental to the employee’s sales.</w:t>
      </w:r>
      <w:r>
        <w:rPr>
          <w:vertAlign w:val="superscript"/>
        </w:rPr>
        <w:footnoteReference w:id="893"/>
      </w:r>
    </w:p>
    <w:p w14:paraId="37DFD543" w14:textId="77777777" w:rsidR="00201F3F" w:rsidRPr="00CD0FEB" w:rsidRDefault="00201F3F" w:rsidP="00D358F2">
      <w:pPr>
        <w:pStyle w:val="10ATextWithIndent"/>
      </w:pPr>
      <w:r w:rsidRPr="00CD0FEB">
        <w:t>In determining the primary duty of an outside sales employee, “work performed incidental to and in conjunction with the employee’s own outside sales or solicitations, including incidental deliveries and collections, shall be regarded as exempt outside sales work.”</w:t>
      </w:r>
      <w:r>
        <w:rPr>
          <w:vertAlign w:val="superscript"/>
        </w:rPr>
        <w:footnoteReference w:id="894"/>
      </w:r>
      <w:r w:rsidRPr="00CD0FEB">
        <w:t xml:space="preserve"> Likewise, other work that furthers the employee’s sales efforts—such as writing sales reports, updating sales, or creating display catalogs; planning or scheduling sales itineraries; and attending sales conferences—all constitutes exempt work.</w:t>
      </w:r>
      <w:r>
        <w:rPr>
          <w:vertAlign w:val="superscript"/>
        </w:rPr>
        <w:footnoteReference w:id="895"/>
      </w:r>
    </w:p>
    <w:p w14:paraId="210548F7" w14:textId="77777777" w:rsidR="00201F3F" w:rsidRPr="00CD0FEB" w:rsidRDefault="00201F3F" w:rsidP="00D358F2">
      <w:pPr>
        <w:pStyle w:val="10ATextWithIndent"/>
      </w:pPr>
      <w:r w:rsidRPr="00CD0FEB">
        <w:t>The rationale for the exemption is that outside sales personnel usually work alone, away from the workplace, with minimal supervision and receive commissions based not on hours worked but on the extent of their individual success and ambition.</w:t>
      </w:r>
      <w:r>
        <w:rPr>
          <w:vertAlign w:val="superscript"/>
        </w:rPr>
        <w:footnoteReference w:id="896"/>
      </w:r>
    </w:p>
    <w:p w14:paraId="62CCF0D0" w14:textId="77777777" w:rsidR="00201F3F" w:rsidRPr="00CD0FEB" w:rsidRDefault="00201F3F" w:rsidP="00D358F2">
      <w:pPr>
        <w:pStyle w:val="05Second-LevelHeadABC"/>
      </w:pPr>
      <w:r w:rsidRPr="00CD0FEB">
        <w:t>A.</w:t>
      </w:r>
      <w:r w:rsidRPr="00CD0FEB">
        <w:tab/>
        <w:t>“Making Sales”</w:t>
      </w:r>
    </w:p>
    <w:p w14:paraId="6B3F4788" w14:textId="77777777" w:rsidR="00201F3F" w:rsidRPr="00CD0FEB" w:rsidRDefault="00201F3F" w:rsidP="00D358F2">
      <w:pPr>
        <w:pStyle w:val="10ATextWithIndent"/>
      </w:pPr>
      <w:r w:rsidRPr="00CD0FEB">
        <w:t>Section 541.500 of the regulations requires that the employee be engaged in (1) “making sales” within the meaning of Section 203(k) of the FLSA, or (2) obtaining orders or contracts for services or for the use of facilities.</w:t>
      </w:r>
      <w:r>
        <w:rPr>
          <w:vertAlign w:val="superscript"/>
        </w:rPr>
        <w:footnoteReference w:id="897"/>
      </w:r>
      <w:r w:rsidRPr="00CD0FEB">
        <w:t xml:space="preserve"> Sales include “the transfer of title to tangible property, and in certain cases, of tangible and valuable evidences of intangible property.”</w:t>
      </w:r>
      <w:r>
        <w:rPr>
          <w:vertAlign w:val="superscript"/>
        </w:rPr>
        <w:footnoteReference w:id="898"/>
      </w:r>
      <w:r w:rsidRPr="00CD0FEB">
        <w:t xml:space="preserve"> Section 203(k) of the FLSA states that “sale” or “sell” includes any sale, exchange, contract to sell, consignment for sale, shipment for sale, or other disposition.</w:t>
      </w:r>
      <w:r>
        <w:rPr>
          <w:vertAlign w:val="superscript"/>
        </w:rPr>
        <w:footnoteReference w:id="899"/>
      </w:r>
      <w:r w:rsidRPr="00CD0FEB">
        <w:t xml:space="preserve"> The DOL has found that individuals who are responsible for soliciting charitable donations do not qualify for the outside sales exemption because “[s]oliciting promises of future charitable donations or ‘selling the concept’ of donating to charity” does not constitute “sales” within the meaning of the regulation.</w:t>
      </w:r>
      <w:r>
        <w:rPr>
          <w:vertAlign w:val="superscript"/>
        </w:rPr>
        <w:footnoteReference w:id="900"/>
      </w:r>
    </w:p>
    <w:p w14:paraId="75A822CA" w14:textId="77777777" w:rsidR="00201F3F" w:rsidRPr="00CD0FEB" w:rsidRDefault="00201F3F" w:rsidP="00D358F2">
      <w:pPr>
        <w:pStyle w:val="10ATextWithIndent"/>
      </w:pPr>
      <w:r w:rsidRPr="00CD0FEB">
        <w:t>For illustrative purposes, the DOL notes that “[o]btaining orders for ‘the use of facilities’ includes the selling of time on radio or television, the solicitation of advertising for newspapers and other periodicals, and the solicitation of freight for railroads and other transportation agencies.”</w:t>
      </w:r>
      <w:r>
        <w:rPr>
          <w:vertAlign w:val="superscript"/>
        </w:rPr>
        <w:footnoteReference w:id="901"/>
      </w:r>
      <w:r w:rsidRPr="00CD0FEB">
        <w:t xml:space="preserve"> The DOL further explains that the reference to “services” has the effect of “extend[ing] the outside sales exemption to employees who sell or take orders for a service, which may be performed for the customer by someone other than the person taking the order.”</w:t>
      </w:r>
      <w:r>
        <w:rPr>
          <w:vertAlign w:val="superscript"/>
        </w:rPr>
        <w:footnoteReference w:id="902"/>
      </w:r>
    </w:p>
    <w:p w14:paraId="4E4B9F49" w14:textId="77777777" w:rsidR="00201F3F" w:rsidRPr="00CD0FEB" w:rsidRDefault="00201F3F" w:rsidP="00D358F2">
      <w:pPr>
        <w:pStyle w:val="10ATextWithIndent"/>
      </w:pPr>
      <w:r w:rsidRPr="00CD0FEB">
        <w:t>The DOL’s definition of “making sales” was tested in a series of cases initiated by pharmaceutical representatives, or “detailers,” who are generally responsible for calling on physicians and other potential users of the employer’s product offerings (i.e., prescription drugs), providing brochures and other sources of product information, as well as samples, explaining the product’s uses and benefits, and encouraging the health care provider or health care institution to prescribe the drug being promoted. As noted above, under Section 203(k), “sale” or “sell” includes any sale, exchange, contract to sell, consignment for sale, shipment for sale, or other disposition.</w:t>
      </w:r>
      <w:r>
        <w:rPr>
          <w:vertAlign w:val="superscript"/>
        </w:rPr>
        <w:footnoteReference w:id="903"/>
      </w:r>
      <w:r w:rsidRPr="00CD0FEB">
        <w:t xml:space="preserve"> However, due to legal restrictions on the sale of prescription drugs, pharmaceutical representatives do not actually sell product to an end user.</w:t>
      </w:r>
      <w:r>
        <w:rPr>
          <w:vertAlign w:val="superscript"/>
        </w:rPr>
        <w:footnoteReference w:id="904"/>
      </w:r>
    </w:p>
    <w:p w14:paraId="462A8FC2" w14:textId="77777777" w:rsidR="00201F3F" w:rsidRPr="00CD0FEB" w:rsidRDefault="00201F3F" w:rsidP="00D358F2">
      <w:pPr>
        <w:pStyle w:val="10ATextWithIndent"/>
      </w:pPr>
      <w:r w:rsidRPr="00CD0FEB">
        <w:t xml:space="preserve">In </w:t>
      </w:r>
      <w:r w:rsidRPr="00CD0FEB">
        <w:rPr>
          <w:i/>
          <w:iCs/>
        </w:rPr>
        <w:t>Christopher v. SmithKline Beecham Corp.</w:t>
      </w:r>
      <w:r w:rsidRPr="00CD0FEB">
        <w:t>,</w:t>
      </w:r>
      <w:r>
        <w:rPr>
          <w:vertAlign w:val="superscript"/>
        </w:rPr>
        <w:footnoteReference w:id="905"/>
      </w:r>
      <w:r w:rsidRPr="00CD0FEB">
        <w:t xml:space="preserve"> the Supreme Court resolved a circuit split</w:t>
      </w:r>
      <w:r>
        <w:rPr>
          <w:vertAlign w:val="superscript"/>
        </w:rPr>
        <w:footnoteReference w:id="906"/>
      </w:r>
      <w:r w:rsidRPr="00CD0FEB">
        <w:t xml:space="preserve"> and concluded that pharmaceutical sales representatives qualified for the outside sales exemption. The </w:t>
      </w:r>
      <w:r w:rsidRPr="00CD0FEB">
        <w:rPr>
          <w:i/>
          <w:iCs/>
        </w:rPr>
        <w:t xml:space="preserve">Christopher </w:t>
      </w:r>
      <w:r w:rsidRPr="00CD0FEB">
        <w:t>Court noted that the DOL had filed amicus briefs in both the Second and Ninth Circuits as well as at the Supreme Court, but that at the Supreme Court, the DOL had changed its view as to what constituted a “sale” for purposes of the outside sales exemption. “The Department now takes the position that ‘an employee does not make a “sale” for purposes of the “outside salesman” exemption unless he actually transfers title to the property at issue.’”</w:t>
      </w:r>
      <w:r>
        <w:rPr>
          <w:vertAlign w:val="superscript"/>
        </w:rPr>
        <w:footnoteReference w:id="907"/>
      </w:r>
      <w:r w:rsidRPr="00CD0FEB">
        <w:t xml:space="preserve"> The DOL asserted that its new definition was entitled to controlling deference, but the Court did not agree: “In this case, there are strong reasons for withholding the deference that </w:t>
      </w:r>
      <w:r w:rsidRPr="00CD0FEB">
        <w:rPr>
          <w:i/>
          <w:iCs/>
        </w:rPr>
        <w:t>Auer</w:t>
      </w:r>
      <w:r w:rsidRPr="00CD0FEB">
        <w:t xml:space="preserve"> generally requires.”</w:t>
      </w:r>
      <w:r>
        <w:rPr>
          <w:vertAlign w:val="superscript"/>
        </w:rPr>
        <w:footnoteReference w:id="908"/>
      </w:r>
    </w:p>
    <w:p w14:paraId="69D9CFF4" w14:textId="77777777" w:rsidR="00201F3F" w:rsidRPr="00CD0FEB" w:rsidRDefault="00201F3F" w:rsidP="00D358F2">
      <w:pPr>
        <w:pStyle w:val="10ATextWithIndent"/>
      </w:pPr>
      <w:r w:rsidRPr="00CD0FEB">
        <w:t>Because it found the DOL’s interpretation of “sale” unpersuasive, the Court employed traditional tools of interpretation to determine whether pharmaceutical sales representatives were exempt outside salespersons. It noted that DOL regulations define an outside salesman as an employee whose primary duty is “making sales” and that the regulations adopted the FLSA’s statutory definition of “sale.” As noted above, the statutory definition of “sale” states that “sale” or “sell” includes any sale, exchange, contract to sell, consignment for sale, shipment for sale, or other disposition:</w:t>
      </w:r>
    </w:p>
    <w:p w14:paraId="640BB29C" w14:textId="77777777" w:rsidR="00201F3F" w:rsidRPr="00CD0FEB" w:rsidRDefault="00201F3F" w:rsidP="00D358F2">
      <w:pPr>
        <w:pStyle w:val="09BBlockQuoteWithoutIndent"/>
      </w:pPr>
      <w:r w:rsidRPr="00CD0FEB">
        <w:t>This definition contains at least three interpretive textual clues. First, the definition is introduced with the verb “includes” instead of “means.” This word choice is significant because it makes clear that the examples enumerated in the text are intended to be illustrative, not exhaustive. …</w:t>
      </w:r>
    </w:p>
    <w:p w14:paraId="2FCFE4E3" w14:textId="77777777" w:rsidR="00201F3F" w:rsidRPr="00CD0FEB" w:rsidRDefault="00201F3F" w:rsidP="00D358F2">
      <w:pPr>
        <w:pStyle w:val="09BBlockQuoteWithoutIndent"/>
      </w:pPr>
      <w:r w:rsidRPr="00CD0FEB">
        <w:t>Second, the list of transactions included in the statutory definition of sale is modified by the word “any” … [which,] in the context of 29 U.S.C. §203(k), … is best read to mean “one or some indiscriminately of whatever kind” … .</w:t>
      </w:r>
    </w:p>
    <w:p w14:paraId="558CA69D" w14:textId="77777777" w:rsidR="00201F3F" w:rsidRPr="00CD0FEB" w:rsidRDefault="00201F3F" w:rsidP="00D358F2">
      <w:pPr>
        <w:pStyle w:val="09BBlockQuoteWithoutIndent"/>
      </w:pPr>
      <w:r w:rsidRPr="00CD0FEB">
        <w:t>Third, Congress also included a broad catchall phrase: “other disposition” … [that] is most reasonably interpreted as including those arrangements that are tantamount, in a particular industry, to a paradigmatic sale of a commodity.</w:t>
      </w:r>
      <w:r>
        <w:rPr>
          <w:vertAlign w:val="superscript"/>
        </w:rPr>
        <w:footnoteReference w:id="909"/>
      </w:r>
    </w:p>
    <w:p w14:paraId="0FE0C030" w14:textId="77777777" w:rsidR="00201F3F" w:rsidRPr="00CD0FEB" w:rsidRDefault="00201F3F" w:rsidP="00D358F2">
      <w:pPr>
        <w:pStyle w:val="10ATextWithIndent"/>
      </w:pPr>
      <w:r w:rsidRPr="00CD0FEB">
        <w:t>From there, the Court went on to deduce that, given this</w:t>
      </w:r>
    </w:p>
    <w:p w14:paraId="3C399B2C" w14:textId="77777777" w:rsidR="00201F3F" w:rsidRPr="00CD0FEB" w:rsidRDefault="00201F3F" w:rsidP="00D358F2">
      <w:pPr>
        <w:pStyle w:val="09BBlockQuoteWithoutIndent"/>
      </w:pPr>
      <w:r w:rsidRPr="00CD0FEB">
        <w:t>interpretation of “other disposition,” it follows that [pharmaceutical sales representatives] made sales for purposes of the FLSA and therefore are exempt outside salesmen within the meaning of the DOL’s regulations. Obtaining a nonbinding commitment from a physician to prescribe one of [SmithKline Beecham’s] drugs is the most that [the representatives] were able to do to ensure the eventual disposition of the products that [SmithKline Beecham] sells. This kind of arrangement, in the unique regulatory environment within which pharmaceutical companies must operate, comfortably falls within the catch-all category of “other disposition.”</w:t>
      </w:r>
      <w:r>
        <w:rPr>
          <w:vertAlign w:val="superscript"/>
        </w:rPr>
        <w:footnoteReference w:id="910"/>
      </w:r>
    </w:p>
    <w:p w14:paraId="0902C77F" w14:textId="77777777" w:rsidR="00201F3F" w:rsidRPr="00CD0FEB" w:rsidRDefault="00201F3F" w:rsidP="00D358F2">
      <w:pPr>
        <w:pStyle w:val="10ATextWithIndent"/>
      </w:pPr>
      <w:r w:rsidRPr="00CD0FEB">
        <w:t>As further support for this conclusion, the Court observed that pharmaceutical sales representatives “bear all of the indicia of salesmen” in that they “were hired for their sales experience. They were trained to close each sales call by obtaining the maximum commitment possible from the physician. They worked away from the office, with minimal supervision, and they were rewarded for their efforts with incentive compensation.”</w:t>
      </w:r>
      <w:r>
        <w:rPr>
          <w:vertAlign w:val="superscript"/>
        </w:rPr>
        <w:footnoteReference w:id="911"/>
      </w:r>
      <w:r w:rsidRPr="00CD0FEB">
        <w:t xml:space="preserve"> Reasoning that</w:t>
      </w:r>
    </w:p>
    <w:p w14:paraId="4AAC04D0" w14:textId="77777777" w:rsidR="00201F3F" w:rsidRPr="00CD0FEB" w:rsidRDefault="00201F3F" w:rsidP="00D358F2">
      <w:pPr>
        <w:pStyle w:val="09BBlockQuoteWithoutIndent"/>
      </w:pPr>
      <w:r w:rsidRPr="00CD0FEB">
        <w:t>[i]t would be anomalous to require [SmithKline Beecham] to compensate [pharmaceutical sales representatives] for overtime, while at the same time exempting employees who function identically to [them] in every respect except that they sell physician-administered drugs, such as vaccines and other injectable pharmaceuticals, that are ordered by the physician directly rather than purchased by the end user at a pharmacy with a prescription from the physician, [and noting that, in light of their relatively high rate of pay and the substantial overtime hours they put in] it would be challenging, to say the least, for pharmaceutical companies to compensate detailers for overtime work going forward without significantly changing the nature of that position, [the Court concluded that detailers] are hardly the kind of employees that the FLSA was intended to protect.</w:t>
      </w:r>
      <w:r>
        <w:rPr>
          <w:vertAlign w:val="superscript"/>
        </w:rPr>
        <w:footnoteReference w:id="912"/>
      </w:r>
    </w:p>
    <w:p w14:paraId="444189D0" w14:textId="77777777" w:rsidR="00201F3F" w:rsidRPr="00CD0FEB" w:rsidRDefault="00201F3F" w:rsidP="00D358F2">
      <w:pPr>
        <w:pStyle w:val="10ATextWithIndent"/>
      </w:pPr>
      <w:r w:rsidRPr="00CD0FEB">
        <w:t>In a pre-</w:t>
      </w:r>
      <w:r w:rsidRPr="00CD0FEB">
        <w:rPr>
          <w:i/>
          <w:iCs/>
        </w:rPr>
        <w:t>Christopher</w:t>
      </w:r>
      <w:r w:rsidRPr="00CD0FEB">
        <w:t xml:space="preserve"> case, </w:t>
      </w:r>
      <w:r w:rsidRPr="00CD0FEB">
        <w:rPr>
          <w:i/>
          <w:iCs/>
        </w:rPr>
        <w:t>Gregory v. First Title of America, Inc.</w:t>
      </w:r>
      <w:r w:rsidRPr="00CD0FEB">
        <w:t>,</w:t>
      </w:r>
      <w:r>
        <w:rPr>
          <w:vertAlign w:val="superscript"/>
        </w:rPr>
        <w:footnoteReference w:id="913"/>
      </w:r>
      <w:r w:rsidRPr="00CD0FEB">
        <w:t xml:space="preserve"> a marketing executive for a title company claimed “she never actually consummated a sale” but rather “was tasked only with inducing realtors, brokers and lenders to begin referring their customers—the end user—to First Title for title insurance services.”</w:t>
      </w:r>
      <w:r>
        <w:rPr>
          <w:vertAlign w:val="superscript"/>
        </w:rPr>
        <w:footnoteReference w:id="914"/>
      </w:r>
      <w:r w:rsidRPr="00CD0FEB">
        <w:t xml:space="preserve"> After considering the relevant factors articulated in the regulations, the Eleventh Circuit determined that the marketing executive’s “primary duty was to obtain orders for First Title’s title insurance services, i.e., bring in orders.”</w:t>
      </w:r>
      <w:r>
        <w:rPr>
          <w:vertAlign w:val="superscript"/>
        </w:rPr>
        <w:footnoteReference w:id="915"/>
      </w:r>
      <w:r w:rsidRPr="00CD0FEB">
        <w:t xml:space="preserve"> The court observed that “[t]he bulk of [the plaintiff’s] time was spent away from the office, free from direct supervision and performing work that could not be conclusively characterized as nonexempt.”</w:t>
      </w:r>
      <w:r>
        <w:rPr>
          <w:vertAlign w:val="superscript"/>
        </w:rPr>
        <w:footnoteReference w:id="916"/>
      </w:r>
      <w:r w:rsidRPr="00CD0FEB">
        <w:t xml:space="preserve"> Instead of regarding the plaintiff as “‘paving the way’ for others to consummate the sale,” the Eleventh Circuit “view[ed] her as a conduit through which orders for service flowed” in that she “received credit and payment for those orders that flowed through her to First Title.”</w:t>
      </w:r>
      <w:r>
        <w:rPr>
          <w:vertAlign w:val="superscript"/>
        </w:rPr>
        <w:footnoteReference w:id="917"/>
      </w:r>
      <w:r w:rsidRPr="00CD0FEB">
        <w:t xml:space="preserve"> </w:t>
      </w:r>
    </w:p>
    <w:p w14:paraId="2150B9C5" w14:textId="77777777" w:rsidR="00201F3F" w:rsidRPr="00CD0FEB" w:rsidRDefault="00201F3F" w:rsidP="00D358F2">
      <w:pPr>
        <w:pStyle w:val="10ATextWithIndent"/>
      </w:pPr>
      <w:r w:rsidRPr="00CD0FEB">
        <w:t>In another pre-</w:t>
      </w:r>
      <w:r w:rsidRPr="00CD0FEB">
        <w:rPr>
          <w:i/>
          <w:iCs/>
        </w:rPr>
        <w:t>Christopher</w:t>
      </w:r>
      <w:r w:rsidRPr="00CD0FEB">
        <w:t xml:space="preserve"> case, </w:t>
      </w:r>
      <w:r w:rsidRPr="00CD0FEB">
        <w:rPr>
          <w:i/>
          <w:iCs/>
        </w:rPr>
        <w:t>Nielson v. DeVry, Inc.</w:t>
      </w:r>
      <w:r w:rsidRPr="00CD0FEB">
        <w:t>,</w:t>
      </w:r>
      <w:r>
        <w:rPr>
          <w:vertAlign w:val="superscript"/>
        </w:rPr>
        <w:footnoteReference w:id="918"/>
      </w:r>
      <w:r w:rsidRPr="00CD0FEB">
        <w:t xml:space="preserve"> the court determined that “field representatives” responsible for recruiting students to attend a private educational institution were covered by the outside sales exemption. These representatives did more than just obtain applications from prospective students; they continued to be in touch with and support the prospective students all the way through enrollment, payment of tuition, and attending class. Moreover, the prospective students, like buyers, were actually purchasing a product or service through their enrollment. The field representatives had the capacity to consummate the sale because DeVry, unlike the typical college acting through an admissions office, never rejected any applicant who met the known objective criteria for admission. The court therefore concluded that the field representatives were themselves engaged in consummating sales, or directed their efforts toward the consummation of sales, and thus fell under the outside sales exemption.</w:t>
      </w:r>
      <w:r>
        <w:rPr>
          <w:vertAlign w:val="superscript"/>
        </w:rPr>
        <w:footnoteReference w:id="919"/>
      </w:r>
    </w:p>
    <w:p w14:paraId="30F37FCD" w14:textId="77777777" w:rsidR="00201F3F" w:rsidRPr="00CD0FEB" w:rsidRDefault="00201F3F" w:rsidP="00D358F2">
      <w:pPr>
        <w:pStyle w:val="10ATextWithIndent"/>
      </w:pPr>
      <w:r w:rsidRPr="00CD0FEB">
        <w:t xml:space="preserve">In </w:t>
      </w:r>
      <w:r w:rsidRPr="00CD0FEB">
        <w:rPr>
          <w:i/>
          <w:iCs/>
        </w:rPr>
        <w:t>Killion v. KeHE Distributors, LLC</w:t>
      </w:r>
      <w:r w:rsidRPr="00CD0FEB">
        <w:t>,</w:t>
      </w:r>
      <w:r>
        <w:rPr>
          <w:vertAlign w:val="superscript"/>
        </w:rPr>
        <w:footnoteReference w:id="920"/>
      </w:r>
      <w:r w:rsidRPr="00CD0FEB">
        <w:t xml:space="preserve"> the Sixth Circuit determined that the exempt status of sales representatives working for a specialty health food distributor turned on a factual dispute that could not be resolved on summary judgment. The sales representatives were responsible for providing services to the employer’s large retail customers, including: monitoring delivery of products, cleaning and upkeep of store shelving space, stocking shelves from inventory, ordering additional product, and assisting with damaged product. The Sixth Circuit found that the case turned on two questions: (1) did the plaintiffs make sales, and, (2) if so, was making sales their primary duty? It concluded that the district court committed two major errors in entering summary judgment:</w:t>
      </w:r>
    </w:p>
    <w:p w14:paraId="087AAF05" w14:textId="77777777" w:rsidR="00201F3F" w:rsidRPr="00CD0FEB" w:rsidRDefault="00201F3F" w:rsidP="00D358F2">
      <w:pPr>
        <w:pStyle w:val="09BBlockQuoteWithoutIndent"/>
      </w:pPr>
      <w:r w:rsidRPr="00CD0FEB">
        <w:t>First, the district court erroneously concluded that the plaintiffs’ reordering of merchandise constitutes a “sale” for FLSA purposes as a matter of law. Second, the district court incorrectly held that there was no genuine dispute of material fact as to whether making sales is the primary duty of the plaintiffs.</w:t>
      </w:r>
      <w:r>
        <w:rPr>
          <w:vertAlign w:val="superscript"/>
        </w:rPr>
        <w:footnoteReference w:id="921"/>
      </w:r>
    </w:p>
    <w:p w14:paraId="65991A99" w14:textId="77777777" w:rsidR="00201F3F" w:rsidRPr="00CD0FEB" w:rsidRDefault="00201F3F" w:rsidP="00D358F2">
      <w:pPr>
        <w:pStyle w:val="10BTextWithoutIndent"/>
      </w:pPr>
      <w:r w:rsidRPr="00CD0FEB">
        <w:rPr>
          <w:i/>
          <w:iCs/>
        </w:rPr>
        <w:t xml:space="preserve">Christopher </w:t>
      </w:r>
      <w:r w:rsidRPr="00CD0FEB">
        <w:t>was deemed to be of limited import in answering these questions as there was conflicting evidence as to who actually sold KeHE’s products. “The fact that the plaintiffs hit the order button on their electronic devices, in other words, is not enough to magically transform their jobs from inventory management to ‘sales.’”</w:t>
      </w:r>
      <w:r>
        <w:rPr>
          <w:vertAlign w:val="superscript"/>
        </w:rPr>
        <w:footnoteReference w:id="922"/>
      </w:r>
      <w:r w:rsidRPr="00CD0FEB">
        <w:t xml:space="preserve"> Moreover, the court found that because 68 percent of the plaintiffs’ total compensation was paid for stocking shelves and store maintenance, a jury could conclude that the plaintiffs’ primary responsibility was inventory management rather than sales.</w:t>
      </w:r>
      <w:r>
        <w:rPr>
          <w:vertAlign w:val="superscript"/>
        </w:rPr>
        <w:footnoteReference w:id="923"/>
      </w:r>
    </w:p>
    <w:p w14:paraId="3D9E39DF" w14:textId="77777777" w:rsidR="00201F3F" w:rsidRPr="00CD0FEB" w:rsidRDefault="00201F3F" w:rsidP="00D358F2">
      <w:pPr>
        <w:pStyle w:val="10ATextWithIndent"/>
      </w:pPr>
      <w:r w:rsidRPr="00CD0FEB">
        <w:t xml:space="preserve">By contrast, in </w:t>
      </w:r>
      <w:r w:rsidRPr="00CD0FEB">
        <w:rPr>
          <w:i/>
          <w:iCs/>
        </w:rPr>
        <w:t>Flood v. Just Energy Marketing Corp.</w:t>
      </w:r>
      <w:r w:rsidRPr="00CD0FEB">
        <w:t>,</w:t>
      </w:r>
      <w:r>
        <w:rPr>
          <w:vertAlign w:val="superscript"/>
        </w:rPr>
        <w:footnoteReference w:id="924"/>
      </w:r>
      <w:r w:rsidRPr="00CD0FEB">
        <w:t xml:space="preserve"> the Second Circuit applied </w:t>
      </w:r>
      <w:r w:rsidRPr="00CD0FEB">
        <w:rPr>
          <w:i/>
          <w:iCs/>
        </w:rPr>
        <w:t>Christopher</w:t>
      </w:r>
      <w:r w:rsidRPr="00CD0FEB">
        <w:t xml:space="preserve"> and held that an energy supply company properly classified an employee engaged in door-to-door solicitation of prospective customers for electricity or natural gas as an exempt outside salesperson.</w:t>
      </w:r>
      <w:r>
        <w:rPr>
          <w:vertAlign w:val="superscript"/>
        </w:rPr>
        <w:footnoteReference w:id="925"/>
      </w:r>
      <w:r w:rsidRPr="00CD0FEB">
        <w:t xml:space="preserve"> The plaintiff argued that he was not “making sales” because his employer retained discretion to reject the contracts he secured.</w:t>
      </w:r>
      <w:r>
        <w:rPr>
          <w:vertAlign w:val="superscript"/>
        </w:rPr>
        <w:footnoteReference w:id="926"/>
      </w:r>
      <w:r w:rsidRPr="00CD0FEB">
        <w:t xml:space="preserve"> Noting that </w:t>
      </w:r>
      <w:r w:rsidRPr="00CD0FEB">
        <w:rPr>
          <w:i/>
          <w:iCs/>
        </w:rPr>
        <w:t>Christopher</w:t>
      </w:r>
      <w:r w:rsidRPr="00CD0FEB">
        <w:t xml:space="preserve"> declined to interpret the “making sales” requirement to mandate a showing that an employee had fully consummated a sale, the court rejected this argument.</w:t>
      </w:r>
      <w:r>
        <w:rPr>
          <w:vertAlign w:val="superscript"/>
        </w:rPr>
        <w:footnoteReference w:id="927"/>
      </w:r>
      <w:r w:rsidRPr="00CD0FEB">
        <w:t xml:space="preserve"> The court likewise rejected the plaintiff’s claim that </w:t>
      </w:r>
      <w:r w:rsidRPr="00CD0FEB">
        <w:rPr>
          <w:i/>
          <w:iCs/>
        </w:rPr>
        <w:t>Christopher</w:t>
      </w:r>
      <w:r w:rsidRPr="00CD0FEB">
        <w:t xml:space="preserve"> should be “confined to the peculiarities of the pharmaceutical sales market that impeded direct sales from the pharmaceutical company to patients,” noting that there existed no “peculiarity of the utility or energy industry that should warrant a more restrictive application of the term ‘making sales[.]’”</w:t>
      </w:r>
      <w:r>
        <w:rPr>
          <w:vertAlign w:val="superscript"/>
        </w:rPr>
        <w:footnoteReference w:id="928"/>
      </w:r>
      <w:r w:rsidRPr="00CD0FEB">
        <w:t xml:space="preserve"> The customer’s commitment to buy was sufficient to constitute the making of a sale for purposes of the outside sales exemption.</w:t>
      </w:r>
      <w:r>
        <w:rPr>
          <w:vertAlign w:val="superscript"/>
        </w:rPr>
        <w:footnoteReference w:id="929"/>
      </w:r>
    </w:p>
    <w:p w14:paraId="7A1EF521" w14:textId="77777777" w:rsidR="00201F3F" w:rsidRPr="00CD0FEB" w:rsidRDefault="00201F3F" w:rsidP="00D358F2">
      <w:pPr>
        <w:pStyle w:val="10ATextWithIndent"/>
        <w:rPr>
          <w:lang w:eastAsia="pt-PT"/>
        </w:rPr>
      </w:pPr>
      <w:r w:rsidRPr="00CD0FEB">
        <w:rPr>
          <w:lang w:eastAsia="pt-PT"/>
        </w:rPr>
        <w:t xml:space="preserve">The Sixth Circuit reached a different conclusion in a case involving door-to-door solicitors employed by an Ohio subsidiary of the same parent corporation. In </w:t>
      </w:r>
      <w:r w:rsidRPr="00CD0FEB">
        <w:rPr>
          <w:i/>
          <w:iCs/>
          <w:lang w:eastAsia="pt-PT"/>
        </w:rPr>
        <w:t>Hurt v. Commerce Energy, Inc.</w:t>
      </w:r>
      <w:r w:rsidRPr="00CD0FEB">
        <w:rPr>
          <w:lang w:eastAsia="pt-PT"/>
        </w:rPr>
        <w:t>,</w:t>
      </w:r>
      <w:r>
        <w:rPr>
          <w:rStyle w:val="FootnoteReference"/>
          <w:lang w:eastAsia="pt-PT"/>
        </w:rPr>
        <w:footnoteReference w:id="930"/>
      </w:r>
      <w:r w:rsidRPr="00CD0FEB">
        <w:rPr>
          <w:lang w:eastAsia="pt-PT"/>
        </w:rPr>
        <w:t xml:space="preserve"> the Sixth Circuit held that the outside sales exemption did not apply to the Ohio-based employees because, as distinguished from their counterparts in </w:t>
      </w:r>
      <w:r w:rsidRPr="00CD0FEB">
        <w:rPr>
          <w:i/>
          <w:iCs/>
          <w:lang w:eastAsia="pt-PT"/>
        </w:rPr>
        <w:t>Flood</w:t>
      </w:r>
      <w:r w:rsidRPr="00CD0FEB">
        <w:rPr>
          <w:lang w:eastAsia="pt-PT"/>
        </w:rPr>
        <w:t xml:space="preserve">, </w:t>
      </w:r>
    </w:p>
    <w:p w14:paraId="10AEDA05" w14:textId="77777777" w:rsidR="00201F3F" w:rsidRPr="00CD0FEB" w:rsidRDefault="00201F3F" w:rsidP="0007572E">
      <w:pPr>
        <w:pStyle w:val="09BBlockQuoteWithoutIndent"/>
      </w:pPr>
      <w:r w:rsidRPr="00CD0FEB">
        <w:rPr>
          <w:lang w:eastAsia="pt-PT"/>
        </w:rPr>
        <w:t>[t]</w:t>
      </w:r>
      <w:r w:rsidRPr="00CD0FEB">
        <w:rPr>
          <w:shd w:val="clear" w:color="auto" w:fill="FFFFFF"/>
        </w:rPr>
        <w:t>he Ohio affiliate of Just Energy did not allow Plaintiffs to “close the sale,” or provide confirmation and answers to customer questions or concerns at the “critical point of the sale.” Plaintiffs’ contact with the customers ended upon initiating the verification call, on pain of termination. Customers were instructed to direct any questions or concerns to Just Energy’s customer service.</w:t>
      </w:r>
      <w:r>
        <w:rPr>
          <w:rStyle w:val="FootnoteReference"/>
          <w:lang w:eastAsia="pt-PT"/>
        </w:rPr>
        <w:footnoteReference w:id="931"/>
      </w:r>
    </w:p>
    <w:p w14:paraId="1EEE9C01" w14:textId="77777777" w:rsidR="00201F3F" w:rsidRPr="00CD0FEB" w:rsidRDefault="00201F3F" w:rsidP="00B14309">
      <w:pPr>
        <w:pStyle w:val="10ATextWithIndent"/>
      </w:pPr>
      <w:r w:rsidRPr="00CD0FEB">
        <w:t xml:space="preserve">In </w:t>
      </w:r>
      <w:r w:rsidRPr="00CD0FEB">
        <w:rPr>
          <w:i/>
          <w:iCs/>
        </w:rPr>
        <w:t>Modeski v. Summit Retail Solutions, Inc.</w:t>
      </w:r>
      <w:r w:rsidRPr="00CD0FEB">
        <w:t>,</w:t>
      </w:r>
      <w:r>
        <w:rPr>
          <w:rStyle w:val="FootnoteReference"/>
        </w:rPr>
        <w:footnoteReference w:id="932"/>
      </w:r>
      <w:r w:rsidRPr="00CD0FEB">
        <w:t xml:space="preserve"> the First Circuit applied </w:t>
      </w:r>
      <w:r w:rsidRPr="00CD0FEB">
        <w:rPr>
          <w:i/>
          <w:iCs/>
        </w:rPr>
        <w:t>Christopher</w:t>
      </w:r>
      <w:r w:rsidRPr="00CD0FEB">
        <w:t xml:space="preserve"> and held that brand representatives employed by a marketing company to conduct in-store demonstrations and engage with customers met the requirements of the outside sales exemption, reasoning that “[a]lthough they do not ring up any purchase at the register, Brand Reps do as much as practically possible to ‘in some sense make[] a sale’ in the retail store context in which they operate.”</w:t>
      </w:r>
      <w:r>
        <w:rPr>
          <w:rStyle w:val="FootnoteReference"/>
        </w:rPr>
        <w:footnoteReference w:id="933"/>
      </w:r>
      <w:r w:rsidRPr="00CD0FEB">
        <w:t xml:space="preserve"> Unlike in </w:t>
      </w:r>
      <w:r w:rsidRPr="00CD0FEB">
        <w:rPr>
          <w:i/>
          <w:iCs/>
        </w:rPr>
        <w:t>Hurt</w:t>
      </w:r>
      <w:r w:rsidRPr="00CD0FEB">
        <w:t>, where “Just Energy retained ultimate discretion to finalize the sale,” in this case, the First Circuit noted, “although customers can choose not to purchase a product after interacting with a Brand Rep, no entity at the store other than the Brand Rep has any discretionary role in determining whether the sale is consummated.”</w:t>
      </w:r>
      <w:r>
        <w:rPr>
          <w:rStyle w:val="FootnoteReference"/>
        </w:rPr>
        <w:footnoteReference w:id="934"/>
      </w:r>
    </w:p>
    <w:p w14:paraId="42E38FF4" w14:textId="77777777" w:rsidR="00201F3F" w:rsidRPr="00CD0FEB" w:rsidRDefault="00201F3F" w:rsidP="00D358F2">
      <w:pPr>
        <w:pStyle w:val="05Second-LevelHeadABC"/>
      </w:pPr>
      <w:r w:rsidRPr="00CD0FEB">
        <w:t>B.</w:t>
      </w:r>
      <w:r w:rsidRPr="00CD0FEB">
        <w:tab/>
        <w:t>“Away From the Employer’s Place or Places of Business”</w:t>
      </w:r>
    </w:p>
    <w:p w14:paraId="2F166952" w14:textId="77777777" w:rsidR="00201F3F" w:rsidRPr="00CD0FEB" w:rsidRDefault="00201F3F" w:rsidP="00D358F2">
      <w:pPr>
        <w:pStyle w:val="10ATextWithIndent"/>
      </w:pPr>
      <w:r w:rsidRPr="00CD0FEB">
        <w:t>The regulations provide that to be exempt, a sales employee must be customarily and regularly engaged in making sales “away from the employer’s place or places of business.”</w:t>
      </w:r>
      <w:r>
        <w:rPr>
          <w:vertAlign w:val="superscript"/>
        </w:rPr>
        <w:footnoteReference w:id="935"/>
      </w:r>
      <w:r w:rsidRPr="00CD0FEB">
        <w:t xml:space="preserve"> Outside sales do not include solicitations made by mail, telephone, or the Internet, unless use of such instruments is incidental to personal sales calls.</w:t>
      </w:r>
      <w:r>
        <w:rPr>
          <w:vertAlign w:val="superscript"/>
        </w:rPr>
        <w:footnoteReference w:id="936"/>
      </w:r>
      <w:r w:rsidRPr="00CD0FEB">
        <w:t xml:space="preserve"> </w:t>
      </w:r>
    </w:p>
    <w:p w14:paraId="09D334ED" w14:textId="77777777" w:rsidR="00201F3F" w:rsidRPr="00CD0FEB" w:rsidRDefault="00201F3F" w:rsidP="00D358F2">
      <w:pPr>
        <w:pStyle w:val="10ATextWithIndent"/>
      </w:pPr>
      <w:r w:rsidRPr="00CD0FEB">
        <w:t>Moreover, sales primarily made from any fixed site, home, or office used by the employee on an ongoing basis as a sales headquarters or for telephone solicitation, whether or not the employer is the owner of the site, are not “outside sales.”</w:t>
      </w:r>
      <w:r>
        <w:rPr>
          <w:vertAlign w:val="superscript"/>
        </w:rPr>
        <w:footnoteReference w:id="937"/>
      </w:r>
      <w:r w:rsidRPr="00CD0FEB">
        <w:t xml:space="preserve"> Nor are off-site collection activities for an automobile sales and finance company “outside sales” where the vehicle purchases occurred on-site.</w:t>
      </w:r>
      <w:r>
        <w:rPr>
          <w:vertAlign w:val="superscript"/>
        </w:rPr>
        <w:footnoteReference w:id="938"/>
      </w:r>
      <w:r w:rsidRPr="00CD0FEB">
        <w:t xml:space="preserve"> However, sales made from “hotel sample rooms” while the employee is traveling, or at a trade show of short duration, may be considered outside sales.</w:t>
      </w:r>
      <w:r>
        <w:rPr>
          <w:vertAlign w:val="superscript"/>
        </w:rPr>
        <w:footnoteReference w:id="939"/>
      </w:r>
      <w:r w:rsidRPr="00CD0FEB">
        <w:t xml:space="preserve"> Similarly, sales made from a station set up at a public site, such as a retail store, are considered to occur away from the employer’s place of business where the public locations were not used by the employees or the employer as a headquarters.</w:t>
      </w:r>
      <w:r>
        <w:rPr>
          <w:vertAlign w:val="superscript"/>
        </w:rPr>
        <w:footnoteReference w:id="940"/>
      </w:r>
    </w:p>
    <w:p w14:paraId="06A21C2D" w14:textId="77777777" w:rsidR="00201F3F" w:rsidRPr="00CD0FEB" w:rsidRDefault="00201F3F" w:rsidP="00D358F2">
      <w:pPr>
        <w:pStyle w:val="10ATextWithIndent"/>
      </w:pPr>
      <w:r w:rsidRPr="00CD0FEB">
        <w:t xml:space="preserve">The Seventh Circuit held in </w:t>
      </w:r>
      <w:r w:rsidRPr="00CD0FEB">
        <w:rPr>
          <w:i/>
          <w:iCs/>
        </w:rPr>
        <w:t>Schmidt v</w:t>
      </w:r>
      <w:r w:rsidRPr="00CD0FEB">
        <w:t>.</w:t>
      </w:r>
      <w:r w:rsidRPr="00CD0FEB">
        <w:rPr>
          <w:i/>
          <w:iCs/>
        </w:rPr>
        <w:t xml:space="preserve"> Eagle Waste &amp; Recycling, Inc</w:t>
      </w:r>
      <w:r w:rsidRPr="00CD0FEB">
        <w:t>.</w:t>
      </w:r>
      <w:r>
        <w:rPr>
          <w:vertAlign w:val="superscript"/>
        </w:rPr>
        <w:footnoteReference w:id="941"/>
      </w:r>
      <w:r w:rsidRPr="00CD0FEB">
        <w:t xml:space="preserve"> that an account representative for a waste removal company was properly classified as an exempt outside salesperson where she spent four to eight hours a day outside the office making in-person sales calls and visited the office on only about half of her workdays. At the office, much of her work furthered her sales efforts. She maintained a database of her customers, which formed the basis of her collections and commission payments, and spent about 10 hours a week developing marketing plans and doing other promotional work inside the office in furtherance of her own sales.</w:t>
      </w:r>
    </w:p>
    <w:p w14:paraId="141FA70B" w14:textId="77777777" w:rsidR="00201F3F" w:rsidRPr="00CD0FEB" w:rsidRDefault="00201F3F" w:rsidP="00D358F2">
      <w:pPr>
        <w:pStyle w:val="10ATextWithIndent"/>
      </w:pPr>
      <w:r w:rsidRPr="00CD0FEB">
        <w:t>In two 2007 opinion letters published on the same day, the DOL determined that employees responsible for selling homes to be constructed in a new development qualified for the outside sales exemption.</w:t>
      </w:r>
      <w:r>
        <w:rPr>
          <w:vertAlign w:val="superscript"/>
        </w:rPr>
        <w:footnoteReference w:id="942"/>
      </w:r>
      <w:r w:rsidRPr="00CD0FEB">
        <w:t xml:space="preserve"> In concluding that these employees were engaged in the primary duty of selling homes “away from their employer’s place of business,” the DOL explained that even where the sales office was located within a sales community, sales associates had to leave the office to escort prospective buyers on a tour of the amenities available in the community and the model units being offered for sale. The visual inspection of the properties for sale in the community and the sales associate’s ability to demonstrate the unique architectural and design features of the company’s home products outside of the office were critical to the sales process.</w:t>
      </w:r>
      <w:r>
        <w:rPr>
          <w:vertAlign w:val="superscript"/>
        </w:rPr>
        <w:footnoteReference w:id="943"/>
      </w:r>
    </w:p>
    <w:p w14:paraId="1D58096B" w14:textId="77777777" w:rsidR="00201F3F" w:rsidRPr="00CD0FEB" w:rsidRDefault="00201F3F" w:rsidP="00D358F2">
      <w:pPr>
        <w:pStyle w:val="10ATextWithIndent"/>
      </w:pPr>
      <w:r w:rsidRPr="00CD0FEB">
        <w:t>On the other hand, the DOL found the outside sales exemption inapplicable to employees responsible for promoting and selling timeshare interests in resorts to prospective owners.</w:t>
      </w:r>
      <w:r>
        <w:rPr>
          <w:vertAlign w:val="superscript"/>
        </w:rPr>
        <w:footnoteReference w:id="944"/>
      </w:r>
      <w:r w:rsidRPr="00CD0FEB">
        <w:t xml:space="preserve"> The DOL reasoned that the resort property in its entirety, and not just the employer’s sales office, qualified as a place of business of the employer in that “the employer retains a continuing business interest in the remaining resort facilities, and in maintaining both the resort and the timeshare units that have been sold.”</w:t>
      </w:r>
      <w:r>
        <w:rPr>
          <w:vertAlign w:val="superscript"/>
        </w:rPr>
        <w:footnoteReference w:id="945"/>
      </w:r>
      <w:r w:rsidRPr="00CD0FEB">
        <w:t xml:space="preserve"> Because all of the employees’ sales activities occurred at the sales office or within the confines of the resort, the requirement of being engaged in sales away from the employer’s place of business was not met.</w:t>
      </w:r>
      <w:r>
        <w:rPr>
          <w:vertAlign w:val="superscript"/>
        </w:rPr>
        <w:footnoteReference w:id="946"/>
      </w:r>
    </w:p>
    <w:p w14:paraId="556E1F18" w14:textId="77777777" w:rsidR="00201F3F" w:rsidRPr="00CD0FEB" w:rsidRDefault="00201F3F" w:rsidP="00D358F2">
      <w:pPr>
        <w:pStyle w:val="10ATextWithIndent"/>
      </w:pPr>
      <w:r w:rsidRPr="00CD0FEB">
        <w:t>Several district courts have considered whether mortgage loan officers and employees holding similar jobs qualified for the outside sales exemption with mixed results driven by the unique factual context.</w:t>
      </w:r>
      <w:r>
        <w:rPr>
          <w:vertAlign w:val="superscript"/>
        </w:rPr>
        <w:footnoteReference w:id="947"/>
      </w:r>
    </w:p>
    <w:p w14:paraId="7CABB1A8" w14:textId="77777777" w:rsidR="00201F3F" w:rsidRPr="00CD0FEB" w:rsidRDefault="00201F3F" w:rsidP="00D358F2">
      <w:pPr>
        <w:pStyle w:val="05Second-LevelHeadABC"/>
      </w:pPr>
      <w:r w:rsidRPr="00CD0FEB">
        <w:t>C.</w:t>
      </w:r>
      <w:r w:rsidRPr="00CD0FEB">
        <w:tab/>
        <w:t>Promotion Work</w:t>
      </w:r>
    </w:p>
    <w:p w14:paraId="61CB8758" w14:textId="77777777" w:rsidR="00201F3F" w:rsidRPr="00CD0FEB" w:rsidRDefault="00201F3F" w:rsidP="00D358F2">
      <w:pPr>
        <w:pStyle w:val="10ATextWithIndent"/>
      </w:pPr>
      <w:r w:rsidRPr="00CD0FEB">
        <w:t>Work in the nature of promoting sales is not considered exempt sales work unless it is incidental to and in conjunction with the employee’s own sales activities.</w:t>
      </w:r>
      <w:r>
        <w:rPr>
          <w:vertAlign w:val="superscript"/>
        </w:rPr>
        <w:footnoteReference w:id="948"/>
      </w:r>
      <w:r w:rsidRPr="00CD0FEB">
        <w:t xml:space="preserve"> Examples of promotion activities include setting up displays and posters, removing damaged or spoiled stock, rearranging merchandise, or replenishing stock by replacing old with new merchandise.</w:t>
      </w:r>
      <w:r>
        <w:rPr>
          <w:vertAlign w:val="superscript"/>
        </w:rPr>
        <w:footnoteReference w:id="949"/>
      </w:r>
      <w:r w:rsidRPr="00CD0FEB">
        <w:t xml:space="preserve"> Exempt work includes promotion activities undertaken by the employee in the course of obtaining additional sales orders. Thus, when a salesperson is engaged in the promotion of goods, services, or facilities for the very purpose of supporting his or her own sales, the promotion activities are considered exempt sales work for the purposes of determining the employee’s primary duty.</w:t>
      </w:r>
      <w:r>
        <w:rPr>
          <w:vertAlign w:val="superscript"/>
        </w:rPr>
        <w:footnoteReference w:id="950"/>
      </w:r>
    </w:p>
    <w:p w14:paraId="58142AFC" w14:textId="77777777" w:rsidR="00201F3F" w:rsidRPr="00CD0FEB" w:rsidRDefault="00201F3F" w:rsidP="00D358F2">
      <w:pPr>
        <w:pStyle w:val="10ATextWithIndent"/>
      </w:pPr>
      <w:r w:rsidRPr="00CD0FEB">
        <w:t xml:space="preserve">In </w:t>
      </w:r>
      <w:r w:rsidRPr="00CD0FEB">
        <w:rPr>
          <w:i/>
          <w:iCs/>
        </w:rPr>
        <w:t>Ackerman v. Coca-Cola Enterprises, Inc</w:t>
      </w:r>
      <w:r w:rsidRPr="00CD0FEB">
        <w:t>.,</w:t>
      </w:r>
      <w:r>
        <w:rPr>
          <w:vertAlign w:val="superscript"/>
        </w:rPr>
        <w:footnoteReference w:id="951"/>
      </w:r>
      <w:r w:rsidRPr="00CD0FEB">
        <w:t xml:space="preserve"> the Tenth Circuit held that advance sales representatives and account managers for a soft drink company fell within the “outside sales” exemption despite the fact that a significant percentage of their on-the-job time was spent performing “merchandising” tasks, such as setting up advertising materials, that were also performed by nonexempt employees. The court observed that “what matters is whether the plaintiffs—or someone else—sold Coca-Cola products at the locations where the plaintiffs performed merchandising activities and whether, if the plaintiffs sold Coca-Cola products at those locations, their merchandising work promoted those sales.”</w:t>
      </w:r>
      <w:r>
        <w:rPr>
          <w:vertAlign w:val="superscript"/>
        </w:rPr>
        <w:footnoteReference w:id="952"/>
      </w:r>
      <w:r w:rsidRPr="00CD0FEB">
        <w:t xml:space="preserve"> The court held that if the sales representatives and account managers performed other nonsales tasks intended to promote their employer’s products at locations where they also made sales, then those merchandising tasks were incidental to and in conjunction with their sales tasks so as to be exempt work.</w:t>
      </w:r>
      <w:r>
        <w:rPr>
          <w:vertAlign w:val="superscript"/>
        </w:rPr>
        <w:footnoteReference w:id="953"/>
      </w:r>
    </w:p>
    <w:p w14:paraId="18C1F498" w14:textId="77777777" w:rsidR="00201F3F" w:rsidRPr="00CD0FEB" w:rsidRDefault="00201F3F" w:rsidP="00D358F2">
      <w:pPr>
        <w:pStyle w:val="10ATextWithIndent"/>
      </w:pPr>
      <w:r w:rsidRPr="00CD0FEB">
        <w:t>In response to concerns “that due to advances in computerized tracking of inventory and product shipment, the sales of manufactured goods are increasingly driven by computerized recognition of decreases in customer inventory, rather than specific face-to-face solicitations by outside sales employees,”</w:t>
      </w:r>
      <w:r>
        <w:rPr>
          <w:vertAlign w:val="superscript"/>
        </w:rPr>
        <w:footnoteReference w:id="954"/>
      </w:r>
      <w:r w:rsidRPr="00CD0FEB">
        <w:t xml:space="preserve"> the DOL stated that “technological changes in how orders are taken and processed should not preclude the exemption for employees who in some sense make sales.”</w:t>
      </w:r>
      <w:r>
        <w:rPr>
          <w:vertAlign w:val="superscript"/>
        </w:rPr>
        <w:footnoteReference w:id="955"/>
      </w:r>
      <w:r w:rsidRPr="00CD0FEB">
        <w:t xml:space="preserve"> Although the DOL noted that “[e]xempt status should not depend on whether it is the sales employee or the customer who types the order into a computer and hits the return button,”</w:t>
      </w:r>
      <w:r>
        <w:rPr>
          <w:vertAlign w:val="superscript"/>
        </w:rPr>
        <w:footnoteReference w:id="956"/>
      </w:r>
      <w:r w:rsidRPr="00CD0FEB">
        <w:t xml:space="preserve"> it nevertheless emphasized that an employer claiming the outside sales exemption would have to demonstrate that the employee both “obtain[s] a commitment to buy” from the customer and is credited with the sale.</w:t>
      </w:r>
      <w:r>
        <w:rPr>
          <w:vertAlign w:val="superscript"/>
        </w:rPr>
        <w:footnoteReference w:id="957"/>
      </w:r>
    </w:p>
    <w:p w14:paraId="63D12609" w14:textId="77777777" w:rsidR="00201F3F" w:rsidRPr="00CD0FEB" w:rsidRDefault="00201F3F" w:rsidP="00D358F2">
      <w:pPr>
        <w:pStyle w:val="05Second-LevelHeadABC"/>
      </w:pPr>
      <w:r w:rsidRPr="00CD0FEB">
        <w:t>D.</w:t>
      </w:r>
      <w:r w:rsidRPr="00CD0FEB">
        <w:tab/>
        <w:t>Drivers Who Sell</w:t>
      </w:r>
    </w:p>
    <w:p w14:paraId="69AD17A9" w14:textId="77777777" w:rsidR="00201F3F" w:rsidRPr="00CD0FEB" w:rsidRDefault="00201F3F" w:rsidP="00D358F2">
      <w:pPr>
        <w:pStyle w:val="10ATextWithIndent"/>
      </w:pPr>
      <w:r w:rsidRPr="00CD0FEB">
        <w:t>Drivers who perform sales work while delivering product or performing sales promotion work may be exempt but only if their primary duty involves the making of sales,</w:t>
      </w:r>
      <w:r>
        <w:rPr>
          <w:vertAlign w:val="superscript"/>
        </w:rPr>
        <w:footnoteReference w:id="958"/>
      </w:r>
      <w:r w:rsidRPr="00CD0FEB">
        <w:t xml:space="preserve"> since exempt sales personnel are primarily employed to sell rather than to be “routine delivery men.”</w:t>
      </w:r>
      <w:r>
        <w:rPr>
          <w:vertAlign w:val="superscript"/>
        </w:rPr>
        <w:footnoteReference w:id="959"/>
      </w:r>
      <w:r w:rsidRPr="00CD0FEB">
        <w:t xml:space="preserve"> Time spent loading, driving, or delivering product or other incidental work is considered exempt only if performed in support of the employee’s own sales work.</w:t>
      </w:r>
      <w:r>
        <w:rPr>
          <w:vertAlign w:val="superscript"/>
        </w:rPr>
        <w:footnoteReference w:id="960"/>
      </w:r>
    </w:p>
    <w:p w14:paraId="307199EB" w14:textId="77777777" w:rsidR="00201F3F" w:rsidRPr="00CD0FEB" w:rsidRDefault="00201F3F" w:rsidP="00D358F2">
      <w:pPr>
        <w:pStyle w:val="10ATextWithIndent"/>
      </w:pPr>
      <w:r w:rsidRPr="00CD0FEB">
        <w:t>In determining whether “a driver has a primary duty of making sales,” the DOL has identified “several factors [that] should be considered … including, but not limited to”</w:t>
      </w:r>
    </w:p>
    <w:p w14:paraId="112A98F3" w14:textId="77777777" w:rsidR="00201F3F" w:rsidRPr="00CD0FEB" w:rsidRDefault="00201F3F" w:rsidP="00D358F2">
      <w:pPr>
        <w:pStyle w:val="09BBlockQuoteWithoutIndent"/>
      </w:pPr>
      <w:r w:rsidRPr="00CD0FEB">
        <w:t>a comparison of the driver’s duties with those of other employees engaged as truck drivers and as salespersons; possession of a selling or solicitor’s license when such license is required by law or ordinances; presence or absence of customary or contractual arrangements concerning amounts of products to be delivered; description of the employee’s occupation in collective bargaining agreements; the employer’s specifications as to qualifications for hiring; sales training; attendance at sales conferences; method of payment; and proportion of earnings directly attributable to sales.</w:t>
      </w:r>
      <w:r>
        <w:rPr>
          <w:vertAlign w:val="superscript"/>
        </w:rPr>
        <w:footnoteReference w:id="961"/>
      </w:r>
    </w:p>
    <w:p w14:paraId="2A3A6E2E" w14:textId="77777777" w:rsidR="00201F3F" w:rsidRPr="00CD0FEB" w:rsidRDefault="00201F3F" w:rsidP="00D358F2">
      <w:pPr>
        <w:pStyle w:val="10ATextWithIndent"/>
      </w:pPr>
      <w:r w:rsidRPr="00CD0FEB">
        <w:t>For further guidance, the regulation provides examples of drivers whose work would meet the exemption</w:t>
      </w:r>
      <w:r>
        <w:rPr>
          <w:vertAlign w:val="superscript"/>
        </w:rPr>
        <w:footnoteReference w:id="962"/>
      </w:r>
      <w:r w:rsidRPr="00CD0FEB">
        <w:t xml:space="preserve"> and drivers whose work would not.</w:t>
      </w:r>
      <w:r>
        <w:rPr>
          <w:vertAlign w:val="superscript"/>
        </w:rPr>
        <w:footnoteReference w:id="963"/>
      </w:r>
      <w:r w:rsidRPr="00CD0FEB">
        <w:t xml:space="preserve"> According to the DOL:</w:t>
      </w:r>
    </w:p>
    <w:p w14:paraId="1EA1B4A1" w14:textId="77777777" w:rsidR="00201F3F" w:rsidRPr="00CD0FEB" w:rsidRDefault="00201F3F" w:rsidP="00D358F2">
      <w:pPr>
        <w:pStyle w:val="09BBlockQuoteWithoutIndent"/>
      </w:pPr>
      <w:r w:rsidRPr="00CD0FEB">
        <w:t>Drivers who may qualify as exempt outside sales employees include:</w:t>
      </w:r>
    </w:p>
    <w:p w14:paraId="3C9B36C4" w14:textId="77777777" w:rsidR="00201F3F" w:rsidRPr="00CD0FEB" w:rsidRDefault="00201F3F" w:rsidP="00D358F2">
      <w:pPr>
        <w:pStyle w:val="09BBlockQuoteWithoutIndent"/>
        <w:ind w:left="1350" w:hanging="360"/>
      </w:pPr>
      <w:r w:rsidRPr="00CD0FEB">
        <w:t>(1)</w:t>
      </w:r>
      <w:r w:rsidRPr="00CD0FEB">
        <w:tab/>
        <w:t>A driver who provides the only sales contact between the employer and the customers visited, who calls on customers and takes orders for products, who delivers products from stock in the employee’s vehicle or procures and delivers the product to the customer on a later trip, and who receives compensation commensurate with the volume of products sold.</w:t>
      </w:r>
    </w:p>
    <w:p w14:paraId="2990D279" w14:textId="77777777" w:rsidR="00201F3F" w:rsidRPr="00CD0FEB" w:rsidRDefault="00201F3F" w:rsidP="00D358F2">
      <w:pPr>
        <w:pStyle w:val="09BBlockQuoteWithoutIndent"/>
        <w:ind w:left="1350" w:hanging="360"/>
      </w:pPr>
      <w:r w:rsidRPr="00CD0FEB">
        <w:t>(2)</w:t>
      </w:r>
      <w:r w:rsidRPr="00CD0FEB">
        <w:tab/>
        <w:t>A driver who obtains or solicits orders for the employer’s products from persons who have authority to commit the customer for purchases.</w:t>
      </w:r>
    </w:p>
    <w:p w14:paraId="33E73A8F" w14:textId="77777777" w:rsidR="00201F3F" w:rsidRPr="00CD0FEB" w:rsidRDefault="00201F3F" w:rsidP="00D358F2">
      <w:pPr>
        <w:pStyle w:val="09BBlockQuoteWithoutIndent"/>
        <w:ind w:left="1350" w:hanging="360"/>
      </w:pPr>
      <w:r w:rsidRPr="00CD0FEB">
        <w:t>(3)</w:t>
      </w:r>
      <w:r w:rsidRPr="00CD0FEB">
        <w:tab/>
        <w:t>A driver who calls on new prospects for customers along the employee’s route and attempts to convince them of the desirability of accepting regular delivery of goods.</w:t>
      </w:r>
    </w:p>
    <w:p w14:paraId="48BE482E" w14:textId="77777777" w:rsidR="00201F3F" w:rsidRPr="00CD0FEB" w:rsidRDefault="00201F3F" w:rsidP="00D358F2">
      <w:pPr>
        <w:pStyle w:val="09BBlockQuoteWithoutIndent"/>
        <w:ind w:left="1350" w:hanging="360"/>
      </w:pPr>
      <w:r w:rsidRPr="00CD0FEB">
        <w:t>(4)</w:t>
      </w:r>
      <w:r w:rsidRPr="00CD0FEB">
        <w:tab/>
        <w:t>A driver who calls on established customers along the route and persuades regular customers to accept delivery of increased amounts of goods or of new products, even though the initial sale or agreement for delivery was made by someone else.</w:t>
      </w:r>
      <w:r>
        <w:rPr>
          <w:vertAlign w:val="superscript"/>
        </w:rPr>
        <w:footnoteReference w:id="964"/>
      </w:r>
    </w:p>
    <w:p w14:paraId="46E3EA72" w14:textId="77777777" w:rsidR="00201F3F" w:rsidRPr="00CD0FEB" w:rsidRDefault="00201F3F" w:rsidP="00D358F2">
      <w:pPr>
        <w:pStyle w:val="10ATextWithIndent"/>
      </w:pPr>
      <w:r w:rsidRPr="00CD0FEB">
        <w:t>For example, in a 2001 opinion letter, the DOL opined that route salesmen were covered by the exemption where they spent 90 percent of their time visiting customers and customarily and regularly calling on customers, obtaining orders, delivering products to customers, and acting as the employer’s exclusive contact with customers, and where their earnings were, in part, directly attributable to the volume of sales made to customers.</w:t>
      </w:r>
      <w:r>
        <w:rPr>
          <w:vertAlign w:val="superscript"/>
        </w:rPr>
        <w:footnoteReference w:id="965"/>
      </w:r>
    </w:p>
    <w:p w14:paraId="30A5FA2C" w14:textId="77777777" w:rsidR="00201F3F" w:rsidRPr="00CD0FEB" w:rsidRDefault="00201F3F" w:rsidP="00D358F2">
      <w:pPr>
        <w:pStyle w:val="10ATextWithIndent"/>
      </w:pPr>
      <w:r w:rsidRPr="00CD0FEB">
        <w:t xml:space="preserve">In </w:t>
      </w:r>
      <w:r w:rsidRPr="00CD0FEB">
        <w:rPr>
          <w:i/>
          <w:iCs/>
        </w:rPr>
        <w:t>Meza v. Intelligent Mexican Marketing, Inc.</w:t>
      </w:r>
      <w:r w:rsidRPr="00CD0FEB">
        <w:t>,</w:t>
      </w:r>
      <w:r>
        <w:rPr>
          <w:vertAlign w:val="superscript"/>
        </w:rPr>
        <w:footnoteReference w:id="966"/>
      </w:r>
      <w:r w:rsidRPr="00CD0FEB">
        <w:t xml:space="preserve"> the Fifth Circuit deemed the exemption applicable to a “route salesman” who averaged only $6.66 per hour delivering food and beverage items to 12–13 convenience stores per day. Applying the factors set out in Section 541.504(b), the court found that of the seven only one favored finding the employee to be nonexempt. While the employee did not attend sales conferences, the employer did employ warehouse drivers, paid commissions, and expected the employee to sell to the stores’ attendants where he made deliveries as well as to other nearby convenience stores. In the final analysis, the Fifth Circuit concluded that the employee “was more similar to an outside salesman then to a deliveryman.”</w:t>
      </w:r>
      <w:r>
        <w:rPr>
          <w:vertAlign w:val="superscript"/>
        </w:rPr>
        <w:footnoteReference w:id="967"/>
      </w:r>
    </w:p>
    <w:p w14:paraId="6A7B2CE5" w14:textId="77777777" w:rsidR="00201F3F" w:rsidRPr="00CD0FEB" w:rsidRDefault="00201F3F" w:rsidP="00D358F2">
      <w:pPr>
        <w:pStyle w:val="10ATextWithIndent"/>
      </w:pPr>
      <w:r w:rsidRPr="00CD0FEB">
        <w:t>On the other hand, in the regulation, the DOL counsels that the following drivers generally are outside the scope of the outside sales exemption:</w:t>
      </w:r>
    </w:p>
    <w:p w14:paraId="12762EE7" w14:textId="77777777" w:rsidR="00201F3F" w:rsidRPr="00CD0FEB" w:rsidRDefault="00201F3F" w:rsidP="00D358F2">
      <w:pPr>
        <w:pStyle w:val="09BBlockQuoteWithoutIndent"/>
        <w:ind w:left="1080" w:hanging="360"/>
      </w:pPr>
      <w:r w:rsidRPr="00CD0FEB">
        <w:t>(1)</w:t>
      </w:r>
      <w:r w:rsidRPr="00CD0FEB">
        <w:tab/>
        <w:t>A route driver whose primary duty is to transport products sold by the employer through vending machines and to keep such machines stocked, in good operating condition, and in good locations.</w:t>
      </w:r>
    </w:p>
    <w:p w14:paraId="5AF201FF" w14:textId="77777777" w:rsidR="00201F3F" w:rsidRPr="00CD0FEB" w:rsidRDefault="00201F3F" w:rsidP="00D358F2">
      <w:pPr>
        <w:pStyle w:val="09BBlockQuoteWithoutIndent"/>
        <w:ind w:left="1080" w:hanging="360"/>
      </w:pPr>
      <w:r w:rsidRPr="00CD0FEB">
        <w:t>(2)</w:t>
      </w:r>
      <w:r w:rsidRPr="00CD0FEB">
        <w:tab/>
        <w:t>A driver who often calls on established customers day after day or week after week, delivering a quantity of the employer’s products at each call when the sale was not significantly affected by solicitations of the customer by the delivering driver or the amount of the sale is determined by the volume of the customer’s sales since the previous delivery.</w:t>
      </w:r>
    </w:p>
    <w:p w14:paraId="114388AE" w14:textId="77777777" w:rsidR="00201F3F" w:rsidRPr="00CD0FEB" w:rsidRDefault="00201F3F" w:rsidP="00D358F2">
      <w:pPr>
        <w:pStyle w:val="09BBlockQuoteWithoutIndent"/>
        <w:ind w:left="1080" w:hanging="360"/>
      </w:pPr>
      <w:r w:rsidRPr="00CD0FEB">
        <w:t>(3)</w:t>
      </w:r>
      <w:r w:rsidRPr="00CD0FEB">
        <w:tab/>
        <w:t>A driver primarily engaged in making deliveries to customers and performing activities intended to promote sales by customers (including placing point-of-sale and other advertising materials, price stamping commodities, arranging merchandise on shelves, in coolers or in cabinets, rotating stock according to date, and cleaning and otherwise servicing ­display cases), unless such work is in furtherance of the driver’s own sales efforts.</w:t>
      </w:r>
      <w:r>
        <w:rPr>
          <w:vertAlign w:val="superscript"/>
        </w:rPr>
        <w:footnoteReference w:id="968"/>
      </w:r>
    </w:p>
    <w:p w14:paraId="66DF240B" w14:textId="77777777" w:rsidR="00201F3F" w:rsidRPr="00CD0FEB" w:rsidRDefault="00201F3F" w:rsidP="00785B42">
      <w:pPr>
        <w:pStyle w:val="10ATextWithIndent"/>
      </w:pPr>
      <w:r w:rsidRPr="00CD0FEB">
        <w:t>Consistent with other DOL regulations on trainees, the DOL found that the exemption did not apply to employees who were training to become outside salespersons but were not actually performing the duties of an outside salesperson.</w:t>
      </w:r>
      <w:r>
        <w:rPr>
          <w:vertAlign w:val="superscript"/>
        </w:rPr>
        <w:footnoteReference w:id="969"/>
      </w:r>
      <w:r w:rsidRPr="00CD0FEB">
        <w:t xml:space="preserve"> Moreover, according to one federal district court, a helper who merely assists the salesperson in transporting goods or samples and does not directly effectuate the sale is engaged in nonexempt work.</w:t>
      </w:r>
      <w:r>
        <w:rPr>
          <w:vertAlign w:val="superscript"/>
        </w:rPr>
        <w:footnoteReference w:id="970"/>
      </w:r>
    </w:p>
    <w:bookmarkStart w:id="1" w:name="_iDocIDField_EOD"/>
    <w:p w14:paraId="1976B9FA" w14:textId="77777777" w:rsidR="00201F3F" w:rsidRDefault="00201F3F">
      <w:pPr>
        <w:pStyle w:val="DocID"/>
      </w:pPr>
      <w:r>
        <w:fldChar w:fldCharType="begin"/>
      </w:r>
      <w:r>
        <w:instrText xml:space="preserve">  DOCPROPERTY "CUS_DocIDChunk0" </w:instrText>
      </w:r>
      <w:r>
        <w:fldChar w:fldCharType="separate"/>
      </w:r>
      <w:r>
        <w:t>1\240\4861-4054-8051.v1</w:t>
      </w:r>
      <w:r>
        <w:fldChar w:fldCharType="end"/>
      </w:r>
      <w:bookmarkEnd w:id="1"/>
    </w:p>
    <w:p w14:paraId="7AC96895" w14:textId="77777777"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15B20A" w14:textId="77777777" w:rsidR="003B586A" w:rsidRDefault="003B586A" w:rsidP="002A47A4">
      <w:r>
        <w:separator/>
      </w:r>
    </w:p>
    <w:p w14:paraId="1D5BE368" w14:textId="77777777" w:rsidR="003B586A" w:rsidRDefault="003B586A"/>
    <w:p w14:paraId="692FC1FA" w14:textId="77777777" w:rsidR="003B586A" w:rsidRDefault="003B586A"/>
  </w:endnote>
  <w:endnote w:type="continuationSeparator" w:id="0">
    <w:p w14:paraId="50D4BE2E" w14:textId="77777777" w:rsidR="003B586A" w:rsidRDefault="003B586A" w:rsidP="002A47A4">
      <w:r>
        <w:continuationSeparator/>
      </w:r>
    </w:p>
    <w:p w14:paraId="0C90C18E" w14:textId="77777777" w:rsidR="003B586A" w:rsidRDefault="003B586A"/>
    <w:p w14:paraId="285E2C12" w14:textId="77777777" w:rsidR="003B586A" w:rsidRDefault="003B58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6174F" w14:textId="77777777" w:rsidR="003B586A" w:rsidRDefault="003B586A" w:rsidP="002A47A4">
      <w:r>
        <w:separator/>
      </w:r>
    </w:p>
    <w:p w14:paraId="7A191114" w14:textId="77777777" w:rsidR="003B586A" w:rsidRDefault="003B586A"/>
    <w:p w14:paraId="2EB1353C" w14:textId="77777777" w:rsidR="003B586A" w:rsidRDefault="003B586A"/>
  </w:footnote>
  <w:footnote w:type="continuationSeparator" w:id="0">
    <w:p w14:paraId="387B744D" w14:textId="77777777" w:rsidR="003B586A" w:rsidRDefault="003B586A" w:rsidP="002A47A4">
      <w:r>
        <w:continuationSeparator/>
      </w:r>
    </w:p>
    <w:p w14:paraId="732981AA" w14:textId="77777777" w:rsidR="003B586A" w:rsidRDefault="003B586A"/>
    <w:p w14:paraId="1A6052D7" w14:textId="77777777" w:rsidR="003B586A" w:rsidRDefault="003B586A"/>
  </w:footnote>
  <w:footnote w:id="1">
    <w:p w14:paraId="36617892" w14:textId="77777777" w:rsidR="00201F3F" w:rsidRPr="00CD0FEB" w:rsidRDefault="00201F3F" w:rsidP="00CE5492">
      <w:pPr>
        <w:pStyle w:val="14Footnote"/>
      </w:pPr>
      <w:r w:rsidRPr="00CD0FEB">
        <w:rPr>
          <w:vertAlign w:val="superscript"/>
        </w:rPr>
        <w:footnoteRef/>
      </w:r>
      <w:r w:rsidRPr="00CD0FEB">
        <w:t>29 U.S.C. §213(a)(1). In 1990, Congress passed legislation directing the Department of Labor (DOL) to issue regulations permitting computer systems analysts, computer programmers, software engineers, and other similarly skilled professional workers to qualify as exempt executive, administrative, or professional employees under FLSA §213(a)(1). Pub. L. No. 101-583, §2, 104 Stat. 2871 (1990). In 1996, Congress enacted some but not all of the DOL’s regulatory language, drafted in compliance with the 1990 directive, as a separate statutory exemption under a new FLSA §213(a)(17). Pub. L. No. 104-188, §2105, 110 Stat. 1755, 1929 (1996) (codified as amended at 29 U.S.C. §213(a)(17)). See</w:t>
      </w:r>
      <w:r w:rsidRPr="00CD0FEB">
        <w:rPr>
          <w:i/>
          <w:iCs/>
        </w:rPr>
        <w:t xml:space="preserve"> </w:t>
      </w:r>
      <w:r w:rsidRPr="00CD0FEB">
        <w:t xml:space="preserve">Section IX [Computer-Related Occupations] of this chapter for a thorough discussion of the computer exemption and of the differences between a Section 213(a)(1) exemption and a Section 213(a)(17) exemption. </w:t>
      </w:r>
    </w:p>
  </w:footnote>
  <w:footnote w:id="2">
    <w:p w14:paraId="545B5247" w14:textId="77777777" w:rsidR="00201F3F" w:rsidRPr="00CD0FEB" w:rsidRDefault="00201F3F" w:rsidP="00CE5492">
      <w:pPr>
        <w:pStyle w:val="14Footnote"/>
      </w:pPr>
      <w:r w:rsidRPr="00CD0FEB">
        <w:rPr>
          <w:vertAlign w:val="superscript"/>
        </w:rPr>
        <w:footnoteRef/>
      </w:r>
      <w:r w:rsidRPr="00CD0FEB">
        <w:t>Act of June 25, 1938, ch. 676, 52 Stat. 1060, 29 U.S.C. §213(a)(1).</w:t>
      </w:r>
    </w:p>
  </w:footnote>
  <w:footnote w:id="3">
    <w:p w14:paraId="4E705472" w14:textId="77777777" w:rsidR="00201F3F" w:rsidRPr="00CD0FEB" w:rsidRDefault="00201F3F" w:rsidP="00CE5492">
      <w:pPr>
        <w:pStyle w:val="14Footnote"/>
      </w:pPr>
      <w:r w:rsidRPr="00CD0FEB">
        <w:rPr>
          <w:vertAlign w:val="superscript"/>
        </w:rPr>
        <w:footnoteRef/>
      </w:r>
      <w:r w:rsidRPr="00CD0FEB">
        <w:t>Pub. L. No. 104-188, §2105, 110 Stat. 1755, 1929 (1996) (codified as amended at 29 U.S.C. §213(a)(17)).</w:t>
      </w:r>
    </w:p>
  </w:footnote>
  <w:footnote w:id="4">
    <w:p w14:paraId="46646D69" w14:textId="77777777" w:rsidR="00201F3F" w:rsidRPr="00CD0FEB" w:rsidRDefault="00201F3F" w:rsidP="00CE5492">
      <w:pPr>
        <w:pStyle w:val="14Footnote"/>
      </w:pPr>
      <w:r w:rsidRPr="00CD0FEB">
        <w:rPr>
          <w:vertAlign w:val="superscript"/>
        </w:rPr>
        <w:footnoteRef/>
      </w:r>
      <w:r w:rsidRPr="00CD0FEB">
        <w:rPr>
          <w:i/>
          <w:iCs/>
        </w:rPr>
        <w:t>See</w:t>
      </w:r>
      <w:r w:rsidRPr="00CD0FEB">
        <w:t xml:space="preserve"> </w:t>
      </w:r>
      <w:r w:rsidRPr="00CD0FEB">
        <w:rPr>
          <w:smallCaps/>
        </w:rPr>
        <w:t>Wage and Hour Laws: A State-by-State Survey</w:t>
      </w:r>
      <w:r w:rsidRPr="00CD0FEB">
        <w:rPr>
          <w:i/>
          <w:iCs/>
        </w:rPr>
        <w:t xml:space="preserve"> </w:t>
      </w:r>
      <w:r w:rsidRPr="00CD0FEB">
        <w:t xml:space="preserve">(Gregory K. McGillivary, ed., Bloomberg L., 3d. ed. 2016 &amp; Supp.). </w:t>
      </w:r>
    </w:p>
  </w:footnote>
  <w:footnote w:id="5">
    <w:p w14:paraId="15C62060" w14:textId="77777777" w:rsidR="00201F3F" w:rsidRPr="00CD0FEB" w:rsidRDefault="00201F3F" w:rsidP="00CE5492">
      <w:pPr>
        <w:pStyle w:val="14Footnote"/>
      </w:pPr>
      <w:r w:rsidRPr="00CD0FEB">
        <w:rPr>
          <w:vertAlign w:val="superscript"/>
        </w:rPr>
        <w:footnoteRef/>
      </w:r>
      <w:r w:rsidRPr="00CD0FEB">
        <w:t>29 C.F.R. §516.3 (concerning white-collar employees) exempts from the recordkeeping requirements of the FLSA many of the specific records that are required for nonexempt employees. See Chapter 14, Recordkeeping, §IV.A [Recordkeeping Requirements for Exempt Employees; Bona Fide Executive, Administrative, and Professional Employees and Outside Sales Employees (Section 213(a)(1))], for a discussion of the recordkeeping requirements for exempt white-collar employees.</w:t>
      </w:r>
    </w:p>
  </w:footnote>
  <w:footnote w:id="6">
    <w:p w14:paraId="6CD4C46F" w14:textId="77777777" w:rsidR="00201F3F" w:rsidRPr="00CD0FEB" w:rsidRDefault="00201F3F" w:rsidP="00CE5492">
      <w:pPr>
        <w:pStyle w:val="14Footnote"/>
      </w:pPr>
      <w:r w:rsidRPr="00CD0FEB">
        <w:rPr>
          <w:vertAlign w:val="superscript"/>
        </w:rPr>
        <w:footnoteRef/>
      </w:r>
      <w:r w:rsidRPr="00CD0FEB">
        <w:t>29 U.S.C. §213(a)(1) (emphasis added).</w:t>
      </w:r>
    </w:p>
  </w:footnote>
  <w:footnote w:id="7">
    <w:p w14:paraId="3980D40E" w14:textId="77777777" w:rsidR="00201F3F" w:rsidRPr="00CD0FEB" w:rsidRDefault="00201F3F" w:rsidP="00CE5492">
      <w:pPr>
        <w:pStyle w:val="14Footnote"/>
      </w:pPr>
      <w:r w:rsidRPr="00CD0FEB">
        <w:rPr>
          <w:vertAlign w:val="superscript"/>
        </w:rPr>
        <w:footnoteRef/>
      </w:r>
      <w:r w:rsidRPr="00CD0FEB">
        <w:t>Commonly referred to as the “541 regulations.”</w:t>
      </w:r>
    </w:p>
  </w:footnote>
  <w:footnote w:id="8">
    <w:p w14:paraId="1E53EF23" w14:textId="77777777" w:rsidR="00201F3F" w:rsidRPr="00CD0FEB" w:rsidRDefault="00201F3F" w:rsidP="00CE5492">
      <w:pPr>
        <w:pStyle w:val="14Footnote"/>
      </w:pPr>
      <w:r w:rsidRPr="00CD0FEB">
        <w:rPr>
          <w:vertAlign w:val="superscript"/>
        </w:rPr>
        <w:footnoteRef/>
      </w:r>
      <w:r w:rsidRPr="00CD0FEB">
        <w:t>3 Fed. Reg. 2518 (Oct. 20, 1938).</w:t>
      </w:r>
    </w:p>
  </w:footnote>
  <w:footnote w:id="9">
    <w:p w14:paraId="1509C139"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0">
    <w:p w14:paraId="32466154"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1">
    <w:p w14:paraId="5110A124"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2">
    <w:p w14:paraId="0602C2D0"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3">
    <w:p w14:paraId="32F86C25" w14:textId="77777777" w:rsidR="00201F3F" w:rsidRPr="00CD0FEB" w:rsidRDefault="00201F3F" w:rsidP="00CE5492">
      <w:pPr>
        <w:pStyle w:val="14Footnote"/>
      </w:pPr>
      <w:r w:rsidRPr="00CD0FEB">
        <w:rPr>
          <w:vertAlign w:val="superscript"/>
        </w:rPr>
        <w:footnoteRef/>
      </w:r>
      <w:r w:rsidRPr="00CD0FEB">
        <w:t>69 Fed. Reg. 22,121, 22,124 (Apr. 23, 2004) (citing 3 Fed. Reg. 2518 (Oct. 20, 1938)).</w:t>
      </w:r>
    </w:p>
  </w:footnote>
  <w:footnote w:id="14">
    <w:p w14:paraId="7F59A553"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(citing 5 Fed. Reg. 4077 (Oct. 15, 1940) and </w:t>
      </w:r>
      <w:r w:rsidRPr="00CD0FEB">
        <w:rPr>
          <w:smallCaps/>
        </w:rPr>
        <w:t>U.S. Dep’t of Labor, Wage &amp; Hour Div., “Executive, Administrative, Professional * * * Outside Salesman” Redefined, Report and Recommendations of the Presiding Officer (Harold Stein) at Hearings Preliminary to Redefinition</w:t>
      </w:r>
      <w:r w:rsidRPr="00CD0FEB">
        <w:t xml:space="preserve"> (Oct. 10, 1940)).</w:t>
      </w:r>
    </w:p>
  </w:footnote>
  <w:footnote w:id="15">
    <w:p w14:paraId="2D2851D9"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(citing 14 Fed. Reg. 7705 (Dec. 24, 1949)).</w:t>
      </w:r>
    </w:p>
  </w:footnote>
  <w:footnote w:id="16">
    <w:p w14:paraId="7ED8AC7F"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7">
    <w:p w14:paraId="595E8CF4"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(citing 14 Fed. Reg. 7730 (Dec. 28, 1949) and </w:t>
      </w:r>
      <w:r w:rsidRPr="00CD0FEB">
        <w:rPr>
          <w:smallCaps/>
        </w:rPr>
        <w:t>U.S. Department of Labor, Wage &amp; Hour and Public Contracts Divs., Report and Recommendations on Proposed Revisions of Regulations, Part 541, by Harry Weiss, Presiding Officer</w:t>
      </w:r>
      <w:r w:rsidRPr="00CD0FEB">
        <w:t xml:space="preserve"> (June 30, 1949)).</w:t>
      </w:r>
    </w:p>
  </w:footnote>
  <w:footnote w:id="18">
    <w:p w14:paraId="1B52608F" w14:textId="77777777" w:rsidR="00201F3F" w:rsidRPr="00CD0FEB" w:rsidRDefault="00201F3F" w:rsidP="00CE5492">
      <w:pPr>
        <w:pStyle w:val="14Footnote"/>
      </w:pPr>
      <w:r w:rsidRPr="00CD0FEB">
        <w:rPr>
          <w:vertAlign w:val="superscript"/>
        </w:rPr>
        <w:footnoteRef/>
      </w:r>
      <w:r w:rsidRPr="00CD0FEB">
        <w:t>19 Fed. Reg. 4405 (July 17, 1954).</w:t>
      </w:r>
    </w:p>
  </w:footnote>
  <w:footnote w:id="19">
    <w:p w14:paraId="424F015A"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0">
    <w:p w14:paraId="6BF3A465"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(citing 5 Fed. Reg. 4077 (Oct. 15, 1940); 14 Fed. Reg. 7705 (Dec. 24, 1949); 23 Fed. Reg. 8962 (Nov. 18, 1958); 28 Fed. Reg. 9505 (Aug. 30, 1963); 35 Fed. Reg. 883 (Jan. 22, 1970); 40 Fed. Reg. 7092 (Feb. 15, 1975)). </w:t>
      </w:r>
    </w:p>
  </w:footnote>
  <w:footnote w:id="21">
    <w:p w14:paraId="7CF6BA90" w14:textId="77777777" w:rsidR="00201F3F" w:rsidRPr="00CD0FEB" w:rsidRDefault="00201F3F" w:rsidP="00CE5492">
      <w:pPr>
        <w:pStyle w:val="14Footnote"/>
      </w:pPr>
      <w:r w:rsidRPr="00CD0FEB">
        <w:rPr>
          <w:vertAlign w:val="superscript"/>
        </w:rPr>
        <w:footnoteRef/>
      </w:r>
      <w:r w:rsidRPr="00CD0FEB">
        <w:t>69 Fed. Reg. 22,122 (citing 68 Fed. Reg. 15,560).</w:t>
      </w:r>
    </w:p>
  </w:footnote>
  <w:footnote w:id="22">
    <w:p w14:paraId="20601A87" w14:textId="77777777" w:rsidR="00201F3F" w:rsidRPr="00CD0FEB" w:rsidRDefault="00201F3F" w:rsidP="00CE5492">
      <w:pPr>
        <w:pStyle w:val="14Footnote"/>
      </w:pPr>
      <w:r w:rsidRPr="00CD0FEB">
        <w:rPr>
          <w:vertAlign w:val="superscript"/>
        </w:rPr>
        <w:footnoteRef/>
      </w:r>
      <w:r w:rsidRPr="00CD0FEB">
        <w:rPr>
          <w:smallCaps/>
        </w:rPr>
        <w:t>William Whittaker, Cong. Research Serv., RL32088, The Fair Labor Standards Act: A Historical Sketch of the Overtime Pay Requirements of Section 13(</w:t>
      </w:r>
      <w:r w:rsidRPr="00CD0FEB">
        <w:t>a</w:t>
      </w:r>
      <w:r w:rsidRPr="00CD0FEB">
        <w:rPr>
          <w:smallCaps/>
        </w:rPr>
        <w:t>)(1) Summary</w:t>
      </w:r>
      <w:r w:rsidRPr="00CD0FEB">
        <w:rPr>
          <w:i/>
          <w:iCs/>
          <w:smallCaps/>
        </w:rPr>
        <w:t xml:space="preserve"> </w:t>
      </w:r>
      <w:r w:rsidRPr="00CD0FEB">
        <w:rPr>
          <w:smallCaps/>
        </w:rPr>
        <w:t>(2005)</w:t>
      </w:r>
      <w:r w:rsidRPr="00CD0FEB">
        <w:t xml:space="preserve"> (citing H.R. 2660, H.R. 2673, H.R. 2665, H.R. 4520, S. 1485, S. 1611, and S. 1637, 108th Cong.).</w:t>
      </w:r>
    </w:p>
  </w:footnote>
  <w:footnote w:id="23">
    <w:p w14:paraId="21E67C65"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4">
    <w:p w14:paraId="223EEFE2" w14:textId="77777777" w:rsidR="00201F3F" w:rsidRPr="00CD0FEB" w:rsidRDefault="00201F3F" w:rsidP="00CE5492">
      <w:pPr>
        <w:pStyle w:val="14Footnote"/>
      </w:pPr>
      <w:r w:rsidRPr="00CD0FEB">
        <w:rPr>
          <w:vertAlign w:val="superscript"/>
        </w:rPr>
        <w:footnoteRef/>
      </w:r>
      <w:r w:rsidRPr="00CD0FEB">
        <w:t xml:space="preserve">69 Fed. Reg. 22,122 (April 23, 2004). </w:t>
      </w:r>
    </w:p>
  </w:footnote>
  <w:footnote w:id="25">
    <w:p w14:paraId="638565A0" w14:textId="77777777" w:rsidR="00201F3F" w:rsidRPr="00CD0FEB" w:rsidRDefault="00201F3F" w:rsidP="00CE5492">
      <w:pPr>
        <w:pStyle w:val="14Footnote"/>
      </w:pPr>
      <w:r w:rsidRPr="00CD0FEB">
        <w:rPr>
          <w:vertAlign w:val="superscript"/>
        </w:rPr>
        <w:footnoteRef/>
      </w:r>
      <w:r w:rsidRPr="00CD0FEB">
        <w:rPr>
          <w:i/>
          <w:iCs/>
        </w:rPr>
        <w:t>Id</w:t>
      </w:r>
      <w:r w:rsidRPr="00CD0FEB">
        <w:t>. at 22,122–260.</w:t>
      </w:r>
    </w:p>
  </w:footnote>
  <w:footnote w:id="26">
    <w:p w14:paraId="0F9891A1" w14:textId="77777777" w:rsidR="00201F3F" w:rsidRPr="00CD0FEB" w:rsidRDefault="00201F3F" w:rsidP="00CE5492">
      <w:pPr>
        <w:pStyle w:val="14Footnote"/>
      </w:pPr>
      <w:r w:rsidRPr="00CD0FEB">
        <w:rPr>
          <w:vertAlign w:val="superscript"/>
        </w:rPr>
        <w:footnoteRef/>
      </w:r>
      <w:r w:rsidRPr="00CD0FEB">
        <w:rPr>
          <w:i/>
          <w:iCs/>
        </w:rPr>
        <w:t>Id</w:t>
      </w:r>
      <w:r w:rsidRPr="00CD0FEB">
        <w:t>. at 22,127–28. It remains the case that “an employee of a retail or service establishment shall not be excluded from the definition of employee employed in a bona fide executive or administrative capacity because of the number of hours in his workweek which he devotes to activities not directly or closely related to the performance of executive or administrative activities, if less than 40 per centum of his hours worked in the workweek are devoted to such activities … .” 29 U.S.C. §213(a)(1).</w:t>
      </w:r>
    </w:p>
  </w:footnote>
  <w:footnote w:id="27">
    <w:p w14:paraId="6B17938B" w14:textId="77777777" w:rsidR="00201F3F" w:rsidRPr="00CD0FEB" w:rsidRDefault="00201F3F" w:rsidP="00CE5492">
      <w:pPr>
        <w:pStyle w:val="14Footnote"/>
      </w:pPr>
      <w:r w:rsidRPr="00CD0FEB">
        <w:rPr>
          <w:vertAlign w:val="superscript"/>
        </w:rPr>
        <w:footnoteRef/>
      </w:r>
      <w:r w:rsidRPr="00CD0FEB">
        <w:t xml:space="preserve">Administrative employees, professional employees, and computer employees may also be paid on a fee basis. </w:t>
      </w:r>
      <w:r w:rsidRPr="00CD0FEB">
        <w:rPr>
          <w:i/>
          <w:iCs/>
        </w:rPr>
        <w:t>See</w:t>
      </w:r>
      <w:r w:rsidRPr="00CD0FEB">
        <w:t xml:space="preserve"> 29 C.F.R. §§541.200(a)(1), .300(a)(1), and .400(a). The salary requirements do not apply at all to outside sales employees. 29 C.F.R. §541.500(c).</w:t>
      </w:r>
    </w:p>
  </w:footnote>
  <w:footnote w:id="28">
    <w:p w14:paraId="02843555" w14:textId="77777777" w:rsidR="00201F3F" w:rsidRPr="00CD0FEB" w:rsidRDefault="00201F3F" w:rsidP="00CE5492">
      <w:pPr>
        <w:pStyle w:val="14Footnote"/>
      </w:pPr>
      <w:r w:rsidRPr="00CD0FEB">
        <w:rPr>
          <w:vertAlign w:val="superscript"/>
        </w:rPr>
        <w:footnoteRef/>
      </w:r>
      <w:r w:rsidRPr="00CD0FEB">
        <w:t>The compensation requirements do not apply to employees engaged as teachers (29 C.F.R. §541.303), lawyers, and doctors (29 C.F.R. §541.304). Computer employees who are paid on an hourly basis at a rate not less than $27.63 an hour also meet the compensation requirement. 29 C.F.R. §541.600(d).</w:t>
      </w:r>
    </w:p>
  </w:footnote>
  <w:footnote w:id="29">
    <w:p w14:paraId="24FEBED8" w14:textId="77777777" w:rsidR="00201F3F" w:rsidRPr="00CD0FEB" w:rsidRDefault="00201F3F" w:rsidP="00CE5492">
      <w:pPr>
        <w:pStyle w:val="14Footnote"/>
      </w:pPr>
      <w:r w:rsidRPr="00CD0FEB">
        <w:rPr>
          <w:vertAlign w:val="superscript"/>
        </w:rPr>
        <w:footnoteRef/>
      </w:r>
      <w:r w:rsidRPr="00CD0FEB">
        <w:t>69 Fed. Reg. at 22,122–260.</w:t>
      </w:r>
    </w:p>
  </w:footnote>
  <w:footnote w:id="30">
    <w:p w14:paraId="5BEC2A74" w14:textId="77777777" w:rsidR="00201F3F" w:rsidRPr="00CD0FEB" w:rsidRDefault="00201F3F" w:rsidP="00CE5492">
      <w:pPr>
        <w:pStyle w:val="14Footnote"/>
      </w:pPr>
      <w:r w:rsidRPr="00CD0FEB">
        <w:rPr>
          <w:vertAlign w:val="superscript"/>
        </w:rPr>
        <w:footnoteRef/>
      </w:r>
      <w:r w:rsidRPr="00CD0FEB">
        <w:t>29 C.F.R. §§541.1–.52 (effective through Aug. 22, 2004).</w:t>
      </w:r>
    </w:p>
  </w:footnote>
  <w:footnote w:id="31">
    <w:p w14:paraId="0E2587A6" w14:textId="77777777" w:rsidR="00201F3F" w:rsidRPr="00CD0FEB" w:rsidRDefault="00201F3F" w:rsidP="00CE5492">
      <w:pPr>
        <w:pStyle w:val="14Footnote"/>
      </w:pPr>
      <w:r w:rsidRPr="00CD0FEB">
        <w:rPr>
          <w:vertAlign w:val="superscript"/>
        </w:rPr>
        <w:footnoteRef/>
      </w:r>
      <w:r w:rsidRPr="00CD0FEB">
        <w:rPr>
          <w:i/>
          <w:iCs/>
        </w:rPr>
        <w:t>Id</w:t>
      </w:r>
      <w:r w:rsidRPr="00CD0FEB">
        <w:t>. §§541.99–.602.</w:t>
      </w:r>
    </w:p>
  </w:footnote>
  <w:footnote w:id="32">
    <w:p w14:paraId="50D1A72C" w14:textId="77777777" w:rsidR="00201F3F" w:rsidRPr="00CD0FEB" w:rsidRDefault="00201F3F" w:rsidP="00CE5492">
      <w:pPr>
        <w:pStyle w:val="14Footnote"/>
      </w:pPr>
      <w:r w:rsidRPr="00CD0FEB">
        <w:rPr>
          <w:vertAlign w:val="superscript"/>
        </w:rPr>
        <w:footnoteRef/>
      </w:r>
      <w:r w:rsidRPr="00CD0FEB">
        <w:rPr>
          <w:i/>
          <w:iCs/>
        </w:rPr>
        <w:t>See</w:t>
      </w:r>
      <w:r w:rsidRPr="00CD0FEB">
        <w:t xml:space="preserve"> 69 Fed. Reg. at 22,124.</w:t>
      </w:r>
    </w:p>
  </w:footnote>
  <w:footnote w:id="33">
    <w:p w14:paraId="160721D9" w14:textId="77777777" w:rsidR="00201F3F" w:rsidRPr="00CD0FEB" w:rsidRDefault="00201F3F" w:rsidP="00CE5492">
      <w:pPr>
        <w:pStyle w:val="14Footnote"/>
      </w:pPr>
      <w:r w:rsidRPr="00CD0FEB">
        <w:rPr>
          <w:vertAlign w:val="superscript"/>
        </w:rPr>
        <w:footnoteRef/>
      </w:r>
      <w:r w:rsidRPr="00A14ABA">
        <w:t xml:space="preserve">Chevron USA v. Natural Res. Def. </w:t>
      </w:r>
      <w:r w:rsidRPr="00CD0FEB">
        <w:t>Council, 467 U.S. 837 (1984).</w:t>
      </w:r>
    </w:p>
  </w:footnote>
  <w:footnote w:id="34">
    <w:p w14:paraId="2AAA33A9" w14:textId="77777777" w:rsidR="00201F3F" w:rsidRPr="00CD0FEB" w:rsidRDefault="00201F3F" w:rsidP="00CE5492">
      <w:pPr>
        <w:pStyle w:val="14Footnote"/>
      </w:pPr>
      <w:r w:rsidRPr="00CD0FEB">
        <w:rPr>
          <w:vertAlign w:val="superscript"/>
        </w:rPr>
        <w:footnoteRef/>
      </w:r>
      <w:r w:rsidRPr="00CD0FEB">
        <w:rPr>
          <w:i/>
          <w:iCs/>
        </w:rPr>
        <w:t>See</w:t>
      </w:r>
      <w:r w:rsidRPr="00CD0FEB">
        <w:t xml:space="preserve"> Cash v. Cycle Craft Co., Inc., 508 F.3d 680, 13 WH Cases2d 8 (1st Cir. 2007); IntraComm, Inc. v. Bajaj, 492 F.3d 285, 12 WH Cases2d 1228 (4th Cir. 2007). Deference is discussed in detail in Chapter 2, Operations and Functions of the Department of Labor, §III [Judicial Deference to Agency Actions Taken by the Department of Labor’s Wage and Hour Division].</w:t>
      </w:r>
    </w:p>
  </w:footnote>
  <w:footnote w:id="35">
    <w:p w14:paraId="5E8CAC37" w14:textId="77777777" w:rsidR="00201F3F" w:rsidRPr="00CD0FEB" w:rsidRDefault="00201F3F" w:rsidP="00CE5492">
      <w:pPr>
        <w:pStyle w:val="14Footnote"/>
      </w:pPr>
      <w:r w:rsidRPr="00CD0FEB">
        <w:rPr>
          <w:vertAlign w:val="superscript"/>
        </w:rPr>
        <w:footnoteRef/>
      </w:r>
      <w:r w:rsidRPr="00CD0FEB">
        <w:t>29 C.F.R. §541.2.</w:t>
      </w:r>
    </w:p>
  </w:footnote>
  <w:footnote w:id="36">
    <w:p w14:paraId="55B7A14E" w14:textId="77777777" w:rsidR="00201F3F" w:rsidRPr="00CD0FEB" w:rsidRDefault="00201F3F" w:rsidP="00CE5492">
      <w:pPr>
        <w:pStyle w:val="14Footnote"/>
      </w:pPr>
      <w:r w:rsidRPr="00CD0FEB">
        <w:rPr>
          <w:vertAlign w:val="superscript"/>
        </w:rPr>
        <w:footnoteRef/>
      </w:r>
      <w:r w:rsidRPr="00CD0FEB">
        <w:rPr>
          <w:i/>
          <w:iCs/>
        </w:rPr>
        <w:t>Id</w:t>
      </w:r>
      <w:r w:rsidRPr="00CD0FEB">
        <w:t>. §541.3(a).</w:t>
      </w:r>
    </w:p>
  </w:footnote>
  <w:footnote w:id="37">
    <w:p w14:paraId="00B419B0"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8">
    <w:p w14:paraId="184A1B14" w14:textId="77777777" w:rsidR="00201F3F" w:rsidRPr="00CD0FEB" w:rsidRDefault="00201F3F" w:rsidP="00CE5492">
      <w:pPr>
        <w:pStyle w:val="14Footnote"/>
      </w:pPr>
      <w:r w:rsidRPr="00CD0FEB">
        <w:rPr>
          <w:vertAlign w:val="superscript"/>
        </w:rPr>
        <w:footnoteRef/>
      </w:r>
      <w:r w:rsidRPr="00CD0FEB">
        <w:rPr>
          <w:i/>
          <w:iCs/>
        </w:rPr>
        <w:t>Id</w:t>
      </w:r>
      <w:r w:rsidRPr="00CD0FEB">
        <w:t>. §541.3(b)(1).</w:t>
      </w:r>
    </w:p>
  </w:footnote>
  <w:footnote w:id="39">
    <w:p w14:paraId="6DFD9333" w14:textId="77777777" w:rsidR="00201F3F" w:rsidRPr="00CD0FEB" w:rsidRDefault="00201F3F" w:rsidP="00CE5492">
      <w:pPr>
        <w:pStyle w:val="14Footnote"/>
      </w:pPr>
      <w:r w:rsidRPr="00CD0FEB">
        <w:rPr>
          <w:vertAlign w:val="superscript"/>
        </w:rPr>
        <w:footnoteRef/>
      </w:r>
      <w:r w:rsidRPr="00CD0FEB">
        <w:rPr>
          <w:i/>
          <w:iCs/>
        </w:rPr>
        <w:t>Id</w:t>
      </w:r>
      <w:r w:rsidRPr="00CD0FEB">
        <w:t>. §541.705.</w:t>
      </w:r>
    </w:p>
  </w:footnote>
  <w:footnote w:id="40">
    <w:p w14:paraId="3404F511" w14:textId="77777777" w:rsidR="00201F3F" w:rsidRPr="00CD0FEB" w:rsidRDefault="00201F3F" w:rsidP="00CE5492">
      <w:pPr>
        <w:pStyle w:val="14Footnote"/>
      </w:pPr>
      <w:r w:rsidRPr="00CD0FEB">
        <w:rPr>
          <w:vertAlign w:val="superscript"/>
        </w:rPr>
        <w:footnoteRef/>
      </w:r>
      <w:r w:rsidRPr="00CD0FEB">
        <w:t>69 Fed. Reg. 22,121, 22,189 (Apr. 23, 2004). See the discussion of trainees in §III.D [Legal Principles That Govern the Analysis of the White-Collar Exemptions; Trainees] of this chapter.</w:t>
      </w:r>
    </w:p>
  </w:footnote>
  <w:footnote w:id="41">
    <w:p w14:paraId="3D3A4DD7" w14:textId="77777777" w:rsidR="00201F3F" w:rsidRPr="00CD0FEB" w:rsidRDefault="00201F3F" w:rsidP="00CE5492">
      <w:pPr>
        <w:pStyle w:val="14Footnote"/>
      </w:pPr>
      <w:r w:rsidRPr="00CD0FEB">
        <w:rPr>
          <w:vertAlign w:val="superscript"/>
        </w:rPr>
        <w:footnoteRef/>
      </w:r>
      <w:r w:rsidRPr="00CD0FEB">
        <w:t xml:space="preserve">79 Fed. Reg. 15,211 (Apr. 3, 2014). </w:t>
      </w:r>
    </w:p>
  </w:footnote>
  <w:footnote w:id="42">
    <w:p w14:paraId="00C90195" w14:textId="77777777" w:rsidR="00201F3F" w:rsidRPr="00CD0FEB" w:rsidRDefault="00201F3F" w:rsidP="00CE5492">
      <w:pPr>
        <w:pStyle w:val="14Footnote"/>
      </w:pPr>
      <w:r w:rsidRPr="00CD0FEB">
        <w:rPr>
          <w:vertAlign w:val="superscript"/>
        </w:rPr>
        <w:footnoteRef/>
      </w:r>
      <w:r w:rsidRPr="00CD0FEB">
        <w:t xml:space="preserve">Defining and Delimiting the Exemptions for Executive, Administrative, Professional, Outside Sales and Computer Employees, 80 Fed. Reg. 38,515 (proposed July 6, 2015). </w:t>
      </w:r>
    </w:p>
  </w:footnote>
  <w:footnote w:id="43">
    <w:p w14:paraId="3A4E67C1" w14:textId="77777777" w:rsidR="00201F3F" w:rsidRPr="00CD0FEB" w:rsidRDefault="00201F3F" w:rsidP="00CE5492">
      <w:pPr>
        <w:pStyle w:val="14Footnote"/>
      </w:pPr>
      <w:r w:rsidRPr="00CD0FEB">
        <w:rPr>
          <w:vertAlign w:val="superscript"/>
        </w:rPr>
        <w:footnoteRef/>
      </w:r>
      <w:r w:rsidRPr="00CD0FEB">
        <w:t xml:space="preserve">81 Fed. Reg. 32,391 (May 23, 2016) (to be codified at 29 C.F.R. pt. 541). </w:t>
      </w:r>
    </w:p>
  </w:footnote>
  <w:footnote w:id="44">
    <w:p w14:paraId="6CEF1A8C" w14:textId="77777777" w:rsidR="00201F3F" w:rsidRPr="00CD0FEB" w:rsidRDefault="00201F3F"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 xml:space="preserve">at 32,550 (to be codified at 29 C.F.R. §541.600). </w:t>
      </w:r>
    </w:p>
  </w:footnote>
  <w:footnote w:id="45">
    <w:p w14:paraId="2BDA6472"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p>
  </w:footnote>
  <w:footnote w:id="46">
    <w:p w14:paraId="744C3F5B"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(to be codified at 29 C.F.R. §541.601). </w:t>
      </w:r>
    </w:p>
  </w:footnote>
  <w:footnote w:id="47">
    <w:p w14:paraId="2C276D03"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32,551 (to be codified at 29 C.F.R. §541.607). The rule allows employers to satisfy up to 10% of the salary threshold for non–highly compensated employees via nondiscretionary bonuses, incentive pay, or commissions, provided such payments are made on at least a quarterly basis. </w:t>
      </w:r>
      <w:r w:rsidRPr="00CD0FEB">
        <w:rPr>
          <w:i/>
          <w:iCs/>
        </w:rPr>
        <w:t>Id</w:t>
      </w:r>
      <w:r w:rsidRPr="00CD0FEB">
        <w:t>.</w:t>
      </w:r>
      <w:r w:rsidRPr="00CD0FEB">
        <w:rPr>
          <w:i/>
          <w:iCs/>
        </w:rPr>
        <w:t xml:space="preserve"> </w:t>
      </w:r>
      <w:r w:rsidRPr="00CD0FEB">
        <w:t xml:space="preserve">(to be codified at 29 C.F.R. §541.604(a)). </w:t>
      </w:r>
    </w:p>
  </w:footnote>
  <w:footnote w:id="48">
    <w:p w14:paraId="7F8DD5BE" w14:textId="77777777" w:rsidR="00201F3F" w:rsidRPr="00CD0FEB" w:rsidRDefault="00201F3F" w:rsidP="00CE5492">
      <w:pPr>
        <w:pStyle w:val="14Footnote"/>
      </w:pPr>
      <w:r w:rsidRPr="00CD0FEB">
        <w:rPr>
          <w:vertAlign w:val="superscript"/>
        </w:rPr>
        <w:footnoteRef/>
      </w:r>
      <w:r w:rsidRPr="00CD0FEB">
        <w:t>218 F. Supp. 3d 520, 27 WH Cases2d 25 (E.D. Tex. 2016).</w:t>
      </w:r>
    </w:p>
  </w:footnote>
  <w:footnote w:id="49">
    <w:p w14:paraId="7F4DC910" w14:textId="77777777" w:rsidR="00201F3F" w:rsidRPr="00CD0FEB" w:rsidRDefault="00201F3F" w:rsidP="00CE5492">
      <w:pPr>
        <w:pStyle w:val="14Footnote"/>
      </w:pPr>
      <w:r w:rsidRPr="00CD0FEB">
        <w:rPr>
          <w:vertAlign w:val="superscript"/>
        </w:rPr>
        <w:footnoteRef/>
      </w:r>
      <w:r w:rsidRPr="00CD0FEB">
        <w:t xml:space="preserve">218 F.3d at 525. </w:t>
      </w:r>
    </w:p>
  </w:footnote>
  <w:footnote w:id="50">
    <w:p w14:paraId="66277281"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 xml:space="preserve">at 529. </w:t>
      </w:r>
    </w:p>
  </w:footnote>
  <w:footnote w:id="51">
    <w:p w14:paraId="1260BD45"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531 (citing Chevron USA v. Natural Res. Def. Council, 467 U.S. 837 (1984)). </w:t>
      </w:r>
    </w:p>
  </w:footnote>
  <w:footnote w:id="52">
    <w:p w14:paraId="2449C3F4" w14:textId="77777777" w:rsidR="00201F3F" w:rsidRPr="00CD0FEB" w:rsidRDefault="00201F3F" w:rsidP="00CE5492">
      <w:pPr>
        <w:pStyle w:val="14Footnote"/>
      </w:pPr>
      <w:r w:rsidRPr="00CD0FEB">
        <w:rPr>
          <w:vertAlign w:val="superscript"/>
        </w:rPr>
        <w:footnoteRef/>
      </w:r>
      <w:r w:rsidRPr="00CD0FEB">
        <w:t xml:space="preserve">Nevada v. U.S. Dep’t of Labor, 227 F. Supp. 3d 696 (E.D. Tex. 2017). </w:t>
      </w:r>
    </w:p>
  </w:footnote>
  <w:footnote w:id="53">
    <w:p w14:paraId="3CEF30D9" w14:textId="77777777" w:rsidR="00201F3F" w:rsidRPr="00CD0FEB" w:rsidRDefault="00201F3F" w:rsidP="00CE5492">
      <w:pPr>
        <w:pStyle w:val="14Footnote"/>
      </w:pPr>
      <w:r w:rsidRPr="00CD0FEB">
        <w:rPr>
          <w:vertAlign w:val="superscript"/>
        </w:rPr>
        <w:footnoteRef/>
      </w:r>
      <w:r w:rsidRPr="00CD0FEB">
        <w:t xml:space="preserve">Nevada v. U.S. Dep’t of Labor, 275 F. Supp. 3d 795 (E.D. Tex. 2017). </w:t>
      </w:r>
    </w:p>
  </w:footnote>
  <w:footnote w:id="54">
    <w:p w14:paraId="3F31BA11"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805–07. </w:t>
      </w:r>
    </w:p>
  </w:footnote>
  <w:footnote w:id="55">
    <w:p w14:paraId="71BBF1B8" w14:textId="77777777" w:rsidR="00201F3F" w:rsidRPr="00CD0FEB" w:rsidRDefault="00201F3F" w:rsidP="00CE5492">
      <w:pPr>
        <w:pStyle w:val="14Footnote"/>
      </w:pPr>
      <w:r w:rsidRPr="00CD0FEB">
        <w:rPr>
          <w:vertAlign w:val="superscript"/>
        </w:rPr>
        <w:footnoteRef/>
      </w:r>
      <w:r w:rsidRPr="00CD0FEB">
        <w:t xml:space="preserve">Nevada v. U.S. Dep’t of Labor, No. 16-41606, Doc. 00514144810 (5th Cir. Sept. 6, 2017). </w:t>
      </w:r>
    </w:p>
  </w:footnote>
  <w:footnote w:id="56">
    <w:p w14:paraId="52350DFD" w14:textId="77777777" w:rsidR="00201F3F" w:rsidRPr="00CD0FEB" w:rsidRDefault="00201F3F" w:rsidP="00CE5492">
      <w:pPr>
        <w:pStyle w:val="14Footnote"/>
      </w:pPr>
      <w:r w:rsidRPr="00CD0FEB">
        <w:rPr>
          <w:vertAlign w:val="superscript"/>
        </w:rPr>
        <w:footnoteRef/>
      </w:r>
      <w:r w:rsidRPr="00CD0FEB">
        <w:t xml:space="preserve">Several months earlier, on July 26, 2017, the DOL published a request for information (RFI) regarding the Overtime Final Rule, asking the public for input as to what changes to the salary basis test, if any, the Department should propose. </w:t>
      </w:r>
    </w:p>
  </w:footnote>
  <w:footnote w:id="57">
    <w:p w14:paraId="58667D59" w14:textId="77777777" w:rsidR="00201F3F" w:rsidRPr="00CD0FEB" w:rsidRDefault="00201F3F" w:rsidP="00CE5492">
      <w:pPr>
        <w:pStyle w:val="14Footnote"/>
      </w:pPr>
      <w:r w:rsidRPr="00CD0FEB">
        <w:rPr>
          <w:vertAlign w:val="superscript"/>
        </w:rPr>
        <w:footnoteRef/>
      </w:r>
      <w:r w:rsidRPr="00CD0FEB">
        <w:t xml:space="preserve">Defining and Delimiting the Exemptions for Executive, Administrative, Professional, Outside Sales and Computer Employees, 84 Fed. Reg. 10,900 (proposed March 22, 2019). </w:t>
      </w:r>
    </w:p>
  </w:footnote>
  <w:footnote w:id="58">
    <w:p w14:paraId="6EE3A262" w14:textId="77777777" w:rsidR="00201F3F" w:rsidRPr="00CD0FEB" w:rsidRDefault="00201F3F" w:rsidP="00CE5492">
      <w:pPr>
        <w:pStyle w:val="14Footnote"/>
      </w:pPr>
      <w:r w:rsidRPr="00CD0FEB">
        <w:rPr>
          <w:vertAlign w:val="superscript"/>
        </w:rPr>
        <w:footnoteRef/>
      </w:r>
      <w:r w:rsidRPr="00CD0FEB">
        <w:t>84 Fed. Reg. 51,230, 51,234 (Sept. 27, 2019).</w:t>
      </w:r>
    </w:p>
  </w:footnote>
  <w:footnote w:id="59">
    <w:p w14:paraId="2DD98EC0"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51,238.</w:t>
      </w:r>
    </w:p>
  </w:footnote>
  <w:footnote w:id="60">
    <w:p w14:paraId="0E462D0D"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51,250. The 2020 amendments largely carried forward provisions from the 2016 regulations allowing employers to count nondiscretionary bonuses and incentive payments (including commissions) to satisfy up to 10% of the standard salary level test, provided such bonuses are paid annually or more frequently. </w:t>
      </w:r>
      <w:r w:rsidRPr="00CD0FEB">
        <w:rPr>
          <w:i/>
          <w:iCs/>
        </w:rPr>
        <w:t>Id.</w:t>
      </w:r>
      <w:r w:rsidRPr="00CD0FEB">
        <w:t xml:space="preserve"> at 51,248–49.</w:t>
      </w:r>
    </w:p>
  </w:footnote>
  <w:footnote w:id="61">
    <w:p w14:paraId="353B0245"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51,246. </w:t>
      </w:r>
    </w:p>
  </w:footnote>
  <w:footnote w:id="62">
    <w:p w14:paraId="33D2F3E6"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51,247.</w:t>
      </w:r>
    </w:p>
  </w:footnote>
  <w:footnote w:id="63">
    <w:p w14:paraId="3EE3886F"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at 51,251.</w:t>
      </w:r>
    </w:p>
  </w:footnote>
  <w:footnote w:id="64">
    <w:p w14:paraId="39F5E7E9" w14:textId="77777777" w:rsidR="00201F3F" w:rsidRDefault="00201F3F" w:rsidP="00FE1E16">
      <w:pPr>
        <w:pStyle w:val="FootnoteText"/>
      </w:pPr>
      <w:r>
        <w:rPr>
          <w:rStyle w:val="FootnoteReference"/>
        </w:rPr>
        <w:footnoteRef/>
      </w:r>
      <w:r w:rsidRPr="00F961CA">
        <w:t>Mayfield v. U.S. Dep’t of Labor</w:t>
      </w:r>
      <w:r>
        <w:t>,</w:t>
      </w:r>
      <w:r w:rsidRPr="000812A8">
        <w:t xml:space="preserve"> </w:t>
      </w:r>
      <w:r w:rsidRPr="00EE6442">
        <w:t>693 F. Supp. 3d 712 (W.D. Tex. 2023)</w:t>
      </w:r>
      <w:r w:rsidRPr="000812A8">
        <w:t xml:space="preserve">, appeal docketed, No. 23-50724 (5th Cir. Oct. 11, 2023). </w:t>
      </w:r>
    </w:p>
    <w:p w14:paraId="29CEAA77" w14:textId="77777777" w:rsidR="00201F3F" w:rsidRDefault="00201F3F" w:rsidP="00FE1E16">
      <w:pPr>
        <w:pStyle w:val="FootnoteText"/>
      </w:pPr>
    </w:p>
  </w:footnote>
  <w:footnote w:id="65">
    <w:p w14:paraId="786E6261" w14:textId="77777777" w:rsidR="00201F3F" w:rsidRDefault="00201F3F" w:rsidP="00FE1E16">
      <w:pPr>
        <w:pStyle w:val="FootnoteText"/>
      </w:pPr>
      <w:r>
        <w:rPr>
          <w:rStyle w:val="FootnoteReference"/>
        </w:rPr>
        <w:footnoteRef/>
      </w:r>
      <w:r w:rsidRPr="0024569B">
        <w:t>88 FR 62152.</w:t>
      </w:r>
    </w:p>
  </w:footnote>
  <w:footnote w:id="66">
    <w:p w14:paraId="3DC12A8F" w14:textId="77777777" w:rsidR="00201F3F" w:rsidRDefault="00201F3F" w:rsidP="00FE1E16">
      <w:pPr>
        <w:pStyle w:val="FootnoteText"/>
      </w:pPr>
      <w:r>
        <w:rPr>
          <w:rStyle w:val="FootnoteReference"/>
        </w:rPr>
        <w:footnoteRef/>
      </w:r>
      <w:r>
        <w:t xml:space="preserve">29 C.F.R. 541 (2024). </w:t>
      </w:r>
    </w:p>
  </w:footnote>
  <w:footnote w:id="67">
    <w:p w14:paraId="368A8B96" w14:textId="77777777" w:rsidR="00201F3F" w:rsidRPr="00B32BE6" w:rsidRDefault="00201F3F">
      <w:pPr>
        <w:pStyle w:val="FootnoteText"/>
      </w:pPr>
      <w:r>
        <w:rPr>
          <w:rStyle w:val="FootnoteReference"/>
        </w:rPr>
        <w:footnoteRef/>
      </w:r>
      <w:r>
        <w:rPr>
          <w:i/>
          <w:iCs/>
        </w:rPr>
        <w:t>Id.</w:t>
      </w:r>
      <w:r>
        <w:t xml:space="preserve"> </w:t>
      </w:r>
    </w:p>
  </w:footnote>
  <w:footnote w:id="68">
    <w:p w14:paraId="7C19D8F3" w14:textId="77777777" w:rsidR="00201F3F" w:rsidRDefault="00201F3F">
      <w:pPr>
        <w:pStyle w:val="FootnoteText"/>
      </w:pPr>
      <w:r>
        <w:rPr>
          <w:rStyle w:val="FootnoteReference"/>
        </w:rPr>
        <w:footnoteRef/>
      </w:r>
      <w:r w:rsidRPr="00E54D9C">
        <w:t xml:space="preserve">Flint Ave., LLC v. </w:t>
      </w:r>
      <w:r w:rsidRPr="009157BC">
        <w:t>U.S. Dep’t of Labor</w:t>
      </w:r>
      <w:r w:rsidRPr="00E54D9C">
        <w:t>, No. 5:24-CV-130-C, 2024 BL 437322 (N.D. Tex. July 01, 2024)</w:t>
      </w:r>
      <w:r>
        <w:t>.</w:t>
      </w:r>
    </w:p>
  </w:footnote>
  <w:footnote w:id="69">
    <w:p w14:paraId="06A4CBDB" w14:textId="77777777" w:rsidR="00201F3F" w:rsidRDefault="00201F3F">
      <w:pPr>
        <w:pStyle w:val="FootnoteText"/>
      </w:pPr>
      <w:r>
        <w:rPr>
          <w:rStyle w:val="FootnoteReference"/>
        </w:rPr>
        <w:footnoteRef/>
      </w:r>
      <w:r>
        <w:t xml:space="preserve">Texas v. U.S. Dep’t of Labor, </w:t>
      </w:r>
      <w:r w:rsidRPr="00176326">
        <w:t>No. 4:24-cv-499 (E.D. Tex.).</w:t>
      </w:r>
    </w:p>
  </w:footnote>
  <w:footnote w:id="70">
    <w:p w14:paraId="7B2D417C" w14:textId="77777777" w:rsidR="00201F3F" w:rsidRDefault="00201F3F" w:rsidP="00EA12B0">
      <w:pPr>
        <w:pStyle w:val="FootnoteText"/>
      </w:pPr>
      <w:r>
        <w:rPr>
          <w:rStyle w:val="FootnoteReference"/>
        </w:rPr>
        <w:footnoteRef/>
      </w:r>
      <w:r>
        <w:t>Plano Chamber of Com., et al. v. U.S. Dep’t of Labor, No. 4:24-cv-499 (E.D. Tex.).</w:t>
      </w:r>
    </w:p>
  </w:footnote>
  <w:footnote w:id="71">
    <w:p w14:paraId="12362357" w14:textId="77777777" w:rsidR="00201F3F" w:rsidRDefault="00201F3F">
      <w:pPr>
        <w:pStyle w:val="FootnoteText"/>
      </w:pPr>
      <w:r>
        <w:rPr>
          <w:rStyle w:val="FootnoteReference"/>
        </w:rPr>
        <w:footnoteRef/>
      </w:r>
      <w:r w:rsidRPr="004A2745">
        <w:t>Flint Ave., LLC v. U.S. Dep’t of Labor, No. 5:24-CV-130-C, 2024 BL 437322 (N.D. Tex. July 01, 2024)</w:t>
      </w:r>
      <w:r>
        <w:t xml:space="preserve">, decision </w:t>
      </w:r>
      <w:r w:rsidRPr="00F961CA">
        <w:rPr>
          <w:i/>
          <w:iCs/>
        </w:rPr>
        <w:t>available at</w:t>
      </w:r>
      <w:r>
        <w:t xml:space="preserve"> </w:t>
      </w:r>
      <w:r w:rsidRPr="00F961CA">
        <w:t>https://www.bloomberglaw.com/document/X4QTL2OJAU58VVO09G8T149EICB</w:t>
      </w:r>
      <w:r>
        <w:t xml:space="preserve">.  </w:t>
      </w:r>
    </w:p>
  </w:footnote>
  <w:footnote w:id="72">
    <w:p w14:paraId="41F68CA8" w14:textId="77777777" w:rsidR="00201F3F" w:rsidRDefault="00201F3F" w:rsidP="00FE1E16">
      <w:pPr>
        <w:pStyle w:val="FootnoteText"/>
      </w:pPr>
      <w:r>
        <w:rPr>
          <w:rStyle w:val="FootnoteReference"/>
        </w:rPr>
        <w:footnoteRef/>
      </w:r>
      <w:r>
        <w:t xml:space="preserve">Texas v. U.S. Dep’t of Labor, </w:t>
      </w:r>
      <w:r w:rsidRPr="000C242E">
        <w:t>738 F. Supp. 3d 807 (E.D. Tex. 2024)</w:t>
      </w:r>
      <w:r>
        <w:t>.</w:t>
      </w:r>
    </w:p>
  </w:footnote>
  <w:footnote w:id="73">
    <w:p w14:paraId="2A7EF0E2" w14:textId="77777777" w:rsidR="00201F3F" w:rsidRPr="00CD0FEB" w:rsidRDefault="00201F3F" w:rsidP="00CE5492">
      <w:pPr>
        <w:pStyle w:val="14Footnote"/>
      </w:pPr>
      <w:r w:rsidRPr="00CD0FEB">
        <w:rPr>
          <w:vertAlign w:val="superscript"/>
        </w:rPr>
        <w:footnoteRef/>
      </w:r>
      <w:r w:rsidRPr="00CD0FEB">
        <w:rPr>
          <w:i/>
          <w:iCs/>
        </w:rPr>
        <w:t>First Circuit:</w:t>
      </w:r>
      <w:r w:rsidRPr="00CD0FEB">
        <w:t xml:space="preserve"> Cash v. Cycle Craft Co., Inc., 508 F.3d 680, 13 WH Cases2d 8 (1st Cir. 2007).</w:t>
      </w:r>
    </w:p>
    <w:p w14:paraId="62EBDE7F" w14:textId="77777777" w:rsidR="00201F3F" w:rsidRPr="00CD0FEB" w:rsidRDefault="00201F3F" w:rsidP="00CE5492">
      <w:pPr>
        <w:pStyle w:val="14Footnote"/>
      </w:pPr>
      <w:r w:rsidRPr="00CD0FEB">
        <w:rPr>
          <w:i/>
          <w:iCs/>
        </w:rPr>
        <w:t>Second Circuit:</w:t>
      </w:r>
      <w:r w:rsidRPr="00CD0FEB">
        <w:t xml:space="preserve"> Freeman v. National Broad. Co., Inc., 80 F.3d 78, 3 WH Cases2d 289 (2d Cir. 1996).</w:t>
      </w:r>
    </w:p>
    <w:p w14:paraId="0DC3AA85" w14:textId="77777777" w:rsidR="00201F3F" w:rsidRPr="00CD0FEB" w:rsidRDefault="00201F3F" w:rsidP="00CE5492">
      <w:pPr>
        <w:pStyle w:val="14Footnote"/>
      </w:pPr>
      <w:r w:rsidRPr="00CD0FEB">
        <w:rPr>
          <w:i/>
          <w:iCs/>
        </w:rPr>
        <w:t>Third Circuit:</w:t>
      </w:r>
      <w:r w:rsidRPr="00CD0FEB">
        <w:t xml:space="preserve"> Martin v. Cooper Elec. Supply Co., 940 F.2d 896, 30 WH Cases 793 (3d Cir. 1991).</w:t>
      </w:r>
    </w:p>
    <w:p w14:paraId="267177E0" w14:textId="77777777" w:rsidR="00201F3F" w:rsidRPr="00CD0FEB" w:rsidRDefault="00201F3F" w:rsidP="00CE5492">
      <w:pPr>
        <w:pStyle w:val="14Footnote"/>
      </w:pPr>
      <w:r w:rsidRPr="00CD0FEB">
        <w:rPr>
          <w:i/>
          <w:iCs/>
        </w:rPr>
        <w:t>Fourth Circuit:</w:t>
      </w:r>
      <w:r w:rsidRPr="00CD0FEB">
        <w:t xml:space="preserve"> Darveau v. Detecon, Inc., 515 F.3d 334, 13 WH Cases2d 375 (4th Cir. 2008).</w:t>
      </w:r>
    </w:p>
    <w:p w14:paraId="6A1091C2" w14:textId="77777777" w:rsidR="00201F3F" w:rsidRPr="00CD0FEB" w:rsidRDefault="00201F3F" w:rsidP="00CE5492">
      <w:pPr>
        <w:pStyle w:val="14Footnote"/>
      </w:pPr>
      <w:r w:rsidRPr="00CD0FEB">
        <w:rPr>
          <w:i/>
          <w:iCs/>
        </w:rPr>
        <w:t>Fifth Circuit:</w:t>
      </w:r>
      <w:r w:rsidRPr="00CD0FEB">
        <w:t xml:space="preserve"> Heidtman v. County of El Paso, 171 F.3d 1038, 5 WH Cases2d 385 (5th Cir. 1999).</w:t>
      </w:r>
    </w:p>
    <w:p w14:paraId="18B4A0F6" w14:textId="77777777" w:rsidR="00201F3F" w:rsidRPr="00CD0FEB" w:rsidRDefault="00201F3F" w:rsidP="00CE5492">
      <w:pPr>
        <w:pStyle w:val="14Footnote"/>
      </w:pPr>
      <w:r w:rsidRPr="00CD0FEB">
        <w:rPr>
          <w:i/>
          <w:iCs/>
        </w:rPr>
        <w:t>Sixth Circuit:</w:t>
      </w:r>
      <w:r w:rsidRPr="00CD0FEB">
        <w:t xml:space="preserve"> Schaefer v. Indiana Mich. Power Co., 358 F.3d 394, 9 WH Cases2d 614 (6th Cir. 2004).</w:t>
      </w:r>
    </w:p>
    <w:p w14:paraId="648FBCE8" w14:textId="77777777" w:rsidR="00201F3F" w:rsidRPr="00CD0FEB" w:rsidRDefault="00201F3F" w:rsidP="00CE5492">
      <w:pPr>
        <w:pStyle w:val="14Footnote"/>
      </w:pPr>
      <w:r w:rsidRPr="00CD0FEB">
        <w:rPr>
          <w:i/>
          <w:iCs/>
        </w:rPr>
        <w:t>Seventh Circuit:</w:t>
      </w:r>
      <w:r w:rsidRPr="00CD0FEB">
        <w:t xml:space="preserve"> Roe-Midgett v. CC Servs., Inc., 512 F.3d 865, 13 WH Cases2d 180 (7th Cir. 2008).</w:t>
      </w:r>
    </w:p>
    <w:p w14:paraId="794EEB51" w14:textId="77777777" w:rsidR="00201F3F" w:rsidRPr="00CD0FEB" w:rsidRDefault="00201F3F" w:rsidP="00CE5492">
      <w:pPr>
        <w:pStyle w:val="14Footnote"/>
      </w:pPr>
      <w:r w:rsidRPr="00CD0FEB">
        <w:rPr>
          <w:i/>
          <w:iCs/>
        </w:rPr>
        <w:t>Eighth Circuit:</w:t>
      </w:r>
      <w:r w:rsidRPr="00CD0FEB">
        <w:t xml:space="preserve"> Fife v. Harmon, 171 F.3d 1173, 5 WH Cases2d 350 (8th Cir. 1999).</w:t>
      </w:r>
    </w:p>
    <w:p w14:paraId="63A676DD" w14:textId="77777777" w:rsidR="00201F3F" w:rsidRPr="00CD0FEB" w:rsidRDefault="00201F3F" w:rsidP="00CE5492">
      <w:pPr>
        <w:pStyle w:val="14Footnote"/>
      </w:pPr>
      <w:r w:rsidRPr="00CD0FEB">
        <w:rPr>
          <w:i/>
          <w:iCs/>
        </w:rPr>
        <w:t>Ninth Circuit:</w:t>
      </w:r>
      <w:r w:rsidRPr="00CD0FEB">
        <w:t xml:space="preserve"> Bothell v. Phase Metrics, Inc., 299 F.3d 1120, 7 WH Cases2d 1829 (9th Cir. 2002).</w:t>
      </w:r>
    </w:p>
    <w:p w14:paraId="042AE09E" w14:textId="77777777" w:rsidR="00201F3F" w:rsidRPr="00CD0FEB" w:rsidRDefault="00201F3F" w:rsidP="00CE5492">
      <w:pPr>
        <w:pStyle w:val="14Footnote"/>
      </w:pPr>
      <w:r w:rsidRPr="00CD0FEB">
        <w:rPr>
          <w:i/>
          <w:iCs/>
        </w:rPr>
        <w:t>Tenth Circuit:</w:t>
      </w:r>
      <w:r w:rsidRPr="00CD0FEB">
        <w:t xml:space="preserve"> Bohn v. Park City Grp., Inc., 94 F.3d 1457, 3 WH Cases2d 780 (10th Cir. 1996).</w:t>
      </w:r>
    </w:p>
    <w:p w14:paraId="7BF7C930" w14:textId="77777777" w:rsidR="00201F3F" w:rsidRPr="00CD0FEB" w:rsidRDefault="00201F3F" w:rsidP="00CE5492">
      <w:pPr>
        <w:pStyle w:val="14Footnote"/>
      </w:pPr>
      <w:r w:rsidRPr="00CD0FEB">
        <w:rPr>
          <w:i/>
          <w:iCs/>
        </w:rPr>
        <w:t>Eleventh Circuit:</w:t>
      </w:r>
      <w:r w:rsidRPr="00CD0FEB">
        <w:t xml:space="preserve"> Morgan v. Family Dollar Stores, Inc., 551 F.3d 1233 (11th Cir. 2008)</w:t>
      </w:r>
    </w:p>
  </w:footnote>
  <w:footnote w:id="74">
    <w:p w14:paraId="6BEE34B0" w14:textId="77777777" w:rsidR="00201F3F" w:rsidRPr="00CD0FEB" w:rsidRDefault="00201F3F" w:rsidP="00CE5492">
      <w:pPr>
        <w:pStyle w:val="14Footnote"/>
      </w:pPr>
      <w:r w:rsidRPr="00CD0FEB">
        <w:rPr>
          <w:vertAlign w:val="superscript"/>
        </w:rPr>
        <w:footnoteRef/>
      </w:r>
      <w:r w:rsidRPr="00CD0FEB">
        <w:rPr>
          <w:i/>
          <w:iCs/>
        </w:rPr>
        <w:t xml:space="preserve">See </w:t>
      </w:r>
      <w:r w:rsidRPr="00CD0FEB">
        <w:t>A.H. Phillips, Inc. v. Walling, 324 U.S. 490, 493, 5 WH Cases 186 (1945); Mitchell v. Kentucky Fin. Co., 359 U.S. 290, 295–96, 14 WH Cases 125 (1959) (finding retail and service establishment exemption inapplicable because court could not justify “straining to bring within the literal words of the exemption” respondents’ personal loan and dealer financing activities); Arnold v. Ben Kanowsky, Inc., 361 U.S. 388, 394, 14 WH Cases 478 (1960) (concluding employer did not meet its burden of proving applicability of retail or service establishment exemption); Idaho Sheet Metal Works, Inc. v. Wirtz, 383 U.S. 190, 206, 17 WH Cases 240 (1966) (holding employers failed to prove applicability of retail or service establishment exemption).</w:t>
      </w:r>
    </w:p>
  </w:footnote>
  <w:footnote w:id="75">
    <w:p w14:paraId="2C6846B0" w14:textId="77777777" w:rsidR="00201F3F" w:rsidRPr="00CD0FEB" w:rsidRDefault="00201F3F" w:rsidP="00CE5492">
      <w:pPr>
        <w:pStyle w:val="14Footnote"/>
      </w:pPr>
      <w:r w:rsidRPr="00CD0FEB">
        <w:rPr>
          <w:vertAlign w:val="superscript"/>
        </w:rPr>
        <w:footnoteRef/>
      </w:r>
      <w:r w:rsidRPr="00CD0FEB">
        <w:t>324 U.S. 490 (1945).</w:t>
      </w:r>
    </w:p>
  </w:footnote>
  <w:footnote w:id="76">
    <w:p w14:paraId="376CA66E" w14:textId="77777777" w:rsidR="00201F3F" w:rsidRPr="00CD0FEB" w:rsidRDefault="00201F3F" w:rsidP="00CE5492">
      <w:pPr>
        <w:pStyle w:val="14Footnote"/>
      </w:pPr>
      <w:r w:rsidRPr="00CD0FEB">
        <w:rPr>
          <w:vertAlign w:val="superscript"/>
        </w:rPr>
        <w:footnoteRef/>
      </w:r>
      <w:r w:rsidRPr="00CD0FEB">
        <w:rPr>
          <w:i/>
          <w:iCs/>
        </w:rPr>
        <w:t>Id</w:t>
      </w:r>
      <w:r w:rsidRPr="00CD0FEB">
        <w:t>. at 493.</w:t>
      </w:r>
    </w:p>
  </w:footnote>
  <w:footnote w:id="77">
    <w:p w14:paraId="5E39914B" w14:textId="77777777" w:rsidR="00201F3F" w:rsidRPr="00CD0FEB" w:rsidRDefault="00201F3F" w:rsidP="00CE5492">
      <w:pPr>
        <w:pStyle w:val="14Footnote"/>
      </w:pPr>
      <w:r w:rsidRPr="00CD0FEB">
        <w:rPr>
          <w:vertAlign w:val="superscript"/>
        </w:rPr>
        <w:footnoteRef/>
      </w:r>
      <w:r w:rsidRPr="00CD0FEB">
        <w:t xml:space="preserve">138 S. Ct. 1134, 200 L. Ed. 2d 433, 27 WH Cases2d 1141 (2018). </w:t>
      </w:r>
    </w:p>
  </w:footnote>
  <w:footnote w:id="78">
    <w:p w14:paraId="6187C116"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138 S. Ct. at 1142. </w:t>
      </w:r>
    </w:p>
  </w:footnote>
  <w:footnote w:id="79">
    <w:p w14:paraId="300756D7" w14:textId="77777777" w:rsidR="00201F3F" w:rsidRPr="00CD0FEB" w:rsidRDefault="00201F3F" w:rsidP="00CE5492">
      <w:pPr>
        <w:pStyle w:val="14Footnote"/>
      </w:pPr>
      <w:r w:rsidRPr="00CD0FEB">
        <w:rPr>
          <w:vertAlign w:val="superscript"/>
        </w:rPr>
        <w:footnoteRef/>
      </w:r>
      <w:r w:rsidRPr="00CD0FEB">
        <w:rPr>
          <w:i/>
          <w:iCs/>
        </w:rPr>
        <w:t>Id</w:t>
      </w:r>
      <w:r w:rsidRPr="00CD0FEB">
        <w:t>. (citations omitted).</w:t>
      </w:r>
    </w:p>
  </w:footnote>
  <w:footnote w:id="80">
    <w:p w14:paraId="249B3486"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p>
  </w:footnote>
  <w:footnote w:id="81">
    <w:p w14:paraId="713AB7EB" w14:textId="77777777" w:rsidR="00201F3F" w:rsidRPr="00CD0FEB" w:rsidRDefault="00201F3F" w:rsidP="00CE5492">
      <w:pPr>
        <w:pStyle w:val="14Footnote"/>
      </w:pPr>
      <w:r w:rsidRPr="00CD0FEB">
        <w:rPr>
          <w:vertAlign w:val="superscript"/>
        </w:rPr>
        <w:footnoteRef/>
      </w:r>
      <w:r w:rsidRPr="00CD0FEB">
        <w:t>Corning Glass Works v Brennan, 417 U.S. 188, 196–97 (1975) (the “general rule [is] that the application of an exemption under the Fair Labor Standards Act is a matter of affirmative defense on which the employer has the burden of proof”) (collecting cases).</w:t>
      </w:r>
    </w:p>
  </w:footnote>
  <w:footnote w:id="82">
    <w:p w14:paraId="74AE97E5" w14:textId="77777777" w:rsidR="00201F3F" w:rsidRPr="00CD0FEB" w:rsidRDefault="00201F3F" w:rsidP="00CE5492">
      <w:pPr>
        <w:pStyle w:val="14Footnote"/>
      </w:pPr>
      <w:r w:rsidRPr="00CD0FEB">
        <w:rPr>
          <w:vertAlign w:val="superscript"/>
        </w:rPr>
        <w:footnoteRef/>
      </w:r>
      <w:r w:rsidRPr="00CD0FEB">
        <w:rPr>
          <w:i/>
          <w:iCs/>
        </w:rPr>
        <w:t>First Circuit:</w:t>
      </w:r>
      <w:r w:rsidRPr="00CD0FEB">
        <w:t xml:space="preserve"> Reich v. Newspapers of New England Inc., 44 F.3d 1060, 1070 (1st Cir. 1995).</w:t>
      </w:r>
    </w:p>
    <w:p w14:paraId="69063130" w14:textId="77777777" w:rsidR="00201F3F" w:rsidRPr="00176326" w:rsidRDefault="00201F3F" w:rsidP="00CE5492">
      <w:pPr>
        <w:pStyle w:val="14Footnote"/>
      </w:pPr>
      <w:r w:rsidRPr="00CD0FEB">
        <w:rPr>
          <w:i/>
          <w:iCs/>
        </w:rPr>
        <w:t>Second Circuit:</w:t>
      </w:r>
      <w:r w:rsidRPr="00CD0FEB">
        <w:t xml:space="preserve"> DeJesus v. HF Mgmt. </w:t>
      </w:r>
      <w:r w:rsidRPr="00176326">
        <w:t>Servs., LLC</w:t>
      </w:r>
      <w:r w:rsidRPr="00176326">
        <w:rPr>
          <w:i/>
          <w:iCs/>
        </w:rPr>
        <w:t xml:space="preserve">, </w:t>
      </w:r>
      <w:r w:rsidRPr="00176326">
        <w:t>726 F.3d 85, 91 n.7 (2d Cir. 2013).</w:t>
      </w:r>
    </w:p>
    <w:p w14:paraId="2D99E82A" w14:textId="77777777" w:rsidR="00201F3F" w:rsidRPr="00CD0FEB" w:rsidRDefault="00201F3F" w:rsidP="00CE5492">
      <w:pPr>
        <w:pStyle w:val="14Footnote"/>
      </w:pPr>
      <w:r w:rsidRPr="00CD0FEB">
        <w:rPr>
          <w:i/>
          <w:iCs/>
        </w:rPr>
        <w:t xml:space="preserve">Third Circuit: </w:t>
      </w:r>
      <w:r w:rsidRPr="00CD0FEB">
        <w:t>Lawrence v. City of Phila., 527 F.3d 299, 310 (3d Cir. 2008).</w:t>
      </w:r>
    </w:p>
    <w:p w14:paraId="046C520D" w14:textId="77777777" w:rsidR="00201F3F" w:rsidRPr="00CD0FEB" w:rsidRDefault="00201F3F" w:rsidP="00CE5492">
      <w:pPr>
        <w:pStyle w:val="14Footnote"/>
      </w:pPr>
      <w:r w:rsidRPr="00CD0FEB">
        <w:rPr>
          <w:i/>
          <w:iCs/>
        </w:rPr>
        <w:t>Fourth Circuit:</w:t>
      </w:r>
      <w:r w:rsidRPr="00CD0FEB">
        <w:t xml:space="preserve"> Simmons v. United Mortg. and Loan Inv., LLC, 634 F.3d 754, 757 (4th Cir. 2011).</w:t>
      </w:r>
    </w:p>
    <w:p w14:paraId="4A947871" w14:textId="77777777" w:rsidR="00201F3F" w:rsidRPr="00CD0FEB" w:rsidRDefault="00201F3F" w:rsidP="00CE5492">
      <w:pPr>
        <w:pStyle w:val="14Footnote"/>
      </w:pPr>
      <w:r w:rsidRPr="00CD0FEB">
        <w:rPr>
          <w:i/>
          <w:iCs/>
        </w:rPr>
        <w:t>Fifth Circuit:</w:t>
      </w:r>
      <w:r w:rsidRPr="00CD0FEB">
        <w:t xml:space="preserve"> Songer v. Dillon Res., Inc., 618 F.3d 467, 471 (5th Cir. 2010).</w:t>
      </w:r>
    </w:p>
    <w:p w14:paraId="3CDD57F9" w14:textId="77777777" w:rsidR="00201F3F" w:rsidRPr="00CD0FEB" w:rsidRDefault="00201F3F" w:rsidP="00CE5492">
      <w:pPr>
        <w:pStyle w:val="14Footnote"/>
      </w:pPr>
      <w:r w:rsidRPr="00CD0FEB">
        <w:rPr>
          <w:i/>
          <w:iCs/>
        </w:rPr>
        <w:t>Sixth Circuit:</w:t>
      </w:r>
      <w:r w:rsidRPr="00CD0FEB">
        <w:t xml:space="preserve"> Thomas v. Speedway Super</w:t>
      </w:r>
      <w:r>
        <w:t>A</w:t>
      </w:r>
      <w:r w:rsidRPr="00CD0FEB">
        <w:t>merica, LLC, 506 F.3d 496, 501 (6th Cir. 2007).</w:t>
      </w:r>
    </w:p>
    <w:p w14:paraId="1284CBE5" w14:textId="77777777" w:rsidR="00201F3F" w:rsidRPr="00CD0FEB" w:rsidRDefault="00201F3F" w:rsidP="00CE5492">
      <w:pPr>
        <w:pStyle w:val="14Footnote"/>
      </w:pPr>
      <w:r w:rsidRPr="00CD0FEB">
        <w:rPr>
          <w:i/>
          <w:iCs/>
        </w:rPr>
        <w:t>Seventh Circuit:</w:t>
      </w:r>
      <w:r w:rsidRPr="00CD0FEB">
        <w:t xml:space="preserve"> Yi v. Sterling Collision Ctrs., Inc., 480 F.3d 505, 507 (7th Cir. 2007).</w:t>
      </w:r>
    </w:p>
    <w:p w14:paraId="0B8EBAE7" w14:textId="77777777" w:rsidR="00201F3F" w:rsidRPr="00CD0FEB" w:rsidRDefault="00201F3F" w:rsidP="00CE5492">
      <w:pPr>
        <w:pStyle w:val="14Footnote"/>
      </w:pPr>
      <w:r w:rsidRPr="00CD0FEB">
        <w:rPr>
          <w:i/>
          <w:iCs/>
        </w:rPr>
        <w:t xml:space="preserve">Eighth Circuit: </w:t>
      </w:r>
      <w:r w:rsidRPr="00CD0FEB">
        <w:t>Hertz v. Woodbury Co., Iowa, 566 F.3d 775, 783 (8th Cir. 2009).</w:t>
      </w:r>
    </w:p>
    <w:p w14:paraId="7DA4F7EC" w14:textId="77777777" w:rsidR="00201F3F" w:rsidRPr="00CD0FEB" w:rsidRDefault="00201F3F" w:rsidP="00CE5492">
      <w:pPr>
        <w:pStyle w:val="14Footnote"/>
      </w:pPr>
      <w:r w:rsidRPr="00CD0FEB">
        <w:rPr>
          <w:i/>
          <w:iCs/>
        </w:rPr>
        <w:t>Ninth Circuit:</w:t>
      </w:r>
      <w:r w:rsidRPr="00CD0FEB">
        <w:t xml:space="preserve"> Nigg v. United States Postal Serv., 555 F.3d 781, 14 WH Cases2d 801 (9th Cir. 2009).</w:t>
      </w:r>
    </w:p>
    <w:p w14:paraId="3CC807EE" w14:textId="77777777" w:rsidR="00201F3F" w:rsidRPr="00CD0FEB" w:rsidRDefault="00201F3F" w:rsidP="00CE5492">
      <w:pPr>
        <w:pStyle w:val="14Footnote"/>
      </w:pPr>
      <w:r w:rsidRPr="00CD0FEB">
        <w:rPr>
          <w:i/>
          <w:iCs/>
        </w:rPr>
        <w:t>Tenth Circuit:</w:t>
      </w:r>
      <w:r w:rsidRPr="00CD0FEB">
        <w:t xml:space="preserve"> Lederman v. Frontier Fire Prot., Inc., 685 F.3d 1151, 1156 (10th Cir. 2012).</w:t>
      </w:r>
    </w:p>
    <w:p w14:paraId="60E4FE37" w14:textId="77777777" w:rsidR="00201F3F" w:rsidRPr="00CD0FEB" w:rsidRDefault="00201F3F" w:rsidP="00CE5492">
      <w:pPr>
        <w:pStyle w:val="14Footnote"/>
      </w:pPr>
      <w:r w:rsidRPr="00CD0FEB">
        <w:rPr>
          <w:i/>
          <w:iCs/>
        </w:rPr>
        <w:t>Eleventh Circuit:</w:t>
      </w:r>
      <w:r w:rsidRPr="00CD0FEB">
        <w:t xml:space="preserve"> Alvarez Perez v. Sanford-Orlando Kennel Club, 515 F.3d 1150, 1156 (11th Cir. 2008).</w:t>
      </w:r>
    </w:p>
    <w:p w14:paraId="4BF96C21" w14:textId="77777777" w:rsidR="00201F3F" w:rsidRPr="00CD0FEB" w:rsidRDefault="00201F3F" w:rsidP="00CE5492">
      <w:pPr>
        <w:pStyle w:val="14Footnote"/>
      </w:pPr>
      <w:r w:rsidRPr="00CD0FEB">
        <w:t>For a more in-depth discussion of the use of exemptions as an affirmative defense, see Chapter 16, Litigation Issues, §VII.B [Defenses; Exemptions].</w:t>
      </w:r>
    </w:p>
  </w:footnote>
  <w:footnote w:id="83">
    <w:p w14:paraId="3AB61A43" w14:textId="77777777" w:rsidR="00201F3F" w:rsidRPr="00CD0FEB" w:rsidRDefault="00201F3F" w:rsidP="00CE5492">
      <w:pPr>
        <w:pStyle w:val="14Footnote"/>
      </w:pPr>
      <w:r w:rsidRPr="00CD0FEB">
        <w:rPr>
          <w:vertAlign w:val="superscript"/>
        </w:rPr>
        <w:footnoteRef/>
      </w:r>
      <w:r w:rsidRPr="00CD0FEB">
        <w:rPr>
          <w:i/>
          <w:iCs/>
        </w:rPr>
        <w:t>See</w:t>
      </w:r>
      <w:r w:rsidRPr="00CD0FEB">
        <w:t xml:space="preserve"> Renfro v. Indiana Mich. Power Co., 370 F.3d 512, 515 (6th Cir. 2004); Ale v. Tennessee Valley Auth., 269 F.3d 680, 690 n.4 (6th Cir. 2001); Klinedinst v. Swift Invs., 260 F.3d 1251, 1254 (11th Cir. 2001).</w:t>
      </w:r>
    </w:p>
  </w:footnote>
  <w:footnote w:id="84">
    <w:p w14:paraId="771A41DF" w14:textId="77777777" w:rsidR="00201F3F" w:rsidRPr="00CD0FEB" w:rsidRDefault="00201F3F" w:rsidP="00CE5492">
      <w:pPr>
        <w:pStyle w:val="14Footnote"/>
      </w:pPr>
      <w:r w:rsidRPr="00CD0FEB">
        <w:rPr>
          <w:vertAlign w:val="superscript"/>
        </w:rPr>
        <w:footnoteRef/>
      </w:r>
      <w:r w:rsidRPr="00CD0FEB">
        <w:rPr>
          <w:i/>
          <w:iCs/>
        </w:rPr>
        <w:t xml:space="preserve">See </w:t>
      </w:r>
      <w:r>
        <w:t xml:space="preserve">Carrera v. E.M.D. Sales Inc., 75 F.4th 345, 352 (4th Cir. 2023); </w:t>
      </w:r>
      <w:r w:rsidRPr="00CD0FEB">
        <w:t>Desmond v. PNGI Charles Town Gaming, 564 F.3d 688, 14 WH Cases2d 1449 (4th Cir. 2009).</w:t>
      </w:r>
    </w:p>
  </w:footnote>
  <w:footnote w:id="85">
    <w:p w14:paraId="455DF76E" w14:textId="77777777" w:rsidR="00201F3F" w:rsidRPr="00CD0FEB" w:rsidRDefault="00201F3F" w:rsidP="00CE5492">
      <w:pPr>
        <w:pStyle w:val="14Footnote"/>
      </w:pPr>
      <w:r w:rsidRPr="00CD0FEB">
        <w:rPr>
          <w:vertAlign w:val="superscript"/>
        </w:rPr>
        <w:footnoteRef/>
      </w:r>
      <w:r w:rsidRPr="00CD0FEB">
        <w:t xml:space="preserve">Abou-el-Seoud v. United States, 136 Fed. Cl. 537 (2018) (noting that the majority of federal appellate courts have held that the preponderance of the evidence standard should apply in determining whether an employer has met its burden to establish that an employee is exempt from the FLSA); </w:t>
      </w:r>
      <w:r w:rsidRPr="00CD0FEB">
        <w:rPr>
          <w:i/>
          <w:iCs/>
        </w:rPr>
        <w:t>see, e.g.</w:t>
      </w:r>
      <w:r w:rsidRPr="00CD0FEB">
        <w:t>, Miller v. Travis Cnty., 953 F.3d 817 (5th Cir 2020); Perry v. Randstad General Partner (US) LLC, 876 F.3d 191, 196, 27 WH Cases2d 918 (6th Cir. 2017); Yi v. Sterling Collision Ctrs., Inc., 480 F.3d 505, 506–08, 12 WH Cases2d 673 (7th Cir. 2007).</w:t>
      </w:r>
    </w:p>
  </w:footnote>
  <w:footnote w:id="86">
    <w:p w14:paraId="40EA14B2" w14:textId="77777777" w:rsidR="00201F3F" w:rsidRDefault="00201F3F" w:rsidP="003E59E1">
      <w:pPr>
        <w:pStyle w:val="FootnoteText"/>
      </w:pPr>
      <w:r>
        <w:rPr>
          <w:rStyle w:val="FootnoteReference"/>
        </w:rPr>
        <w:footnoteRef/>
      </w:r>
      <w:r>
        <w:t>Carrera v. E.M.D. Sales Inc., 75 F.4th 345, 352–53 (4th Cir. 2023).</w:t>
      </w:r>
    </w:p>
  </w:footnote>
  <w:footnote w:id="87">
    <w:p w14:paraId="6F28D36B" w14:textId="77777777" w:rsidR="00201F3F" w:rsidRPr="00CD0FEB" w:rsidRDefault="00201F3F" w:rsidP="00CE5492">
      <w:pPr>
        <w:pStyle w:val="14Footnote"/>
      </w:pPr>
      <w:r w:rsidRPr="00CD0FEB">
        <w:rPr>
          <w:vertAlign w:val="superscript"/>
        </w:rPr>
        <w:footnoteRef/>
      </w:r>
      <w:r w:rsidRPr="00CD0FEB">
        <w:t>29 C.F.R. §§541.100(a)(1), 541.200(a)(1), 541.300(a)(1).</w:t>
      </w:r>
    </w:p>
  </w:footnote>
  <w:footnote w:id="88">
    <w:p w14:paraId="0C439926"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§541.600(a); </w:t>
      </w:r>
      <w:r w:rsidRPr="00CD0FEB">
        <w:rPr>
          <w:i/>
          <w:iCs/>
        </w:rPr>
        <w:t>see also</w:t>
      </w:r>
      <w:r w:rsidRPr="00CD0FEB">
        <w:t xml:space="preserve"> WH Op. FLSA2008-1NA, 2008 WL 1847289 (Feb. 14, 2008) (opining employer cannot satisfy minimum salary requirement of $455 per week by prorating employee’s salary to reflect reduced hours or part-time status).</w:t>
      </w:r>
    </w:p>
  </w:footnote>
  <w:footnote w:id="89">
    <w:p w14:paraId="1857023A" w14:textId="77777777" w:rsidR="00201F3F" w:rsidRPr="00CD0FEB" w:rsidRDefault="00201F3F" w:rsidP="00CE5492">
      <w:pPr>
        <w:pStyle w:val="14Footnote"/>
      </w:pPr>
      <w:r w:rsidRPr="00CD0FEB">
        <w:rPr>
          <w:vertAlign w:val="superscript"/>
        </w:rPr>
        <w:footnoteRef/>
      </w:r>
      <w:r w:rsidRPr="00CD0FEB">
        <w:t>84 Fed. Reg. 51,238 (Sept. 27, 2019).</w:t>
      </w:r>
    </w:p>
  </w:footnote>
  <w:footnote w:id="90">
    <w:p w14:paraId="5CFD201E"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51,246. </w:t>
      </w:r>
    </w:p>
  </w:footnote>
  <w:footnote w:id="91">
    <w:p w14:paraId="75C60FD0"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51,248–49.</w:t>
      </w:r>
    </w:p>
  </w:footnote>
  <w:footnote w:id="92">
    <w:p w14:paraId="4A599480" w14:textId="77777777" w:rsidR="00201F3F" w:rsidRPr="00CD0FEB" w:rsidRDefault="00201F3F" w:rsidP="00CE5492">
      <w:pPr>
        <w:pStyle w:val="14Footnote"/>
      </w:pPr>
      <w:r w:rsidRPr="00CD0FEB">
        <w:rPr>
          <w:vertAlign w:val="superscript"/>
        </w:rPr>
        <w:footnoteRef/>
      </w:r>
      <w:r w:rsidRPr="00CD0FEB">
        <w:t xml:space="preserve">84 Fed. Reg. 51,238 (Sept. 27, 2019); 29 C.F.R. §541.600(a) (“exclusive of board, lodging or other facilities”). </w:t>
      </w:r>
      <w:r w:rsidRPr="00CD0FEB">
        <w:rPr>
          <w:i/>
          <w:iCs/>
        </w:rPr>
        <w:t xml:space="preserve">See, e.g., </w:t>
      </w:r>
      <w:r w:rsidRPr="00CD0FEB">
        <w:t xml:space="preserve">Estes v. Buell, 2019 WL 1338396, at *7 (E.D. Ark. Mar. 25, 2019) (holding the court could not consider the value of employee’s lodging when determining if his salary met the minimum salary requirement). </w:t>
      </w:r>
    </w:p>
  </w:footnote>
  <w:footnote w:id="93">
    <w:p w14:paraId="69A2C8BE" w14:textId="77777777" w:rsidR="00201F3F" w:rsidRPr="00CD0FEB" w:rsidRDefault="00201F3F" w:rsidP="00CE5492">
      <w:pPr>
        <w:pStyle w:val="14Footnote"/>
      </w:pPr>
      <w:r w:rsidRPr="00CD0FEB">
        <w:rPr>
          <w:vertAlign w:val="superscript"/>
        </w:rPr>
        <w:footnoteRef/>
      </w:r>
      <w:r w:rsidRPr="00CD0FEB">
        <w:t>29 C.F.R. §541.600(c), (d), and (e).</w:t>
      </w:r>
    </w:p>
  </w:footnote>
  <w:footnote w:id="94">
    <w:p w14:paraId="24FBFD7D"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§541.500(c).</w:t>
      </w:r>
    </w:p>
  </w:footnote>
  <w:footnote w:id="95">
    <w:p w14:paraId="72385D6E"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§541.303(d); </w:t>
      </w:r>
      <w:r w:rsidRPr="00CD0FEB">
        <w:rPr>
          <w:i/>
          <w:iCs/>
        </w:rPr>
        <w:t>see also</w:t>
      </w:r>
      <w:r w:rsidRPr="00CD0FEB">
        <w:t xml:space="preserve"> WH Op. FLSA2005-34, 2005 WL 3308605 (Sept. 23, 2005) (“[U]niversity professors who qualify as teachers may be paid any amount and on any basis, and such compensation may be subject to deductions because the employee worked less than a full day.”).</w:t>
      </w:r>
    </w:p>
  </w:footnote>
  <w:footnote w:id="96">
    <w:p w14:paraId="77652790" w14:textId="77777777" w:rsidR="00201F3F" w:rsidRPr="00CD0FEB" w:rsidRDefault="00201F3F" w:rsidP="00CE5492">
      <w:pPr>
        <w:pStyle w:val="14Footnote"/>
      </w:pPr>
      <w:r w:rsidRPr="00CD0FEB">
        <w:rPr>
          <w:vertAlign w:val="superscript"/>
        </w:rPr>
        <w:footnoteRef/>
      </w:r>
      <w:r w:rsidRPr="00CD0FEB">
        <w:t xml:space="preserve">29 C.F.R. §541.304(d); </w:t>
      </w:r>
      <w:r w:rsidRPr="00CD0FEB">
        <w:rPr>
          <w:i/>
          <w:iCs/>
        </w:rPr>
        <w:t>see also</w:t>
      </w:r>
      <w:r w:rsidRPr="00CD0FEB">
        <w:t xml:space="preserve"> WH Op. FLSA2005-16, 2005 WL 2086805 (Apr. 11, 2005) (in-house staff attorneys are not subject to the salary basis requirements).</w:t>
      </w:r>
    </w:p>
  </w:footnote>
  <w:footnote w:id="97">
    <w:p w14:paraId="7EABC103" w14:textId="77777777" w:rsidR="00201F3F" w:rsidRPr="00CD0FEB" w:rsidRDefault="00201F3F" w:rsidP="00CE5492">
      <w:pPr>
        <w:pStyle w:val="14Footnote"/>
      </w:pPr>
      <w:r w:rsidRPr="00CD0FEB">
        <w:rPr>
          <w:vertAlign w:val="superscript"/>
        </w:rPr>
        <w:footnoteRef/>
      </w:r>
      <w:r w:rsidRPr="00CD0FEB">
        <w:t>29 C.F.R. §541.304(b).</w:t>
      </w:r>
    </w:p>
  </w:footnote>
  <w:footnote w:id="98">
    <w:p w14:paraId="1E187A1E" w14:textId="77777777" w:rsidR="00201F3F" w:rsidRPr="00CD0FEB" w:rsidRDefault="00201F3F" w:rsidP="00CE5492">
      <w:pPr>
        <w:pStyle w:val="14Footnote"/>
      </w:pPr>
      <w:r w:rsidRPr="00CD0FEB">
        <w:rPr>
          <w:vertAlign w:val="superscript"/>
        </w:rPr>
        <w:footnoteRef/>
      </w:r>
      <w:r w:rsidRPr="00CD0FEB">
        <w:t>Clark v. United Emergency Animal Clinic, Inc., 390 F.3d 1124, 10 WH Cases2d 241 (9th Cir. 2004).</w:t>
      </w:r>
    </w:p>
  </w:footnote>
  <w:footnote w:id="99">
    <w:p w14:paraId="2C118546" w14:textId="77777777" w:rsidR="00201F3F" w:rsidRPr="00CD0FEB" w:rsidRDefault="00201F3F" w:rsidP="00CE5492">
      <w:pPr>
        <w:pStyle w:val="14Footnote"/>
      </w:pPr>
      <w:r w:rsidRPr="00CD0FEB">
        <w:rPr>
          <w:vertAlign w:val="superscript"/>
        </w:rPr>
        <w:footnoteRef/>
      </w:r>
      <w:r w:rsidRPr="00CD0FEB">
        <w:t xml:space="preserve">Belt v. Emcare, Inc., 444 F.3d 403, 11 WH Cases2d 553 (5th Cir. 2006); </w:t>
      </w:r>
      <w:r w:rsidRPr="00CD0FEB">
        <w:rPr>
          <w:i/>
          <w:iCs/>
        </w:rPr>
        <w:t>accord</w:t>
      </w:r>
      <w:r w:rsidRPr="00CD0FEB">
        <w:t xml:space="preserve"> Cuttic v. Crozer-Chester Med. Ctr., 760 F. Supp. 2d 513, 17 WH Cases2d 403 (E.D. Pa. 2011) (holding that salary basis exception for licensed medical practitioners did not extend to physician assistants).</w:t>
      </w:r>
    </w:p>
  </w:footnote>
  <w:footnote w:id="100">
    <w:p w14:paraId="3732A6FF" w14:textId="77777777" w:rsidR="00201F3F" w:rsidRPr="00CD0FEB" w:rsidRDefault="00201F3F" w:rsidP="00CE5492">
      <w:pPr>
        <w:pStyle w:val="14Footnote"/>
      </w:pPr>
      <w:r w:rsidRPr="00CD0FEB">
        <w:rPr>
          <w:vertAlign w:val="superscript"/>
        </w:rPr>
        <w:footnoteRef/>
      </w:r>
      <w:r w:rsidRPr="00CD0FEB">
        <w:t>29 C.F.R. §541.400(b).</w:t>
      </w:r>
    </w:p>
  </w:footnote>
  <w:footnote w:id="101">
    <w:p w14:paraId="2D3D52F0" w14:textId="77777777" w:rsidR="00201F3F" w:rsidRPr="00CD0FEB" w:rsidRDefault="00201F3F" w:rsidP="00CE5492">
      <w:pPr>
        <w:pStyle w:val="14Footnote"/>
      </w:pPr>
      <w:r w:rsidRPr="00CD0FEB">
        <w:rPr>
          <w:vertAlign w:val="superscript"/>
        </w:rPr>
        <w:footnoteRef/>
      </w:r>
      <w:r w:rsidRPr="00CD0FEB">
        <w:t>1996 Pub. L. No. 104-188, §2105, 110 Stat. 1775, 1929 (1996).</w:t>
      </w:r>
    </w:p>
  </w:footnote>
  <w:footnote w:id="102">
    <w:p w14:paraId="24A393E9" w14:textId="77777777" w:rsidR="00201F3F" w:rsidRPr="00CD0FEB" w:rsidRDefault="00201F3F" w:rsidP="00CE5492">
      <w:pPr>
        <w:pStyle w:val="14Footnote"/>
      </w:pPr>
      <w:r w:rsidRPr="00CD0FEB">
        <w:rPr>
          <w:vertAlign w:val="superscript"/>
        </w:rPr>
        <w:footnoteRef/>
      </w:r>
      <w:r w:rsidRPr="00CD0FEB">
        <w:t xml:space="preserve">29 C.F.R. §541.709. </w:t>
      </w:r>
    </w:p>
  </w:footnote>
  <w:footnote w:id="103">
    <w:p w14:paraId="326E1980"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FLSA2006-46, 2006 WL 3930479 (Dec. 21, 2006) (opining that film location managers satisfied the Section 541.709 salary requirements for motion picture industry employees in effect at the time where they received between $900 and $2,300 per week without variance based on the specific days worked).</w:t>
      </w:r>
    </w:p>
  </w:footnote>
  <w:footnote w:id="104">
    <w:p w14:paraId="44D524C2" w14:textId="77777777" w:rsidR="00201F3F" w:rsidRPr="003E59E1" w:rsidRDefault="00201F3F" w:rsidP="00CE5492">
      <w:pPr>
        <w:pStyle w:val="14Footnote"/>
      </w:pPr>
      <w:r w:rsidRPr="00CD0FEB">
        <w:rPr>
          <w:vertAlign w:val="superscript"/>
        </w:rPr>
        <w:footnoteRef/>
      </w:r>
      <w:r w:rsidRPr="003E59E1">
        <w:t>29 C.F.R. §§541.100(a)(2), 541.200(a)(2), 541.300(a)(2).</w:t>
      </w:r>
    </w:p>
  </w:footnote>
  <w:footnote w:id="105">
    <w:p w14:paraId="3FEFF779" w14:textId="77777777" w:rsidR="00201F3F" w:rsidRPr="003E59E1" w:rsidRDefault="00201F3F" w:rsidP="00CE5492">
      <w:pPr>
        <w:pStyle w:val="14Footnote"/>
      </w:pPr>
      <w:r w:rsidRPr="00CD0FEB">
        <w:rPr>
          <w:vertAlign w:val="superscript"/>
        </w:rPr>
        <w:footnoteRef/>
      </w:r>
      <w:r w:rsidRPr="003E59E1">
        <w:rPr>
          <w:i/>
          <w:iCs/>
        </w:rPr>
        <w:t>Id</w:t>
      </w:r>
      <w:r w:rsidRPr="003E59E1">
        <w:t xml:space="preserve">. §541.700(a). </w:t>
      </w:r>
    </w:p>
  </w:footnote>
  <w:footnote w:id="106">
    <w:p w14:paraId="73F5C45B" w14:textId="77777777" w:rsidR="00201F3F" w:rsidRPr="003E59E1" w:rsidRDefault="00201F3F" w:rsidP="00CE5492">
      <w:pPr>
        <w:pStyle w:val="14Footnote"/>
      </w:pPr>
      <w:r w:rsidRPr="00CD0FEB">
        <w:rPr>
          <w:vertAlign w:val="superscript"/>
        </w:rPr>
        <w:footnoteRef/>
      </w:r>
      <w:r w:rsidRPr="003E59E1">
        <w:rPr>
          <w:i/>
          <w:iCs/>
        </w:rPr>
        <w:t>Id</w:t>
      </w:r>
      <w:r w:rsidRPr="003E59E1">
        <w:t>.</w:t>
      </w:r>
    </w:p>
  </w:footnote>
  <w:footnote w:id="107">
    <w:p w14:paraId="367ACA60"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08">
    <w:p w14:paraId="1FB28D55"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§541.700(b). </w:t>
      </w:r>
      <w:r w:rsidRPr="00CD0FEB">
        <w:rPr>
          <w:i/>
          <w:iCs/>
        </w:rPr>
        <w:t>See</w:t>
      </w:r>
      <w:r w:rsidRPr="00CD0FEB">
        <w:t xml:space="preserve"> Sydney v. Time Warner Entm’t-Advance/Newhouse P’ship, 751 F. App’x 90, 94–95 (2d Cir. 2018) (reversing grant of summary judgment to employer based, in part, on evidence that employee spent more time performing nonexempt installation work than he did exempt sales work).</w:t>
      </w:r>
    </w:p>
  </w:footnote>
  <w:footnote w:id="109">
    <w:p w14:paraId="1FE4C228" w14:textId="77777777" w:rsidR="00201F3F" w:rsidRPr="00CD0FEB" w:rsidRDefault="00201F3F" w:rsidP="00CE5492">
      <w:pPr>
        <w:pStyle w:val="14Footnote"/>
      </w:pPr>
      <w:r w:rsidRPr="00CD0FEB">
        <w:rPr>
          <w:vertAlign w:val="superscript"/>
        </w:rPr>
        <w:footnoteRef/>
      </w:r>
      <w:r w:rsidRPr="00CD0FEB">
        <w:t>29 C.F.R. §541.700(b).</w:t>
      </w:r>
    </w:p>
  </w:footnote>
  <w:footnote w:id="110">
    <w:p w14:paraId="25F94EED"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11">
    <w:p w14:paraId="68559E21"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See §V [The Executive Exemption] of this chapter for a thorough discussion of time spent on management duties. </w:t>
      </w:r>
      <w:r w:rsidRPr="00CD0FEB">
        <w:rPr>
          <w:i/>
          <w:iCs/>
        </w:rPr>
        <w:t>See also</w:t>
      </w:r>
      <w:r w:rsidRPr="00CD0FEB">
        <w:t xml:space="preserve"> 29 C.F.R. §541.700(c) for an example of time spent by an assistant manager in a retail establishment.</w:t>
      </w:r>
    </w:p>
  </w:footnote>
  <w:footnote w:id="112">
    <w:p w14:paraId="37A0557E" w14:textId="77777777" w:rsidR="00201F3F" w:rsidRPr="00CD0FEB" w:rsidRDefault="00201F3F" w:rsidP="00CE5492">
      <w:pPr>
        <w:pStyle w:val="14Footnote"/>
      </w:pPr>
      <w:r w:rsidRPr="00CD0FEB">
        <w:rPr>
          <w:vertAlign w:val="superscript"/>
        </w:rPr>
        <w:footnoteRef/>
      </w:r>
      <w:r w:rsidRPr="00CD0FEB">
        <w:t>317 F.3d 453 (4th Cir. 2003).</w:t>
      </w:r>
    </w:p>
  </w:footnote>
  <w:footnote w:id="113">
    <w:p w14:paraId="1CFCA621" w14:textId="77777777" w:rsidR="00201F3F" w:rsidRPr="00CD0FEB" w:rsidRDefault="00201F3F" w:rsidP="00CE5492">
      <w:pPr>
        <w:pStyle w:val="14Footnote"/>
      </w:pPr>
      <w:r w:rsidRPr="00CD0FEB">
        <w:rPr>
          <w:vertAlign w:val="superscript"/>
        </w:rPr>
        <w:footnoteRef/>
      </w:r>
      <w:r w:rsidRPr="00CD0FEB">
        <w:t>69 Fed. Reg. 22,121, 22,186 (Apr. 23, 2004).</w:t>
      </w:r>
    </w:p>
  </w:footnote>
  <w:footnote w:id="114">
    <w:p w14:paraId="237E1449" w14:textId="77777777" w:rsidR="00201F3F" w:rsidRPr="00CD0FEB" w:rsidRDefault="00201F3F" w:rsidP="00CE5492">
      <w:pPr>
        <w:pStyle w:val="14Footnote"/>
      </w:pPr>
      <w:r w:rsidRPr="00CD0FEB">
        <w:rPr>
          <w:vertAlign w:val="superscript"/>
        </w:rPr>
        <w:footnoteRef/>
      </w:r>
      <w:r w:rsidRPr="00CD0FEB">
        <w:rPr>
          <w:i/>
          <w:iCs/>
        </w:rPr>
        <w:t>Counts</w:t>
      </w:r>
      <w:r w:rsidRPr="00CD0FEB">
        <w:t>, 317 F.3d at 456.</w:t>
      </w:r>
    </w:p>
  </w:footnote>
  <w:footnote w:id="115">
    <w:p w14:paraId="36DCF542" w14:textId="77777777" w:rsidR="00201F3F" w:rsidRPr="00CD0FEB" w:rsidRDefault="00201F3F" w:rsidP="00CE5492">
      <w:pPr>
        <w:pStyle w:val="14Footnote"/>
      </w:pPr>
      <w:r w:rsidRPr="00CD0FEB">
        <w:rPr>
          <w:vertAlign w:val="superscript"/>
        </w:rPr>
        <w:footnoteRef/>
      </w:r>
      <w:r w:rsidRPr="00CD0FEB">
        <w:t xml:space="preserve">69 Fed. Reg. at 22,186 (quoting </w:t>
      </w:r>
      <w:r w:rsidRPr="00CD0FEB">
        <w:rPr>
          <w:i/>
          <w:iCs/>
        </w:rPr>
        <w:t>Counts</w:t>
      </w:r>
      <w:r w:rsidRPr="00CD0FEB">
        <w:t xml:space="preserve">, 317 F.3d at 456). </w:t>
      </w:r>
    </w:p>
  </w:footnote>
  <w:footnote w:id="116">
    <w:p w14:paraId="55B9BC6B" w14:textId="77777777" w:rsidR="00201F3F" w:rsidRPr="00CD0FEB" w:rsidRDefault="00201F3F" w:rsidP="00CE5492">
      <w:pPr>
        <w:pStyle w:val="14Footnote"/>
      </w:pPr>
      <w:r w:rsidRPr="00CD0FEB">
        <w:rPr>
          <w:vertAlign w:val="superscript"/>
        </w:rPr>
        <w:footnoteRef/>
      </w:r>
      <w:r w:rsidRPr="00CD0FEB">
        <w:t xml:space="preserve">Smith v. City of Jackson, 954 F.2d 296, 299, 30 WH Cases 1257 (5th Cir. 1992) (concluding waiting time takes on character of activities for which waiting was undertaken); Paul v. Petroleum Equip. Tools Co., 708 F.2d 168, 174–75, 26 WH Cases 390 (5th Cir. 1983) (holding pilot’s waiting time takes on character of activities for which waiting was undertaken); </w:t>
      </w:r>
      <w:r w:rsidRPr="00CD0FEB">
        <w:rPr>
          <w:i/>
          <w:iCs/>
        </w:rPr>
        <w:t>see also</w:t>
      </w:r>
      <w:r w:rsidRPr="00CD0FEB">
        <w:t xml:space="preserve"> Reich v. Avoca Motel Corp., 82 F.3d 238, 239, 3 WH Cases2d 457 (8th Cir. 1996) (classifying as exempt waiting time spent by motel managers beyond scheduled working hours and during which they, although engaged in personal pursuits, were on motel premises and on call to tend to motel business and handle management-type concerns).</w:t>
      </w:r>
    </w:p>
  </w:footnote>
  <w:footnote w:id="117">
    <w:p w14:paraId="517E2DBC" w14:textId="77777777" w:rsidR="00201F3F" w:rsidRPr="00CD0FEB" w:rsidRDefault="00201F3F" w:rsidP="00CE5492">
      <w:pPr>
        <w:pStyle w:val="14Footnote"/>
      </w:pPr>
      <w:r w:rsidRPr="00CD0FEB">
        <w:rPr>
          <w:vertAlign w:val="superscript"/>
        </w:rPr>
        <w:footnoteRef/>
      </w:r>
      <w:r w:rsidRPr="00CD0FEB">
        <w:t>Donovan v. Waffle House, 26 WH Cases 868, 870 (N.D. Ga. 1983) (excluding manager’s idle time from determination of amount of time spent in exempt and nonexempt work).</w:t>
      </w:r>
    </w:p>
  </w:footnote>
  <w:footnote w:id="118">
    <w:p w14:paraId="70AD6F78" w14:textId="77777777" w:rsidR="00201F3F" w:rsidRPr="00CD0FEB" w:rsidRDefault="00201F3F" w:rsidP="00CE5492">
      <w:pPr>
        <w:pStyle w:val="14Footnote"/>
      </w:pPr>
      <w:r w:rsidRPr="00CD0FEB">
        <w:rPr>
          <w:vertAlign w:val="superscript"/>
        </w:rPr>
        <w:footnoteRef/>
      </w:r>
      <w:r w:rsidRPr="00CD0FEB">
        <w:t>Donovan v. United Video, 725 F.2d 577, 581–82, 26 WH Cases 938 (10th Cir. 1984) (considering travel time nonexempt in nature where employee’s primary duty is nonexempt, manual maintenance work).</w:t>
      </w:r>
    </w:p>
  </w:footnote>
  <w:footnote w:id="119">
    <w:p w14:paraId="489A3732" w14:textId="77777777" w:rsidR="00201F3F" w:rsidRPr="00CD0FEB" w:rsidRDefault="00201F3F" w:rsidP="00CE5492">
      <w:pPr>
        <w:pStyle w:val="14Footnote"/>
      </w:pPr>
      <w:r w:rsidRPr="00CD0FEB">
        <w:rPr>
          <w:vertAlign w:val="superscript"/>
        </w:rPr>
        <w:footnoteRef/>
      </w:r>
      <w:r w:rsidRPr="00CD0FEB">
        <w:t>29 C.F.R. §541.703(a).</w:t>
      </w:r>
    </w:p>
  </w:footnote>
  <w:footnote w:id="120">
    <w:p w14:paraId="5F444284"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Demos v. City of Indianapolis, 302 F.3d 698, 8 WH Cases2d 16 (7th Cir. 2002) (affirming summary judgment for employer that facilities maintenance supervisor was exempt even though he performed an increasingly large amount of clerical work due to staffing reductions, in part because the clerical work was directly related to management and supervision of employees).</w:t>
      </w:r>
    </w:p>
  </w:footnote>
  <w:footnote w:id="121">
    <w:p w14:paraId="58B8BB7C" w14:textId="77777777" w:rsidR="00201F3F" w:rsidRPr="00CD0FEB" w:rsidRDefault="00201F3F" w:rsidP="00CE5492">
      <w:pPr>
        <w:pStyle w:val="14Footnote"/>
      </w:pPr>
      <w:r w:rsidRPr="00CD0FEB">
        <w:rPr>
          <w:vertAlign w:val="superscript"/>
        </w:rPr>
        <w:footnoteRef/>
      </w:r>
      <w:r w:rsidRPr="00CD0FEB">
        <w:t>29 C.F.R. §541.703(a).</w:t>
      </w:r>
    </w:p>
  </w:footnote>
  <w:footnote w:id="122">
    <w:p w14:paraId="41FD75B7"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23">
    <w:p w14:paraId="3399B60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24">
    <w:p w14:paraId="2AE86456" w14:textId="77777777" w:rsidR="00201F3F" w:rsidRPr="00CD0FEB" w:rsidRDefault="00201F3F" w:rsidP="00CE5492">
      <w:pPr>
        <w:pStyle w:val="14Footnote"/>
      </w:pPr>
      <w:r w:rsidRPr="00CD0FEB">
        <w:rPr>
          <w:vertAlign w:val="superscript"/>
        </w:rPr>
        <w:footnoteRef/>
      </w:r>
      <w:r w:rsidRPr="00CD0FEB">
        <w:rPr>
          <w:i/>
          <w:iCs/>
        </w:rPr>
        <w:t>Id</w:t>
      </w:r>
      <w:r w:rsidRPr="00CD0FEB">
        <w:t>. §541.703(b)(1).</w:t>
      </w:r>
    </w:p>
  </w:footnote>
  <w:footnote w:id="125">
    <w:p w14:paraId="305E0984" w14:textId="77777777" w:rsidR="00201F3F" w:rsidRPr="00CD0FEB" w:rsidRDefault="00201F3F" w:rsidP="00CE5492">
      <w:pPr>
        <w:pStyle w:val="14Footnote"/>
      </w:pPr>
      <w:r w:rsidRPr="00CD0FEB">
        <w:rPr>
          <w:vertAlign w:val="superscript"/>
        </w:rPr>
        <w:footnoteRef/>
      </w:r>
      <w:r w:rsidRPr="00CD0FEB">
        <w:rPr>
          <w:i/>
          <w:iCs/>
        </w:rPr>
        <w:t>Id</w:t>
      </w:r>
      <w:r w:rsidRPr="00CD0FEB">
        <w:t>. §541.703(b)(2).</w:t>
      </w:r>
    </w:p>
  </w:footnote>
  <w:footnote w:id="126">
    <w:p w14:paraId="229FD15D"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§541.703(b)(3).</w:t>
      </w:r>
    </w:p>
  </w:footnote>
  <w:footnote w:id="127">
    <w:p w14:paraId="682FB067" w14:textId="77777777" w:rsidR="00201F3F" w:rsidRPr="00CD0FEB" w:rsidRDefault="00201F3F" w:rsidP="00CE5492">
      <w:pPr>
        <w:pStyle w:val="14Footnote"/>
      </w:pPr>
      <w:r w:rsidRPr="00CD0FEB">
        <w:rPr>
          <w:vertAlign w:val="superscript"/>
        </w:rPr>
        <w:footnoteRef/>
      </w:r>
      <w:r w:rsidRPr="00CD0FEB">
        <w:t>29 C.F.R. §541.703(b)(4).</w:t>
      </w:r>
    </w:p>
  </w:footnote>
  <w:footnote w:id="128">
    <w:p w14:paraId="088F5489" w14:textId="77777777" w:rsidR="00201F3F" w:rsidRPr="00CD0FEB" w:rsidRDefault="00201F3F" w:rsidP="00CE5492">
      <w:pPr>
        <w:pStyle w:val="14Footnote"/>
      </w:pPr>
      <w:r w:rsidRPr="00CD0FEB">
        <w:rPr>
          <w:vertAlign w:val="superscript"/>
        </w:rPr>
        <w:footnoteRef/>
      </w:r>
      <w:r w:rsidRPr="00CD0FEB">
        <w:rPr>
          <w:i/>
          <w:iCs/>
        </w:rPr>
        <w:t>Id</w:t>
      </w:r>
      <w:r w:rsidRPr="00CD0FEB">
        <w:t>. §541.703(b)(5).</w:t>
      </w:r>
    </w:p>
  </w:footnote>
  <w:footnote w:id="129">
    <w:p w14:paraId="7DAABB92" w14:textId="77777777" w:rsidR="00201F3F" w:rsidRPr="00CD0FEB" w:rsidRDefault="00201F3F" w:rsidP="00CE5492">
      <w:pPr>
        <w:pStyle w:val="14Footnote"/>
      </w:pPr>
      <w:r w:rsidRPr="00CD0FEB">
        <w:rPr>
          <w:vertAlign w:val="superscript"/>
        </w:rPr>
        <w:footnoteRef/>
      </w:r>
      <w:r w:rsidRPr="00CD0FEB">
        <w:rPr>
          <w:i/>
          <w:iCs/>
        </w:rPr>
        <w:t>Id</w:t>
      </w:r>
      <w:r w:rsidRPr="00CD0FEB">
        <w:t>. §541.703(b)(6).</w:t>
      </w:r>
    </w:p>
  </w:footnote>
  <w:footnote w:id="130">
    <w:p w14:paraId="19EACBE6" w14:textId="77777777" w:rsidR="00201F3F" w:rsidRPr="00CD0FEB" w:rsidRDefault="00201F3F" w:rsidP="00CE5492">
      <w:pPr>
        <w:pStyle w:val="14Footnote"/>
      </w:pPr>
      <w:r w:rsidRPr="00CD0FEB">
        <w:rPr>
          <w:vertAlign w:val="superscript"/>
        </w:rPr>
        <w:footnoteRef/>
      </w:r>
      <w:r w:rsidRPr="00CD0FEB">
        <w:rPr>
          <w:i/>
          <w:iCs/>
        </w:rPr>
        <w:t>Id</w:t>
      </w:r>
      <w:r w:rsidRPr="00CD0FEB">
        <w:t>. §541.703(b)(7).</w:t>
      </w:r>
    </w:p>
  </w:footnote>
  <w:footnote w:id="131">
    <w:p w14:paraId="5F9CF3C5"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§541.703(b)(8).</w:t>
      </w:r>
    </w:p>
  </w:footnote>
  <w:footnote w:id="132">
    <w:p w14:paraId="2340B5C5" w14:textId="77777777" w:rsidR="00201F3F" w:rsidRPr="00CD0FEB" w:rsidRDefault="00201F3F" w:rsidP="00CE5492">
      <w:pPr>
        <w:pStyle w:val="14Footnote"/>
      </w:pPr>
      <w:r w:rsidRPr="00CD0FEB">
        <w:rPr>
          <w:vertAlign w:val="superscript"/>
        </w:rPr>
        <w:footnoteRef/>
      </w:r>
      <w:r w:rsidRPr="00CD0FEB">
        <w:rPr>
          <w:i/>
          <w:iCs/>
        </w:rPr>
        <w:t>Id</w:t>
      </w:r>
      <w:r w:rsidRPr="00CD0FEB">
        <w:t>. §541.703(b)(9).</w:t>
      </w:r>
    </w:p>
  </w:footnote>
  <w:footnote w:id="133">
    <w:p w14:paraId="0489FAF2" w14:textId="77777777" w:rsidR="00201F3F" w:rsidRPr="00CD0FEB" w:rsidRDefault="00201F3F" w:rsidP="00CE5492">
      <w:pPr>
        <w:pStyle w:val="14Footnote"/>
      </w:pPr>
      <w:r w:rsidRPr="00CD0FEB">
        <w:rPr>
          <w:vertAlign w:val="superscript"/>
        </w:rPr>
        <w:footnoteRef/>
      </w:r>
      <w:r w:rsidRPr="00CD0FEB">
        <w:t>29 C.F.R. §541.703(b)(10).</w:t>
      </w:r>
    </w:p>
  </w:footnote>
  <w:footnote w:id="134">
    <w:p w14:paraId="3C6CC81E" w14:textId="77777777" w:rsidR="00201F3F" w:rsidRPr="00CD0FEB" w:rsidRDefault="00201F3F" w:rsidP="00CE5492">
      <w:pPr>
        <w:pStyle w:val="14Footnote"/>
      </w:pPr>
      <w:r w:rsidRPr="00CD0FEB">
        <w:rPr>
          <w:vertAlign w:val="superscript"/>
        </w:rPr>
        <w:footnoteRef/>
      </w:r>
      <w:r w:rsidRPr="00CD0FEB">
        <w:rPr>
          <w:i/>
          <w:iCs/>
        </w:rPr>
        <w:t>Id</w:t>
      </w:r>
      <w:r w:rsidRPr="00CD0FEB">
        <w:t>. §541.706(a).</w:t>
      </w:r>
    </w:p>
  </w:footnote>
  <w:footnote w:id="135">
    <w:p w14:paraId="3445F533" w14:textId="77777777" w:rsidR="00201F3F" w:rsidRPr="00CD0FEB" w:rsidRDefault="00201F3F" w:rsidP="00CE5492">
      <w:pPr>
        <w:pStyle w:val="14Footnote"/>
      </w:pPr>
      <w:r w:rsidRPr="00CD0FEB">
        <w:rPr>
          <w:vertAlign w:val="superscript"/>
        </w:rPr>
        <w:footnoteRef/>
      </w:r>
      <w:r w:rsidRPr="00CD0FEB">
        <w:rPr>
          <w:i/>
          <w:iCs/>
        </w:rPr>
        <w:t>Id</w:t>
      </w:r>
      <w:r w:rsidRPr="00CD0FEB">
        <w:t>. §541.706(c)(1).</w:t>
      </w:r>
    </w:p>
  </w:footnote>
  <w:footnote w:id="136">
    <w:p w14:paraId="7ADC783F" w14:textId="77777777" w:rsidR="00201F3F" w:rsidRPr="00CD0FEB" w:rsidRDefault="00201F3F" w:rsidP="00CE5492">
      <w:pPr>
        <w:pStyle w:val="14Footnote"/>
      </w:pPr>
      <w:r w:rsidRPr="00CD0FEB">
        <w:rPr>
          <w:vertAlign w:val="superscript"/>
        </w:rPr>
        <w:footnoteRef/>
      </w:r>
      <w:r w:rsidRPr="00CD0FEB">
        <w:rPr>
          <w:i/>
          <w:iCs/>
        </w:rPr>
        <w:t>Id</w:t>
      </w:r>
      <w:r w:rsidRPr="00CD0FEB">
        <w:t>. §541.706(c)(2).</w:t>
      </w:r>
    </w:p>
  </w:footnote>
  <w:footnote w:id="137">
    <w:p w14:paraId="76FDF71A"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§541.706(c)(3).</w:t>
      </w:r>
    </w:p>
  </w:footnote>
  <w:footnote w:id="138">
    <w:p w14:paraId="07FDA825" w14:textId="77777777" w:rsidR="00201F3F" w:rsidRPr="00CD0FEB" w:rsidRDefault="00201F3F" w:rsidP="00CE5492">
      <w:pPr>
        <w:pStyle w:val="14Footnote"/>
      </w:pPr>
      <w:r w:rsidRPr="00CD0FEB">
        <w:rPr>
          <w:vertAlign w:val="superscript"/>
        </w:rPr>
        <w:footnoteRef/>
      </w:r>
      <w:r w:rsidRPr="00CD0FEB">
        <w:rPr>
          <w:i/>
          <w:iCs/>
        </w:rPr>
        <w:t>Id</w:t>
      </w:r>
      <w:r w:rsidRPr="00CD0FEB">
        <w:t>. §541.706(b).</w:t>
      </w:r>
    </w:p>
  </w:footnote>
  <w:footnote w:id="139">
    <w:p w14:paraId="2928451F" w14:textId="77777777" w:rsidR="00201F3F" w:rsidRPr="00CD0FEB" w:rsidRDefault="00201F3F" w:rsidP="00CE5492">
      <w:pPr>
        <w:pStyle w:val="14Footnote"/>
      </w:pPr>
      <w:r w:rsidRPr="00CD0FEB">
        <w:rPr>
          <w:vertAlign w:val="superscript"/>
        </w:rPr>
        <w:footnoteRef/>
      </w:r>
      <w:r w:rsidRPr="00CD0FEB">
        <w:t>29 C.F.R. §541.706(c)(4).</w:t>
      </w:r>
    </w:p>
  </w:footnote>
  <w:footnote w:id="140">
    <w:p w14:paraId="08F07A27" w14:textId="77777777" w:rsidR="00201F3F" w:rsidRPr="00CD0FEB" w:rsidRDefault="00201F3F" w:rsidP="00CE5492">
      <w:pPr>
        <w:pStyle w:val="14Footnote"/>
      </w:pPr>
      <w:r w:rsidRPr="00CD0FEB">
        <w:rPr>
          <w:vertAlign w:val="superscript"/>
        </w:rPr>
        <w:footnoteRef/>
      </w:r>
      <w:r w:rsidRPr="00CD0FEB">
        <w:rPr>
          <w:i/>
          <w:iCs/>
        </w:rPr>
        <w:t>Id</w:t>
      </w:r>
      <w:r w:rsidRPr="00CD0FEB">
        <w:t>. §541.707.</w:t>
      </w:r>
    </w:p>
  </w:footnote>
  <w:footnote w:id="141">
    <w:p w14:paraId="0C8ACD0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42">
    <w:p w14:paraId="43E7B153" w14:textId="77777777" w:rsidR="00201F3F" w:rsidRPr="00CD0FEB" w:rsidRDefault="00201F3F" w:rsidP="00CE5492">
      <w:pPr>
        <w:pStyle w:val="14Footnote"/>
      </w:pPr>
      <w:r w:rsidRPr="00CD0FEB">
        <w:rPr>
          <w:vertAlign w:val="superscript"/>
        </w:rPr>
        <w:footnoteRef/>
      </w:r>
      <w:r w:rsidRPr="00CD0FEB">
        <w:rPr>
          <w:i/>
          <w:iCs/>
        </w:rPr>
        <w:t>Id</w:t>
      </w:r>
      <w:r w:rsidRPr="00CD0FEB">
        <w:t>. §541.708.</w:t>
      </w:r>
    </w:p>
  </w:footnote>
  <w:footnote w:id="143">
    <w:p w14:paraId="2A8A90B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44">
    <w:p w14:paraId="20DDEAD0"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Perry v. Randstad General Partner (US) LLC, 2018 WL 2363979 (E.D. Mich. May 24, 2018) (finding that because the combination of sales work and administrative work exceeded 50% of plaintiffs’ time, they met the combination exemption).</w:t>
      </w:r>
    </w:p>
  </w:footnote>
  <w:footnote w:id="145">
    <w:p w14:paraId="7C85E17C" w14:textId="77777777" w:rsidR="00201F3F" w:rsidRPr="00CD0FEB" w:rsidRDefault="00201F3F" w:rsidP="00CE5492">
      <w:pPr>
        <w:pStyle w:val="14Footnote"/>
      </w:pPr>
      <w:r w:rsidRPr="00CD0FEB">
        <w:rPr>
          <w:vertAlign w:val="superscript"/>
        </w:rPr>
        <w:footnoteRef/>
      </w:r>
      <w:r w:rsidRPr="00CD0FEB">
        <w:t>599 F.3d 626, 15 WH Cases2d 1776 (7th Cir. 2010).</w:t>
      </w:r>
    </w:p>
  </w:footnote>
  <w:footnote w:id="146">
    <w:p w14:paraId="37284D88" w14:textId="77777777" w:rsidR="00201F3F" w:rsidRPr="00CD0FEB" w:rsidRDefault="00201F3F" w:rsidP="00CE5492">
      <w:pPr>
        <w:pStyle w:val="14Footnote"/>
      </w:pPr>
      <w:r w:rsidRPr="00CD0FEB">
        <w:rPr>
          <w:vertAlign w:val="superscript"/>
        </w:rPr>
        <w:footnoteRef/>
      </w:r>
      <w:r w:rsidRPr="00CD0FEB">
        <w:rPr>
          <w:i/>
          <w:iCs/>
        </w:rPr>
        <w:t>Id</w:t>
      </w:r>
      <w:r w:rsidRPr="00CD0FEB">
        <w:t>. at 632.</w:t>
      </w:r>
    </w:p>
  </w:footnote>
  <w:footnote w:id="147">
    <w:p w14:paraId="20331B12"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48">
    <w:p w14:paraId="63A25203" w14:textId="77777777" w:rsidR="00201F3F" w:rsidRPr="00CD0FEB" w:rsidRDefault="00201F3F" w:rsidP="00CE5492">
      <w:pPr>
        <w:pStyle w:val="14Footnote"/>
      </w:pPr>
      <w:r w:rsidRPr="00CD0FEB">
        <w:rPr>
          <w:vertAlign w:val="superscript"/>
        </w:rPr>
        <w:footnoteRef/>
      </w:r>
      <w:r w:rsidRPr="00CD0FEB">
        <w:rPr>
          <w:i/>
          <w:iCs/>
        </w:rPr>
        <w:t>See</w:t>
      </w:r>
      <w:r w:rsidRPr="00CD0FEB">
        <w:t xml:space="preserve"> 29 C.F.R. §541.500(c).</w:t>
      </w:r>
    </w:p>
  </w:footnote>
  <w:footnote w:id="149">
    <w:p w14:paraId="65311A13" w14:textId="77777777" w:rsidR="00201F3F" w:rsidRPr="00CD0FEB" w:rsidRDefault="00201F3F" w:rsidP="00CE5492">
      <w:pPr>
        <w:pStyle w:val="14Footnote"/>
      </w:pPr>
      <w:r w:rsidRPr="00CD0FEB">
        <w:rPr>
          <w:vertAlign w:val="superscript"/>
        </w:rPr>
        <w:footnoteRef/>
      </w:r>
      <w:r w:rsidRPr="00CD0FEB">
        <w:t>492 F.3d 285, 12 WH Cases2d 1228 (4th Cir. 2007).</w:t>
      </w:r>
    </w:p>
  </w:footnote>
  <w:footnote w:id="150">
    <w:p w14:paraId="27C234B4" w14:textId="77777777" w:rsidR="00201F3F" w:rsidRPr="00CD0FEB" w:rsidRDefault="00201F3F" w:rsidP="00CE5492">
      <w:pPr>
        <w:pStyle w:val="14Footnote"/>
      </w:pPr>
      <w:r w:rsidRPr="00CD0FEB">
        <w:rPr>
          <w:vertAlign w:val="superscript"/>
        </w:rPr>
        <w:footnoteRef/>
      </w:r>
      <w:r w:rsidRPr="00CD0FEB">
        <w:t>492 F.3d at 294 (citing Brief for Sec’y of Labor as Amicus Curiae at 4–5).</w:t>
      </w:r>
    </w:p>
  </w:footnote>
  <w:footnote w:id="151">
    <w:p w14:paraId="606CA326"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152">
    <w:p w14:paraId="42BBC6C4" w14:textId="77777777" w:rsidR="00201F3F" w:rsidRPr="00CD0FEB" w:rsidRDefault="00201F3F" w:rsidP="00CE5492">
      <w:pPr>
        <w:pStyle w:val="14Footnote"/>
      </w:pPr>
      <w:r w:rsidRPr="00CD0FEB">
        <w:rPr>
          <w:vertAlign w:val="superscript"/>
        </w:rPr>
        <w:footnoteRef/>
      </w:r>
      <w:r w:rsidRPr="00CD0FEB">
        <w:t>519 U.S. 452, 461 (1997) (stating that Secretary’s interpretation of DOL regulations is “controlling unless plainly erroneous or inconsistent with the regulation” (internal quotations omitted)).</w:t>
      </w:r>
    </w:p>
  </w:footnote>
  <w:footnote w:id="153">
    <w:p w14:paraId="38C51E80" w14:textId="77777777" w:rsidR="00201F3F" w:rsidRPr="00CD0FEB" w:rsidRDefault="00201F3F" w:rsidP="00CE5492">
      <w:pPr>
        <w:pStyle w:val="14Footnote"/>
      </w:pPr>
      <w:r w:rsidRPr="00CD0FEB">
        <w:rPr>
          <w:vertAlign w:val="superscript"/>
        </w:rPr>
        <w:footnoteRef/>
      </w:r>
      <w:r w:rsidRPr="00CD0FEB">
        <w:rPr>
          <w:i/>
          <w:iCs/>
        </w:rPr>
        <w:t>IntraComm</w:t>
      </w:r>
      <w:r w:rsidRPr="00CD0FEB">
        <w:t>, 492 F.3d at 294.</w:t>
      </w:r>
    </w:p>
  </w:footnote>
  <w:footnote w:id="154">
    <w:p w14:paraId="7D2FF168" w14:textId="77777777" w:rsidR="00201F3F" w:rsidRPr="00CD0FEB" w:rsidRDefault="00201F3F" w:rsidP="00CE5492">
      <w:pPr>
        <w:pStyle w:val="14Footnote"/>
      </w:pPr>
      <w:r w:rsidRPr="00CD0FEB">
        <w:rPr>
          <w:vertAlign w:val="superscript"/>
        </w:rPr>
        <w:footnoteRef/>
      </w:r>
      <w:r w:rsidRPr="00CD0FEB">
        <w:t>29 C.F.R. §541.2.</w:t>
      </w:r>
    </w:p>
  </w:footnote>
  <w:footnote w:id="155">
    <w:p w14:paraId="334D2BFA"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§541.705; </w:t>
      </w:r>
      <w:r w:rsidRPr="00CD0FEB">
        <w:rPr>
          <w:i/>
          <w:iCs/>
        </w:rPr>
        <w:t>see also</w:t>
      </w:r>
      <w:r w:rsidRPr="00CD0FEB">
        <w:t xml:space="preserve"> Dole v. Papa Gino’s of Am., 712 F. Supp. 1038, 1042, 29 WH Cases 829 (D. Mass. 1989) (concluding entry-level associate managers not exempt while being trained before assumption of supervisory responsibilities).</w:t>
      </w:r>
    </w:p>
  </w:footnote>
  <w:footnote w:id="156">
    <w:p w14:paraId="329CDFC7" w14:textId="77777777" w:rsidR="00201F3F" w:rsidRPr="00CD0FEB" w:rsidRDefault="00201F3F" w:rsidP="00CE5492">
      <w:pPr>
        <w:pStyle w:val="14Footnote"/>
      </w:pPr>
      <w:r w:rsidRPr="00CD0FEB">
        <w:rPr>
          <w:vertAlign w:val="superscript"/>
        </w:rPr>
        <w:footnoteRef/>
      </w:r>
      <w:r w:rsidRPr="00CD0FEB">
        <w:t>WH Op. FLSA2008-19, at 1, 2008 WL 5483059 (Dec. 19, 2008).</w:t>
      </w:r>
    </w:p>
  </w:footnote>
  <w:footnote w:id="157">
    <w:p w14:paraId="4741937C"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at 2.</w:t>
      </w:r>
    </w:p>
  </w:footnote>
  <w:footnote w:id="158">
    <w:p w14:paraId="39C3CCBF" w14:textId="77777777" w:rsidR="00201F3F" w:rsidRPr="00CD0FEB" w:rsidRDefault="00201F3F" w:rsidP="00CE5492">
      <w:pPr>
        <w:pStyle w:val="14Footnote"/>
      </w:pPr>
      <w:r w:rsidRPr="00CD0FEB">
        <w:rPr>
          <w:vertAlign w:val="superscript"/>
        </w:rPr>
        <w:footnoteRef/>
      </w:r>
      <w:r w:rsidRPr="00CD0FEB">
        <w:rPr>
          <w:i/>
          <w:iCs/>
        </w:rPr>
        <w:t>Id.</w:t>
      </w:r>
    </w:p>
  </w:footnote>
  <w:footnote w:id="159">
    <w:p w14:paraId="279286EB" w14:textId="77777777" w:rsidR="00201F3F" w:rsidRPr="00CD0FEB" w:rsidRDefault="00201F3F" w:rsidP="00CE5492">
      <w:pPr>
        <w:pStyle w:val="14Footnote"/>
      </w:pPr>
      <w:r w:rsidRPr="00CD0FEB">
        <w:rPr>
          <w:vertAlign w:val="superscript"/>
        </w:rPr>
        <w:footnoteRef/>
      </w:r>
      <w:r w:rsidRPr="00CD0FEB">
        <w:rPr>
          <w:i/>
          <w:iCs/>
        </w:rPr>
        <w:t>Id</w:t>
      </w:r>
      <w:r w:rsidRPr="00CD0FEB">
        <w:t>. at 1.</w:t>
      </w:r>
    </w:p>
  </w:footnote>
  <w:footnote w:id="160">
    <w:p w14:paraId="3B4E9C72" w14:textId="77777777" w:rsidR="00201F3F" w:rsidRPr="00CD0FEB" w:rsidRDefault="00201F3F" w:rsidP="00CE5492">
      <w:pPr>
        <w:pStyle w:val="14Footnote"/>
      </w:pPr>
      <w:r w:rsidRPr="00CD0FEB">
        <w:rPr>
          <w:vertAlign w:val="superscript"/>
        </w:rPr>
        <w:footnoteRef/>
      </w:r>
      <w:r w:rsidRPr="00CD0FEB">
        <w:t xml:space="preserve">In 1996, the U.S. Supreme Court asked the DOL to file an amicus curiae brief in </w:t>
      </w:r>
      <w:r w:rsidRPr="00CD0FEB">
        <w:rPr>
          <w:i/>
          <w:iCs/>
        </w:rPr>
        <w:t>Auer v. Robbins</w:t>
      </w:r>
      <w:r w:rsidRPr="00CD0FEB">
        <w:t>, 519 U.S. 452, 3 WH Cases2d 1249 (1997). In complying with that request, the DOL submitted a brief that included a detailed discussion of the history of the salary basis test. Brief for Sec’y of Labor as Amicus Curiae Supporting Affirmance, 1996 WL 595843. Some history is also contained in the preamble to the 2004 amendments. 69 Fed. Reg. 22,121, 22,165–72, 22,176–77 (Apr. 23, 2004).</w:t>
      </w:r>
    </w:p>
  </w:footnote>
  <w:footnote w:id="161">
    <w:p w14:paraId="51D4884C" w14:textId="77777777" w:rsidR="00201F3F" w:rsidRPr="00CD0FEB" w:rsidRDefault="00201F3F" w:rsidP="00CE5492">
      <w:pPr>
        <w:pStyle w:val="14Footnote"/>
      </w:pPr>
      <w:r w:rsidRPr="00CD0FEB">
        <w:rPr>
          <w:vertAlign w:val="superscript"/>
        </w:rPr>
        <w:footnoteRef/>
      </w:r>
      <w:r w:rsidRPr="00CD0FEB">
        <w:t>69 Fed. Reg. at 22,165.</w:t>
      </w:r>
    </w:p>
  </w:footnote>
  <w:footnote w:id="162">
    <w:p w14:paraId="617D9F01" w14:textId="77777777" w:rsidR="00201F3F" w:rsidRPr="00CD0FEB" w:rsidRDefault="00201F3F" w:rsidP="00CE5492">
      <w:pPr>
        <w:pStyle w:val="14Footnote"/>
      </w:pPr>
      <w:r w:rsidRPr="00CD0FEB">
        <w:rPr>
          <w:vertAlign w:val="superscript"/>
        </w:rPr>
        <w:footnoteRef/>
      </w:r>
      <w:r w:rsidRPr="00CD0FEB">
        <w:t xml:space="preserve">Usery v. Associated Drugs, 538 F.2d 1191, 1193, 22 WH Cases 1273 (5th Cir. 1976); </w:t>
      </w:r>
      <w:r w:rsidRPr="00CD0FEB">
        <w:rPr>
          <w:i/>
          <w:iCs/>
        </w:rPr>
        <w:t>see also</w:t>
      </w:r>
      <w:r w:rsidRPr="00CD0FEB">
        <w:t xml:space="preserve"> Craig v. Far W. Eng’g Co., 265 F.2d 251, 259 (9th Cir. 1959) (holding salary basis test is “reasonable exercise of [administrative] authority” even though “at first blush it does not … seem logical”).</w:t>
      </w:r>
    </w:p>
  </w:footnote>
  <w:footnote w:id="163">
    <w:p w14:paraId="2B49C993" w14:textId="77777777" w:rsidR="00201F3F" w:rsidRPr="00CD0FEB" w:rsidRDefault="00201F3F" w:rsidP="00CE5492">
      <w:pPr>
        <w:pStyle w:val="14Footnote"/>
      </w:pPr>
      <w:r w:rsidRPr="00CD0FEB">
        <w:rPr>
          <w:vertAlign w:val="superscript"/>
        </w:rPr>
        <w:footnoteRef/>
      </w:r>
      <w:r w:rsidRPr="00CD0FEB">
        <w:rPr>
          <w:i/>
          <w:iCs/>
        </w:rPr>
        <w:t>See</w:t>
      </w:r>
      <w:r w:rsidRPr="00CD0FEB">
        <w:t xml:space="preserve"> Service Emps. Local 102 v. County of San Diego, 60 F.3d 1346, 1350–54, 2 WH Cases2d 1412 (9th Cir. 1995) (holding salary basis test invalid as applied to public sector employers).</w:t>
      </w:r>
    </w:p>
  </w:footnote>
  <w:footnote w:id="164">
    <w:p w14:paraId="48C6C892" w14:textId="77777777" w:rsidR="00201F3F" w:rsidRPr="00CD0FEB" w:rsidRDefault="00201F3F" w:rsidP="00CE5492">
      <w:pPr>
        <w:pStyle w:val="14Footnote"/>
      </w:pPr>
      <w:r w:rsidRPr="00CD0FEB">
        <w:rPr>
          <w:vertAlign w:val="superscript"/>
        </w:rPr>
        <w:footnoteRef/>
      </w:r>
      <w:r w:rsidRPr="00CD0FEB">
        <w:t xml:space="preserve">Evans v. McClain of Ga., Inc., 131 F.3d 957, 965, 4 WH Cases2d 419 (11th Cir. 1997) (“We do not believe that an employer’s subjective motivations are relevant to the inquiry of whether or not an employee was compensated on a salary basis. The regulations speak in purely objective terms.”); </w:t>
      </w:r>
      <w:r w:rsidRPr="00CD0FEB">
        <w:rPr>
          <w:i/>
          <w:iCs/>
        </w:rPr>
        <w:t>see also</w:t>
      </w:r>
      <w:r w:rsidRPr="00CD0FEB">
        <w:t xml:space="preserve"> White v. San Mateo Cnty., 37 F. App’x 280 (9th Cir. 2002) (granting county summary judgment on its defense that Sheriff’s Office supervisor met salary basis test requirements even though he never entered an agreement that he would be paid on salary basis).</w:t>
      </w:r>
    </w:p>
  </w:footnote>
  <w:footnote w:id="165">
    <w:p w14:paraId="0D095D69" w14:textId="77777777" w:rsidR="00201F3F" w:rsidRPr="00CD0FEB" w:rsidRDefault="00201F3F" w:rsidP="00CE5492">
      <w:pPr>
        <w:pStyle w:val="14Footnote"/>
      </w:pPr>
      <w:r w:rsidRPr="00CD0FEB">
        <w:rPr>
          <w:vertAlign w:val="superscript"/>
        </w:rPr>
        <w:footnoteRef/>
      </w:r>
      <w:r w:rsidRPr="00CD0FEB">
        <w:t>29 C.F.R. §541.602(a).</w:t>
      </w:r>
    </w:p>
  </w:footnote>
  <w:footnote w:id="166">
    <w:p w14:paraId="3B514CDA" w14:textId="77777777" w:rsidR="00201F3F" w:rsidRPr="00CD0FEB" w:rsidRDefault="00201F3F" w:rsidP="00CE5492">
      <w:pPr>
        <w:pStyle w:val="14Footnote"/>
      </w:pPr>
      <w:r w:rsidRPr="00CD0FEB">
        <w:rPr>
          <w:vertAlign w:val="superscript"/>
        </w:rPr>
        <w:footnoteRef/>
      </w:r>
      <w:r w:rsidRPr="00CD0FEB">
        <w:rPr>
          <w:i/>
          <w:iCs/>
        </w:rPr>
        <w:t>Id.</w:t>
      </w:r>
    </w:p>
  </w:footnote>
  <w:footnote w:id="167">
    <w:p w14:paraId="38FE1A84" w14:textId="77777777" w:rsidR="00201F3F" w:rsidRPr="00CD0FEB" w:rsidRDefault="00201F3F" w:rsidP="00443ACA">
      <w:pPr>
        <w:pStyle w:val="14Footnote"/>
      </w:pPr>
      <w:r w:rsidRPr="00CD0FEB">
        <w:rPr>
          <w:rStyle w:val="FootnoteReference"/>
          <w:rFonts w:eastAsiaTheme="majorEastAsia"/>
        </w:rPr>
        <w:footnoteRef/>
      </w:r>
      <w:r w:rsidRPr="00CD0FEB">
        <w:t>143 S. Ct. 677 (2023).</w:t>
      </w:r>
    </w:p>
  </w:footnote>
  <w:footnote w:id="168">
    <w:p w14:paraId="074C1332" w14:textId="77777777" w:rsidR="00201F3F" w:rsidRPr="00CD0FEB" w:rsidRDefault="00201F3F" w:rsidP="00443ACA">
      <w:pPr>
        <w:pStyle w:val="14Footnote"/>
      </w:pPr>
      <w:r w:rsidRPr="00CD0FEB">
        <w:rPr>
          <w:rStyle w:val="FootnoteReference"/>
          <w:rFonts w:eastAsiaTheme="majorEastAsia"/>
        </w:rPr>
        <w:footnoteRef/>
      </w:r>
      <w:r w:rsidRPr="00CD0FEB">
        <w:rPr>
          <w:i/>
          <w:iCs/>
        </w:rPr>
        <w:t>Id.</w:t>
      </w:r>
      <w:r w:rsidRPr="00CD0FEB">
        <w:t xml:space="preserve"> at 685.</w:t>
      </w:r>
    </w:p>
  </w:footnote>
  <w:footnote w:id="169">
    <w:p w14:paraId="0C892575" w14:textId="77777777" w:rsidR="00201F3F" w:rsidRPr="00CD0FEB" w:rsidRDefault="00201F3F" w:rsidP="00443ACA">
      <w:pPr>
        <w:pStyle w:val="14Footnote"/>
      </w:pPr>
      <w:r w:rsidRPr="00CD0FEB">
        <w:rPr>
          <w:rStyle w:val="FootnoteReference"/>
          <w:rFonts w:eastAsiaTheme="majorEastAsia"/>
        </w:rPr>
        <w:footnoteRef/>
      </w:r>
      <w:r w:rsidRPr="00CD0FEB">
        <w:rPr>
          <w:i/>
          <w:iCs/>
        </w:rPr>
        <w:t>Id.</w:t>
      </w:r>
      <w:r w:rsidRPr="00CD0FEB">
        <w:t xml:space="preserve"> (citing §541.602(a)). </w:t>
      </w:r>
    </w:p>
  </w:footnote>
  <w:footnote w:id="170">
    <w:p w14:paraId="046EA724" w14:textId="77777777" w:rsidR="00201F3F" w:rsidRPr="00CD0FEB" w:rsidRDefault="00201F3F" w:rsidP="00443ACA">
      <w:pPr>
        <w:pStyle w:val="14Footnote"/>
      </w:pPr>
      <w:r w:rsidRPr="00CD0FEB">
        <w:rPr>
          <w:rStyle w:val="FootnoteReference"/>
          <w:rFonts w:eastAsiaTheme="majorEastAsia"/>
        </w:rPr>
        <w:footnoteRef/>
      </w:r>
      <w:r w:rsidRPr="00CD0FEB">
        <w:rPr>
          <w:i/>
          <w:iCs/>
        </w:rPr>
        <w:t>Id</w:t>
      </w:r>
      <w:r w:rsidRPr="00CD0FEB">
        <w:t>.</w:t>
      </w:r>
    </w:p>
  </w:footnote>
  <w:footnote w:id="171">
    <w:p w14:paraId="240EB4F2" w14:textId="77777777" w:rsidR="00201F3F" w:rsidRPr="00CD0FEB" w:rsidRDefault="00201F3F" w:rsidP="00443ACA">
      <w:pPr>
        <w:pStyle w:val="14Footnote"/>
      </w:pPr>
      <w:r w:rsidRPr="00CD0FEB">
        <w:rPr>
          <w:rStyle w:val="FootnoteReference"/>
          <w:rFonts w:eastAsiaTheme="majorEastAsia"/>
        </w:rPr>
        <w:footnoteRef/>
      </w:r>
      <w:r w:rsidRPr="00CD0FEB">
        <w:rPr>
          <w:i/>
          <w:iCs/>
        </w:rPr>
        <w:t>Id.</w:t>
      </w:r>
      <w:r w:rsidRPr="00CD0FEB">
        <w:t xml:space="preserve"> at 689. </w:t>
      </w:r>
    </w:p>
  </w:footnote>
  <w:footnote w:id="172">
    <w:p w14:paraId="63406979" w14:textId="77777777" w:rsidR="00201F3F" w:rsidRPr="00CD0FEB" w:rsidRDefault="00201F3F" w:rsidP="00443ACA">
      <w:pPr>
        <w:pStyle w:val="14Footnote"/>
      </w:pPr>
      <w:r w:rsidRPr="00CD0FEB">
        <w:rPr>
          <w:rStyle w:val="FootnoteReference"/>
          <w:rFonts w:eastAsiaTheme="majorEastAsia"/>
        </w:rPr>
        <w:footnoteRef/>
      </w:r>
      <w:r w:rsidRPr="00CD0FEB">
        <w:rPr>
          <w:i/>
          <w:iCs/>
        </w:rPr>
        <w:t xml:space="preserve">Id. </w:t>
      </w:r>
      <w:r w:rsidRPr="00CD0FEB">
        <w:t xml:space="preserve">(internal quotations omitted). </w:t>
      </w:r>
    </w:p>
  </w:footnote>
  <w:footnote w:id="173">
    <w:p w14:paraId="391B44B0" w14:textId="77777777" w:rsidR="00201F3F" w:rsidRPr="00CD0FEB" w:rsidRDefault="00201F3F" w:rsidP="00443ACA">
      <w:pPr>
        <w:pStyle w:val="14Footnote"/>
      </w:pPr>
      <w:r w:rsidRPr="00CD0FEB">
        <w:rPr>
          <w:rStyle w:val="FootnoteReference"/>
          <w:rFonts w:eastAsiaTheme="majorEastAsia"/>
        </w:rPr>
        <w:footnoteRef/>
      </w:r>
      <w:r w:rsidRPr="00CD0FEB">
        <w:rPr>
          <w:i/>
          <w:iCs/>
        </w:rPr>
        <w:t>Id</w:t>
      </w:r>
      <w:r w:rsidRPr="00CD0FEB">
        <w:t>.</w:t>
      </w:r>
    </w:p>
  </w:footnote>
  <w:footnote w:id="174">
    <w:p w14:paraId="6626E5D5" w14:textId="77777777" w:rsidR="00201F3F" w:rsidRPr="00CD0FEB" w:rsidRDefault="00201F3F" w:rsidP="00D53A55">
      <w:pPr>
        <w:pStyle w:val="14Footnote"/>
      </w:pPr>
      <w:r w:rsidRPr="00CD0FEB">
        <w:rPr>
          <w:vertAlign w:val="superscript"/>
        </w:rPr>
        <w:footnoteRef/>
      </w:r>
      <w:r w:rsidRPr="00CD0FEB">
        <w:rPr>
          <w:i/>
          <w:iCs/>
        </w:rPr>
        <w:t xml:space="preserve">Hewitt, </w:t>
      </w:r>
      <w:r w:rsidRPr="00CD0FEB">
        <w:t xml:space="preserve">154 S. Ct.at 692. </w:t>
      </w:r>
    </w:p>
  </w:footnote>
  <w:footnote w:id="175">
    <w:p w14:paraId="7D4C0AAC" w14:textId="77777777" w:rsidR="00201F3F" w:rsidRPr="00CD0FEB" w:rsidRDefault="00201F3F" w:rsidP="00230B9D">
      <w:pPr>
        <w:pStyle w:val="14Footnote"/>
      </w:pPr>
      <w:r w:rsidRPr="00CD0FEB">
        <w:rPr>
          <w:rStyle w:val="FootnoteReference"/>
        </w:rPr>
        <w:footnoteRef/>
      </w:r>
      <w:r w:rsidRPr="00CD0FEB">
        <w:rPr>
          <w:i/>
          <w:iCs/>
        </w:rPr>
        <w:t>Id.</w:t>
      </w:r>
      <w:r w:rsidRPr="00CD0FEB">
        <w:t xml:space="preserve"> at 685.</w:t>
      </w:r>
    </w:p>
  </w:footnote>
  <w:footnote w:id="176">
    <w:p w14:paraId="694250B5" w14:textId="77777777" w:rsidR="00201F3F" w:rsidRPr="00CD0FEB" w:rsidRDefault="00201F3F" w:rsidP="00CE5492">
      <w:pPr>
        <w:pStyle w:val="14Footnote"/>
      </w:pPr>
      <w:r w:rsidRPr="00CD0FEB">
        <w:rPr>
          <w:vertAlign w:val="superscript"/>
        </w:rPr>
        <w:footnoteRef/>
      </w:r>
      <w:r w:rsidRPr="00CD0FEB">
        <w:t xml:space="preserve">29 C.F.R. §541.602(a); </w:t>
      </w:r>
      <w:r w:rsidRPr="00CD0FEB">
        <w:rPr>
          <w:i/>
          <w:iCs/>
        </w:rPr>
        <w:t>see</w:t>
      </w:r>
      <w:r w:rsidRPr="00CD0FEB">
        <w:t xml:space="preserve">, </w:t>
      </w:r>
      <w:r w:rsidRPr="00CD0FEB">
        <w:rPr>
          <w:i/>
          <w:iCs/>
        </w:rPr>
        <w:t>e.g</w:t>
      </w:r>
      <w:r w:rsidRPr="00CD0FEB">
        <w:t xml:space="preserve">., Thomas v. Fairfax Cnty., 758 F. Supp. 353, 30 WH Cases 313 (E.D. Va. 1991) (concluding fire lieutenants were not paid on a salary basis where compensation varied in accordance with scheduled work), </w:t>
      </w:r>
      <w:r w:rsidRPr="00CD0FEB">
        <w:rPr>
          <w:i/>
          <w:iCs/>
        </w:rPr>
        <w:t>aff’d sub nom</w:t>
      </w:r>
      <w:r w:rsidRPr="00CD0FEB">
        <w:t>. Allen v. Fairfax Cnty., 16 F.3d 408 (4th Cir. 1994); Herr v. McCormick Grain, 2 WH Cases2d 717 (D. Kan. 1994) (holding that, where grain merchandiser’s earnings were solely derived from commissions on grain merchandising transactions, his “compensation [did] not fit within the definition of salary because his compensation was not predetermined and was subject to reduction based upon the quantity or quality of his work”).</w:t>
      </w:r>
    </w:p>
  </w:footnote>
  <w:footnote w:id="177">
    <w:p w14:paraId="301F2312" w14:textId="77777777" w:rsidR="00201F3F" w:rsidRPr="00CD0FEB" w:rsidRDefault="00201F3F" w:rsidP="00CE5492">
      <w:pPr>
        <w:pStyle w:val="14Footnote"/>
      </w:pPr>
      <w:r w:rsidRPr="00CD0FEB">
        <w:rPr>
          <w:vertAlign w:val="superscript"/>
        </w:rPr>
        <w:footnoteRef/>
      </w:r>
      <w:r w:rsidRPr="00CD0FEB">
        <w:t xml:space="preserve">Hurley v. Oregon, 27 F.3d 392, 395, 2 WH Cases2d 129, 131 (9th Cir. 1994). </w:t>
      </w:r>
      <w:r w:rsidRPr="00CD0FEB">
        <w:rPr>
          <w:i/>
          <w:iCs/>
        </w:rPr>
        <w:t>See also</w:t>
      </w:r>
      <w:r w:rsidRPr="00CD0FEB">
        <w:t xml:space="preserve"> Prakast v. Savi Techs., Inc., 2011 WL 2414349, at *3 (W.D. Wash. June 10, 2011) (holding that employee was not paid on salary basis where his bi-weekly compensation fluctuated between $2,000 and $6,000 depending on employer’s cash flow).</w:t>
      </w:r>
    </w:p>
  </w:footnote>
  <w:footnote w:id="178">
    <w:p w14:paraId="359131EC" w14:textId="77777777" w:rsidR="00201F3F" w:rsidRPr="00CD0FEB" w:rsidRDefault="00201F3F" w:rsidP="00CE5492">
      <w:pPr>
        <w:pStyle w:val="14Footnote"/>
      </w:pPr>
      <w:r w:rsidRPr="00CD0FEB">
        <w:rPr>
          <w:vertAlign w:val="superscript"/>
        </w:rPr>
        <w:footnoteRef/>
      </w:r>
      <w:r w:rsidRPr="00CD0FEB">
        <w:t>Orton v. Johnny’s Lunch Franchise, LLC, 668 F.3d 843, 850, 18 WH Cases2d 1316 (6th Cir. 2012).</w:t>
      </w:r>
    </w:p>
  </w:footnote>
  <w:footnote w:id="179">
    <w:p w14:paraId="1E34F00C"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 xml:space="preserve">at 848. </w:t>
      </w:r>
      <w:r w:rsidRPr="00CD0FEB">
        <w:rPr>
          <w:i/>
          <w:iCs/>
        </w:rPr>
        <w:t>See also</w:t>
      </w:r>
      <w:r w:rsidRPr="00CD0FEB">
        <w:t xml:space="preserve"> Nymbus, Inc. v. Sharp, 2019 WL 692938, at *6 (D. Conn. Feb. 19, 2019) (rejecting contention that executive earning an annual salary of $250,000–$300,000 necessarily satisfied the salary requirement where he allegedly received no compensation for three separate months, explaining that “the regulation makes clear that the annual salary alone is not dispositive, and factors such as the timing of payment are also relevant. Moreover, the key inquiry is not what the employment agreement stated that he should be paid but what he was actually paid.”) (citing </w:t>
      </w:r>
      <w:r w:rsidRPr="00CD0FEB">
        <w:rPr>
          <w:i/>
          <w:iCs/>
        </w:rPr>
        <w:t>Orton</w:t>
      </w:r>
      <w:r w:rsidRPr="00CD0FEB">
        <w:t xml:space="preserve">, 668 F.3d at 848); Lawrence v. Ameri-Tech Prop. Mgmt., Inc., 2013 WL 3729200 (M.D. Fla. July 12, 2013) (court found that where plaintiff was paid a base salary of $300 per week, plus weekly commissions, the salary basis test was not met because even though during every week in the relevant time period the plaintiff received more than $455/week, there was no guarantee); </w:t>
      </w:r>
      <w:r w:rsidRPr="00CD0FEB">
        <w:rPr>
          <w:i/>
          <w:iCs/>
        </w:rPr>
        <w:t>accord</w:t>
      </w:r>
      <w:r w:rsidRPr="00CD0FEB">
        <w:t xml:space="preserve"> Charbonneau v. Mortgage Lenders of Am. LLC, 487 F. Supp. 3d 1081 (D. Kan. 2020) (holding that team leads paid a combination of commissions plus a flat fee for each loan officer under their supervision were not paid on a salary basis because plaintiffs’ pay was not predetermined and was subject to variation based on quantity and quality of work performed in previous month).</w:t>
      </w:r>
    </w:p>
  </w:footnote>
  <w:footnote w:id="180">
    <w:p w14:paraId="6FE9B082" w14:textId="77777777" w:rsidR="00201F3F" w:rsidRPr="00CD0FEB" w:rsidRDefault="00201F3F" w:rsidP="00CE5492">
      <w:pPr>
        <w:pStyle w:val="14Footnote"/>
      </w:pPr>
      <w:r w:rsidRPr="00CD0FEB">
        <w:rPr>
          <w:rStyle w:val="FootnoteReference"/>
        </w:rPr>
        <w:footnoteRef/>
      </w:r>
      <w:r w:rsidRPr="00CD0FEB">
        <w:t>792 F. App’x 158 (3d Cir. 2019).</w:t>
      </w:r>
    </w:p>
  </w:footnote>
  <w:footnote w:id="181">
    <w:p w14:paraId="7325553F" w14:textId="77777777" w:rsidR="00201F3F" w:rsidRPr="00CD0FEB" w:rsidRDefault="00201F3F" w:rsidP="00CE5492">
      <w:pPr>
        <w:pStyle w:val="14Footnote"/>
      </w:pPr>
      <w:r w:rsidRPr="00CD0FEB">
        <w:rPr>
          <w:rStyle w:val="FootnoteReference"/>
        </w:rPr>
        <w:footnoteRef/>
      </w:r>
      <w:r w:rsidRPr="00CD0FEB">
        <w:rPr>
          <w:i/>
          <w:iCs/>
        </w:rPr>
        <w:t>Id.</w:t>
      </w:r>
      <w:r w:rsidRPr="00CD0FEB">
        <w:t xml:space="preserve"> at 163.</w:t>
      </w:r>
    </w:p>
  </w:footnote>
  <w:footnote w:id="182">
    <w:p w14:paraId="7A4452FC" w14:textId="77777777" w:rsidR="00201F3F" w:rsidRPr="00CD0FEB" w:rsidRDefault="00201F3F" w:rsidP="00CE5492">
      <w:pPr>
        <w:pStyle w:val="14Footnote"/>
      </w:pPr>
      <w:r w:rsidRPr="00CD0FEB">
        <w:rPr>
          <w:vertAlign w:val="superscript"/>
        </w:rPr>
        <w:footnoteRef/>
      </w:r>
      <w:r w:rsidRPr="00CD0FEB">
        <w:t>29 C.F.R. §541.602(a).</w:t>
      </w:r>
    </w:p>
  </w:footnote>
  <w:footnote w:id="183">
    <w:p w14:paraId="2A308C8D" w14:textId="77777777" w:rsidR="00201F3F" w:rsidRPr="00CD0FEB" w:rsidRDefault="00201F3F" w:rsidP="00CE5492">
      <w:pPr>
        <w:pStyle w:val="14Footnote"/>
      </w:pPr>
      <w:r w:rsidRPr="00CD0FEB">
        <w:rPr>
          <w:vertAlign w:val="superscript"/>
        </w:rPr>
        <w:footnoteRef/>
      </w:r>
      <w:r w:rsidRPr="00CD0FEB">
        <w:t>Litz v. Saint Consulting Grp., Inc., 772 F.3d 1, 3–4, 23 WH Cases2d 1186 (1st Cir. 2014).</w:t>
      </w:r>
    </w:p>
  </w:footnote>
  <w:footnote w:id="184">
    <w:p w14:paraId="238CD291" w14:textId="77777777" w:rsidR="00201F3F" w:rsidRPr="00FB43FB" w:rsidRDefault="00201F3F" w:rsidP="00CE5492">
      <w:pPr>
        <w:pStyle w:val="14Footnote"/>
      </w:pPr>
      <w:r w:rsidRPr="00CD0FEB">
        <w:rPr>
          <w:vertAlign w:val="superscript"/>
        </w:rPr>
        <w:footnoteRef/>
      </w:r>
      <w:r w:rsidRPr="00CD0FEB">
        <w:rPr>
          <w:i/>
          <w:iCs/>
        </w:rPr>
        <w:t>Id.</w:t>
      </w:r>
      <w:r w:rsidRPr="00CD0FEB">
        <w:t xml:space="preserve"> at 4–5. </w:t>
      </w:r>
      <w:r>
        <w:rPr>
          <w:i/>
          <w:iCs/>
        </w:rPr>
        <w:t>See also</w:t>
      </w:r>
      <w:r>
        <w:t xml:space="preserve"> </w:t>
      </w:r>
      <w:r w:rsidRPr="00FB43FB">
        <w:t>Kelly v. City of Alexandria</w:t>
      </w:r>
      <w:r>
        <w:t>,</w:t>
      </w:r>
      <w:r w:rsidRPr="00866A19">
        <w:rPr>
          <w:rFonts w:ascii="Arial" w:hAnsi="Arial" w:cs="Arial"/>
          <w:color w:val="292E31"/>
          <w:sz w:val="24"/>
        </w:rPr>
        <w:t xml:space="preserve"> </w:t>
      </w:r>
      <w:r w:rsidRPr="00866A19">
        <w:t>2023 BL 201818</w:t>
      </w:r>
      <w:r>
        <w:t xml:space="preserve">, </w:t>
      </w:r>
      <w:r w:rsidRPr="00F961CA">
        <w:t xml:space="preserve">2023 WL 3981272, at *5 (E.D. Va. June 13, 2023) (holding 29 C.F.R. §541.604(b)’s requirement of a </w:t>
      </w:r>
      <w:r>
        <w:t xml:space="preserve">minimum </w:t>
      </w:r>
      <w:r w:rsidRPr="00F961CA">
        <w:t xml:space="preserve">weekly guarantee </w:t>
      </w:r>
      <w:r>
        <w:t xml:space="preserve">of </w:t>
      </w:r>
      <w:r w:rsidRPr="00F961CA">
        <w:t>no less than $684 was met</w:t>
      </w:r>
      <w:r>
        <w:t>,</w:t>
      </w:r>
      <w:r w:rsidRPr="00F961CA">
        <w:t xml:space="preserve"> even though at times employer made </w:t>
      </w:r>
      <w:r w:rsidRPr="00FB43FB">
        <w:t xml:space="preserve">deductions from paid leave banks to </w:t>
      </w:r>
      <w:r>
        <w:t xml:space="preserve">ensure employees received the </w:t>
      </w:r>
      <w:r w:rsidRPr="00FB43FB">
        <w:t>guarantee</w:t>
      </w:r>
      <w:r>
        <w:t>d</w:t>
      </w:r>
      <w:r w:rsidRPr="00FB43FB">
        <w:t xml:space="preserve"> </w:t>
      </w:r>
      <w:r>
        <w:t xml:space="preserve">minimum). </w:t>
      </w:r>
    </w:p>
  </w:footnote>
  <w:footnote w:id="185">
    <w:p w14:paraId="6C76DA3E" w14:textId="77777777" w:rsidR="00201F3F" w:rsidRPr="00CD0FEB" w:rsidRDefault="00201F3F" w:rsidP="00CE5492">
      <w:pPr>
        <w:pStyle w:val="14Footnote"/>
      </w:pPr>
      <w:r w:rsidRPr="00CD0FEB">
        <w:rPr>
          <w:vertAlign w:val="superscript"/>
        </w:rPr>
        <w:footnoteRef/>
      </w:r>
      <w:r w:rsidRPr="00CD0FEB">
        <w:t>29 C.F.R. §541.2.</w:t>
      </w:r>
    </w:p>
  </w:footnote>
  <w:footnote w:id="186">
    <w:p w14:paraId="269F6700" w14:textId="77777777" w:rsidR="00201F3F" w:rsidRPr="00CD0FEB" w:rsidRDefault="00201F3F" w:rsidP="00CE5492">
      <w:pPr>
        <w:pStyle w:val="14Footnote"/>
      </w:pPr>
      <w:r w:rsidRPr="00CD0FEB">
        <w:rPr>
          <w:vertAlign w:val="superscript"/>
        </w:rPr>
        <w:footnoteRef/>
      </w:r>
      <w:r w:rsidRPr="00CD0FEB">
        <w:t>WH Op. FLSA2005-20, 2005 WL 3308591 (Aug. 19, 2005).</w:t>
      </w:r>
    </w:p>
  </w:footnote>
  <w:footnote w:id="187">
    <w:p w14:paraId="4C3F22D2" w14:textId="77777777" w:rsidR="00201F3F" w:rsidRPr="00CD0FEB" w:rsidRDefault="00201F3F" w:rsidP="00CE5492">
      <w:pPr>
        <w:pStyle w:val="14Footnote"/>
      </w:pPr>
      <w:r w:rsidRPr="00CD0FEB">
        <w:rPr>
          <w:vertAlign w:val="superscript"/>
        </w:rPr>
        <w:footnoteRef/>
      </w:r>
      <w:r w:rsidRPr="00CD0FEB">
        <w:t>Levine v. Unity Health Sys., 847 F. Supp. 2d 507, 509–10, 18 WH Cases2d 1579 (W.D.N.Y. 2012).</w:t>
      </w:r>
    </w:p>
  </w:footnote>
  <w:footnote w:id="188">
    <w:p w14:paraId="2D27B87E" w14:textId="77777777" w:rsidR="00201F3F" w:rsidRPr="00CD0FEB" w:rsidRDefault="00201F3F" w:rsidP="00CE5492">
      <w:pPr>
        <w:pStyle w:val="14Footnote"/>
      </w:pPr>
      <w:r w:rsidRPr="00CD0FEB">
        <w:rPr>
          <w:vertAlign w:val="superscript"/>
        </w:rPr>
        <w:footnoteRef/>
      </w:r>
      <w:r w:rsidRPr="00CD0FEB">
        <w:t>McLean v. Garage Mgmt. Corp., 819 F. Supp. 2d 332 (S.D.N.Y. 2011).</w:t>
      </w:r>
    </w:p>
  </w:footnote>
  <w:footnote w:id="189">
    <w:p w14:paraId="67DD8A52" w14:textId="77777777" w:rsidR="00201F3F" w:rsidRPr="00CD0FEB" w:rsidRDefault="00201F3F" w:rsidP="00CE5492">
      <w:pPr>
        <w:pStyle w:val="14Footnote"/>
      </w:pPr>
      <w:r w:rsidRPr="00CD0FEB">
        <w:rPr>
          <w:vertAlign w:val="superscript"/>
        </w:rPr>
        <w:footnoteRef/>
      </w:r>
      <w:r w:rsidRPr="00CD0FEB">
        <w:t>McAllister v. Transamerica Occidental Life Ins. Co., 325 F.3d 997, 8 WH Cases2d 1057 (8th Cir. 2003).</w:t>
      </w:r>
    </w:p>
  </w:footnote>
  <w:footnote w:id="190">
    <w:p w14:paraId="39104FBF" w14:textId="77777777" w:rsidR="00201F3F" w:rsidRPr="00CD0FEB" w:rsidRDefault="00201F3F" w:rsidP="00CE5492">
      <w:pPr>
        <w:pStyle w:val="14Footnote"/>
      </w:pPr>
      <w:r w:rsidRPr="00CD0FEB">
        <w:rPr>
          <w:vertAlign w:val="superscript"/>
        </w:rPr>
        <w:footnoteRef/>
      </w:r>
      <w:r w:rsidRPr="00CD0FEB">
        <w:t>Douglas v. Argo-Tech Corp., 113 F.3d 67, 3 WH Cases2d 1569 (6th Cir. 1997).</w:t>
      </w:r>
    </w:p>
  </w:footnote>
  <w:footnote w:id="191">
    <w:p w14:paraId="41D011B4" w14:textId="77777777" w:rsidR="00201F3F" w:rsidRPr="00CD0FEB" w:rsidRDefault="00201F3F" w:rsidP="00CE5492">
      <w:pPr>
        <w:pStyle w:val="14Footnote"/>
      </w:pPr>
      <w:r w:rsidRPr="00CD0FEB">
        <w:rPr>
          <w:vertAlign w:val="superscript"/>
        </w:rPr>
        <w:footnoteRef/>
      </w:r>
      <w:r w:rsidRPr="00CD0FEB">
        <w:t>Guerrero v. J.W. Hutton, Inc., 458 F.3d 830, 11 WH Cases2d 1281 (8th Cir. 2006); Cowart v. Ingall’s Shipbldg., Inc., 213 F.3d 261, 6 WH Cases2d 161 (5th Cir. 2000).</w:t>
      </w:r>
    </w:p>
  </w:footnote>
  <w:footnote w:id="192">
    <w:p w14:paraId="6643EC86" w14:textId="77777777" w:rsidR="00201F3F" w:rsidRPr="00CD0FEB" w:rsidRDefault="00201F3F" w:rsidP="00CE5492">
      <w:pPr>
        <w:pStyle w:val="14Footnote"/>
      </w:pPr>
      <w:r w:rsidRPr="00CD0FEB">
        <w:rPr>
          <w:vertAlign w:val="superscript"/>
        </w:rPr>
        <w:footnoteRef/>
      </w:r>
      <w:r w:rsidRPr="00CD0FEB">
        <w:t xml:space="preserve">WH Op. FLSA2006-7, 2006 WL 940663 (Mar. 10, 2006); </w:t>
      </w:r>
      <w:r w:rsidRPr="00CD0FEB">
        <w:rPr>
          <w:i/>
          <w:iCs/>
        </w:rPr>
        <w:t xml:space="preserve">see also </w:t>
      </w:r>
      <w:r w:rsidRPr="00CD0FEB">
        <w:t xml:space="preserve">Edelen v. Shoney’s, Inc., 1998 WL 250675 (M.D. Tenn. Mar. 26, 1998) (where restaurant management was required to reimburse employer for shortages); </w:t>
      </w:r>
      <w:r w:rsidRPr="00CD0FEB">
        <w:rPr>
          <w:i/>
          <w:iCs/>
        </w:rPr>
        <w:t>cf</w:t>
      </w:r>
      <w:r w:rsidRPr="00CD0FEB">
        <w:t>.</w:t>
      </w:r>
      <w:r w:rsidRPr="00CD0FEB">
        <w:rPr>
          <w:i/>
          <w:iCs/>
        </w:rPr>
        <w:t xml:space="preserve"> </w:t>
      </w:r>
      <w:r w:rsidRPr="00CD0FEB">
        <w:t>Messmer v. Colors In Bloom, Inc., 67 F. App’x 719 (3d Cir. 2003) (holding that one-time salary deduction of $244 based on customer complaint did not defeat exemption where money was reimbursed).</w:t>
      </w:r>
    </w:p>
  </w:footnote>
  <w:footnote w:id="193">
    <w:p w14:paraId="56D5AB1E" w14:textId="77777777" w:rsidR="00201F3F" w:rsidRPr="00CD0FEB" w:rsidRDefault="00201F3F" w:rsidP="00CE5492">
      <w:pPr>
        <w:pStyle w:val="14Footnote"/>
      </w:pPr>
      <w:r w:rsidRPr="00CD0FEB">
        <w:rPr>
          <w:rStyle w:val="FootnoteReference"/>
        </w:rPr>
        <w:footnoteRef/>
      </w:r>
      <w:r w:rsidRPr="00CD0FEB">
        <w:t>Miller v. Northwest Harris Cnty. MUD No. 24, 2020 WL 7753919, at *5 (S.D. Tex. Dec. 29, 2020).</w:t>
      </w:r>
    </w:p>
  </w:footnote>
  <w:footnote w:id="194">
    <w:p w14:paraId="5E1280F4" w14:textId="77777777" w:rsidR="00201F3F" w:rsidRPr="00CD0FEB" w:rsidRDefault="00201F3F" w:rsidP="00CE5492">
      <w:pPr>
        <w:pStyle w:val="14Footnote"/>
      </w:pPr>
      <w:r w:rsidRPr="00CD0FEB">
        <w:rPr>
          <w:vertAlign w:val="superscript"/>
        </w:rPr>
        <w:footnoteRef/>
      </w:r>
      <w:r w:rsidRPr="00CD0FEB">
        <w:t xml:space="preserve">WH Op. FLSA2006-24NA, 2006 WL 4512966 (July 6, 2006); 81 Fed. Reg. 32,550 (to be codified at 29 C.F.R. §541.600). </w:t>
      </w:r>
    </w:p>
  </w:footnote>
  <w:footnote w:id="195">
    <w:p w14:paraId="06E9EF6E" w14:textId="77777777" w:rsidR="00201F3F" w:rsidRPr="00CD0FEB" w:rsidRDefault="00201F3F" w:rsidP="00CE5492">
      <w:pPr>
        <w:pStyle w:val="14Footnote"/>
      </w:pPr>
      <w:r w:rsidRPr="00CD0FEB">
        <w:rPr>
          <w:vertAlign w:val="superscript"/>
        </w:rPr>
        <w:footnoteRef/>
      </w:r>
      <w:r w:rsidRPr="00CD0FEB">
        <w:t>WH Op. FLSA2006-24, 2006 WL 2792438 (July 6, 2006).</w:t>
      </w:r>
    </w:p>
  </w:footnote>
  <w:footnote w:id="196">
    <w:p w14:paraId="5792F9D2" w14:textId="77777777" w:rsidR="00201F3F" w:rsidRPr="00CD0FEB" w:rsidRDefault="00201F3F" w:rsidP="00CE5492">
      <w:pPr>
        <w:pStyle w:val="14Footnote"/>
      </w:pPr>
      <w:r w:rsidRPr="00CD0FEB">
        <w:rPr>
          <w:vertAlign w:val="superscript"/>
        </w:rPr>
        <w:footnoteRef/>
      </w:r>
      <w:r w:rsidRPr="00CD0FEB">
        <w:t xml:space="preserve">Ketner v. Branch Banking &amp; Tr. Co., 143 F. Supp. 3d 370 (M.D.N.C. 2015). </w:t>
      </w:r>
    </w:p>
  </w:footnote>
  <w:footnote w:id="197">
    <w:p w14:paraId="3C86C33B" w14:textId="77777777" w:rsidR="00201F3F" w:rsidRPr="00CD0FEB" w:rsidRDefault="00201F3F" w:rsidP="00CE5492">
      <w:pPr>
        <w:pStyle w:val="14Footnote"/>
      </w:pPr>
      <w:r w:rsidRPr="00CD0FEB">
        <w:rPr>
          <w:vertAlign w:val="superscript"/>
        </w:rPr>
        <w:footnoteRef/>
      </w:r>
      <w:r w:rsidRPr="00CD0FEB">
        <w:t>WH Op. FLSA2006-24, 2006 WL 2792438 (July 6, 2006).</w:t>
      </w:r>
    </w:p>
  </w:footnote>
  <w:footnote w:id="198">
    <w:p w14:paraId="18FC9563" w14:textId="77777777" w:rsidR="00201F3F" w:rsidRPr="00CD0FEB" w:rsidRDefault="00201F3F" w:rsidP="00CE5492">
      <w:pPr>
        <w:pStyle w:val="14Footnote"/>
        <w:rPr>
          <w:i/>
          <w:iCs/>
        </w:rPr>
      </w:pPr>
      <w:r w:rsidRPr="00CD0FEB">
        <w:rPr>
          <w:vertAlign w:val="superscript"/>
        </w:rPr>
        <w:footnoteRef/>
      </w:r>
      <w:r w:rsidRPr="00CD0FEB">
        <w:t xml:space="preserve">29 C.F.R. §541.604(a); </w:t>
      </w:r>
      <w:r w:rsidRPr="00CD0FEB">
        <w:rPr>
          <w:i/>
          <w:iCs/>
        </w:rPr>
        <w:t>see also</w:t>
      </w:r>
    </w:p>
    <w:p w14:paraId="2CFBC079" w14:textId="77777777" w:rsidR="00201F3F" w:rsidRPr="00CD0FEB" w:rsidRDefault="00201F3F" w:rsidP="00CE5492">
      <w:pPr>
        <w:pStyle w:val="14Footnote"/>
      </w:pPr>
      <w:r w:rsidRPr="00CD0FEB">
        <w:rPr>
          <w:i/>
          <w:iCs/>
        </w:rPr>
        <w:t>First Circuit:</w:t>
      </w:r>
      <w:r w:rsidRPr="00CD0FEB">
        <w:t xml:space="preserve"> O’Brien v. Town of Agawam, 350 F.3d 279, 293, 9 WH Cases2d 193 (1st Cir. 2003).</w:t>
      </w:r>
    </w:p>
    <w:p w14:paraId="51139CB3" w14:textId="77777777" w:rsidR="00201F3F" w:rsidRPr="00CD0FEB" w:rsidRDefault="00201F3F" w:rsidP="00CE5492">
      <w:pPr>
        <w:pStyle w:val="14Footnote"/>
      </w:pPr>
      <w:r w:rsidRPr="00CD0FEB">
        <w:rPr>
          <w:i/>
          <w:iCs/>
        </w:rPr>
        <w:t>Eighth Circuit:</w:t>
      </w:r>
      <w:r w:rsidRPr="00CD0FEB">
        <w:t xml:space="preserve"> Fife v. Harmon, 171 F.3d 1173, 5 WH Cases2d 350 (8th Cir. 1999).</w:t>
      </w:r>
    </w:p>
    <w:p w14:paraId="786F6873" w14:textId="77777777" w:rsidR="00201F3F" w:rsidRPr="00CD0FEB" w:rsidRDefault="00201F3F" w:rsidP="00CE5492">
      <w:pPr>
        <w:pStyle w:val="14Footnote"/>
      </w:pPr>
      <w:r w:rsidRPr="00CD0FEB">
        <w:rPr>
          <w:i/>
          <w:iCs/>
        </w:rPr>
        <w:t>Ninth Circuit:</w:t>
      </w:r>
      <w:r w:rsidRPr="00CD0FEB">
        <w:t xml:space="preserve"> Boykin v. Boeing Co., 128 F.3d 1279, 4 WH Cases2d 292 (9th Cir. 1997); Hugler v. Kazu Constr., LLC, 262 F. Supp. 3d 1032 (D. Haw. 2017) (granting summary judgment to defendants because employees were paid predetermined amount that was not subject to deductions despite employees being labeled as “hourly”)</w:t>
      </w:r>
    </w:p>
  </w:footnote>
  <w:footnote w:id="199">
    <w:p w14:paraId="6506F36B" w14:textId="77777777" w:rsidR="00201F3F" w:rsidRPr="00CD0FEB" w:rsidRDefault="00201F3F" w:rsidP="00CE5492">
      <w:pPr>
        <w:pStyle w:val="14Footnote"/>
      </w:pPr>
      <w:r w:rsidRPr="00CD0FEB">
        <w:rPr>
          <w:vertAlign w:val="superscript"/>
        </w:rPr>
        <w:footnoteRef/>
      </w:r>
      <w:r w:rsidRPr="00CD0FEB">
        <w:t>29 C.F.R. §541.604(a).</w:t>
      </w:r>
    </w:p>
  </w:footnote>
  <w:footnote w:id="200">
    <w:p w14:paraId="56B54296"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t>
      </w:r>
      <w:r>
        <w:t xml:space="preserve">Willis v. Koning Assocs., </w:t>
      </w:r>
      <w:r w:rsidRPr="00866A19">
        <w:t>2023 BL 171859</w:t>
      </w:r>
      <w:r>
        <w:t xml:space="preserve">, 2023 WL 3569998, at *4 (N.D. Cal. May 19, 2023) (general insurance adjuster was paid on a salary basis where he received a guaranteed monthly wage of $5250; payment of additional $35/hour for each hour billed to clients exceeding 150 in a month did not defeat salaried status); </w:t>
      </w:r>
      <w:r w:rsidRPr="00CD0FEB">
        <w:t>WH Op. FLSA2005-20, 2005 WL 3308591 (Aug. 19, 2005) (opining exempt nurse may be paid shift-differential pay for working evenings and nights).</w:t>
      </w:r>
    </w:p>
  </w:footnote>
  <w:footnote w:id="201">
    <w:p w14:paraId="02C851DB" w14:textId="77777777" w:rsidR="00201F3F" w:rsidRPr="00CD0FEB" w:rsidRDefault="00201F3F" w:rsidP="00CE5492">
      <w:pPr>
        <w:pStyle w:val="14Footnote"/>
      </w:pPr>
      <w:r w:rsidRPr="00CD0FEB">
        <w:rPr>
          <w:vertAlign w:val="superscript"/>
        </w:rPr>
        <w:footnoteRef/>
      </w:r>
      <w:r w:rsidRPr="00CD0FEB">
        <w:t>29 C.F.R. §541.604(a).</w:t>
      </w:r>
    </w:p>
    <w:p w14:paraId="59F8FE79" w14:textId="77777777" w:rsidR="00201F3F" w:rsidRPr="00CD0FEB" w:rsidRDefault="00201F3F" w:rsidP="00CE5492">
      <w:pPr>
        <w:pStyle w:val="14Footnote"/>
      </w:pPr>
      <w:r w:rsidRPr="00CD0FEB">
        <w:rPr>
          <w:i/>
          <w:iCs/>
        </w:rPr>
        <w:t>See, e.g</w:t>
      </w:r>
      <w:r w:rsidRPr="00CD0FEB">
        <w:t>.,</w:t>
      </w:r>
    </w:p>
    <w:p w14:paraId="40473F7A" w14:textId="77777777" w:rsidR="00201F3F" w:rsidRPr="00CD0FEB" w:rsidRDefault="00201F3F" w:rsidP="00CE5492">
      <w:pPr>
        <w:pStyle w:val="14Footnote"/>
      </w:pPr>
      <w:r w:rsidRPr="00CD0FEB">
        <w:rPr>
          <w:i/>
          <w:iCs/>
        </w:rPr>
        <w:t>Third Circuit:</w:t>
      </w:r>
      <w:r w:rsidRPr="00CD0FEB">
        <w:t xml:space="preserve"> Sander v. Light Action, Inc., 525 F. App’x 147 (3d Cir. 2013) (finding two-tiered compensation structure that provided warehouse manager with an annual salary plus premium hourly rate for hours spent at offsite events satisfied salary basis test).</w:t>
      </w:r>
    </w:p>
    <w:p w14:paraId="085AFBCC" w14:textId="77777777" w:rsidR="00201F3F" w:rsidRPr="00CD0FEB" w:rsidRDefault="00201F3F" w:rsidP="00CE5492">
      <w:pPr>
        <w:pStyle w:val="14Footnote"/>
      </w:pPr>
      <w:r w:rsidRPr="00CD0FEB">
        <w:rPr>
          <w:i/>
          <w:iCs/>
        </w:rPr>
        <w:t>Fifth Circuit</w:t>
      </w:r>
      <w:r w:rsidRPr="00CD0FEB">
        <w:t>: Hebert v. FMC Techs., Inc., 2023 BL 212011, 2023 WL 4105427, at *2 (5th Cir. June 21, 2023) (“Hebert does not lose his status as an employee paid on a salary basis just because he is also paid a bonus on top of the salary that the record has established was guaranteed to him.”).</w:t>
      </w:r>
    </w:p>
    <w:p w14:paraId="257A77BC" w14:textId="77777777" w:rsidR="00201F3F" w:rsidRPr="00CD0FEB" w:rsidRDefault="00201F3F" w:rsidP="00CE5492">
      <w:pPr>
        <w:pStyle w:val="14Footnote"/>
      </w:pPr>
      <w:r w:rsidRPr="00CD0FEB">
        <w:rPr>
          <w:i/>
          <w:iCs/>
        </w:rPr>
        <w:t>Ninth Circuit:</w:t>
      </w:r>
      <w:r w:rsidRPr="00CD0FEB">
        <w:t xml:space="preserve"> Parmar v. Safeway Inc., 2011 WL 888238, at *4 (W.D. Wash. Mar. 14, 2011) (finding that compensation structure under which pharmacist received base salary for 40 hours per week plus “premium pay” for any hours worked over 40 met the salary basis test).</w:t>
      </w:r>
    </w:p>
    <w:p w14:paraId="66502ABB" w14:textId="77777777" w:rsidR="00201F3F" w:rsidRPr="00CD0FEB" w:rsidRDefault="00201F3F" w:rsidP="00CE5492">
      <w:pPr>
        <w:pStyle w:val="14Footnote"/>
      </w:pPr>
      <w:r w:rsidRPr="00CD0FEB">
        <w:rPr>
          <w:i/>
          <w:iCs/>
        </w:rPr>
        <w:t>Eleventh Circuit:</w:t>
      </w:r>
      <w:r w:rsidRPr="00CD0FEB">
        <w:t xml:space="preserve"> Bell v. Callaway Partners, LLC, 394 F. App’x 632, 17 WH Cases2d 1152 (11th Cir. 2010) (holding that employees who worked as both bookkeepers and accountants were paid on salary basis where employees were paid fixed salary plus bonuses despite payment of bonuses that fluctuated based on cumulative number of hours worked and that required working at least 40 hours including making up deficit hours below 40 from prior workweeks); Fairris v. City of Bessemer, </w:t>
      </w:r>
      <w:r w:rsidRPr="00EC618F">
        <w:t>2007 BL 87962</w:t>
      </w:r>
      <w:r>
        <w:t xml:space="preserve"> </w:t>
      </w:r>
      <w:r w:rsidRPr="00CD0FEB">
        <w:t>(N.D. Ala. May 11, 2007)</w:t>
      </w:r>
      <w:r w:rsidRPr="00CD0FEB">
        <w:rPr>
          <w:b/>
          <w:bCs/>
        </w:rPr>
        <w:t xml:space="preserve"> </w:t>
      </w:r>
      <w:r w:rsidRPr="00CD0FEB">
        <w:t xml:space="preserve">(deeming exempt status of environmental coordinator not affected by employer’s prior practice of paying straight-time pay for hours worked in excess of 40 in a week), </w:t>
      </w:r>
      <w:r w:rsidRPr="00CD0FEB">
        <w:rPr>
          <w:i/>
          <w:iCs/>
        </w:rPr>
        <w:t>aff’d</w:t>
      </w:r>
      <w:r w:rsidRPr="00CD0FEB">
        <w:t xml:space="preserve">, 252 F. App’x 309, 2007 WL 3120313 (11th Cir. Oct. 25, 2007). </w:t>
      </w:r>
    </w:p>
  </w:footnote>
  <w:footnote w:id="202">
    <w:p w14:paraId="2C84340E" w14:textId="77777777" w:rsidR="00201F3F" w:rsidRPr="00CD0FEB" w:rsidRDefault="00201F3F" w:rsidP="00CE5492">
      <w:pPr>
        <w:pStyle w:val="14Footnote"/>
      </w:pPr>
      <w:r w:rsidRPr="00CD0FEB">
        <w:rPr>
          <w:vertAlign w:val="superscript"/>
        </w:rPr>
        <w:footnoteRef/>
      </w:r>
      <w:r w:rsidRPr="00CD0FEB">
        <w:t xml:space="preserve">WH Op., 1999 WL 1002385 (Apr. 1, 1999); </w:t>
      </w:r>
      <w:r w:rsidRPr="00CD0FEB">
        <w:rPr>
          <w:i/>
          <w:iCs/>
        </w:rPr>
        <w:t>see also</w:t>
      </w:r>
      <w:r w:rsidRPr="00CD0FEB">
        <w:t xml:space="preserve"> WH Op. FLSA2003-5, 2003 WL 23374601 (July 9, 2003).</w:t>
      </w:r>
    </w:p>
  </w:footnote>
  <w:footnote w:id="203">
    <w:p w14:paraId="66CDDB0B" w14:textId="77777777" w:rsidR="00201F3F" w:rsidRPr="00CD0FEB" w:rsidRDefault="00201F3F" w:rsidP="00CE5492">
      <w:pPr>
        <w:pStyle w:val="14Footnote"/>
      </w:pPr>
      <w:r w:rsidRPr="00CD0FEB">
        <w:rPr>
          <w:vertAlign w:val="superscript"/>
        </w:rPr>
        <w:footnoteRef/>
      </w:r>
      <w:r w:rsidRPr="00CD0FEB">
        <w:rPr>
          <w:i/>
          <w:iCs/>
        </w:rPr>
        <w:t>See, e.g</w:t>
      </w:r>
      <w:r w:rsidRPr="00CD0FEB">
        <w:t>.,</w:t>
      </w:r>
    </w:p>
    <w:p w14:paraId="02592CA9" w14:textId="77777777" w:rsidR="00201F3F" w:rsidRPr="00CD0FEB" w:rsidRDefault="00201F3F" w:rsidP="00CE5492">
      <w:pPr>
        <w:pStyle w:val="14Footnote"/>
      </w:pPr>
      <w:r w:rsidRPr="00CD0FEB">
        <w:rPr>
          <w:i/>
          <w:iCs/>
        </w:rPr>
        <w:t>Fifth Circuit:</w:t>
      </w:r>
      <w:r w:rsidRPr="00CD0FEB">
        <w:t xml:space="preserve"> York v. City of Wichita Falls, 944 F.2d 236, 242, 30 WH Cases 929 (5th Cir. 1991).</w:t>
      </w:r>
    </w:p>
    <w:p w14:paraId="321305F2" w14:textId="77777777" w:rsidR="00201F3F" w:rsidRPr="00CD0FEB" w:rsidRDefault="00201F3F" w:rsidP="00CE5492">
      <w:pPr>
        <w:pStyle w:val="14Footnote"/>
      </w:pPr>
      <w:r w:rsidRPr="00CD0FEB">
        <w:rPr>
          <w:i/>
          <w:iCs/>
        </w:rPr>
        <w:t>Sixth Circuit:</w:t>
      </w:r>
      <w:r w:rsidRPr="00CD0FEB">
        <w:t xml:space="preserve"> Michigan Ass’n of Gov’tl Emps. v. Michigan Dep’t of Corr., 992 F.2d 82, 84 n.3, 1 WH Cases2d 574 (6th Cir. 1993).</w:t>
      </w:r>
    </w:p>
    <w:p w14:paraId="1ED7D163" w14:textId="77777777" w:rsidR="00201F3F" w:rsidRPr="00CD0FEB" w:rsidRDefault="00201F3F" w:rsidP="00CE5492">
      <w:pPr>
        <w:pStyle w:val="14Footnote"/>
      </w:pPr>
      <w:r w:rsidRPr="00CD0FEB">
        <w:rPr>
          <w:i/>
          <w:iCs/>
        </w:rPr>
        <w:t>Tenth Circuit:</w:t>
      </w:r>
      <w:r w:rsidRPr="00CD0FEB">
        <w:t xml:space="preserve"> Aaron v. City of Wichita, 54 F.3d 652, 658, 2 WH Cases2d 1159 (10th Cir. 1995)</w:t>
      </w:r>
    </w:p>
  </w:footnote>
  <w:footnote w:id="204">
    <w:p w14:paraId="58887D7C" w14:textId="77777777" w:rsidR="00201F3F" w:rsidRPr="00CD0FEB" w:rsidRDefault="00201F3F" w:rsidP="00CE5492">
      <w:pPr>
        <w:pStyle w:val="14Footnote"/>
      </w:pPr>
      <w:r w:rsidRPr="00CD0FEB">
        <w:rPr>
          <w:vertAlign w:val="superscript"/>
        </w:rPr>
        <w:footnoteRef/>
      </w:r>
      <w:r w:rsidRPr="00CD0FEB">
        <w:t xml:space="preserve">29 C.F.R. §541.604(b). </w:t>
      </w:r>
      <w:r w:rsidRPr="00CD0FEB">
        <w:rPr>
          <w:i/>
          <w:iCs/>
        </w:rPr>
        <w:t>See also</w:t>
      </w:r>
      <w:r w:rsidRPr="00CD0FEB">
        <w:t xml:space="preserve"> Hughes v. Gulf Interstate Field Servs., Inc., 878 F.3d 183, 191, 27 WH Cases2d 968 (6th Cir. 2017) (noting that “whether one looks to the phrase ‘includes a guarantee,’ 29 [C.F.R.] §541.604(b), or to the phrase ‘which amount is not subject to reduction,’ 29 C.F.R. §541.602(a), it is legally significant whether [the employees’] weekly salary was a matter of right or a matter of grace”).</w:t>
      </w:r>
    </w:p>
  </w:footnote>
  <w:footnote w:id="205">
    <w:p w14:paraId="0742D292" w14:textId="77777777" w:rsidR="00201F3F" w:rsidRPr="00CD0FEB" w:rsidRDefault="00201F3F" w:rsidP="00CE5492">
      <w:pPr>
        <w:pStyle w:val="14Footnote"/>
      </w:pPr>
      <w:r w:rsidRPr="00CD0FEB">
        <w:rPr>
          <w:vertAlign w:val="superscript"/>
        </w:rPr>
        <w:footnoteRef/>
      </w:r>
      <w:r w:rsidRPr="00CD0FEB">
        <w:t>878 F.3d 183 (6th Cir. 2017).</w:t>
      </w:r>
    </w:p>
  </w:footnote>
  <w:footnote w:id="206">
    <w:p w14:paraId="2994DA52"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192–93. </w:t>
      </w:r>
    </w:p>
  </w:footnote>
  <w:footnote w:id="207">
    <w:p w14:paraId="4E8846DE" w14:textId="77777777" w:rsidR="00201F3F" w:rsidRPr="00CD0FEB" w:rsidRDefault="00201F3F" w:rsidP="00CE5492">
      <w:pPr>
        <w:pStyle w:val="14Footnote"/>
      </w:pPr>
      <w:r w:rsidRPr="00CD0FEB">
        <w:rPr>
          <w:vertAlign w:val="superscript"/>
        </w:rPr>
        <w:footnoteRef/>
      </w:r>
      <w:r w:rsidRPr="00CD0FEB">
        <w:t xml:space="preserve">29 C.F.R. §541.604(b); </w:t>
      </w:r>
      <w:r w:rsidRPr="00CD0FEB">
        <w:rPr>
          <w:i/>
          <w:iCs/>
        </w:rPr>
        <w:t>cf</w:t>
      </w:r>
      <w:r w:rsidRPr="00CD0FEB">
        <w:t>. Brock v. Claridge Hotel &amp; Casino, 846 F.2d 180, 184–85, 28 WH Cases 1021 (3d Cir. 1988) (finding employees were not paid on salary basis where, although compensation scheme provided for minimum $250 per week guarantee, wages, including overtime pay, were mainly calculated on hourly basis and the $250 guarantee represented only small portion of a normal week’s earnings).</w:t>
      </w:r>
    </w:p>
  </w:footnote>
  <w:footnote w:id="208">
    <w:p w14:paraId="5D138CA3" w14:textId="77777777" w:rsidR="00201F3F" w:rsidRPr="00CD0FEB" w:rsidRDefault="00201F3F" w:rsidP="00CE5492">
      <w:pPr>
        <w:pStyle w:val="14Footnote"/>
        <w:rPr>
          <w:i/>
          <w:iCs/>
        </w:rPr>
      </w:pPr>
      <w:r w:rsidRPr="00CD0FEB">
        <w:rPr>
          <w:vertAlign w:val="superscript"/>
        </w:rPr>
        <w:footnoteRef/>
      </w:r>
      <w:r w:rsidRPr="00CD0FEB">
        <w:t xml:space="preserve">29 C.F.R. §541.604(b). </w:t>
      </w:r>
    </w:p>
  </w:footnote>
  <w:footnote w:id="209">
    <w:p w14:paraId="520728D3" w14:textId="77777777" w:rsidR="00201F3F" w:rsidRPr="00CD0FEB" w:rsidRDefault="00201F3F" w:rsidP="00CE5492">
      <w:pPr>
        <w:pStyle w:val="14Footnote"/>
      </w:pPr>
      <w:r w:rsidRPr="00CD0FEB">
        <w:rPr>
          <w:vertAlign w:val="superscript"/>
        </w:rPr>
        <w:footnoteRef/>
      </w:r>
      <w:r w:rsidRPr="00CD0FEB">
        <w:t>WH Op. FLSA2018-25 (Nov. 8, 2018).</w:t>
      </w:r>
      <w:r w:rsidRPr="00CD0FEB">
        <w:rPr>
          <w:i/>
          <w:iCs/>
        </w:rPr>
        <w:t xml:space="preserve"> But see</w:t>
      </w:r>
      <w:r w:rsidRPr="00CD0FEB">
        <w:t xml:space="preserve"> Blake v. Broadway Servs. Inc.</w:t>
      </w:r>
      <w:r w:rsidRPr="00CD0FEB">
        <w:rPr>
          <w:i/>
          <w:iCs/>
        </w:rPr>
        <w:t xml:space="preserve">, </w:t>
      </w:r>
      <w:r w:rsidRPr="00CD0FEB">
        <w:t>2020 BL 128218, 2020 WL 1675954, at *8–9 (D. Md. Apr. 6, 2020) (finding ratio between plaintiffs’ usual weekly earnings and guaranteed weekly salary of 1.526-to-1 and 1.570-to-1 did not materially exceed permissible ratio of 1.5-to-1).</w:t>
      </w:r>
    </w:p>
  </w:footnote>
  <w:footnote w:id="210">
    <w:p w14:paraId="77B5F7CC" w14:textId="77777777" w:rsidR="00201F3F" w:rsidRPr="00CD0FEB" w:rsidRDefault="00201F3F" w:rsidP="00CE5492">
      <w:pPr>
        <w:pStyle w:val="14Footnote"/>
      </w:pPr>
      <w:r w:rsidRPr="00CD0FEB">
        <w:rPr>
          <w:vertAlign w:val="superscript"/>
        </w:rPr>
        <w:footnoteRef/>
      </w:r>
      <w:r w:rsidRPr="00CD0FEB">
        <w:t>29 C.F.R. §541.604(b).</w:t>
      </w:r>
    </w:p>
  </w:footnote>
  <w:footnote w:id="211">
    <w:p w14:paraId="1AF0427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12">
    <w:p w14:paraId="0E31FAA4" w14:textId="77777777" w:rsidR="00201F3F" w:rsidRPr="00CD0FEB" w:rsidRDefault="00201F3F" w:rsidP="00CE5492">
      <w:pPr>
        <w:pStyle w:val="14Footnote"/>
      </w:pPr>
      <w:r w:rsidRPr="00CD0FEB">
        <w:rPr>
          <w:vertAlign w:val="superscript"/>
        </w:rPr>
        <w:footnoteRef/>
      </w:r>
      <w:r w:rsidRPr="00CD0FEB">
        <w:t>361 F.3d 621, 9 WH Cases2d 720 (11th Cir. 2004).</w:t>
      </w:r>
    </w:p>
  </w:footnote>
  <w:footnote w:id="213">
    <w:p w14:paraId="2E691648" w14:textId="77777777" w:rsidR="00201F3F" w:rsidRPr="00CD0FEB" w:rsidRDefault="00201F3F" w:rsidP="00CE5492">
      <w:pPr>
        <w:pStyle w:val="14Footnote"/>
      </w:pPr>
      <w:r w:rsidRPr="00CD0FEB">
        <w:rPr>
          <w:vertAlign w:val="superscript"/>
        </w:rPr>
        <w:footnoteRef/>
      </w:r>
      <w:r w:rsidRPr="00CD0FEB">
        <w:rPr>
          <w:i/>
          <w:iCs/>
        </w:rPr>
        <w:t>Id</w:t>
      </w:r>
      <w:r w:rsidRPr="00CD0FEB">
        <w:t>. at 625.</w:t>
      </w:r>
    </w:p>
  </w:footnote>
  <w:footnote w:id="214">
    <w:p w14:paraId="1088A48C"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15">
    <w:p w14:paraId="651D40E9" w14:textId="77777777" w:rsidR="00201F3F" w:rsidRPr="00CD0FEB" w:rsidRDefault="00201F3F" w:rsidP="00CE5492">
      <w:pPr>
        <w:pStyle w:val="14Footnote"/>
      </w:pPr>
      <w:r w:rsidRPr="00CD0FEB">
        <w:rPr>
          <w:vertAlign w:val="superscript"/>
        </w:rPr>
        <w:footnoteRef/>
      </w:r>
      <w:r w:rsidRPr="00CD0FEB">
        <w:rPr>
          <w:i/>
          <w:iCs/>
        </w:rPr>
        <w:t>Id</w:t>
      </w:r>
      <w:r w:rsidRPr="00CD0FEB">
        <w:t>. at 626.</w:t>
      </w:r>
    </w:p>
  </w:footnote>
  <w:footnote w:id="216">
    <w:p w14:paraId="2E50115F" w14:textId="77777777" w:rsidR="00201F3F" w:rsidRPr="00CD0FEB" w:rsidRDefault="00201F3F" w:rsidP="00CE5492">
      <w:pPr>
        <w:pStyle w:val="14Footnote"/>
      </w:pPr>
      <w:r w:rsidRPr="00CD0FEB">
        <w:rPr>
          <w:vertAlign w:val="superscript"/>
        </w:rPr>
        <w:footnoteRef/>
      </w:r>
      <w:r w:rsidRPr="00CD0FEB">
        <w:t>547 F.3d 158, 14 WH Cases2d 225 (2d Cir. 2008).</w:t>
      </w:r>
    </w:p>
  </w:footnote>
  <w:footnote w:id="217">
    <w:p w14:paraId="50B74479" w14:textId="77777777" w:rsidR="00201F3F" w:rsidRPr="00CD0FEB" w:rsidRDefault="00201F3F" w:rsidP="00CE5492">
      <w:pPr>
        <w:pStyle w:val="14Footnote"/>
      </w:pPr>
      <w:r w:rsidRPr="00CD0FEB">
        <w:rPr>
          <w:vertAlign w:val="superscript"/>
        </w:rPr>
        <w:footnoteRef/>
      </w:r>
      <w:r w:rsidRPr="00CD0FEB">
        <w:rPr>
          <w:i/>
          <w:iCs/>
        </w:rPr>
        <w:t>Id</w:t>
      </w:r>
      <w:r w:rsidRPr="00CD0FEB">
        <w:t>. at 165.</w:t>
      </w:r>
    </w:p>
  </w:footnote>
  <w:footnote w:id="218">
    <w:p w14:paraId="21CAC36E" w14:textId="77777777" w:rsidR="00201F3F" w:rsidRPr="00CD0FEB" w:rsidRDefault="00201F3F" w:rsidP="00CE5492">
      <w:pPr>
        <w:pStyle w:val="14Footnote"/>
      </w:pPr>
      <w:r w:rsidRPr="00CD0FEB">
        <w:rPr>
          <w:vertAlign w:val="superscript"/>
        </w:rPr>
        <w:footnoteRef/>
      </w:r>
      <w:r w:rsidRPr="00CD0FEB">
        <w:rPr>
          <w:i/>
          <w:iCs/>
        </w:rPr>
        <w:t>Id</w:t>
      </w:r>
      <w:r w:rsidRPr="00CD0FEB">
        <w:t>. at 166.</w:t>
      </w:r>
    </w:p>
  </w:footnote>
  <w:footnote w:id="219">
    <w:p w14:paraId="7AB814E5" w14:textId="77777777" w:rsidR="00201F3F" w:rsidRPr="00CD0FEB" w:rsidRDefault="00201F3F" w:rsidP="00CE5492">
      <w:pPr>
        <w:pStyle w:val="14Footnote"/>
      </w:pPr>
      <w:r w:rsidRPr="00CD0FEB">
        <w:rPr>
          <w:vertAlign w:val="superscript"/>
        </w:rPr>
        <w:footnoteRef/>
      </w:r>
      <w:r w:rsidRPr="00CD0FEB">
        <w:t xml:space="preserve">29 C.F.R. §541.602(b)(1). Such deductions may only be taken for full-day absences. </w:t>
      </w:r>
      <w:r w:rsidRPr="00CD0FEB">
        <w:rPr>
          <w:i/>
        </w:rPr>
        <w:t>See</w:t>
      </w:r>
      <w:r w:rsidRPr="00CD0FEB">
        <w:t xml:space="preserve"> WH Op. FLSA2005-7, 2005 WL 330606 (Jan. 7, 2005). See the discussion of absences of less than one day in §IV.E.3 [The Salary Basis Test; Impermissible Deductions From an Employee’s Salary; Absences of Less Than One Day] of this chapter.</w:t>
      </w:r>
    </w:p>
  </w:footnote>
  <w:footnote w:id="220">
    <w:p w14:paraId="03068F67" w14:textId="77777777" w:rsidR="00201F3F" w:rsidRPr="00CD0FEB" w:rsidRDefault="00201F3F" w:rsidP="00CE5492">
      <w:pPr>
        <w:pStyle w:val="14Footnote"/>
      </w:pPr>
      <w:r w:rsidRPr="00CD0FEB">
        <w:rPr>
          <w:vertAlign w:val="superscript"/>
        </w:rPr>
        <w:footnoteRef/>
      </w:r>
      <w:r w:rsidRPr="00CD0FEB">
        <w:t>WH Op. FLSA2005-41, 2005 WL 3308612 (Oct. 24, 2005).</w:t>
      </w:r>
    </w:p>
  </w:footnote>
  <w:footnote w:id="221">
    <w:p w14:paraId="2DB81FC9" w14:textId="77777777" w:rsidR="00201F3F" w:rsidRPr="00CD0FEB" w:rsidRDefault="00201F3F" w:rsidP="00CE5492">
      <w:pPr>
        <w:pStyle w:val="14Footnote"/>
      </w:pPr>
      <w:r w:rsidRPr="00CD0FEB">
        <w:rPr>
          <w:vertAlign w:val="superscript"/>
        </w:rPr>
        <w:footnoteRef/>
      </w:r>
      <w:r w:rsidRPr="00CD0FEB">
        <w:t>WH Op. FLSA2005-46, 2005 WL 3308617 (Oct. 28, 2005).</w:t>
      </w:r>
    </w:p>
  </w:footnote>
  <w:footnote w:id="222">
    <w:p w14:paraId="0BA832CC"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 xml:space="preserve">at 1. </w:t>
      </w:r>
    </w:p>
  </w:footnote>
  <w:footnote w:id="223">
    <w:p w14:paraId="4EB17F3F" w14:textId="77777777" w:rsidR="00201F3F" w:rsidRPr="00CD0FEB" w:rsidRDefault="00201F3F" w:rsidP="00CE5492">
      <w:pPr>
        <w:pStyle w:val="14Footnote"/>
      </w:pPr>
      <w:r w:rsidRPr="00CD0FEB">
        <w:rPr>
          <w:vertAlign w:val="superscript"/>
        </w:rPr>
        <w:footnoteRef/>
      </w:r>
      <w:r w:rsidRPr="00CD0FEB">
        <w:t>WH Op. FLSA2018-7, 2018 WL 2348787 (Jan. 5, 2018).</w:t>
      </w:r>
    </w:p>
  </w:footnote>
  <w:footnote w:id="224">
    <w:p w14:paraId="0A6B6423" w14:textId="77777777" w:rsidR="00201F3F" w:rsidRPr="00CD0FEB" w:rsidRDefault="00201F3F" w:rsidP="00CE5492">
      <w:pPr>
        <w:pStyle w:val="14Footnote"/>
      </w:pPr>
      <w:r w:rsidRPr="00CD0FEB">
        <w:rPr>
          <w:vertAlign w:val="superscript"/>
        </w:rPr>
        <w:footnoteRef/>
      </w:r>
      <w:r w:rsidRPr="00CD0FEB">
        <w:t xml:space="preserve">29 C.F.R. §541.602(a)(2); </w:t>
      </w:r>
      <w:r w:rsidRPr="00CD0FEB">
        <w:rPr>
          <w:i/>
          <w:iCs/>
        </w:rPr>
        <w:t>see also</w:t>
      </w:r>
      <w:r w:rsidRPr="00CD0FEB">
        <w:t xml:space="preserve"> Baudin v. Courtesy Litho Arts, 24 F. Supp. 2d 887, 4 WH Cases2d 1830 (N.D. Ill. 1998) (holding that deduction from employee’s vacation time for full days he was out sick did not destroy salaried status).</w:t>
      </w:r>
    </w:p>
  </w:footnote>
  <w:footnote w:id="225">
    <w:p w14:paraId="54ED5ACB" w14:textId="77777777" w:rsidR="00201F3F" w:rsidRPr="00CD0FEB" w:rsidRDefault="00201F3F" w:rsidP="00CE5492">
      <w:pPr>
        <w:pStyle w:val="14Footnote"/>
      </w:pPr>
      <w:r w:rsidRPr="00CD0FEB">
        <w:rPr>
          <w:vertAlign w:val="superscript"/>
        </w:rPr>
        <w:footnoteRef/>
      </w:r>
      <w:r w:rsidRPr="00CD0FEB">
        <w:t>29 C.F.R. §541.602(a)(2).</w:t>
      </w:r>
    </w:p>
  </w:footnote>
  <w:footnote w:id="226">
    <w:p w14:paraId="30C113E9"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27">
    <w:p w14:paraId="7A259647"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28">
    <w:p w14:paraId="0F030A52" w14:textId="77777777" w:rsidR="00201F3F" w:rsidRPr="00CD0FEB" w:rsidRDefault="00201F3F" w:rsidP="00CE5492">
      <w:pPr>
        <w:pStyle w:val="14Footnote"/>
      </w:pPr>
      <w:r w:rsidRPr="00CD0FEB">
        <w:rPr>
          <w:vertAlign w:val="superscript"/>
        </w:rPr>
        <w:footnoteRef/>
      </w:r>
      <w:r w:rsidRPr="00CD0FEB">
        <w:t>121 F.3d 1066, 4 WH Cases2d 59 (7th Cir. 1997).</w:t>
      </w:r>
    </w:p>
  </w:footnote>
  <w:footnote w:id="229">
    <w:p w14:paraId="02AFAE41" w14:textId="77777777" w:rsidR="00201F3F" w:rsidRPr="00CD0FEB" w:rsidRDefault="00201F3F" w:rsidP="00CE5492">
      <w:pPr>
        <w:pStyle w:val="14Footnote"/>
      </w:pPr>
      <w:r w:rsidRPr="00CD0FEB">
        <w:rPr>
          <w:vertAlign w:val="superscript"/>
        </w:rPr>
        <w:footnoteRef/>
      </w:r>
      <w:r w:rsidRPr="00CD0FEB">
        <w:t xml:space="preserve">The WHD has similarly opined that requiring exempt employees to work a minimum number of hours per week and to make up work time lost due to personal absences of less than one day’s time will not cause the loss of exempt status so as long as the employer did not actually dock an employee’s salary. WH Op. FLSA2006-6, 2006 WL 940662 (Mar. 10, 2006); </w:t>
      </w:r>
      <w:r w:rsidRPr="00CD0FEB">
        <w:rPr>
          <w:i/>
          <w:iCs/>
        </w:rPr>
        <w:t>see also</w:t>
      </w:r>
      <w:r w:rsidRPr="00CD0FEB">
        <w:t xml:space="preserve"> WH Op. FLSA2005-16, 2005 WL 2086805 (Apr. 11, 2005) (stating exempt status is not affected by requirement that employees track work time on an hourly basis or by employer’s reliance on absences as a factor in evaluating performance).</w:t>
      </w:r>
    </w:p>
  </w:footnote>
  <w:footnote w:id="230">
    <w:p w14:paraId="28BCAB83" w14:textId="77777777" w:rsidR="00201F3F" w:rsidRPr="00CD0FEB" w:rsidRDefault="00201F3F" w:rsidP="00CE5492">
      <w:pPr>
        <w:pStyle w:val="14Footnote"/>
      </w:pPr>
      <w:r w:rsidRPr="00CD0FEB">
        <w:rPr>
          <w:vertAlign w:val="superscript"/>
        </w:rPr>
        <w:footnoteRef/>
      </w:r>
      <w:r w:rsidRPr="00CD0FEB">
        <w:t>WH Op. FLSA2018-14, 2018 WL 2348793, at *2 (Jan. 5, 2018).</w:t>
      </w:r>
    </w:p>
  </w:footnote>
  <w:footnote w:id="231">
    <w:p w14:paraId="690C8766" w14:textId="77777777" w:rsidR="00201F3F" w:rsidRPr="00CD0FEB" w:rsidRDefault="00201F3F" w:rsidP="00CE5492">
      <w:pPr>
        <w:pStyle w:val="14Footnote"/>
      </w:pPr>
      <w:r w:rsidRPr="00CD0FEB">
        <w:rPr>
          <w:vertAlign w:val="superscript"/>
        </w:rPr>
        <w:footnoteRef/>
      </w:r>
      <w:r w:rsidRPr="00CD0FEB">
        <w:t>WH Op. FLSA2003-3NA, 2003 WL 25530785 (May 5, 2003); 29 U.S.C. §212(c).</w:t>
      </w:r>
    </w:p>
  </w:footnote>
  <w:footnote w:id="232">
    <w:p w14:paraId="20B3377D" w14:textId="77777777" w:rsidR="00201F3F" w:rsidRPr="00CD0FEB" w:rsidRDefault="00201F3F" w:rsidP="00CE5492">
      <w:pPr>
        <w:pStyle w:val="14Footnote"/>
      </w:pPr>
      <w:r w:rsidRPr="00CD0FEB">
        <w:rPr>
          <w:vertAlign w:val="superscript"/>
        </w:rPr>
        <w:footnoteRef/>
      </w:r>
      <w:r w:rsidRPr="00CD0FEB">
        <w:t>WH Op. FLSA2006-32, 2006 WL 2792446 (Sept. 14, 2006).</w:t>
      </w:r>
    </w:p>
  </w:footnote>
  <w:footnote w:id="233">
    <w:p w14:paraId="16646B50" w14:textId="77777777" w:rsidR="00201F3F" w:rsidRPr="00CD0FEB" w:rsidRDefault="00201F3F" w:rsidP="00CE5492">
      <w:pPr>
        <w:pStyle w:val="14Footnote"/>
      </w:pPr>
      <w:r w:rsidRPr="00CD0FEB">
        <w:rPr>
          <w:rStyle w:val="FootnoteReference"/>
        </w:rPr>
        <w:footnoteRef/>
      </w:r>
      <w:r w:rsidRPr="00CD0FEB">
        <w:rPr>
          <w:i/>
          <w:iCs/>
        </w:rPr>
        <w:t>Id</w:t>
      </w:r>
      <w:r w:rsidRPr="00CD0FEB">
        <w:t>. (citing WH Op. Ltr. (July 21, 1997); WH Op. Ltr. (Nov. 20, 1995); WH Op. Ltr. (Apr. 14, 1992); WH Op. Ltr. (Aug. 15, 1972); WH Op. Ltr. (Mar. 1, 1982)).</w:t>
      </w:r>
    </w:p>
  </w:footnote>
  <w:footnote w:id="234">
    <w:p w14:paraId="257598AE" w14:textId="77777777" w:rsidR="00201F3F" w:rsidRPr="00CD0FEB" w:rsidRDefault="00201F3F" w:rsidP="00CE5492">
      <w:pPr>
        <w:pStyle w:val="14Footnote"/>
      </w:pPr>
      <w:r w:rsidRPr="00CD0FEB">
        <w:rPr>
          <w:vertAlign w:val="superscript"/>
        </w:rPr>
        <w:footnoteRef/>
      </w:r>
      <w:r w:rsidRPr="00CD0FEB">
        <w:t>29 C.F.R. §541.602(a)(4).</w:t>
      </w:r>
    </w:p>
  </w:footnote>
  <w:footnote w:id="235">
    <w:p w14:paraId="2B6F2307" w14:textId="77777777" w:rsidR="00201F3F" w:rsidRPr="00CD0FEB" w:rsidRDefault="00201F3F" w:rsidP="00CE5492">
      <w:pPr>
        <w:pStyle w:val="14Footnote"/>
      </w:pPr>
      <w:r w:rsidRPr="00CD0FEB">
        <w:rPr>
          <w:vertAlign w:val="superscript"/>
        </w:rPr>
        <w:footnoteRef/>
      </w:r>
      <w:r w:rsidRPr="00CD0FEB">
        <w:rPr>
          <w:i/>
          <w:iCs/>
        </w:rPr>
        <w:t>Id</w:t>
      </w:r>
      <w:r w:rsidRPr="00CD0FEB">
        <w:t>. The DOL has construed “safety rules of major significance” to include Department of Defense rules regarding industrial security. WH Admin. Op. (Nov. 7, 1963).</w:t>
      </w:r>
    </w:p>
  </w:footnote>
  <w:footnote w:id="236">
    <w:p w14:paraId="619F98E2" w14:textId="77777777" w:rsidR="00201F3F" w:rsidRPr="00CD0FEB" w:rsidRDefault="00201F3F" w:rsidP="00CE5492">
      <w:pPr>
        <w:pStyle w:val="14Footnote"/>
      </w:pPr>
      <w:r w:rsidRPr="00CD0FEB">
        <w:rPr>
          <w:vertAlign w:val="superscript"/>
        </w:rPr>
        <w:footnoteRef/>
      </w:r>
      <w:r w:rsidRPr="00CD0FEB">
        <w:t>775 F.3d 1280, 23 WH Cases2d 1751 (11th Cir. 2014).</w:t>
      </w:r>
    </w:p>
  </w:footnote>
  <w:footnote w:id="237">
    <w:p w14:paraId="42B91208"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1288–89.</w:t>
      </w:r>
    </w:p>
  </w:footnote>
  <w:footnote w:id="238">
    <w:p w14:paraId="50F5A761" w14:textId="77777777" w:rsidR="00201F3F" w:rsidRPr="00CD0FEB" w:rsidRDefault="00201F3F" w:rsidP="00CE5492">
      <w:pPr>
        <w:pStyle w:val="14Footnote"/>
      </w:pPr>
      <w:r w:rsidRPr="00CD0FEB">
        <w:rPr>
          <w:vertAlign w:val="superscript"/>
        </w:rPr>
        <w:footnoteRef/>
      </w:r>
      <w:r w:rsidRPr="00CD0FEB">
        <w:t>2000 WL 1154062, 6 WH Cases2d 753 (S.D.N.Y. Aug. 15, 2000).</w:t>
      </w:r>
    </w:p>
  </w:footnote>
  <w:footnote w:id="239">
    <w:p w14:paraId="7B231258" w14:textId="77777777" w:rsidR="00201F3F" w:rsidRPr="00CD0FEB" w:rsidRDefault="00201F3F" w:rsidP="00CE5492">
      <w:pPr>
        <w:pStyle w:val="14Footnote"/>
      </w:pPr>
      <w:r w:rsidRPr="00CD0FEB">
        <w:rPr>
          <w:vertAlign w:val="superscript"/>
        </w:rPr>
        <w:footnoteRef/>
      </w:r>
      <w:r w:rsidRPr="00CD0FEB">
        <w:rPr>
          <w:i/>
          <w:iCs/>
        </w:rPr>
        <w:t>Id</w:t>
      </w:r>
      <w:r w:rsidRPr="00CD0FEB">
        <w:t>. at *22.</w:t>
      </w:r>
    </w:p>
  </w:footnote>
  <w:footnote w:id="240">
    <w:p w14:paraId="0B83BF92" w14:textId="77777777" w:rsidR="00201F3F" w:rsidRPr="00CD0FEB" w:rsidRDefault="00201F3F" w:rsidP="00CE5492">
      <w:pPr>
        <w:pStyle w:val="14Footnote"/>
      </w:pPr>
      <w:r w:rsidRPr="00CD0FEB">
        <w:rPr>
          <w:vertAlign w:val="superscript"/>
        </w:rPr>
        <w:footnoteRef/>
      </w:r>
      <w:r w:rsidRPr="00CD0FEB">
        <w:rPr>
          <w:i/>
          <w:iCs/>
        </w:rPr>
        <w:t>Id</w:t>
      </w:r>
      <w:r w:rsidRPr="00CD0FEB">
        <w:t>. at *26.</w:t>
      </w:r>
    </w:p>
  </w:footnote>
  <w:footnote w:id="241">
    <w:p w14:paraId="5858F26B" w14:textId="77777777" w:rsidR="00201F3F" w:rsidRPr="00CD0FEB" w:rsidRDefault="00201F3F" w:rsidP="00CE5492">
      <w:pPr>
        <w:pStyle w:val="14Footnote"/>
      </w:pPr>
      <w:r w:rsidRPr="00CD0FEB">
        <w:rPr>
          <w:vertAlign w:val="superscript"/>
        </w:rPr>
        <w:footnoteRef/>
      </w:r>
      <w:r w:rsidRPr="00CD0FEB">
        <w:rPr>
          <w:i/>
          <w:iCs/>
        </w:rPr>
        <w:t>Id</w:t>
      </w:r>
      <w:r w:rsidRPr="00CD0FEB">
        <w:t>. at *27.</w:t>
      </w:r>
    </w:p>
  </w:footnote>
  <w:footnote w:id="242">
    <w:p w14:paraId="6758DD6B" w14:textId="77777777" w:rsidR="00201F3F" w:rsidRPr="00CD0FEB" w:rsidRDefault="00201F3F" w:rsidP="00CE5492">
      <w:pPr>
        <w:pStyle w:val="14Footnote"/>
      </w:pPr>
      <w:r w:rsidRPr="00CD0FEB">
        <w:rPr>
          <w:vertAlign w:val="superscript"/>
        </w:rPr>
        <w:footnoteRef/>
      </w:r>
      <w:r w:rsidRPr="00CD0FEB">
        <w:t>Avery v. City of Talladega, 24 F.3d 1337, 1341, 2 WH Cases2d 778 (11th Cir. 1994).</w:t>
      </w:r>
    </w:p>
  </w:footnote>
  <w:footnote w:id="243">
    <w:p w14:paraId="573336F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44">
    <w:p w14:paraId="62CFE363" w14:textId="77777777" w:rsidR="00201F3F" w:rsidRPr="00CD0FEB" w:rsidRDefault="00201F3F" w:rsidP="00CE5492">
      <w:pPr>
        <w:pStyle w:val="14Footnote"/>
      </w:pPr>
      <w:r w:rsidRPr="00CD0FEB">
        <w:rPr>
          <w:vertAlign w:val="superscript"/>
        </w:rPr>
        <w:footnoteRef/>
      </w:r>
      <w:r w:rsidRPr="00CD0FEB">
        <w:t xml:space="preserve">29 C.F.R. §541.602(b)(5). </w:t>
      </w:r>
      <w:r w:rsidRPr="00CD0FEB">
        <w:rPr>
          <w:i/>
          <w:iCs/>
        </w:rPr>
        <w:t>See, e</w:t>
      </w:r>
      <w:r w:rsidRPr="00CD0FEB">
        <w:t>.</w:t>
      </w:r>
      <w:r w:rsidRPr="00CD0FEB">
        <w:rPr>
          <w:i/>
          <w:iCs/>
        </w:rPr>
        <w:t>g</w:t>
      </w:r>
      <w:r w:rsidRPr="00CD0FEB">
        <w:t>., Watkins v. City of Montgomery, 775 F.3d 1280, 23 WH Cases2d 1751 (11th Cir. 2014) (ruling that disciplinary suspensions imposed on fire department employees for infractions such as driving to the wrong address and missing a street when responding to an emergency implicated workplace conduct rules and potentially amounted to violations of safety rules of major significance); Parmar v. Safeway Inc., 2011 WL 888238, at *5 (W.D. Wash. Mar. 14, 2011) (holding that three-day suspension of pharmacist for violation of “best practice procedures” relating to investigation of prescription errors did not convert her to non-salaried employee, noting that investigation was made in “good faith”).</w:t>
      </w:r>
    </w:p>
  </w:footnote>
  <w:footnote w:id="245">
    <w:p w14:paraId="5C53485F" w14:textId="77777777" w:rsidR="00201F3F" w:rsidRPr="00CD0FEB" w:rsidRDefault="00201F3F" w:rsidP="00CE5492">
      <w:pPr>
        <w:pStyle w:val="14Footnote"/>
      </w:pPr>
      <w:r w:rsidRPr="00CD0FEB">
        <w:rPr>
          <w:vertAlign w:val="superscript"/>
        </w:rPr>
        <w:footnoteRef/>
      </w:r>
      <w:r w:rsidRPr="00CD0FEB">
        <w:t>69 Fed. Reg. 22,121, 22,177 (Apr. 23, 2004).</w:t>
      </w:r>
    </w:p>
  </w:footnote>
  <w:footnote w:id="246">
    <w:p w14:paraId="020C449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47">
    <w:p w14:paraId="2BAF69A2" w14:textId="77777777" w:rsidR="00201F3F" w:rsidRPr="00CD0FEB" w:rsidRDefault="00201F3F" w:rsidP="00CE5492">
      <w:pPr>
        <w:pStyle w:val="14Footnote"/>
      </w:pPr>
      <w:r w:rsidRPr="00CD0FEB">
        <w:rPr>
          <w:vertAlign w:val="superscript"/>
        </w:rPr>
        <w:footnoteRef/>
      </w:r>
      <w:r w:rsidRPr="00CD0FEB">
        <w:t xml:space="preserve">29 C.F.R. §541.602(b)(5); </w:t>
      </w:r>
      <w:r w:rsidRPr="00CD0FEB">
        <w:rPr>
          <w:i/>
          <w:iCs/>
        </w:rPr>
        <w:t xml:space="preserve">see also </w:t>
      </w:r>
      <w:r w:rsidRPr="00CD0FEB">
        <w:t xml:space="preserve">Wetzel v. Town of Orangetown, 2013 WL 1120026 (S.D.N.Y. Mar. 18, 2013), </w:t>
      </w:r>
      <w:r w:rsidRPr="00CD0FEB">
        <w:rPr>
          <w:i/>
          <w:iCs/>
        </w:rPr>
        <w:t>aff’d</w:t>
      </w:r>
      <w:r w:rsidRPr="00CD0FEB">
        <w:t xml:space="preserve">, 556 F. App’x 46 (2d Cir. 2014) (holding that policy allowing police department to deduct from officers’ vacation accrual for time spent attending disciplinary hearing did not violate salary basis test where policy was set forth in county police act); Bass v. City of Jackson, 2012 WL 954882 (S.D. Miss. Mar. 20, 2012), </w:t>
      </w:r>
      <w:r w:rsidRPr="00CD0FEB">
        <w:rPr>
          <w:i/>
          <w:iCs/>
        </w:rPr>
        <w:t>aff’d,</w:t>
      </w:r>
      <w:r w:rsidRPr="00CD0FEB">
        <w:t xml:space="preserve"> 540 F. App’x 300 (5th Cir. 2013) (affirming that City policy prohibiting firefighters from being absent without official leave did not violate salary basis test where neither plaintiff was actually disciplined under the policy).</w:t>
      </w:r>
    </w:p>
  </w:footnote>
  <w:footnote w:id="248">
    <w:p w14:paraId="03744878" w14:textId="77777777" w:rsidR="00201F3F" w:rsidRPr="00CD0FEB" w:rsidRDefault="00201F3F" w:rsidP="00CE5492">
      <w:pPr>
        <w:pStyle w:val="14Footnote"/>
      </w:pPr>
      <w:r w:rsidRPr="00CD0FEB">
        <w:rPr>
          <w:vertAlign w:val="superscript"/>
        </w:rPr>
        <w:footnoteRef/>
      </w:r>
      <w:r w:rsidRPr="00CD0FEB">
        <w:t>69 Fed. Reg. at 22,177.</w:t>
      </w:r>
    </w:p>
  </w:footnote>
  <w:footnote w:id="249">
    <w:p w14:paraId="1F0CDB31" w14:textId="77777777" w:rsidR="00201F3F" w:rsidRPr="00CD0FEB" w:rsidRDefault="00201F3F" w:rsidP="00CE5492">
      <w:pPr>
        <w:pStyle w:val="14Footnote"/>
      </w:pPr>
      <w:r w:rsidRPr="00CD0FEB">
        <w:rPr>
          <w:vertAlign w:val="superscript"/>
        </w:rPr>
        <w:footnoteRef/>
      </w:r>
      <w:r w:rsidRPr="00CD0FEB">
        <w:t>29 C.F.R. §541.602(b)(7).</w:t>
      </w:r>
    </w:p>
  </w:footnote>
  <w:footnote w:id="250">
    <w:p w14:paraId="4B41B819"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51">
    <w:p w14:paraId="334073FF" w14:textId="77777777" w:rsidR="00201F3F" w:rsidRPr="00CD0FEB" w:rsidRDefault="00201F3F" w:rsidP="00CE5492">
      <w:pPr>
        <w:pStyle w:val="14Footnote"/>
      </w:pPr>
      <w:r w:rsidRPr="00CD0FEB">
        <w:rPr>
          <w:vertAlign w:val="superscript"/>
        </w:rPr>
        <w:footnoteRef/>
      </w:r>
      <w:r w:rsidRPr="00CD0FEB">
        <w:rPr>
          <w:i/>
          <w:iCs/>
        </w:rPr>
        <w:t>Id</w:t>
      </w:r>
      <w:r w:rsidRPr="00CD0FEB">
        <w:t>. §541.602(b)(6).</w:t>
      </w:r>
    </w:p>
  </w:footnote>
  <w:footnote w:id="252">
    <w:p w14:paraId="4AAEBA1B"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53">
    <w:p w14:paraId="2C2667B0"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§541.602(b)(7); </w:t>
      </w:r>
      <w:r w:rsidRPr="00CD0FEB">
        <w:rPr>
          <w:i/>
          <w:iCs/>
        </w:rPr>
        <w:t>see also id</w:t>
      </w:r>
      <w:r w:rsidRPr="00CD0FEB">
        <w:t>. §825.206.</w:t>
      </w:r>
    </w:p>
  </w:footnote>
  <w:footnote w:id="254">
    <w:p w14:paraId="5864A886" w14:textId="77777777" w:rsidR="00201F3F" w:rsidRPr="00CD0FEB" w:rsidRDefault="00201F3F" w:rsidP="00CE5492">
      <w:pPr>
        <w:pStyle w:val="14Footnote"/>
      </w:pPr>
      <w:r w:rsidRPr="00CD0FEB">
        <w:rPr>
          <w:vertAlign w:val="superscript"/>
        </w:rPr>
        <w:footnoteRef/>
      </w:r>
      <w:r w:rsidRPr="00CD0FEB">
        <w:t xml:space="preserve">WH Op. FLSA2005-16, 2005 WL 2086805 (Apr. 11, 2005). </w:t>
      </w:r>
      <w:r w:rsidRPr="00CD0FEB">
        <w:rPr>
          <w:i/>
          <w:iCs/>
        </w:rPr>
        <w:t>See, e</w:t>
      </w:r>
      <w:r w:rsidRPr="00CD0FEB">
        <w:t>.</w:t>
      </w:r>
      <w:r w:rsidRPr="00CD0FEB">
        <w:rPr>
          <w:i/>
          <w:iCs/>
        </w:rPr>
        <w:t>g</w:t>
      </w:r>
      <w:r w:rsidRPr="00CD0FEB">
        <w:t>., Fetrow-Fix v. Harrah’s Entm’t, Inc., 2011 WL 5827199, at *3, 18 WH Cases2d 925 (D. Nev. Nov. 18, 2011) (observing that pay deductions for FMLA-related absences are not improper and do not affect salaried status).</w:t>
      </w:r>
    </w:p>
  </w:footnote>
  <w:footnote w:id="255">
    <w:p w14:paraId="28A1F180" w14:textId="77777777" w:rsidR="00201F3F" w:rsidRPr="00CD0FEB" w:rsidRDefault="00201F3F" w:rsidP="00CE5492">
      <w:pPr>
        <w:pStyle w:val="14Footnote"/>
      </w:pPr>
      <w:r w:rsidRPr="00CD0FEB">
        <w:rPr>
          <w:vertAlign w:val="superscript"/>
        </w:rPr>
        <w:footnoteRef/>
      </w:r>
      <w:r w:rsidRPr="00CD0FEB">
        <w:t>244 F.3d 1115, 6 WH Cases2d 1541 (9th Cir. 2001).</w:t>
      </w:r>
    </w:p>
  </w:footnote>
  <w:footnote w:id="256">
    <w:p w14:paraId="67BA86A7" w14:textId="77777777" w:rsidR="00201F3F" w:rsidRPr="00CD0FEB" w:rsidRDefault="00201F3F" w:rsidP="00CE5492">
      <w:pPr>
        <w:pStyle w:val="14Footnote"/>
      </w:pPr>
      <w:r w:rsidRPr="00CD0FEB">
        <w:rPr>
          <w:vertAlign w:val="superscript"/>
        </w:rPr>
        <w:footnoteRef/>
      </w:r>
      <w:r w:rsidRPr="00CD0FEB">
        <w:t>69 Fed Reg. 22,121, 22,178 (Apr. 23, 2004) (citing Webster v. Public Sch. Emps. of Wash., Inc., 247 F.3d 910 (9th Cir. 2001); Aaron v. City of Wichita, 54 F.3d 652 (10th Cir. 1995); Graziano v. Society of the N.Y. Hosps., 1997 WL 639026 (S.D.N.Y. 1997); WH Op. (Apr. 15, 1995); WH Op., 1994 WL 1004763 (Mar. 30, 1994); WH Op., 1992 WL 845095 (Apr. 14, 1992)).</w:t>
      </w:r>
    </w:p>
    <w:p w14:paraId="79CC959F" w14:textId="77777777" w:rsidR="00201F3F" w:rsidRPr="00CD0FEB" w:rsidRDefault="00201F3F" w:rsidP="00CE5492">
      <w:pPr>
        <w:pStyle w:val="14Footnote"/>
        <w:rPr>
          <w:i/>
          <w:iCs/>
        </w:rPr>
      </w:pPr>
      <w:r w:rsidRPr="00CD0FEB">
        <w:rPr>
          <w:i/>
          <w:iCs/>
        </w:rPr>
        <w:t>See also</w:t>
      </w:r>
    </w:p>
    <w:p w14:paraId="3894F69D" w14:textId="77777777" w:rsidR="00201F3F" w:rsidRPr="00CD0FEB" w:rsidRDefault="00201F3F" w:rsidP="00CE5492">
      <w:pPr>
        <w:pStyle w:val="14Footnote"/>
      </w:pPr>
      <w:r w:rsidRPr="00CD0FEB">
        <w:rPr>
          <w:i/>
          <w:iCs/>
        </w:rPr>
        <w:t xml:space="preserve">First Circuit: </w:t>
      </w:r>
      <w:r w:rsidRPr="00CD0FEB">
        <w:t>McGowen v. Four Directions Dev. Corp., 2014 WL 916366 (D. Me. Mar. 10, 2014) (finding that where an employee was required to use “comp time” or a paid leave bank to cover hours not worked under 40 in a workweek and accrued comp time when she worked more than 40, she was paid on a salary basis because employer did not make any actual deductions from the employee’s pay).</w:t>
      </w:r>
    </w:p>
    <w:p w14:paraId="45C5B6A2" w14:textId="77777777" w:rsidR="00201F3F" w:rsidRPr="00CD0FEB" w:rsidRDefault="00201F3F" w:rsidP="00CE5492">
      <w:pPr>
        <w:pStyle w:val="14Footnote"/>
      </w:pPr>
      <w:r w:rsidRPr="00CD0FEB">
        <w:rPr>
          <w:i/>
          <w:iCs/>
        </w:rPr>
        <w:t xml:space="preserve">Second Circuit: </w:t>
      </w:r>
      <w:r w:rsidRPr="00CD0FEB">
        <w:t>Graziano v. Society of the N.Y. Hosp., 1997 WL 639026,</w:t>
      </w:r>
      <w:r w:rsidRPr="00CD0FEB">
        <w:rPr>
          <w:b/>
          <w:bCs/>
        </w:rPr>
        <w:t xml:space="preserve"> </w:t>
      </w:r>
      <w:r w:rsidRPr="00CD0FEB">
        <w:t>4 WH Cases2d 286 (S.D.N.Y. Oct. 15, 1997) (holding employer’s policy of requiring employees to draw on banked comp time or accrued vacation time to account for partial-day absences did not run afoul of the salary basis test).</w:t>
      </w:r>
    </w:p>
    <w:p w14:paraId="4CFC3746" w14:textId="77777777" w:rsidR="00201F3F" w:rsidRPr="00CD0FEB" w:rsidRDefault="00201F3F" w:rsidP="00CE5492">
      <w:pPr>
        <w:pStyle w:val="14Footnote"/>
      </w:pPr>
      <w:r w:rsidRPr="00CD0FEB">
        <w:rPr>
          <w:i/>
          <w:iCs/>
        </w:rPr>
        <w:t>Seventh Circuit:</w:t>
      </w:r>
      <w:r w:rsidRPr="00CD0FEB">
        <w:t xml:space="preserve"> Klein v. Rush Presbyterian-St. Luke’s Med. Ctr., 990 F.2d 279, 284, 1 WH Cases2d 537 (7th Cir. 1993) (nurse who would fall into “negative comp time” if she was late or missed partial days of work not paid on a salary basis within the meaning of the DOL regulations because she was in debt to company).</w:t>
      </w:r>
    </w:p>
    <w:p w14:paraId="02E14AC8" w14:textId="77777777" w:rsidR="00201F3F" w:rsidRPr="00CD0FEB" w:rsidRDefault="00201F3F" w:rsidP="00CE5492">
      <w:pPr>
        <w:pStyle w:val="14Footnote"/>
      </w:pPr>
      <w:r w:rsidRPr="00CD0FEB">
        <w:rPr>
          <w:i/>
          <w:iCs/>
        </w:rPr>
        <w:t>Ninth Circuit:</w:t>
      </w:r>
      <w:r w:rsidRPr="00CD0FEB">
        <w:t xml:space="preserve"> Webster v. Public Sch. Emps. of Wash., Inc., 247 F.3d 910, 6 WH Cases2d 1601 (9th Cir. 2001) (deeming employer deduction of 15-minute increments from accrued sick or vacation time if employee worked less than 40 hours per week permissible under FLSA); Barner v. City of Novato, 17 F.3d 1256, 1261–62, 1 WH Cases2d 1505 (9th Cir. 1994) (employers may deduct from leave time for partial-day absences without jeopardizing exempt status).</w:t>
      </w:r>
    </w:p>
    <w:p w14:paraId="17FE7FAC" w14:textId="77777777" w:rsidR="00201F3F" w:rsidRPr="00CD0FEB" w:rsidRDefault="00201F3F" w:rsidP="00CE5492">
      <w:pPr>
        <w:pStyle w:val="14Footnote"/>
      </w:pPr>
      <w:r w:rsidRPr="00CD0FEB">
        <w:rPr>
          <w:i/>
          <w:iCs/>
        </w:rPr>
        <w:t>Tenth Circuit:</w:t>
      </w:r>
      <w:r w:rsidRPr="00CD0FEB">
        <w:t xml:space="preserve"> Aaron v. City of Wichita, 54 F.3d 652, 658, 2 WH Cases2d 1159 (10th Cir. 1995) (ruling that “the City’s policy of docking paid leave does not preclude salary status as a matter of law”); McBride v. Peak Wellness Ctr., Inc., 688 F.3d 698, 19 WH Cases2d 757 (10th Cir. 2012) (holding that deductions from accrued leave bank to account for early departures and late arrivals did not violate salary basis requirement where employer did not make any deductions from pay). Since 1992, the WHD has issued several opinion letters that affirm its agreement with the Tenth Circuit’s position. WH Op., 1994 WL 1710442 (Apr. 15, 1994); WH Op., 1994 WL 1004748 (Jan. 13, 1994); WH Op., 1993 WL 13652221 (Apr. 9, 1993).</w:t>
      </w:r>
    </w:p>
    <w:p w14:paraId="1974B8FD" w14:textId="77777777" w:rsidR="00201F3F" w:rsidRPr="00CD0FEB" w:rsidRDefault="00201F3F" w:rsidP="00CE5492">
      <w:pPr>
        <w:pStyle w:val="14Footnote"/>
      </w:pPr>
      <w:r w:rsidRPr="00CD0FEB">
        <w:rPr>
          <w:i/>
          <w:iCs/>
        </w:rPr>
        <w:t>Eleventh Circuit:</w:t>
      </w:r>
      <w:r w:rsidRPr="00CD0FEB">
        <w:t xml:space="preserve"> Judson v. JM Family Enters., Inc., 212 F. App’x 786, 2006 WL 3450151 (11th Cir. 2006) (ruling that an employer was allowed to charge a salaried employee’s leave bank for partial-day absences without transgressing the salary basis requirement, as long as the employee continued to receive his or her guaranteed salary).</w:t>
      </w:r>
    </w:p>
  </w:footnote>
  <w:footnote w:id="257">
    <w:p w14:paraId="2DE981AD" w14:textId="77777777" w:rsidR="00201F3F" w:rsidRPr="00CD0FEB" w:rsidRDefault="00201F3F" w:rsidP="0019405A">
      <w:pPr>
        <w:pStyle w:val="14Footnote"/>
      </w:pPr>
      <w:r w:rsidRPr="00CD0FEB">
        <w:rPr>
          <w:rStyle w:val="FootnoteReference"/>
        </w:rPr>
        <w:footnoteRef/>
      </w:r>
      <w:r w:rsidRPr="00CD0FEB">
        <w:rPr>
          <w:color w:val="3D3D3D"/>
          <w:szCs w:val="20"/>
          <w:shd w:val="clear" w:color="auto" w:fill="FFFFFF"/>
        </w:rPr>
        <w:t xml:space="preserve">62 F.4th 755 </w:t>
      </w:r>
      <w:r w:rsidRPr="00CD0FEB">
        <w:t>(3d Cir. 2023).</w:t>
      </w:r>
    </w:p>
  </w:footnote>
  <w:footnote w:id="258">
    <w:p w14:paraId="7220936D" w14:textId="77777777" w:rsidR="00201F3F" w:rsidRPr="00CD0FEB" w:rsidRDefault="00201F3F" w:rsidP="0019405A">
      <w:pPr>
        <w:pStyle w:val="14Footnote"/>
      </w:pPr>
      <w:r w:rsidRPr="00CD0FEB">
        <w:rPr>
          <w:rStyle w:val="FootnoteReference"/>
        </w:rPr>
        <w:footnoteRef/>
      </w:r>
      <w:r w:rsidRPr="00CD0FEB">
        <w:rPr>
          <w:i/>
          <w:iCs/>
        </w:rPr>
        <w:t>Id.</w:t>
      </w:r>
      <w:r w:rsidRPr="00CD0FEB">
        <w:t xml:space="preserve"> at 762 (footnote omitted).</w:t>
      </w:r>
    </w:p>
  </w:footnote>
  <w:footnote w:id="259">
    <w:p w14:paraId="66C4A4AC" w14:textId="77777777" w:rsidR="00201F3F" w:rsidRPr="00CD0FEB" w:rsidRDefault="00201F3F" w:rsidP="00CE5492">
      <w:pPr>
        <w:pStyle w:val="14Footnote"/>
      </w:pPr>
      <w:r w:rsidRPr="00CD0FEB">
        <w:rPr>
          <w:vertAlign w:val="superscript"/>
        </w:rPr>
        <w:footnoteRef/>
      </w:r>
      <w:r w:rsidRPr="00CD0FEB">
        <w:t>WH Op. FLSA2018-14, 2018 WL 2348793 (Jan. 5, 2018).</w:t>
      </w:r>
    </w:p>
  </w:footnote>
  <w:footnote w:id="260">
    <w:p w14:paraId="20EE3FDD" w14:textId="77777777" w:rsidR="00201F3F" w:rsidRPr="00CD0FEB" w:rsidRDefault="00201F3F" w:rsidP="00CE5492">
      <w:pPr>
        <w:pStyle w:val="14Footnote"/>
      </w:pPr>
      <w:r w:rsidRPr="00CD0FEB">
        <w:rPr>
          <w:vertAlign w:val="superscript"/>
        </w:rPr>
        <w:footnoteRef/>
      </w:r>
      <w:r w:rsidRPr="00CD0FEB">
        <w:t>WH Op. FLSA2005-7, 2005 WL 330606 (Jan. 7, 2005).</w:t>
      </w:r>
    </w:p>
  </w:footnote>
  <w:footnote w:id="261">
    <w:p w14:paraId="6F14D1E8" w14:textId="77777777" w:rsidR="00201F3F" w:rsidRPr="00CD0FEB" w:rsidRDefault="00201F3F" w:rsidP="00CE5492">
      <w:pPr>
        <w:pStyle w:val="14Footnote"/>
      </w:pPr>
      <w:r w:rsidRPr="00CD0FEB">
        <w:rPr>
          <w:rStyle w:val="FootnoteReference"/>
        </w:rPr>
        <w:footnoteRef/>
      </w:r>
      <w:r w:rsidRPr="00CD0FEB">
        <w:t>Coates v. Dassault Falcon Jet Corp., 961 F.3d 1039, 1043 (8th Cir. 2020) (emphasis in original).</w:t>
      </w:r>
    </w:p>
  </w:footnote>
  <w:footnote w:id="262">
    <w:p w14:paraId="0CC59C35" w14:textId="77777777" w:rsidR="00201F3F" w:rsidRPr="00CD0FEB" w:rsidRDefault="00201F3F" w:rsidP="00CE5492">
      <w:pPr>
        <w:pStyle w:val="14Footnote"/>
        <w:rPr>
          <w:i/>
          <w:iCs/>
        </w:rPr>
      </w:pPr>
      <w:r w:rsidRPr="00CD0FEB">
        <w:rPr>
          <w:rStyle w:val="FootnoteReference"/>
        </w:rPr>
        <w:footnoteRef/>
      </w:r>
      <w:r w:rsidRPr="00CD0FEB">
        <w:rPr>
          <w:i/>
          <w:iCs/>
        </w:rPr>
        <w:t>Id.</w:t>
      </w:r>
    </w:p>
  </w:footnote>
  <w:footnote w:id="263">
    <w:p w14:paraId="14065886" w14:textId="77777777" w:rsidR="00201F3F" w:rsidRPr="00CD0FEB" w:rsidRDefault="00201F3F" w:rsidP="00CE5492">
      <w:pPr>
        <w:pStyle w:val="14Footnote"/>
      </w:pPr>
      <w:r w:rsidRPr="00CD0FEB">
        <w:rPr>
          <w:vertAlign w:val="superscript"/>
        </w:rPr>
        <w:footnoteRef/>
      </w:r>
      <w:r w:rsidRPr="00CD0FEB">
        <w:t>WH Op. FLSA2009-2, 2009 WL 648994 (Jan. 14, 2009).</w:t>
      </w:r>
    </w:p>
  </w:footnote>
  <w:footnote w:id="264">
    <w:p w14:paraId="527EDA28" w14:textId="77777777" w:rsidR="00201F3F" w:rsidRPr="00CD0FEB" w:rsidRDefault="00201F3F" w:rsidP="00CE5492">
      <w:pPr>
        <w:pStyle w:val="14Footnote"/>
      </w:pPr>
      <w:r w:rsidRPr="00CD0FEB">
        <w:rPr>
          <w:vertAlign w:val="superscript"/>
        </w:rPr>
        <w:footnoteRef/>
      </w:r>
      <w:r w:rsidRPr="00CD0FEB">
        <w:t>WH Op. 1999 WL 1002393 (Apr. 23, 1999).</w:t>
      </w:r>
    </w:p>
  </w:footnote>
  <w:footnote w:id="265">
    <w:p w14:paraId="67840353" w14:textId="77777777" w:rsidR="00201F3F" w:rsidRPr="00CD0FEB" w:rsidRDefault="00201F3F" w:rsidP="00CE5492">
      <w:pPr>
        <w:pStyle w:val="14Footnote"/>
      </w:pPr>
      <w:r w:rsidRPr="00CD0FEB">
        <w:rPr>
          <w:vertAlign w:val="superscript"/>
        </w:rPr>
        <w:footnoteRef/>
      </w:r>
      <w:r w:rsidRPr="00CD0FEB">
        <w:t>395 F.3d 1177, 10 WH Cases2d 481 (10th Cir. 2005).</w:t>
      </w:r>
    </w:p>
  </w:footnote>
  <w:footnote w:id="266">
    <w:p w14:paraId="4E807C57"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1184; </w:t>
      </w:r>
      <w:r w:rsidRPr="00CD0FEB">
        <w:rPr>
          <w:i/>
          <w:iCs/>
        </w:rPr>
        <w:t>see also</w:t>
      </w:r>
      <w:r w:rsidRPr="00CD0FEB">
        <w:t xml:space="preserve"> Guardia v. Clinical &amp; Support Options, Inc., 25 F. Supp. 3d 152 (D. Mass. 2014) (finding salary basis test met when “salary-plus” employee reclassified as “fee-for-service” employee) (citing </w:t>
      </w:r>
      <w:r w:rsidRPr="00CD0FEB">
        <w:rPr>
          <w:i/>
          <w:iCs/>
        </w:rPr>
        <w:t>In re Wal-Mart Stores</w:t>
      </w:r>
      <w:r w:rsidRPr="00CD0FEB">
        <w:t>, 395 F.3d 1177).</w:t>
      </w:r>
    </w:p>
  </w:footnote>
  <w:footnote w:id="267">
    <w:p w14:paraId="322EF2BE" w14:textId="77777777" w:rsidR="00201F3F" w:rsidRPr="00CD0FEB" w:rsidRDefault="00201F3F" w:rsidP="00CE5492">
      <w:pPr>
        <w:pStyle w:val="14Footnote"/>
      </w:pPr>
      <w:r w:rsidRPr="00CD0FEB">
        <w:rPr>
          <w:vertAlign w:val="superscript"/>
        </w:rPr>
        <w:footnoteRef/>
      </w:r>
      <w:r w:rsidRPr="00CD0FEB">
        <w:t>543 F.3d 1226, 14 WH Cases2d 135 (10th Cir. 2008).</w:t>
      </w:r>
    </w:p>
  </w:footnote>
  <w:footnote w:id="268">
    <w:p w14:paraId="4E233465" w14:textId="77777777" w:rsidR="00201F3F" w:rsidRPr="00CD0FEB" w:rsidRDefault="00201F3F" w:rsidP="00CE5492">
      <w:pPr>
        <w:pStyle w:val="14Footnote"/>
      </w:pPr>
      <w:r w:rsidRPr="00CD0FEB">
        <w:rPr>
          <w:vertAlign w:val="superscript"/>
        </w:rPr>
        <w:footnoteRef/>
      </w:r>
      <w:r w:rsidRPr="00CD0FEB">
        <w:rPr>
          <w:i/>
          <w:iCs/>
        </w:rPr>
        <w:t>Id</w:t>
      </w:r>
      <w:r w:rsidRPr="00CD0FEB">
        <w:t>. at 1236.</w:t>
      </w:r>
    </w:p>
  </w:footnote>
  <w:footnote w:id="269">
    <w:p w14:paraId="379DEA92" w14:textId="77777777" w:rsidR="00201F3F" w:rsidRPr="00CD0FEB" w:rsidRDefault="00201F3F" w:rsidP="00CE5492">
      <w:pPr>
        <w:pStyle w:val="14Footnote"/>
      </w:pPr>
      <w:r w:rsidRPr="00CD0FEB">
        <w:rPr>
          <w:vertAlign w:val="superscript"/>
        </w:rPr>
        <w:footnoteRef/>
      </w:r>
      <w:r w:rsidRPr="00CD0FEB">
        <w:t>395 F.3d at 1185 (citing WH Op. 1998 WL 852696 (Feb. 23, 1998); WH Op. 1997 WL 998010 (Mar. 7, 1997); WH Op. 1970 WL 26462 (Nov. 13, 1970)).</w:t>
      </w:r>
    </w:p>
  </w:footnote>
  <w:footnote w:id="270">
    <w:p w14:paraId="403CC1C0"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71">
    <w:p w14:paraId="75E1AD00" w14:textId="77777777" w:rsidR="00201F3F" w:rsidRPr="00CD0FEB" w:rsidRDefault="00201F3F" w:rsidP="00CE5492">
      <w:pPr>
        <w:pStyle w:val="14Footnote"/>
      </w:pPr>
      <w:r w:rsidRPr="00CD0FEB">
        <w:rPr>
          <w:vertAlign w:val="superscript"/>
        </w:rPr>
        <w:footnoteRef/>
      </w:r>
      <w:r w:rsidRPr="00CD0FEB">
        <w:rPr>
          <w:i/>
          <w:iCs/>
        </w:rPr>
        <w:t>Id</w:t>
      </w:r>
      <w:r w:rsidRPr="00CD0FEB">
        <w:t>. at 1187 (citing WH Op., 1999 WL 1002408 (May 27, 1999); WH Op., 1999 WL 1002390 (Apr. 20, 1999); WH Op., 1997 WL 1039254 (July 3, 1997); WH Op., 1995 WL 1032511 (Nov. 20, 1995)).</w:t>
      </w:r>
    </w:p>
  </w:footnote>
  <w:footnote w:id="272">
    <w:p w14:paraId="6DB6D96D"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Kitagawa v. Drilformance, LLC, 2018 WL 19927777, at *6 (S.D. Tex. Apr. 27, 2018) (holding “that an employer does not violate §541.602 by prospectively reducing salaries to accommodate business needs or a market downturn”).</w:t>
      </w:r>
    </w:p>
  </w:footnote>
  <w:footnote w:id="273">
    <w:p w14:paraId="1AC01154" w14:textId="77777777" w:rsidR="00201F3F" w:rsidRPr="00CD0FEB" w:rsidRDefault="00201F3F" w:rsidP="00CE5492">
      <w:pPr>
        <w:pStyle w:val="14Footnote"/>
      </w:pPr>
      <w:r w:rsidRPr="00CD0FEB">
        <w:rPr>
          <w:vertAlign w:val="superscript"/>
        </w:rPr>
        <w:footnoteRef/>
      </w:r>
      <w:r w:rsidRPr="00CD0FEB">
        <w:t>WH Op. FLSA2009-18, 2009 WL 649020 (Jan. 16, 2009).</w:t>
      </w:r>
    </w:p>
  </w:footnote>
  <w:footnote w:id="274">
    <w:p w14:paraId="55657830"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75">
    <w:p w14:paraId="30C0BDE1" w14:textId="77777777" w:rsidR="00201F3F" w:rsidRPr="00CD0FEB" w:rsidRDefault="00201F3F" w:rsidP="00CE5492">
      <w:pPr>
        <w:pStyle w:val="14Footnote"/>
      </w:pPr>
      <w:r w:rsidRPr="00CD0FEB">
        <w:rPr>
          <w:vertAlign w:val="superscript"/>
        </w:rPr>
        <w:footnoteRef/>
      </w:r>
      <w:r w:rsidRPr="00CD0FEB">
        <w:t>WH Op. FLSA2009-14, 2009 WL 649016 (Jan. 15, 2009).</w:t>
      </w:r>
    </w:p>
  </w:footnote>
  <w:footnote w:id="276">
    <w:p w14:paraId="6D411E8D"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p>
  </w:footnote>
  <w:footnote w:id="277">
    <w:p w14:paraId="763E01CD" w14:textId="77777777" w:rsidR="00201F3F" w:rsidRPr="00CD0FEB" w:rsidRDefault="00201F3F" w:rsidP="00CE5492">
      <w:pPr>
        <w:pStyle w:val="14Footnote"/>
      </w:pPr>
      <w:r w:rsidRPr="00CD0FEB">
        <w:rPr>
          <w:vertAlign w:val="superscript"/>
        </w:rPr>
        <w:footnoteRef/>
      </w:r>
      <w:r w:rsidRPr="00CD0FEB">
        <w:t>566 F.3d 618, 14 WH Cases2d 1543 (6th Cir. 2009).</w:t>
      </w:r>
    </w:p>
  </w:footnote>
  <w:footnote w:id="278">
    <w:p w14:paraId="43D81BF8" w14:textId="77777777" w:rsidR="00201F3F" w:rsidRPr="00CD0FEB" w:rsidRDefault="00201F3F" w:rsidP="00CE5492">
      <w:pPr>
        <w:pStyle w:val="14Footnote"/>
      </w:pPr>
      <w:r w:rsidRPr="00CD0FEB">
        <w:rPr>
          <w:vertAlign w:val="superscript"/>
        </w:rPr>
        <w:footnoteRef/>
      </w:r>
      <w:r w:rsidRPr="00CD0FEB">
        <w:rPr>
          <w:i/>
          <w:iCs/>
        </w:rPr>
        <w:t>Id</w:t>
      </w:r>
      <w:r w:rsidRPr="00CD0FEB">
        <w:t>. at 632.</w:t>
      </w:r>
    </w:p>
  </w:footnote>
  <w:footnote w:id="279">
    <w:p w14:paraId="54B5D4BB" w14:textId="77777777" w:rsidR="00201F3F" w:rsidRPr="00CD0FEB" w:rsidRDefault="00201F3F" w:rsidP="00CE5492">
      <w:pPr>
        <w:pStyle w:val="14Footnote"/>
      </w:pPr>
      <w:r w:rsidRPr="00CD0FEB">
        <w:rPr>
          <w:vertAlign w:val="superscript"/>
        </w:rPr>
        <w:footnoteRef/>
      </w:r>
      <w:r w:rsidRPr="00CD0FEB">
        <w:rPr>
          <w:i/>
          <w:iCs/>
        </w:rPr>
        <w:t>Id</w:t>
      </w:r>
      <w:r w:rsidRPr="00CD0FEB">
        <w:t>. at 633.</w:t>
      </w:r>
    </w:p>
  </w:footnote>
  <w:footnote w:id="280">
    <w:p w14:paraId="5EAEE964"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p>
  </w:footnote>
  <w:footnote w:id="281">
    <w:p w14:paraId="773C8AE6" w14:textId="77777777" w:rsidR="00201F3F" w:rsidRPr="00CD0FEB" w:rsidRDefault="00201F3F" w:rsidP="00CE5492">
      <w:pPr>
        <w:pStyle w:val="14Footnote"/>
      </w:pPr>
      <w:r w:rsidRPr="00CD0FEB">
        <w:rPr>
          <w:vertAlign w:val="superscript"/>
        </w:rPr>
        <w:footnoteRef/>
      </w:r>
      <w:r w:rsidRPr="00CD0FEB">
        <w:t>29 C.F.R. §541.602(a).</w:t>
      </w:r>
    </w:p>
  </w:footnote>
  <w:footnote w:id="282">
    <w:p w14:paraId="68A99722"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283">
    <w:p w14:paraId="4D17DDAD" w14:textId="77777777" w:rsidR="00201F3F" w:rsidRPr="00CD0FEB" w:rsidRDefault="00201F3F" w:rsidP="00CE5492">
      <w:pPr>
        <w:pStyle w:val="14Footnote"/>
      </w:pPr>
      <w:r w:rsidRPr="00CD0FEB">
        <w:rPr>
          <w:vertAlign w:val="superscript"/>
        </w:rPr>
        <w:footnoteRef/>
      </w:r>
      <w:r w:rsidRPr="00CD0FEB">
        <w:t>WH Op. (Dec. 18, 1962). A district court has held that a failure to pay employees at all for a two-week period before the employer went out of business did not affect exempt status, regardless of whether the employer breached a contractual obligation. Reich v. Midwest Body Corp., 843 F. Supp. 1249, 1250–52, 2 WH Cases2d 24 (N.D. Ill. 1994).</w:t>
      </w:r>
    </w:p>
  </w:footnote>
  <w:footnote w:id="284">
    <w:p w14:paraId="27A00606" w14:textId="77777777" w:rsidR="00201F3F" w:rsidRPr="00CD0FEB" w:rsidRDefault="00201F3F" w:rsidP="00CE5492">
      <w:pPr>
        <w:pStyle w:val="14Footnote"/>
      </w:pPr>
      <w:r w:rsidRPr="00CD0FEB">
        <w:rPr>
          <w:vertAlign w:val="superscript"/>
        </w:rPr>
        <w:footnoteRef/>
      </w:r>
      <w:r w:rsidRPr="00CD0FEB">
        <w:t xml:space="preserve">29 C.F.R. §541.602(b)(3). </w:t>
      </w:r>
    </w:p>
  </w:footnote>
  <w:footnote w:id="285">
    <w:p w14:paraId="4113D54B" w14:textId="77777777" w:rsidR="00201F3F" w:rsidRPr="00CD0FEB" w:rsidRDefault="00201F3F" w:rsidP="00CE5492">
      <w:pPr>
        <w:pStyle w:val="14Footnote"/>
      </w:pPr>
      <w:r w:rsidRPr="00CD0FEB">
        <w:rPr>
          <w:vertAlign w:val="superscript"/>
        </w:rPr>
        <w:footnoteRef/>
      </w:r>
      <w:r w:rsidRPr="00CD0FEB">
        <w:rPr>
          <w:i/>
          <w:iCs/>
        </w:rPr>
        <w:t>Id.</w:t>
      </w:r>
    </w:p>
  </w:footnote>
  <w:footnote w:id="286">
    <w:p w14:paraId="30EA722B" w14:textId="77777777" w:rsidR="00201F3F" w:rsidRPr="00CD0FEB" w:rsidRDefault="00201F3F" w:rsidP="00CE5492">
      <w:pPr>
        <w:pStyle w:val="14Footnote"/>
      </w:pPr>
      <w:r w:rsidRPr="00CD0FEB">
        <w:rPr>
          <w:vertAlign w:val="superscript"/>
        </w:rPr>
        <w:footnoteRef/>
      </w:r>
      <w:r w:rsidRPr="00CD0FEB">
        <w:t xml:space="preserve">Shockley v. City of Newport News, 997 F.2d 18, 24, 1 WH Cases2d 788 (4th Cir. 1993); </w:t>
      </w:r>
      <w:r w:rsidRPr="00CD0FEB">
        <w:rPr>
          <w:i/>
          <w:iCs/>
        </w:rPr>
        <w:t>see also</w:t>
      </w:r>
      <w:r w:rsidRPr="00CD0FEB">
        <w:t xml:space="preserve"> Spradling v. City of Tulsa, 95 F.3d 1492, 3 WH Cases2d 823, 832 (10th Cir. 1996).</w:t>
      </w:r>
    </w:p>
  </w:footnote>
  <w:footnote w:id="287">
    <w:p w14:paraId="2D2A9FE2" w14:textId="77777777" w:rsidR="00201F3F" w:rsidRPr="00CD0FEB" w:rsidRDefault="00201F3F" w:rsidP="00CE5492">
      <w:pPr>
        <w:pStyle w:val="14Footnote"/>
      </w:pPr>
      <w:r w:rsidRPr="00CD0FEB">
        <w:rPr>
          <w:vertAlign w:val="superscript"/>
        </w:rPr>
        <w:footnoteRef/>
      </w:r>
      <w:r w:rsidRPr="00CD0FEB">
        <w:rPr>
          <w:i/>
          <w:iCs/>
        </w:rPr>
        <w:t xml:space="preserve">See </w:t>
      </w:r>
      <w:r w:rsidRPr="00CD0FEB">
        <w:t>29 C.F.R. §541.602(b)(3); WH Op. (Feb. 26, 1965) (disallowing deductions from salary due to absences of less than one week for military duty).</w:t>
      </w:r>
    </w:p>
  </w:footnote>
  <w:footnote w:id="288">
    <w:p w14:paraId="574466C9" w14:textId="77777777" w:rsidR="00201F3F" w:rsidRPr="00CD0FEB" w:rsidRDefault="00201F3F" w:rsidP="00CE5492">
      <w:pPr>
        <w:pStyle w:val="14Footnote"/>
      </w:pPr>
      <w:r w:rsidRPr="00CD0FEB">
        <w:rPr>
          <w:vertAlign w:val="superscript"/>
        </w:rPr>
        <w:footnoteRef/>
      </w:r>
      <w:r w:rsidRPr="00CD0FEB">
        <w:rPr>
          <w:i/>
          <w:iCs/>
        </w:rPr>
        <w:t>Spradling,</w:t>
      </w:r>
      <w:r w:rsidRPr="00CD0FEB">
        <w:t xml:space="preserve"> 95 F.3d at 1502; Quirk v. Baltimore Cnty., 895 F. Supp. 773, 782, 2 WH Cases2d 1500 (D. Md. 1995). </w:t>
      </w:r>
    </w:p>
  </w:footnote>
  <w:footnote w:id="289">
    <w:p w14:paraId="76280402" w14:textId="77777777" w:rsidR="00201F3F" w:rsidRPr="00CD0FEB" w:rsidRDefault="00201F3F" w:rsidP="00CE5492">
      <w:pPr>
        <w:pStyle w:val="14Footnote"/>
      </w:pPr>
      <w:r w:rsidRPr="00CD0FEB">
        <w:rPr>
          <w:vertAlign w:val="superscript"/>
        </w:rPr>
        <w:footnoteRef/>
      </w:r>
      <w:r w:rsidRPr="00CD0FEB">
        <w:rPr>
          <w:i/>
          <w:iCs/>
        </w:rPr>
        <w:t>Spradling</w:t>
      </w:r>
      <w:r w:rsidRPr="00CD0FEB">
        <w:t xml:space="preserve">, 95 F.3d at 1502; </w:t>
      </w:r>
      <w:r w:rsidRPr="00CD0FEB">
        <w:rPr>
          <w:i/>
          <w:iCs/>
        </w:rPr>
        <w:t>Quirk</w:t>
      </w:r>
      <w:r w:rsidRPr="00CD0FEB">
        <w:t xml:space="preserve">, 895 F. Supp. at 782. </w:t>
      </w:r>
    </w:p>
  </w:footnote>
  <w:footnote w:id="290">
    <w:p w14:paraId="782EBC81" w14:textId="77777777" w:rsidR="00201F3F" w:rsidRPr="00CD0FEB" w:rsidRDefault="00201F3F" w:rsidP="00CE5492">
      <w:pPr>
        <w:pStyle w:val="14Footnote"/>
      </w:pPr>
      <w:r w:rsidRPr="00CD0FEB">
        <w:rPr>
          <w:vertAlign w:val="superscript"/>
        </w:rPr>
        <w:footnoteRef/>
      </w:r>
      <w:r w:rsidRPr="00CD0FEB">
        <w:rPr>
          <w:i/>
          <w:iCs/>
        </w:rPr>
        <w:t>Spradling</w:t>
      </w:r>
      <w:r w:rsidRPr="00CD0FEB">
        <w:t xml:space="preserve">, 95 F.3d at 1502; </w:t>
      </w:r>
      <w:r w:rsidRPr="00CD0FEB">
        <w:rPr>
          <w:i/>
          <w:iCs/>
        </w:rPr>
        <w:t>Quirk</w:t>
      </w:r>
      <w:r w:rsidRPr="00CD0FEB">
        <w:t>, 895 F. Supp. at 782.</w:t>
      </w:r>
    </w:p>
  </w:footnote>
  <w:footnote w:id="291">
    <w:p w14:paraId="3402A3C4" w14:textId="77777777" w:rsidR="00201F3F" w:rsidRPr="00CD0FEB" w:rsidRDefault="00201F3F" w:rsidP="00CE5492">
      <w:pPr>
        <w:pStyle w:val="14Footnote"/>
      </w:pPr>
      <w:r w:rsidRPr="00CD0FEB">
        <w:rPr>
          <w:vertAlign w:val="superscript"/>
        </w:rPr>
        <w:footnoteRef/>
      </w:r>
      <w:r w:rsidRPr="00CD0FEB">
        <w:t>29 C.F.R. §541.602(a).</w:t>
      </w:r>
    </w:p>
  </w:footnote>
  <w:footnote w:id="292">
    <w:p w14:paraId="64515644" w14:textId="77777777" w:rsidR="00201F3F" w:rsidRPr="00CD0FEB" w:rsidRDefault="00201F3F" w:rsidP="00CE5492">
      <w:pPr>
        <w:pStyle w:val="14Footnote"/>
      </w:pPr>
      <w:r w:rsidRPr="00CD0FEB">
        <w:rPr>
          <w:vertAlign w:val="superscript"/>
        </w:rPr>
        <w:footnoteRef/>
      </w:r>
      <w:r w:rsidRPr="00CD0FEB">
        <w:t xml:space="preserve">29 C.F.R. §541.602(b)(7). </w:t>
      </w:r>
    </w:p>
  </w:footnote>
  <w:footnote w:id="293">
    <w:p w14:paraId="1F675429" w14:textId="77777777" w:rsidR="00201F3F" w:rsidRPr="00CD0FEB" w:rsidRDefault="00201F3F" w:rsidP="00CE5492">
      <w:pPr>
        <w:pStyle w:val="14Footnote"/>
      </w:pPr>
      <w:r w:rsidRPr="00CD0FEB">
        <w:rPr>
          <w:vertAlign w:val="superscript"/>
        </w:rPr>
        <w:footnoteRef/>
      </w:r>
      <w:r w:rsidRPr="00CD0FEB">
        <w:rPr>
          <w:i/>
          <w:iCs/>
        </w:rPr>
        <w:t>See, e.g</w:t>
      </w:r>
      <w:r w:rsidRPr="00CD0FEB">
        <w:t>.,</w:t>
      </w:r>
    </w:p>
    <w:p w14:paraId="5A145A1F" w14:textId="77777777" w:rsidR="00201F3F" w:rsidRPr="00CD0FEB" w:rsidRDefault="00201F3F" w:rsidP="00CE5492">
      <w:pPr>
        <w:pStyle w:val="14Footnote"/>
      </w:pPr>
      <w:r w:rsidRPr="00CD0FEB">
        <w:rPr>
          <w:i/>
          <w:iCs/>
        </w:rPr>
        <w:t>Second Circuit:</w:t>
      </w:r>
      <w:r w:rsidRPr="00CD0FEB">
        <w:t xml:space="preserve"> Martin v. Malcolm Pirnie, Inc., 949 F.2d 611, 615, 30 WH Cases 1057 (2d Cir. 1991)</w:t>
      </w:r>
      <w:r>
        <w:t xml:space="preserve">; </w:t>
      </w:r>
      <w:r w:rsidRPr="00076583">
        <w:t>Andreyuk v. ASF Constr. &amp; Excavation Corp.,</w:t>
      </w:r>
      <w:r w:rsidRPr="00432F36">
        <w:rPr>
          <w:rFonts w:ascii="Arial" w:hAnsi="Arial" w:cs="Arial"/>
          <w:color w:val="292E31"/>
          <w:sz w:val="24"/>
        </w:rPr>
        <w:t xml:space="preserve"> </w:t>
      </w:r>
      <w:r w:rsidRPr="00432F36">
        <w:t>2022 BL 350068</w:t>
      </w:r>
      <w:r>
        <w:t>,</w:t>
      </w:r>
      <w:r w:rsidRPr="00076583">
        <w:rPr>
          <w:rFonts w:ascii="Arial" w:eastAsia="Arial" w:hAnsi="Arial" w:cs="Arial"/>
          <w:color w:val="000000"/>
          <w:szCs w:val="20"/>
        </w:rPr>
        <w:t xml:space="preserve"> </w:t>
      </w:r>
      <w:r w:rsidRPr="00AC706A">
        <w:t>2022 WL 4658457</w:t>
      </w:r>
      <w:r>
        <w:t xml:space="preserve">, at *7 </w:t>
      </w:r>
      <w:r w:rsidRPr="00076583">
        <w:t>(S.D.N.Y. Sep</w:t>
      </w:r>
      <w:r>
        <w:t>t</w:t>
      </w:r>
      <w:r w:rsidRPr="00076583">
        <w:t>. 30, 2022)</w:t>
      </w:r>
      <w:r>
        <w:t xml:space="preserve"> (denying summary judgment for defendant where evidence showed plaintiffs’ salary was</w:t>
      </w:r>
      <w:r w:rsidRPr="00076583">
        <w:t xml:space="preserve"> reduced for half-day or quarter-day absences, and “[r]eductions for partial-day absences are inconsistent with compensation being paid on a salaried basis</w:t>
      </w:r>
      <w:r>
        <w:t>”)</w:t>
      </w:r>
      <w:r w:rsidRPr="00CD0FEB">
        <w:t>.</w:t>
      </w:r>
    </w:p>
    <w:p w14:paraId="59D23E10" w14:textId="77777777" w:rsidR="00201F3F" w:rsidRPr="00CD0FEB" w:rsidRDefault="00201F3F" w:rsidP="00CE5492">
      <w:pPr>
        <w:pStyle w:val="14Footnote"/>
      </w:pPr>
      <w:r w:rsidRPr="00CD0FEB">
        <w:rPr>
          <w:i/>
          <w:iCs/>
        </w:rPr>
        <w:t>Seventh Circuit:</w:t>
      </w:r>
      <w:r w:rsidRPr="00CD0FEB">
        <w:t xml:space="preserve"> Bowman v. City of Indianapolis, 133 F.3d 513, 4 WH Cases2d 553 (7th Cir. 1998) (concluding employee not paid on salary basis where deductions were made from salary for partial day’s absence); Klein v. Rush Presbyterian-St. Luke’s Med. Ctr., 990 F.2d 279, 284, 1 WH Cases2d 537 (7th Cir. 1993).</w:t>
      </w:r>
    </w:p>
    <w:p w14:paraId="71A3CDBE" w14:textId="77777777" w:rsidR="00201F3F" w:rsidRPr="00CD0FEB" w:rsidRDefault="00201F3F" w:rsidP="00CE5492">
      <w:pPr>
        <w:pStyle w:val="14Footnote"/>
      </w:pPr>
      <w:r w:rsidRPr="00CD0FEB">
        <w:rPr>
          <w:i/>
          <w:iCs/>
        </w:rPr>
        <w:t>Ninth Circuit:</w:t>
      </w:r>
      <w:r w:rsidRPr="00CD0FEB">
        <w:t xml:space="preserve"> Abshire v. County of Kern, 908 F.2d 483, 486, 29 WH Cases 1417 (9th Cir. 1990)</w:t>
      </w:r>
    </w:p>
  </w:footnote>
  <w:footnote w:id="294">
    <w:p w14:paraId="3418DB60" w14:textId="77777777" w:rsidR="00201F3F" w:rsidRPr="00CD0FEB" w:rsidRDefault="00201F3F" w:rsidP="00CE5492">
      <w:pPr>
        <w:pStyle w:val="14Footnote"/>
      </w:pPr>
      <w:r w:rsidRPr="00CD0FEB">
        <w:rPr>
          <w:vertAlign w:val="superscript"/>
        </w:rPr>
        <w:footnoteRef/>
      </w:r>
      <w:r w:rsidRPr="00CD0FEB">
        <w:t>540 F. App’x 300 (5th Cir. 2013).</w:t>
      </w:r>
    </w:p>
  </w:footnote>
  <w:footnote w:id="295">
    <w:p w14:paraId="38A4B456"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301.</w:t>
      </w:r>
    </w:p>
  </w:footnote>
  <w:footnote w:id="296">
    <w:p w14:paraId="21A72581" w14:textId="77777777" w:rsidR="00201F3F" w:rsidRPr="00CD0FEB" w:rsidRDefault="00201F3F" w:rsidP="00CE5492">
      <w:pPr>
        <w:pStyle w:val="14Footnote"/>
      </w:pPr>
      <w:r w:rsidRPr="00CD0FEB">
        <w:rPr>
          <w:vertAlign w:val="superscript"/>
        </w:rPr>
        <w:footnoteRef/>
      </w:r>
      <w:r w:rsidRPr="00CD0FEB">
        <w:t>29 C.F.R. §541.603(a).</w:t>
      </w:r>
    </w:p>
  </w:footnote>
  <w:footnote w:id="297">
    <w:p w14:paraId="24568CAC"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e</w:t>
      </w:r>
      <w:r w:rsidRPr="00CD0FEB">
        <w:t>.</w:t>
      </w:r>
      <w:r w:rsidRPr="00CD0FEB">
        <w:rPr>
          <w:i/>
          <w:iCs/>
        </w:rPr>
        <w:t>g</w:t>
      </w:r>
      <w:r w:rsidRPr="00CD0FEB">
        <w:t>., Walsh v. Brill-Jil Enters., Inc., 2016 WL 6246764 (D.N.J. Oct. 24, 2016) (concluding that because defendant took deductions from plaintiff’s weekly pay based on number of hours worked during given week, plaintiff was not salaried employee); Macklin v. Delta Metals Co., 2011 WL 11417, at *7, 17 WH Cases2d 408 (W.D. Tenn. Jan. 4, 2011) (finding that foreman was not paid on salary basis where employer routinely made deductions from his pay for hours worked under 40, required him to use compensatory time to make up for any shortfall in hours, deducted from his paycheck at an hourly rate for each hour worked fewer than 40 in one week, and had no written policy explaining the deductions or when employees could use compensatory time to make up for shortfalls).</w:t>
      </w:r>
    </w:p>
  </w:footnote>
  <w:footnote w:id="298">
    <w:p w14:paraId="275F6EEA" w14:textId="77777777" w:rsidR="00201F3F" w:rsidRPr="00CD0FEB" w:rsidRDefault="00201F3F" w:rsidP="00CE5492">
      <w:pPr>
        <w:pStyle w:val="14Footnote"/>
      </w:pPr>
      <w:r w:rsidRPr="00CD0FEB">
        <w:rPr>
          <w:vertAlign w:val="superscript"/>
        </w:rPr>
        <w:footnoteRef/>
      </w:r>
      <w:r w:rsidRPr="00CD0FEB">
        <w:t>Kaiser v. At the Beach, Inc., 2011 WL 6826577, at *15 (N.D. Okla. Dec. 28, 2011).</w:t>
      </w:r>
    </w:p>
  </w:footnote>
  <w:footnote w:id="299">
    <w:p w14:paraId="132EC4FA" w14:textId="77777777" w:rsidR="00201F3F" w:rsidRPr="00CD0FEB" w:rsidRDefault="00201F3F" w:rsidP="00CE5492">
      <w:pPr>
        <w:pStyle w:val="14Footnote"/>
      </w:pPr>
      <w:r w:rsidRPr="00CD0FEB">
        <w:rPr>
          <w:vertAlign w:val="superscript"/>
        </w:rPr>
        <w:footnoteRef/>
      </w:r>
      <w:r w:rsidRPr="00CD0FEB">
        <w:t>519 U.S. 452 (1997).</w:t>
      </w:r>
    </w:p>
  </w:footnote>
  <w:footnote w:id="300">
    <w:p w14:paraId="0447669E" w14:textId="77777777" w:rsidR="00201F3F" w:rsidRPr="00CD0FEB" w:rsidRDefault="00201F3F" w:rsidP="00CE5492">
      <w:pPr>
        <w:pStyle w:val="14Footnote"/>
      </w:pPr>
      <w:r w:rsidRPr="00CD0FEB">
        <w:rPr>
          <w:vertAlign w:val="superscript"/>
        </w:rPr>
        <w:footnoteRef/>
      </w:r>
      <w:r w:rsidRPr="00CD0FEB">
        <w:rPr>
          <w:i/>
          <w:iCs/>
        </w:rPr>
        <w:t>Id</w:t>
      </w:r>
      <w:r w:rsidRPr="00CD0FEB">
        <w:t>. at 461.</w:t>
      </w:r>
    </w:p>
  </w:footnote>
  <w:footnote w:id="301">
    <w:p w14:paraId="42386CED" w14:textId="77777777" w:rsidR="00201F3F" w:rsidRPr="00CD0FEB" w:rsidRDefault="00201F3F" w:rsidP="00CE5492">
      <w:pPr>
        <w:pStyle w:val="14Footnote"/>
      </w:pPr>
      <w:r w:rsidRPr="00CD0FEB">
        <w:rPr>
          <w:vertAlign w:val="superscript"/>
        </w:rPr>
        <w:footnoteRef/>
      </w:r>
      <w:r w:rsidRPr="00CD0FEB">
        <w:t>Escribano v. Travis Cnty., 947 F.3d 265, 274 (5th Cir. 2020).</w:t>
      </w:r>
    </w:p>
  </w:footnote>
  <w:footnote w:id="302">
    <w:p w14:paraId="09B79C6A" w14:textId="77777777" w:rsidR="00201F3F" w:rsidRPr="00CD0FEB" w:rsidRDefault="00201F3F" w:rsidP="00CE5492">
      <w:pPr>
        <w:pStyle w:val="14Footnote"/>
      </w:pPr>
      <w:r w:rsidRPr="00CD0FEB">
        <w:rPr>
          <w:vertAlign w:val="superscript"/>
        </w:rPr>
        <w:footnoteRef/>
      </w:r>
      <w:r w:rsidRPr="00CD0FEB">
        <w:t>69 Fed. Reg. 22,121, 22,180 (Apr. 23, 2004).</w:t>
      </w:r>
    </w:p>
  </w:footnote>
  <w:footnote w:id="303">
    <w:p w14:paraId="63F83997" w14:textId="77777777" w:rsidR="00201F3F" w:rsidRPr="00CD0FEB" w:rsidRDefault="00201F3F"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14:paraId="44C640B4" w14:textId="77777777" w:rsidR="00201F3F" w:rsidRPr="00CD0FEB" w:rsidRDefault="00201F3F" w:rsidP="00CE5492">
      <w:pPr>
        <w:pStyle w:val="14Footnote"/>
      </w:pPr>
      <w:r w:rsidRPr="00CD0FEB">
        <w:rPr>
          <w:i/>
          <w:iCs/>
        </w:rPr>
        <w:t>First Circuit:</w:t>
      </w:r>
      <w:r w:rsidRPr="00CD0FEB">
        <w:t xml:space="preserve"> Cash v. Cycle Craft Co., 508 F.3d 680, 684, 13 WH Cases2d 8 (1st Cir. 2007) (holding “two aberrant paychecks out of the approximately 50 that [the plaintiff] received do not amount to an ‘actual practice’” of making improper deductions).</w:t>
      </w:r>
    </w:p>
    <w:p w14:paraId="04AD13FC" w14:textId="77777777" w:rsidR="00201F3F" w:rsidRPr="00CD0FEB" w:rsidRDefault="00201F3F" w:rsidP="00CE5492">
      <w:pPr>
        <w:pStyle w:val="14Footnote"/>
      </w:pPr>
      <w:r w:rsidRPr="00CD0FEB">
        <w:rPr>
          <w:i/>
          <w:iCs/>
        </w:rPr>
        <w:t>Second Circuit:</w:t>
      </w:r>
      <w:r w:rsidRPr="00CD0FEB">
        <w:t xml:space="preserve"> Kelly v. City of Mount Vernon, 162 F.3d 765, 5 WH Cases2d 106 (2d Cir. 1998) (holding that police sergeants and lieutenants were paid on salary basis where department had neither an “actual practice” nor a “clear and particularized policy” that evidenced a “significant likelihood” that it would dock salaried employees’ pay for minor violations of department regulations, temporary military leave, or appearing in non-department-related court proceedings).</w:t>
      </w:r>
    </w:p>
    <w:p w14:paraId="7EE44ECF" w14:textId="77777777" w:rsidR="00201F3F" w:rsidRPr="00CD0FEB" w:rsidRDefault="00201F3F" w:rsidP="00CE5492">
      <w:pPr>
        <w:pStyle w:val="14Footnote"/>
      </w:pPr>
      <w:r w:rsidRPr="00CD0FEB">
        <w:rPr>
          <w:i/>
          <w:iCs/>
        </w:rPr>
        <w:t>Seventh Circuit:</w:t>
      </w:r>
      <w:r w:rsidRPr="00CD0FEB">
        <w:t xml:space="preserve"> Mathews v. Bronger Masonry, Inc., 772 F. Supp. 2d 1004 (S.D. Ind. 2011) (holding that office manager was paid on salary basis notwithstanding single isolated deduction for absence due to illness where plaintiff was reimbursed the following week).</w:t>
      </w:r>
    </w:p>
    <w:p w14:paraId="17B0581C" w14:textId="77777777" w:rsidR="00201F3F" w:rsidRPr="00CD0FEB" w:rsidRDefault="00201F3F" w:rsidP="00CE5492">
      <w:pPr>
        <w:pStyle w:val="14Footnote"/>
      </w:pPr>
      <w:r w:rsidRPr="00CD0FEB">
        <w:rPr>
          <w:i/>
          <w:iCs/>
        </w:rPr>
        <w:t>Tenth Circuit:</w:t>
      </w:r>
      <w:r w:rsidRPr="00CD0FEB">
        <w:t xml:space="preserve"> Ellis v. J.R’s Country Stores, Inc., 779 F.3d 1184, 24 WH Cases2d 550 (10th Cir. 2015) (ruling that single deduction for working less than 50 hours in a week did not defeat salary basis test where employer reimbursed employee for deduction and where employee worked less than 50 hours on multiple other occasions without salary deduction).</w:t>
      </w:r>
    </w:p>
  </w:footnote>
  <w:footnote w:id="304">
    <w:p w14:paraId="6330D5DA" w14:textId="77777777" w:rsidR="00201F3F" w:rsidRPr="00CD0FEB" w:rsidRDefault="00201F3F" w:rsidP="00CE5492">
      <w:pPr>
        <w:pStyle w:val="14Footnote"/>
      </w:pPr>
      <w:r w:rsidRPr="00CD0FEB">
        <w:rPr>
          <w:vertAlign w:val="superscript"/>
        </w:rPr>
        <w:footnoteRef/>
      </w:r>
      <w:r w:rsidRPr="00CD0FEB">
        <w:t xml:space="preserve">29 C.F.R. §541.603(a). </w:t>
      </w:r>
    </w:p>
  </w:footnote>
  <w:footnote w:id="305">
    <w:p w14:paraId="6389086D" w14:textId="77777777" w:rsidR="00201F3F" w:rsidRPr="00CD0FEB" w:rsidRDefault="00201F3F" w:rsidP="007C17E8">
      <w:pPr>
        <w:pStyle w:val="footnote"/>
      </w:pPr>
      <w:r w:rsidRPr="00CD0FEB">
        <w:rPr>
          <w:vertAlign w:val="superscript"/>
        </w:rPr>
        <w:footnoteRef/>
      </w:r>
      <w:r w:rsidRPr="00CD0FEB">
        <w:rPr>
          <w:i/>
          <w:iCs/>
        </w:rPr>
        <w:t>Id</w:t>
      </w:r>
      <w:r w:rsidRPr="00CD0FEB">
        <w:t>. §541.603(b).</w:t>
      </w:r>
    </w:p>
  </w:footnote>
  <w:footnote w:id="306">
    <w:p w14:paraId="1B151D95" w14:textId="77777777" w:rsidR="00201F3F" w:rsidRPr="00CD0FEB" w:rsidRDefault="00201F3F" w:rsidP="007C17E8">
      <w:pPr>
        <w:pStyle w:val="footnote"/>
      </w:pPr>
      <w:r w:rsidRPr="00CD0FEB">
        <w:rPr>
          <w:vertAlign w:val="superscript"/>
        </w:rPr>
        <w:footnoteRef/>
      </w:r>
      <w:r w:rsidRPr="00CD0FEB">
        <w:t>Baden-Winterwood v. Life Time Fitness, Inc., 566 F.3d 618, 634, 14 WH Cases2d (6th Cir. 2009).</w:t>
      </w:r>
    </w:p>
  </w:footnote>
  <w:footnote w:id="307">
    <w:p w14:paraId="141CAAC2" w14:textId="77777777" w:rsidR="00201F3F" w:rsidRPr="00CD0FEB" w:rsidRDefault="00201F3F" w:rsidP="007C17E8">
      <w:pPr>
        <w:pStyle w:val="footnote"/>
      </w:pPr>
      <w:r w:rsidRPr="00CD0FEB">
        <w:rPr>
          <w:vertAlign w:val="superscript"/>
        </w:rPr>
        <w:footnoteRef/>
      </w:r>
      <w:r w:rsidRPr="00CD0FEB">
        <w:t>29 C.F.R. §541.603(b).</w:t>
      </w:r>
    </w:p>
  </w:footnote>
  <w:footnote w:id="308">
    <w:p w14:paraId="2ACF8ED9" w14:textId="77777777" w:rsidR="00201F3F" w:rsidRPr="00CD0FEB" w:rsidRDefault="00201F3F" w:rsidP="007C17E8">
      <w:pPr>
        <w:pStyle w:val="footnote"/>
      </w:pPr>
      <w:r w:rsidRPr="00CD0FEB">
        <w:rPr>
          <w:vertAlign w:val="superscript"/>
        </w:rPr>
        <w:footnoteRef/>
      </w:r>
      <w:r w:rsidRPr="00CD0FEB">
        <w:rPr>
          <w:i/>
          <w:iCs/>
        </w:rPr>
        <w:t>Id</w:t>
      </w:r>
      <w:r w:rsidRPr="00CD0FEB">
        <w:t>.</w:t>
      </w:r>
    </w:p>
  </w:footnote>
  <w:footnote w:id="309">
    <w:p w14:paraId="77A7E169" w14:textId="77777777" w:rsidR="00201F3F" w:rsidRPr="00CD0FEB" w:rsidRDefault="00201F3F" w:rsidP="007C17E8">
      <w:pPr>
        <w:pStyle w:val="footnote"/>
      </w:pPr>
      <w:r w:rsidRPr="00CD0FEB">
        <w:rPr>
          <w:vertAlign w:val="superscript"/>
        </w:rPr>
        <w:footnoteRef/>
      </w:r>
      <w:r w:rsidRPr="00CD0FEB">
        <w:t>69 Fed. Reg. 22,121, 22,181 (Apr. 23, 2004).</w:t>
      </w:r>
    </w:p>
  </w:footnote>
  <w:footnote w:id="310">
    <w:p w14:paraId="7E7F7D64" w14:textId="77777777" w:rsidR="00201F3F" w:rsidRPr="00CD0FEB" w:rsidRDefault="00201F3F" w:rsidP="007C17E8">
      <w:pPr>
        <w:pStyle w:val="footnote"/>
      </w:pPr>
      <w:r w:rsidRPr="00CD0FEB">
        <w:rPr>
          <w:vertAlign w:val="superscript"/>
        </w:rPr>
        <w:footnoteRef/>
      </w:r>
      <w:r w:rsidRPr="00CD0FEB">
        <w:t xml:space="preserve">29 C.F.R. §541.603(c). </w:t>
      </w:r>
      <w:r w:rsidRPr="00CD0FEB">
        <w:rPr>
          <w:i/>
          <w:iCs/>
        </w:rPr>
        <w:t>See</w:t>
      </w:r>
      <w:r w:rsidRPr="00CD0FEB">
        <w:t xml:space="preserve"> Crabtree v. Volkert, Inc., 2012 WL 6093802, at *9–10 (S.D. Ala. Dec. 7, 2012) (holding that “isolated” improper deductions on 17 occasions over approximately four years that were reimbursed did not destroy plaintiff’s salary basis of pay); Mathews v. Bronger Masonry, Inc., 772 F. Supp. 2d 1004, 1012 (S.D. Ind. 2011) (ruling that a “single instance does not establish an ‘actual practice’ of improper deductions on the part of Bronger such that Ms. Mathews was or should be treated as an hourly employee”).</w:t>
      </w:r>
    </w:p>
  </w:footnote>
  <w:footnote w:id="311">
    <w:p w14:paraId="7BFA5618" w14:textId="77777777" w:rsidR="00201F3F" w:rsidRPr="00CD0FEB" w:rsidRDefault="00201F3F" w:rsidP="00CE5492">
      <w:pPr>
        <w:pStyle w:val="14Footnote"/>
      </w:pPr>
      <w:r w:rsidRPr="00CD0FEB">
        <w:rPr>
          <w:vertAlign w:val="superscript"/>
        </w:rPr>
        <w:footnoteRef/>
      </w:r>
      <w:r w:rsidRPr="00CD0FEB">
        <w:t>69 Fed. Reg. 22,121, 22,181 (Apr. 23, 2004) (citing Jones v. Northwest Telemarketing, Inc., 2000 WL 568352, at *3 (D. Or. 2000); Reeves v. Alliant Techsystems, Inc., 77 F. Supp. 2d 242, 251 (D.R.I. 1999); Furlong v. Johnson Controls World Servs., Inc., 97 F. Supp. 2d 1312, 1317 (S.D. Fla. 2000)).</w:t>
      </w:r>
    </w:p>
  </w:footnote>
  <w:footnote w:id="312">
    <w:p w14:paraId="4DC5BECB" w14:textId="77777777" w:rsidR="00201F3F" w:rsidRPr="00CD0FEB" w:rsidRDefault="00201F3F" w:rsidP="00CE5492">
      <w:pPr>
        <w:pStyle w:val="14Footnote"/>
      </w:pPr>
      <w:r w:rsidRPr="00CD0FEB">
        <w:rPr>
          <w:vertAlign w:val="superscript"/>
        </w:rPr>
        <w:footnoteRef/>
      </w:r>
      <w:r w:rsidRPr="00CD0FEB">
        <w:t>69 Fed. Reg. 22,121, 22,181 (Apr. 23, 2004).</w:t>
      </w:r>
    </w:p>
  </w:footnote>
  <w:footnote w:id="313">
    <w:p w14:paraId="36355720" w14:textId="77777777" w:rsidR="00201F3F" w:rsidRPr="00CD0FEB" w:rsidRDefault="00201F3F" w:rsidP="00CE5492">
      <w:pPr>
        <w:pStyle w:val="14Footnote"/>
      </w:pPr>
      <w:r w:rsidRPr="00CD0FEB">
        <w:rPr>
          <w:vertAlign w:val="superscript"/>
        </w:rPr>
        <w:footnoteRef/>
      </w:r>
      <w:r w:rsidRPr="00CD0FEB">
        <w:t>779 F.3d 1184, 24 WH Cases2d 550 (10th Cir. 2015).</w:t>
      </w:r>
    </w:p>
  </w:footnote>
  <w:footnote w:id="314">
    <w:p w14:paraId="375C3740"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1204.</w:t>
      </w:r>
    </w:p>
  </w:footnote>
  <w:footnote w:id="315">
    <w:p w14:paraId="67C056CF" w14:textId="77777777" w:rsidR="00201F3F" w:rsidRPr="00CD0FEB" w:rsidRDefault="00201F3F" w:rsidP="00CE5492">
      <w:pPr>
        <w:pStyle w:val="14Footnote"/>
      </w:pPr>
      <w:r w:rsidRPr="00CD0FEB">
        <w:rPr>
          <w:vertAlign w:val="superscript"/>
        </w:rPr>
        <w:footnoteRef/>
      </w:r>
      <w:r w:rsidRPr="00CD0FEB">
        <w:rPr>
          <w:i/>
          <w:iCs/>
        </w:rPr>
        <w:t xml:space="preserve">Id. </w:t>
      </w:r>
      <w:r w:rsidRPr="00CD0FEB">
        <w:t xml:space="preserve">at 1204–05. </w:t>
      </w:r>
      <w:r w:rsidRPr="00CD0FEB">
        <w:rPr>
          <w:i/>
          <w:iCs/>
        </w:rPr>
        <w:t>See also</w:t>
      </w:r>
      <w:r w:rsidRPr="00CD0FEB">
        <w:t xml:space="preserve"> Hansburger v. L’Italia Rest., LLC, 2017 WL 3923979 (W.D. Va. Sept. 7, 2017) (citing to </w:t>
      </w:r>
      <w:r w:rsidRPr="00CD0FEB">
        <w:rPr>
          <w:i/>
          <w:iCs/>
        </w:rPr>
        <w:t>Ellis v. J.R.’s Country Stores, Inc</w:t>
      </w:r>
      <w:r w:rsidRPr="00CD0FEB">
        <w:t>., finding a one-time improper deduction, without more, precludes a finding of an “actual practice”).</w:t>
      </w:r>
    </w:p>
  </w:footnote>
  <w:footnote w:id="316">
    <w:p w14:paraId="58CF24C1" w14:textId="77777777" w:rsidR="00201F3F" w:rsidRPr="00CD0FEB" w:rsidRDefault="00201F3F" w:rsidP="00CE5492">
      <w:pPr>
        <w:pStyle w:val="14Footnote"/>
      </w:pPr>
      <w:r w:rsidRPr="00CD0FEB">
        <w:rPr>
          <w:vertAlign w:val="superscript"/>
        </w:rPr>
        <w:footnoteRef/>
      </w:r>
      <w:r w:rsidRPr="00CD0FEB">
        <w:t>29 C.F.R. §541.603(d).</w:t>
      </w:r>
    </w:p>
  </w:footnote>
  <w:footnote w:id="317">
    <w:p w14:paraId="1DC1ECFD" w14:textId="77777777" w:rsidR="00201F3F" w:rsidRPr="00E74977" w:rsidRDefault="00201F3F" w:rsidP="00CE5492">
      <w:pPr>
        <w:pStyle w:val="14Footnote"/>
      </w:pPr>
      <w:r w:rsidRPr="00CD0FEB">
        <w:rPr>
          <w:vertAlign w:val="superscript"/>
        </w:rPr>
        <w:footnoteRef/>
      </w:r>
      <w:r w:rsidRPr="00CD0FEB">
        <w:rPr>
          <w:i/>
          <w:iCs/>
        </w:rPr>
        <w:t>Id</w:t>
      </w:r>
      <w:r w:rsidRPr="00CD0FEB">
        <w:t xml:space="preserve">. </w:t>
      </w:r>
      <w:r>
        <w:rPr>
          <w:i/>
          <w:iCs/>
        </w:rPr>
        <w:t>See also</w:t>
      </w:r>
      <w:r>
        <w:t xml:space="preserve"> Kunze v. Baylor Scott &amp; White Health, </w:t>
      </w:r>
      <w:r w:rsidRPr="00432F36">
        <w:t>2023 BL 37049</w:t>
      </w:r>
      <w:r>
        <w:t>, 2023 WL 1806824, at *7–8 (N.D. Tex. Feb. 6, 2023) (finding factual dispute as to whether safe harbor defense applied where plaintiffs offered evidence that policy prohibiting improper deductions was not effectively communicated, employer reimbursed current but not former employees, and there was conflicting evidence as to employer’s good faith commitment to avoid improper deductions in the future).</w:t>
      </w:r>
    </w:p>
  </w:footnote>
  <w:footnote w:id="318">
    <w:p w14:paraId="33AD5677" w14:textId="77777777" w:rsidR="00201F3F" w:rsidRPr="00CD0FEB" w:rsidRDefault="00201F3F" w:rsidP="00CE5492">
      <w:pPr>
        <w:pStyle w:val="14Footnote"/>
      </w:pPr>
      <w:r w:rsidRPr="00CD0FEB">
        <w:rPr>
          <w:vertAlign w:val="superscript"/>
        </w:rPr>
        <w:footnoteRef/>
      </w:r>
      <w:r w:rsidRPr="00CD0FEB">
        <w:rPr>
          <w:i/>
          <w:iCs/>
        </w:rPr>
        <w:t>Id.</w:t>
      </w:r>
    </w:p>
  </w:footnote>
  <w:footnote w:id="319">
    <w:p w14:paraId="1BDAE1AF"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 xml:space="preserve">See </w:t>
      </w:r>
      <w:r w:rsidRPr="00CD0FEB">
        <w:t>Ellis v. J.R’s Country Stores, Inc., 779 F.3d 1184, 1205, 24 WH Cases2d 550 (10</w:t>
      </w:r>
      <w:r w:rsidRPr="003E59E1">
        <w:t>th</w:t>
      </w:r>
      <w:r w:rsidRPr="00CD0FEB">
        <w:t xml:space="preserve"> Cir. 2015) (rejecting notion “that this defense can only apply when an employer has made an innocent mistake”).</w:t>
      </w:r>
    </w:p>
  </w:footnote>
  <w:footnote w:id="320">
    <w:p w14:paraId="3710B0DF" w14:textId="77777777" w:rsidR="00201F3F" w:rsidRPr="00CD0FEB" w:rsidRDefault="00201F3F" w:rsidP="00CE5492">
      <w:pPr>
        <w:pStyle w:val="14Footnote"/>
      </w:pPr>
      <w:r w:rsidRPr="00CD0FEB">
        <w:rPr>
          <w:vertAlign w:val="superscript"/>
        </w:rPr>
        <w:footnoteRef/>
      </w:r>
      <w:r w:rsidRPr="00CD0FEB">
        <w:t>69 Fed. Reg. 22,121, 22,182 (Apr. 23, 2004).</w:t>
      </w:r>
    </w:p>
  </w:footnote>
  <w:footnote w:id="321">
    <w:p w14:paraId="165E1AA1"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22">
    <w:p w14:paraId="33304E22" w14:textId="77777777" w:rsidR="00201F3F" w:rsidRPr="00CD0FEB" w:rsidRDefault="00201F3F" w:rsidP="00CE5492">
      <w:pPr>
        <w:pStyle w:val="14Footnote"/>
      </w:pPr>
      <w:r w:rsidRPr="00CD0FEB">
        <w:rPr>
          <w:vertAlign w:val="superscript"/>
        </w:rPr>
        <w:footnoteRef/>
      </w:r>
      <w:r w:rsidRPr="00CD0FEB">
        <w:t>29 C.F.R. §541.603</w:t>
      </w:r>
      <w:r>
        <w:t>(c)</w:t>
      </w:r>
      <w:r w:rsidRPr="00CD0FEB">
        <w:t>.</w:t>
      </w:r>
    </w:p>
  </w:footnote>
  <w:footnote w:id="323">
    <w:p w14:paraId="5F32384E" w14:textId="77777777" w:rsidR="00201F3F" w:rsidRPr="00CD0FEB" w:rsidRDefault="00201F3F" w:rsidP="00CE5492">
      <w:pPr>
        <w:pStyle w:val="14Footnote"/>
      </w:pPr>
      <w:r w:rsidRPr="00CD0FEB">
        <w:rPr>
          <w:vertAlign w:val="superscript"/>
        </w:rPr>
        <w:footnoteRef/>
      </w:r>
      <w:r w:rsidRPr="00CD0FEB">
        <w:rPr>
          <w:i/>
          <w:iCs/>
        </w:rPr>
        <w:t>Id</w:t>
      </w:r>
      <w:r w:rsidRPr="00CD0FEB">
        <w:t>. §541.605(a).</w:t>
      </w:r>
    </w:p>
  </w:footnote>
  <w:footnote w:id="324">
    <w:p w14:paraId="24A6ECE4"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25">
    <w:p w14:paraId="32DAB787"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26">
    <w:p w14:paraId="0BBF8193"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FLSA2018-15, 2018 WL 2348794 (Jan. 5, 2018) (opining that payment of fee on project-by-project basis to coordinators employed by product demonstration company satisfies fee basis requirements where amount is negotiated and based on numerous variables, amount is not affected by number of hours dedicated to project, and fee paid would exceed $455 per week if coordinator worked 40 hours).</w:t>
      </w:r>
    </w:p>
  </w:footnote>
  <w:footnote w:id="327">
    <w:p w14:paraId="4CDA9B79" w14:textId="77777777" w:rsidR="00201F3F" w:rsidRPr="00CD0FEB" w:rsidRDefault="00201F3F" w:rsidP="00CE5492">
      <w:pPr>
        <w:pStyle w:val="14Footnote"/>
      </w:pPr>
      <w:r w:rsidRPr="00CD0FEB">
        <w:rPr>
          <w:vertAlign w:val="superscript"/>
        </w:rPr>
        <w:footnoteRef/>
      </w:r>
      <w:r w:rsidRPr="00CD0FEB">
        <w:t>204 F.3d 673, 5 WH Cases2d 1569</w:t>
      </w:r>
      <w:r w:rsidRPr="008041AE">
        <w:t xml:space="preserve"> (</w:t>
      </w:r>
      <w:r w:rsidRPr="00CD0FEB">
        <w:t>6th Cir. 2000).</w:t>
      </w:r>
    </w:p>
  </w:footnote>
  <w:footnote w:id="328">
    <w:p w14:paraId="798B5E33" w14:textId="77777777" w:rsidR="00201F3F" w:rsidRPr="00CD0FEB" w:rsidRDefault="00201F3F" w:rsidP="00CE5492">
      <w:pPr>
        <w:pStyle w:val="14Footnote"/>
      </w:pPr>
      <w:r w:rsidRPr="00CD0FEB">
        <w:rPr>
          <w:vertAlign w:val="superscript"/>
        </w:rPr>
        <w:footnoteRef/>
      </w:r>
      <w:r w:rsidRPr="00CD0FEB">
        <w:t xml:space="preserve">Cook v. Carestar, Inc., 2013 WL 5477148 (S.D. Ohio Sept. 16, 2013); </w:t>
      </w:r>
      <w:r w:rsidRPr="00CD0FEB">
        <w:rPr>
          <w:i/>
          <w:iCs/>
        </w:rPr>
        <w:t>see also</w:t>
      </w:r>
      <w:r w:rsidRPr="00CD0FEB">
        <w:t xml:space="preserve"> Rindfleisch v. Gentiva Health Servs., Inc., 2013 WL 8541675 (N.D. Ga. Nov. 4, 2013) (holding that in-home health care providers were not paid on fee/salary basis where, in addition to fees paid for visiting patients, the employer paid “non-visit fees” that took into account the amount of time the employees spent on nonvisit activities that occurred during the normal workweek); WH Op. FLSA2005-24, 2005 WL 3308595 (Aug. 26, 2005) (flat fees paid to accountants more resembled piecework compensation than “fee basis” compensation); WH Op., 1999 WL 33210915 (Oct. 19, 1999) (noting that $20–$30 flat fee paid to nurses and social workers per home care visit constituted payment on a fee basis); WH Op., 1999 WL 1788150 (Sept. 3, 1999) (opining that proposed productivity bonus plan where nurses received additional compensation per visit did not constitute a “fee basis” because the payment would be made “for a series of jobs repeated a number of times and for which payment on an identical basis is made over and over again”); WH Op., 1998 WL 1147733 (Nov. 9, 1998) (rejecting compensation plan based solely on a per-visit fee for registered nurses under §541.605, but approving $30 productivity bonus paid in addition to $750 weekly salary); WH Op., 1998 WL 852761 (Apr. 27, 1998) (opining that per- visit compensation plan for home health care employees ranging from $26.50 to $40 was not compliant under the fee basis regulation); WH Op., 1982 WL 896772 (Apr. 15, 1982) (rejecting proposed plan to pay registered nurses for each stress test completed because payment was being made for a series of identical jobs).</w:t>
      </w:r>
    </w:p>
  </w:footnote>
  <w:footnote w:id="329">
    <w:p w14:paraId="72A9C448" w14:textId="77777777" w:rsidR="00201F3F" w:rsidRPr="00CD0FEB" w:rsidRDefault="00201F3F" w:rsidP="00CE5492">
      <w:pPr>
        <w:pStyle w:val="14Footnote"/>
      </w:pPr>
      <w:r w:rsidRPr="00CD0FEB">
        <w:rPr>
          <w:vertAlign w:val="superscript"/>
        </w:rPr>
        <w:footnoteRef/>
      </w:r>
      <w:r w:rsidRPr="00CD0FEB">
        <w:t>Elwell v. University Hosps. Home Health Care Serv</w:t>
      </w:r>
      <w:r w:rsidRPr="00CD0FEB">
        <w:rPr>
          <w:i/>
          <w:iCs/>
        </w:rPr>
        <w:t>.</w:t>
      </w:r>
      <w:r w:rsidRPr="00CD0FEB">
        <w:t>, 276 F.3d 832, 7 WH Cases2d 897</w:t>
      </w:r>
      <w:r w:rsidRPr="008041AE">
        <w:t xml:space="preserve"> (</w:t>
      </w:r>
      <w:r w:rsidRPr="00CD0FEB">
        <w:t>6th Cir. 2002).</w:t>
      </w:r>
    </w:p>
  </w:footnote>
  <w:footnote w:id="330">
    <w:p w14:paraId="75DC04CD"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Accord</w:t>
      </w:r>
      <w:r w:rsidRPr="00CD0FEB">
        <w:t xml:space="preserve"> Hicks v. Great Lakes Home Health Servs., Inc., 2018 WL 2363959, at *6 (E.D. Mich. May 24, 2018) (relying on “the binding authority of </w:t>
      </w:r>
      <w:r w:rsidRPr="00CD0FEB">
        <w:rPr>
          <w:i/>
          <w:iCs/>
        </w:rPr>
        <w:t>Elwell</w:t>
      </w:r>
      <w:r w:rsidRPr="00CD0FEB">
        <w:t>,” court found that because plaintiff was compensated in a hybrid manner—paid a flat fee for patient visits and on an hourly basis for on-call, in-service hours and meetings—she was not paid on a fee basis).</w:t>
      </w:r>
    </w:p>
  </w:footnote>
  <w:footnote w:id="331">
    <w:p w14:paraId="14B1160D" w14:textId="77777777" w:rsidR="00201F3F" w:rsidRPr="00CD0FEB" w:rsidRDefault="00201F3F" w:rsidP="00CE5492">
      <w:pPr>
        <w:pStyle w:val="14Footnote"/>
      </w:pPr>
      <w:r w:rsidRPr="00CD0FEB">
        <w:rPr>
          <w:vertAlign w:val="superscript"/>
        </w:rPr>
        <w:footnoteRef/>
      </w:r>
      <w:r w:rsidRPr="00CD0FEB">
        <w:t>29 C.F.R. §541.605(b).</w:t>
      </w:r>
    </w:p>
  </w:footnote>
  <w:footnote w:id="332">
    <w:p w14:paraId="68A7A1A6"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33">
    <w:p w14:paraId="01F14E9A" w14:textId="77777777" w:rsidR="00201F3F" w:rsidRPr="00CD0FEB" w:rsidRDefault="00201F3F" w:rsidP="00CE5492">
      <w:pPr>
        <w:pStyle w:val="14Footnote"/>
      </w:pPr>
      <w:r w:rsidRPr="00CD0FEB">
        <w:rPr>
          <w:vertAlign w:val="superscript"/>
        </w:rPr>
        <w:footnoteRef/>
      </w:r>
      <w:r w:rsidRPr="00CD0FEB">
        <w:rPr>
          <w:i/>
          <w:iCs/>
        </w:rPr>
        <w:t>Id</w:t>
      </w:r>
      <w:r w:rsidRPr="00CD0FEB">
        <w:t>. §541.100(a)(1).</w:t>
      </w:r>
    </w:p>
  </w:footnote>
  <w:footnote w:id="334">
    <w:p w14:paraId="21610FA3" w14:textId="77777777" w:rsidR="00201F3F" w:rsidRPr="00CD0FEB" w:rsidRDefault="00201F3F" w:rsidP="00CE5492">
      <w:pPr>
        <w:pStyle w:val="14Footnote"/>
      </w:pPr>
      <w:r w:rsidRPr="00CD0FEB">
        <w:rPr>
          <w:vertAlign w:val="superscript"/>
        </w:rPr>
        <w:footnoteRef/>
      </w:r>
      <w:r w:rsidRPr="00CD0FEB">
        <w:rPr>
          <w:i/>
          <w:iCs/>
        </w:rPr>
        <w:t>Id</w:t>
      </w:r>
      <w:r w:rsidRPr="00CD0FEB">
        <w:t>. §541.100(a)(2).</w:t>
      </w:r>
    </w:p>
  </w:footnote>
  <w:footnote w:id="335">
    <w:p w14:paraId="23A1A1B5" w14:textId="77777777" w:rsidR="00201F3F" w:rsidRPr="00CD0FEB" w:rsidRDefault="00201F3F" w:rsidP="00CE5492">
      <w:pPr>
        <w:pStyle w:val="14Footnote"/>
      </w:pPr>
      <w:r w:rsidRPr="00CD0FEB">
        <w:rPr>
          <w:vertAlign w:val="superscript"/>
        </w:rPr>
        <w:footnoteRef/>
      </w:r>
      <w:r w:rsidRPr="00CD0FEB">
        <w:rPr>
          <w:i/>
          <w:iCs/>
        </w:rPr>
        <w:t>Id</w:t>
      </w:r>
      <w:r w:rsidRPr="00CD0FEB">
        <w:t>. §541.100(a)(3).</w:t>
      </w:r>
    </w:p>
  </w:footnote>
  <w:footnote w:id="336">
    <w:p w14:paraId="0AC55DCC"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§541.100(a)(4).</w:t>
      </w:r>
    </w:p>
  </w:footnote>
  <w:footnote w:id="337">
    <w:p w14:paraId="50AC01B2" w14:textId="77777777" w:rsidR="00201F3F" w:rsidRPr="00CD0FEB" w:rsidRDefault="00201F3F" w:rsidP="00CE5492">
      <w:pPr>
        <w:pStyle w:val="14Footnote"/>
      </w:pPr>
      <w:r w:rsidRPr="00CD0FEB">
        <w:rPr>
          <w:vertAlign w:val="superscript"/>
        </w:rPr>
        <w:footnoteRef/>
      </w:r>
      <w:r w:rsidRPr="00CD0FEB">
        <w:t xml:space="preserve">29 C.F.R. §541.100(a)(1)–(4); </w:t>
      </w:r>
      <w:r w:rsidRPr="00CD0FEB">
        <w:rPr>
          <w:i/>
          <w:iCs/>
        </w:rPr>
        <w:t xml:space="preserve">see, e.g., </w:t>
      </w:r>
      <w:r w:rsidRPr="00CD0FEB">
        <w:t>Johnson v. Derhaag Motor Sports, Inc.,</w:t>
      </w:r>
      <w:r w:rsidRPr="00CD0FEB">
        <w:rPr>
          <w:i/>
          <w:iCs/>
        </w:rPr>
        <w:t xml:space="preserve"> </w:t>
      </w:r>
      <w:r w:rsidRPr="00CD0FEB">
        <w:t>2014 WL 5817004 (D. Minn. Nov. 10, 2014) (noting that employee must meet all requirements of executive exemption); Kirkland-Brown v. Amelia Island Care Ctr., 2012 WL 2178854 (M.D. Fla. Jun. 13, 2012) (same).</w:t>
      </w:r>
    </w:p>
  </w:footnote>
  <w:footnote w:id="338">
    <w:p w14:paraId="71C9F868" w14:textId="77777777" w:rsidR="00201F3F" w:rsidRPr="00CD0FEB" w:rsidRDefault="00201F3F" w:rsidP="00CE5492">
      <w:pPr>
        <w:pStyle w:val="14Footnote"/>
      </w:pPr>
      <w:r w:rsidRPr="00CD0FEB">
        <w:rPr>
          <w:vertAlign w:val="superscript"/>
        </w:rPr>
        <w:footnoteRef/>
      </w:r>
      <w:r w:rsidRPr="00CD0FEB">
        <w:t>29 C.F.R. §541.3.</w:t>
      </w:r>
    </w:p>
  </w:footnote>
  <w:footnote w:id="339">
    <w:p w14:paraId="6C4B9973"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§541.102; WH Op. FLSA2008-4NA, 2008 WL 1847287 (Feb. 29, 2008) (holding that plant manager qualified for executive exemption where she was responsible for hiring, supervising at least two full-time employees, scheduling work hours, assigning work, determining materials to be used and controlling distribution of those materials, conducting safety meetings, and enforcing safety rules); WH Op. FLSA2007-11, 2007 WL 4190763 (Sept. 17, 2007) (observing that field inspectors responsible for managing assigned district of membership-based association of cattle producers and operators were properly classified as exempt executives where they had responsibility for, inter alia, interviewing, hiring, and training market inspectors; monitoring employee productivity; conducting performance evaluations; and recommending disciplinary action).</w:t>
      </w:r>
    </w:p>
    <w:p w14:paraId="2B4AD1BB" w14:textId="77777777" w:rsidR="00201F3F" w:rsidRPr="00CD0FEB" w:rsidRDefault="00201F3F" w:rsidP="00CE5492">
      <w:pPr>
        <w:pStyle w:val="14Footnote"/>
        <w:rPr>
          <w:i/>
          <w:iCs/>
        </w:rPr>
      </w:pPr>
      <w:r w:rsidRPr="00CD0FEB">
        <w:rPr>
          <w:i/>
          <w:iCs/>
        </w:rPr>
        <w:t>See, e.g.,</w:t>
      </w:r>
    </w:p>
    <w:p w14:paraId="705CBDA2" w14:textId="77777777" w:rsidR="00201F3F" w:rsidRPr="00CD0FEB" w:rsidRDefault="00201F3F" w:rsidP="00CE5492">
      <w:pPr>
        <w:pStyle w:val="14Footnote"/>
      </w:pPr>
      <w:r w:rsidRPr="00CD0FEB">
        <w:rPr>
          <w:i/>
          <w:iCs/>
        </w:rPr>
        <w:t>Third Circuit:</w:t>
      </w:r>
      <w:r w:rsidRPr="00CD0FEB">
        <w:t xml:space="preserve"> Goff v. Bayada Nurses, Inc., 424 F. Supp. 2d 816, 822 (E.D. Pa. 2006) (holding that employee was properly classified as exempt executive where employee interviewed, trained, supervised, and evaluated staff, and was responsible for scheduling, selecting new hires, maintaining production records, handling employee complaints and grievances, and disciplining employees).</w:t>
      </w:r>
    </w:p>
    <w:p w14:paraId="30E3F3BA" w14:textId="77777777" w:rsidR="00201F3F" w:rsidRPr="00CD0FEB" w:rsidRDefault="00201F3F" w:rsidP="00CE5492">
      <w:pPr>
        <w:pStyle w:val="14Footnote"/>
      </w:pPr>
      <w:r w:rsidRPr="00CD0FEB">
        <w:rPr>
          <w:i/>
          <w:iCs/>
        </w:rPr>
        <w:t xml:space="preserve">Fifth Circuit: </w:t>
      </w:r>
      <w:r w:rsidRPr="00CD0FEB">
        <w:t>Chambers v. Sodexo, Inc., 510 F. App’x 336</w:t>
      </w:r>
      <w:r w:rsidRPr="003E59E1">
        <w:t xml:space="preserve"> (</w:t>
      </w:r>
      <w:r w:rsidRPr="00CD0FEB">
        <w:t>5th Cir. 2013) (concluding that executive chef fell within executive exemption where restaurant employees obeyed his orders and his responsibilities included conducting inventory, planning catering events, holding meetings, and occasionally supervising cooks).</w:t>
      </w:r>
    </w:p>
    <w:p w14:paraId="3409F46C" w14:textId="77777777" w:rsidR="00201F3F" w:rsidRPr="00CD0FEB" w:rsidRDefault="00201F3F" w:rsidP="00CE5492">
      <w:pPr>
        <w:pStyle w:val="14Footnote"/>
      </w:pPr>
      <w:r w:rsidRPr="00CD0FEB">
        <w:rPr>
          <w:i/>
          <w:iCs/>
        </w:rPr>
        <w:t>Ninth Circuit:</w:t>
      </w:r>
      <w:r w:rsidRPr="00CD0FEB">
        <w:t xml:space="preserve"> Fetrow-Fix v. Harrah’s Entm’t, Inc., 2011 WL 5827199, at *6, 18 WH Cases2d 925 (D. Nev. Nov. 18, 2011) (identifying casino game supervisor’s management duties to include evaluating employee job performance and responsibilities designed “to protect the integrity of the game”).</w:t>
      </w:r>
    </w:p>
    <w:p w14:paraId="7CF2A281" w14:textId="77777777" w:rsidR="00201F3F" w:rsidRPr="00CD0FEB" w:rsidRDefault="00201F3F" w:rsidP="00CE5492">
      <w:pPr>
        <w:pStyle w:val="14Footnote"/>
      </w:pPr>
      <w:r w:rsidRPr="00CD0FEB">
        <w:rPr>
          <w:i/>
          <w:iCs/>
        </w:rPr>
        <w:t>Eleventh Circuit:</w:t>
      </w:r>
      <w:r w:rsidRPr="00CD0FEB">
        <w:t xml:space="preserve"> Harris v. Swissport SA, LLC, 2017 WL 1318541 (S.D. Fla. Apr. 7, 2017) (finding plaintiffs were properly classified as exempt executives where they supervised and evaluated employees, resolved personnel issues, directed flow of work, ensured adequate staffing, performed training, monitored and approved overtime, initiated discipline, prepared operational and accident reports, conducted safety briefings and audits, and ensured compliance with safety regulations); Alvarez v. Key Transp. Corp., 541 F. Supp. 2d 1308 (S.D. Fla. 2008) (concluding night dispatch manager responsible for monitoring traffic, directing drivers regarding customer pick-ups, and providing customer service was improperly classified as exempt executive where he had no role in interviewing applicants, setting rates of pay, evaluating drivers, planning or controlling budgets, monitoring legal compliance, or determining techniques for dispatching vehicles). </w:t>
      </w:r>
    </w:p>
  </w:footnote>
  <w:footnote w:id="340">
    <w:p w14:paraId="035135D0" w14:textId="77777777" w:rsidR="00201F3F" w:rsidRPr="00CD0FEB" w:rsidRDefault="00201F3F" w:rsidP="00CE5492">
      <w:pPr>
        <w:pStyle w:val="14Footnote"/>
      </w:pPr>
      <w:r w:rsidRPr="00CD0FEB">
        <w:rPr>
          <w:vertAlign w:val="superscript"/>
        </w:rPr>
        <w:footnoteRef/>
      </w:r>
      <w:r w:rsidRPr="00CD0FEB">
        <w:t>69 Fed. Reg. 22,121, 22,123 (Apr. 14, 2004).</w:t>
      </w:r>
    </w:p>
  </w:footnote>
  <w:footnote w:id="341">
    <w:p w14:paraId="5D8A2548"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42">
    <w:p w14:paraId="17C52842" w14:textId="77777777" w:rsidR="00201F3F" w:rsidRPr="00CD0FEB" w:rsidRDefault="00201F3F" w:rsidP="00CE5492">
      <w:pPr>
        <w:pStyle w:val="14Footnote"/>
      </w:pPr>
      <w:r w:rsidRPr="00CD0FEB">
        <w:rPr>
          <w:vertAlign w:val="superscript"/>
        </w:rPr>
        <w:footnoteRef/>
      </w:r>
      <w:r w:rsidRPr="00CD0FEB">
        <w:rPr>
          <w:i/>
          <w:iCs/>
        </w:rPr>
        <w:t>See, e</w:t>
      </w:r>
      <w:r w:rsidRPr="00CD0FEB">
        <w:t>.</w:t>
      </w:r>
      <w:r w:rsidRPr="00CD0FEB">
        <w:rPr>
          <w:i/>
          <w:iCs/>
        </w:rPr>
        <w:t>g</w:t>
      </w:r>
      <w:r w:rsidRPr="00CD0FEB">
        <w:t xml:space="preserve">., Maestas v. Day &amp; Zimmerman, LLC, 664 F.3d 822, 828, 18 WH Cases2d 865 </w:t>
      </w:r>
      <w:r w:rsidRPr="003E59E1">
        <w:t>(1</w:t>
      </w:r>
      <w:r w:rsidRPr="00CD0FEB">
        <w:t>0th Cir. 2012) (observing that in private security setting at Los Alamos National Laboratory, and taking into account the first responder ­regulation—29 C.F.R. §541.3(b)(2)—“directing the work of subordinates while simultaneously performing first responder activities does not qualify as a managerial duty. On the other hand, ‘directing operations’ at an emergency scene is a managerial duty.”).</w:t>
      </w:r>
    </w:p>
  </w:footnote>
  <w:footnote w:id="343">
    <w:p w14:paraId="01A62214" w14:textId="77777777" w:rsidR="00201F3F" w:rsidRPr="00CD0FEB" w:rsidRDefault="00201F3F" w:rsidP="00CE5492">
      <w:pPr>
        <w:pStyle w:val="14Footnote"/>
      </w:pPr>
      <w:r w:rsidRPr="00CD0FEB">
        <w:rPr>
          <w:vertAlign w:val="superscript"/>
        </w:rPr>
        <w:footnoteRef/>
      </w:r>
      <w:r w:rsidRPr="00CD0FEB">
        <w:rPr>
          <w:i/>
          <w:iCs/>
        </w:rPr>
        <w:t>Third Circuit:</w:t>
      </w:r>
      <w:r w:rsidRPr="00CD0FEB">
        <w:t xml:space="preserve"> DiGregorio v. Temple Univ., 26 WH Cases 1184, 1191 (E.D. Pa. 1983) (deeming employee who only scheduled and coordinated others’ activities not engaged in exempt work).</w:t>
      </w:r>
    </w:p>
    <w:p w14:paraId="5D761249" w14:textId="77777777" w:rsidR="00201F3F" w:rsidRPr="00CD0FEB" w:rsidRDefault="00201F3F" w:rsidP="00CE5492">
      <w:pPr>
        <w:pStyle w:val="14Footnote"/>
      </w:pPr>
      <w:r w:rsidRPr="00CD0FEB">
        <w:rPr>
          <w:i/>
          <w:iCs/>
        </w:rPr>
        <w:t xml:space="preserve">Fourth Circuit: </w:t>
      </w:r>
      <w:r w:rsidRPr="00CD0FEB">
        <w:t xml:space="preserve">Donovan v. Rockwell Tire &amp; Fuel, 26 WH Cases 726 (M.D.N.C. 1982) (stating that performing mechanical work and assisting others with work is not management), </w:t>
      </w:r>
      <w:r w:rsidRPr="00CD0FEB">
        <w:rPr>
          <w:i/>
          <w:iCs/>
        </w:rPr>
        <w:t>aff’d mem</w:t>
      </w:r>
      <w:r w:rsidRPr="00CD0FEB">
        <w:t>., 711 F.2d 1050, 26 WH Cases 911</w:t>
      </w:r>
      <w:r w:rsidRPr="003E59E1">
        <w:t xml:space="preserve"> (</w:t>
      </w:r>
      <w:r w:rsidRPr="00CD0FEB">
        <w:t>4th Cir. 1983).</w:t>
      </w:r>
    </w:p>
    <w:p w14:paraId="15A85D21" w14:textId="77777777" w:rsidR="00201F3F" w:rsidRPr="00CD0FEB" w:rsidRDefault="00201F3F" w:rsidP="00CE5492">
      <w:pPr>
        <w:pStyle w:val="14Footnote"/>
      </w:pPr>
      <w:r w:rsidRPr="00CD0FEB">
        <w:rPr>
          <w:i/>
          <w:iCs/>
        </w:rPr>
        <w:t>Fifth Circuit:</w:t>
      </w:r>
      <w:r w:rsidRPr="00CD0FEB">
        <w:t xml:space="preserve"> Dalheim v. KDFW-TV, 918 F.2d 1220, 1231–32, 30 WH Cases 113</w:t>
      </w:r>
      <w:r w:rsidRPr="003E59E1">
        <w:t xml:space="preserve"> (</w:t>
      </w:r>
      <w:r w:rsidRPr="00CD0FEB">
        <w:t>5th Cir. 1990) (holding that producers who coordinated work of employees supervised by others were not engaged in management).</w:t>
      </w:r>
    </w:p>
    <w:p w14:paraId="77097B6C" w14:textId="77777777" w:rsidR="00201F3F" w:rsidRPr="00CD0FEB" w:rsidRDefault="00201F3F" w:rsidP="00CE5492">
      <w:pPr>
        <w:pStyle w:val="14Footnote"/>
      </w:pPr>
      <w:r w:rsidRPr="00CD0FEB">
        <w:rPr>
          <w:i/>
          <w:iCs/>
        </w:rPr>
        <w:t>Sixth Circuit:</w:t>
      </w:r>
      <w:r w:rsidRPr="00CD0FEB">
        <w:t xml:space="preserve"> Ale v. Tennessee Valley Auth., 269 F.3d 680, 692, 7 WH Cases2d 586</w:t>
      </w:r>
      <w:r w:rsidRPr="003E59E1">
        <w:t xml:space="preserve"> (</w:t>
      </w:r>
      <w:r w:rsidRPr="00CD0FEB">
        <w:t>6th Cir. 2001) (deeming shift supervisors not exempt where their supervisory functions were not managerial in nature because they had no control over the employees they supervised).</w:t>
      </w:r>
    </w:p>
    <w:p w14:paraId="41D0E687" w14:textId="77777777" w:rsidR="00201F3F" w:rsidRPr="00CD0FEB" w:rsidRDefault="00201F3F" w:rsidP="00CE5492">
      <w:pPr>
        <w:pStyle w:val="14Footnote"/>
      </w:pPr>
      <w:r w:rsidRPr="00CD0FEB">
        <w:rPr>
          <w:i/>
          <w:iCs/>
        </w:rPr>
        <w:t>D.C. Circuit:</w:t>
      </w:r>
      <w:r w:rsidRPr="00CD0FEB">
        <w:t xml:space="preserve"> Harris v. District of Columbia, 741 F. Supp. 254, 261, 29 WH Cases 1241 (D.D.C. 1990) (concluding that supervisory housing inspectors who had responsibility for directing subordinates but who had no effective authority to discipline them were not engaged in management)</w:t>
      </w:r>
    </w:p>
  </w:footnote>
  <w:footnote w:id="344">
    <w:p w14:paraId="0628B279" w14:textId="77777777" w:rsidR="00201F3F" w:rsidRPr="00CD0FEB" w:rsidRDefault="00201F3F" w:rsidP="00CE5492">
      <w:pPr>
        <w:pStyle w:val="14Footnote"/>
      </w:pPr>
      <w:r w:rsidRPr="00CD0FEB">
        <w:rPr>
          <w:vertAlign w:val="superscript"/>
        </w:rPr>
        <w:footnoteRef/>
      </w:r>
      <w:r w:rsidRPr="00CD0FEB">
        <w:rPr>
          <w:i/>
          <w:iCs/>
        </w:rPr>
        <w:t>See, e.g</w:t>
      </w:r>
      <w:r w:rsidRPr="00CD0FEB">
        <w:t>., Nerland v. Caribou Coffee Co., 2007 WL 1170770 (D. Minn. Apr. 19, 2007) (holding factual dispute as to whether employees’ primary duty was management precluded summary judgment); Roe v. Debt Reduction Servs., Inc., 2007 WL 1266151 (E.D. Wash. Apr. 30, 2007) (same).</w:t>
      </w:r>
    </w:p>
  </w:footnote>
  <w:footnote w:id="345">
    <w:p w14:paraId="62536EDF" w14:textId="77777777" w:rsidR="00201F3F" w:rsidRPr="00CD0FEB" w:rsidRDefault="00201F3F" w:rsidP="00CE5492">
      <w:pPr>
        <w:pStyle w:val="14Footnote"/>
      </w:pPr>
      <w:r w:rsidRPr="00CD0FEB">
        <w:rPr>
          <w:vertAlign w:val="superscript"/>
        </w:rPr>
        <w:footnoteRef/>
      </w:r>
      <w:r w:rsidRPr="00CD0FEB">
        <w:t xml:space="preserve">29 C.F.R. §541.700(b); </w:t>
      </w:r>
      <w:r w:rsidRPr="00CD0FEB">
        <w:rPr>
          <w:i/>
          <w:iCs/>
        </w:rPr>
        <w:t>see</w:t>
      </w:r>
      <w:r w:rsidRPr="00CD0FEB">
        <w:t xml:space="preserve">, </w:t>
      </w:r>
      <w:r w:rsidRPr="00CD0FEB">
        <w:rPr>
          <w:i/>
          <w:iCs/>
        </w:rPr>
        <w:t>e.g.</w:t>
      </w:r>
      <w:r w:rsidRPr="00CD0FEB">
        <w:t>, Amash v. Home Depot USA, Inc., 2014 WL 1795160, 2014 WH Cases2d 156776 (N.D.N.Y May 5, 2014) (series of decisions in multi-plaintiff litigation holding that merchandising assistant store managers had management as their primary duty where: duties included “considerable time” coaching and training subordinates and other supervisors; the plaintiffs spent well over 50% of time performing managerial tasks; they made meaningful recommendations that were accepted by store management; and they received higher wages and stock options not available to nonexempt employees).</w:t>
      </w:r>
    </w:p>
  </w:footnote>
  <w:footnote w:id="346">
    <w:p w14:paraId="35D15394" w14:textId="77777777" w:rsidR="00201F3F" w:rsidRPr="00CD0FEB" w:rsidRDefault="00201F3F" w:rsidP="00CE5492">
      <w:pPr>
        <w:pStyle w:val="14Footnote"/>
      </w:pPr>
      <w:r w:rsidRPr="00CD0FEB">
        <w:rPr>
          <w:vertAlign w:val="superscript"/>
        </w:rPr>
        <w:footnoteRef/>
      </w:r>
      <w:r w:rsidRPr="00CD0FEB">
        <w:t xml:space="preserve">29 C.F.R. §541.106(a); </w:t>
      </w:r>
      <w:r w:rsidRPr="00CD0FEB">
        <w:rPr>
          <w:i/>
          <w:iCs/>
        </w:rPr>
        <w:t>see also</w:t>
      </w:r>
      <w:r w:rsidRPr="00CD0FEB">
        <w:t xml:space="preserve"> 69 Fed. Reg. 22,121, 22,136 (Apr. 23, 2004) (“Nonexempt employees do not become exempt executives simply because they direct the work of other employees upon occasion or provide input on performance issues from time to time because such employees typically do not meet the other requirements of section 541.100, such as having a primary duty of management.”).</w:t>
      </w:r>
    </w:p>
  </w:footnote>
  <w:footnote w:id="347">
    <w:p w14:paraId="3A802431" w14:textId="77777777" w:rsidR="00201F3F" w:rsidRPr="00CD0FEB" w:rsidRDefault="00201F3F" w:rsidP="00CE5492">
      <w:pPr>
        <w:pStyle w:val="14Footnote"/>
      </w:pPr>
      <w:r w:rsidRPr="00CD0FEB">
        <w:rPr>
          <w:vertAlign w:val="superscript"/>
        </w:rPr>
        <w:footnoteRef/>
      </w:r>
      <w:r w:rsidRPr="00CD0FEB">
        <w:t>29 C.F.R. §541.702.</w:t>
      </w:r>
    </w:p>
  </w:footnote>
  <w:footnote w:id="348">
    <w:p w14:paraId="60F933F4" w14:textId="77777777" w:rsidR="00201F3F" w:rsidRPr="00CD0FEB" w:rsidRDefault="00201F3F" w:rsidP="00CE5492">
      <w:pPr>
        <w:pStyle w:val="14Footnote"/>
      </w:pPr>
      <w:r w:rsidRPr="00CD0FEB">
        <w:rPr>
          <w:vertAlign w:val="superscript"/>
        </w:rPr>
        <w:footnoteRef/>
      </w:r>
      <w:r w:rsidRPr="00CD0FEB">
        <w:rPr>
          <w:i/>
          <w:iCs/>
        </w:rPr>
        <w:t>Id</w:t>
      </w:r>
      <w:r w:rsidRPr="00CD0FEB">
        <w:t>. §541.703(a).</w:t>
      </w:r>
    </w:p>
  </w:footnote>
  <w:footnote w:id="349">
    <w:p w14:paraId="534B14C5" w14:textId="77777777" w:rsidR="00201F3F" w:rsidRPr="00CD0FEB" w:rsidRDefault="00201F3F" w:rsidP="00CE5492">
      <w:pPr>
        <w:pStyle w:val="14Footnote"/>
      </w:pPr>
      <w:r w:rsidRPr="00CD0FEB">
        <w:rPr>
          <w:vertAlign w:val="superscript"/>
        </w:rPr>
        <w:footnoteRef/>
      </w:r>
      <w:r w:rsidRPr="00CD0FEB">
        <w:t>Dole v. Papa Gino’s of Am., 712 F. Supp. 1038, 1042, 29 WH Cases 829 (D. Mass. 1989) (concluding entry-level associate managers not exempt while being trained before assumption of supervisory responsibilities).</w:t>
      </w:r>
    </w:p>
  </w:footnote>
  <w:footnote w:id="350">
    <w:p w14:paraId="0268B072" w14:textId="77777777" w:rsidR="00201F3F" w:rsidRPr="00CD0FEB" w:rsidRDefault="00201F3F" w:rsidP="00CE5492">
      <w:pPr>
        <w:pStyle w:val="14Footnote"/>
      </w:pPr>
      <w:r w:rsidRPr="00CD0FEB">
        <w:rPr>
          <w:vertAlign w:val="superscript"/>
        </w:rPr>
        <w:footnoteRef/>
      </w:r>
      <w:r w:rsidRPr="00CD0FEB">
        <w:t>WH Op. FLSA2008-19, 2008 WL 5483059 (Dec. 19, 2008).</w:t>
      </w:r>
    </w:p>
  </w:footnote>
  <w:footnote w:id="351">
    <w:p w14:paraId="0545C7F4" w14:textId="77777777" w:rsidR="00201F3F" w:rsidRPr="00CD0FEB" w:rsidRDefault="00201F3F" w:rsidP="00CE5492">
      <w:pPr>
        <w:pStyle w:val="14Footnote"/>
      </w:pPr>
      <w:r w:rsidRPr="00CD0FEB">
        <w:rPr>
          <w:vertAlign w:val="superscript"/>
        </w:rPr>
        <w:footnoteRef/>
      </w:r>
      <w:r w:rsidRPr="00CD0FEB">
        <w:t>29 C.F.R. §541.102.</w:t>
      </w:r>
    </w:p>
  </w:footnote>
  <w:footnote w:id="352">
    <w:p w14:paraId="61149A82" w14:textId="77777777" w:rsidR="00201F3F" w:rsidRPr="00CD0FEB" w:rsidRDefault="00201F3F" w:rsidP="00CE5492">
      <w:pPr>
        <w:pStyle w:val="14Footnote"/>
      </w:pPr>
      <w:r w:rsidRPr="00CD0FEB">
        <w:rPr>
          <w:vertAlign w:val="superscript"/>
        </w:rPr>
        <w:footnoteRef/>
      </w:r>
      <w:r w:rsidRPr="00CD0FEB">
        <w:t>Donovan v. Burger King Corp., 672 F.2d 221, 226, 25 WH Cases 428</w:t>
      </w:r>
      <w:r w:rsidRPr="003E59E1">
        <w:t xml:space="preserve"> (</w:t>
      </w:r>
      <w:r w:rsidRPr="00CD0FEB">
        <w:t>1st Cir. 1982) (involving step-by-step instruction manual).</w:t>
      </w:r>
    </w:p>
  </w:footnote>
  <w:footnote w:id="353">
    <w:p w14:paraId="6E7846E7"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Mitchell v. Abercrombie &amp; Fitch, Co., 428 F. Supp. 2d 725, 11 WH Cases2d 737 (S.D. Ohio 2006) (holding store manager responsible for hiring and firing, scheduling, training, handling customer complaints, and ensuring compliance with policies was exempt notwithstanding that his managerial duties were heavily constricted by employer policies and district manager supervision); Anderson v. Federal Cartridge Corp., 62 F. Supp. 775, 781, 5 WH Cases 413 (D. Minn. 1945) (deeming enforcement of rules in ammunition plant essence of supervisory work), </w:t>
      </w:r>
      <w:r w:rsidRPr="00CD0FEB">
        <w:rPr>
          <w:i/>
          <w:iCs/>
        </w:rPr>
        <w:t>aff’d</w:t>
      </w:r>
      <w:r w:rsidRPr="00CD0FEB">
        <w:t>, 156 F.2d 681, 6 WH Cases 169</w:t>
      </w:r>
      <w:r w:rsidRPr="003E59E1">
        <w:t xml:space="preserve"> (</w:t>
      </w:r>
      <w:r w:rsidRPr="00CD0FEB">
        <w:t>8th Cir. 1946).</w:t>
      </w:r>
    </w:p>
  </w:footnote>
  <w:footnote w:id="354">
    <w:p w14:paraId="17450D19" w14:textId="77777777" w:rsidR="00201F3F" w:rsidRPr="00CD0FEB" w:rsidRDefault="00201F3F" w:rsidP="00CE5492">
      <w:pPr>
        <w:pStyle w:val="14Footnote"/>
      </w:pPr>
      <w:r w:rsidRPr="00CD0FEB">
        <w:rPr>
          <w:vertAlign w:val="superscript"/>
        </w:rPr>
        <w:footnoteRef/>
      </w:r>
      <w:r w:rsidRPr="00CD0FEB">
        <w:t>Thomas v. Speedway SuperAmerica, LLC, 506 F.3d 496, 506–07, 12 WH Cases2d 1729</w:t>
      </w:r>
      <w:r w:rsidRPr="003E59E1">
        <w:t xml:space="preserve"> (</w:t>
      </w:r>
      <w:r w:rsidRPr="00CD0FEB">
        <w:t>6th Cir. 2007) (concluding gas station/convenience store manager had management as primary duty and was thus an exempt executive employee); Murray v. Stuckey’s, Inc., 50 F.3d 564, 570, 2 WH Cases2d 1057</w:t>
      </w:r>
      <w:r w:rsidRPr="003E59E1">
        <w:t xml:space="preserve"> (</w:t>
      </w:r>
      <w:r w:rsidRPr="00CD0FEB">
        <w:t>8th Cir. 1995) (deeming roadside gas station and convenience store managers exempt executive employees); Blake v. Broadway Servs., Inc., 2020 WL 1675954 (D. Md. Apr. 6, 2020) (holding that highest ranking security officer on site was properly classified as exempt executive).</w:t>
      </w:r>
    </w:p>
  </w:footnote>
  <w:footnote w:id="355">
    <w:p w14:paraId="4F143140" w14:textId="77777777" w:rsidR="00201F3F" w:rsidRPr="00CD0FEB" w:rsidRDefault="00201F3F" w:rsidP="00CE5492">
      <w:pPr>
        <w:pStyle w:val="14Footnote"/>
      </w:pPr>
      <w:r w:rsidRPr="00CD0FEB">
        <w:rPr>
          <w:vertAlign w:val="superscript"/>
        </w:rPr>
        <w:footnoteRef/>
      </w:r>
      <w:r w:rsidRPr="00CD0FEB">
        <w:t>Little v. Belle Tire Distribs., Inc., 588 F. App’x 424, 23 WH Cases2d 1216</w:t>
      </w:r>
      <w:r w:rsidRPr="003E59E1">
        <w:t xml:space="preserve"> (</w:t>
      </w:r>
      <w:r w:rsidRPr="00CD0FEB">
        <w:t>6th Cir. 2014) (factual dispute as to exact nature of work employee performed and level of discretion that employee exercised precluded summary judgment where employee testified that job functions were clerical and lacked level of discretion); Donovan v. Rockwell Tire &amp; Fuel, 711 F.2d 1050, 26 WH Cases 911</w:t>
      </w:r>
      <w:r w:rsidRPr="003E59E1">
        <w:t xml:space="preserve"> (</w:t>
      </w:r>
      <w:r w:rsidRPr="00CD0FEB">
        <w:t>4th Cir. 1983) (holding working foremen who devoted virtually all working time to repairing vehicles, waiting on customers, and cleaning up the service area were not exempt executive employees).</w:t>
      </w:r>
    </w:p>
  </w:footnote>
  <w:footnote w:id="356">
    <w:p w14:paraId="54B254CB" w14:textId="77777777" w:rsidR="00201F3F" w:rsidRPr="00CD0FEB" w:rsidRDefault="00201F3F" w:rsidP="00CE5492">
      <w:pPr>
        <w:pStyle w:val="14Footnote"/>
      </w:pPr>
      <w:r w:rsidRPr="00CD0FEB">
        <w:rPr>
          <w:vertAlign w:val="superscript"/>
        </w:rPr>
        <w:footnoteRef/>
      </w:r>
      <w:r w:rsidRPr="00CD0FEB">
        <w:rPr>
          <w:i/>
          <w:iCs/>
        </w:rPr>
        <w:t>Compare</w:t>
      </w:r>
      <w:r w:rsidRPr="00CD0FEB">
        <w:t xml:space="preserve"> </w:t>
      </w:r>
      <w:r w:rsidRPr="00CD0FEB">
        <w:rPr>
          <w:i/>
          <w:iCs/>
        </w:rPr>
        <w:t>Burger King</w:t>
      </w:r>
      <w:r w:rsidRPr="00CD0FEB">
        <w:t xml:space="preserve">, 672 F.2d at 226–27 (holding that a finding that assistant managers are “in charge” of restaurants mandates a finding that management is their primary duty), </w:t>
      </w:r>
      <w:r w:rsidRPr="00CD0FEB">
        <w:rPr>
          <w:i/>
          <w:iCs/>
        </w:rPr>
        <w:t>with</w:t>
      </w:r>
      <w:r w:rsidRPr="00CD0FEB">
        <w:t xml:space="preserve"> Guthrie v. Lady Jane Collieries, 722 F.2d 1141, 1145, 26 WH Cases 893 (3d Cir. 1983) (stating that merely being in charge is not enough to show exempt status). As originally proposed, the 2004 amendments included a provision whereby an employee in sole charge of an independent or branch establishment would be deemed to meet the executive exemption’s duties test. This proposed rule was deleted from the final regulations, however, largely in response to concerns about extending the executive exemption to encompass certain employees who perform primarily nonexempt tasks, such as opening and closing a location, answering phones, stocking shelves, etc. 69 Fed. Reg. at 22,132–33.</w:t>
      </w:r>
    </w:p>
  </w:footnote>
  <w:footnote w:id="357">
    <w:p w14:paraId="586BC2D7" w14:textId="77777777" w:rsidR="00201F3F" w:rsidRPr="00CD0FEB" w:rsidRDefault="00201F3F"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58">
    <w:p w14:paraId="391E9CCE" w14:textId="77777777" w:rsidR="00201F3F" w:rsidRPr="00CD0FEB" w:rsidRDefault="00201F3F" w:rsidP="00CE5492">
      <w:pPr>
        <w:pStyle w:val="14Footnote"/>
      </w:pPr>
      <w:r w:rsidRPr="00CD0FEB">
        <w:rPr>
          <w:vertAlign w:val="superscript"/>
        </w:rPr>
        <w:footnoteRef/>
      </w:r>
      <w:r w:rsidRPr="00CD0FEB">
        <w:rPr>
          <w:i/>
          <w:iCs/>
        </w:rPr>
        <w:t>Id</w:t>
      </w:r>
      <w:r w:rsidRPr="00CD0FEB">
        <w:t>. at 1271.</w:t>
      </w:r>
    </w:p>
  </w:footnote>
  <w:footnote w:id="359">
    <w:p w14:paraId="6672577C"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Knight v. Beall’s Outlet Stores, Inc., 2017 WL 149810 (S.D. Ga. Jan. 13, 2017) (recognizing Eleventh Circuit’s rejection of “categorical approach” in </w:t>
      </w:r>
      <w:r w:rsidRPr="00CD0FEB">
        <w:rPr>
          <w:i/>
          <w:iCs/>
        </w:rPr>
        <w:t xml:space="preserve">Morgan </w:t>
      </w:r>
      <w:r w:rsidRPr="00CD0FEB">
        <w:t>in denying defendant’s summary judgment motion).</w:t>
      </w:r>
    </w:p>
  </w:footnote>
  <w:footnote w:id="360">
    <w:p w14:paraId="4B932948" w14:textId="77777777" w:rsidR="00201F3F" w:rsidRPr="00CD0FEB" w:rsidRDefault="00201F3F" w:rsidP="00CE5492">
      <w:pPr>
        <w:pStyle w:val="14Footnote"/>
      </w:pPr>
      <w:r w:rsidRPr="00CD0FEB">
        <w:rPr>
          <w:vertAlign w:val="superscript"/>
        </w:rPr>
        <w:footnoteRef/>
      </w:r>
      <w:r w:rsidRPr="00CD0FEB">
        <w:t>Morrison v. County of Fairfax, 826 F.3d 758</w:t>
      </w:r>
      <w:r w:rsidRPr="003E59E1">
        <w:t xml:space="preserve"> (</w:t>
      </w:r>
      <w:r w:rsidRPr="00CD0FEB">
        <w:t xml:space="preserve">4th Cir. 2016) (reversing lower court’s grant of summary judgment in favor of defendant after highlighting importance of “holistic” approach to determining most important duty in executive exemption analysis; holding that fire captains’ primary duty was emergency response); Reich v. Wyoming, 993 F.2d 739, 742, 1 WH Cases2d 649 </w:t>
      </w:r>
      <w:r w:rsidRPr="003E59E1">
        <w:t>(1</w:t>
      </w:r>
      <w:r w:rsidRPr="00CD0FEB">
        <w:t>0th Cir. 1993) (stating employee’s primary duty is that which is of principal importance to employer); Donovan v. Burger King Corp., 675 F.2d 516, 521, 25 WH Cases 524 (2d Cir. 1982) (finding assistant manager’s primary duty to be most important to employer).</w:t>
      </w:r>
    </w:p>
  </w:footnote>
  <w:footnote w:id="361">
    <w:p w14:paraId="67A384F2" w14:textId="77777777" w:rsidR="00201F3F" w:rsidRPr="00CD0FEB" w:rsidRDefault="00201F3F" w:rsidP="00CE5492">
      <w:pPr>
        <w:pStyle w:val="14Footnote"/>
      </w:pPr>
      <w:r w:rsidRPr="00CD0FEB">
        <w:rPr>
          <w:vertAlign w:val="superscript"/>
        </w:rPr>
        <w:footnoteRef/>
      </w:r>
      <w:r w:rsidRPr="00CD0FEB">
        <w:t>Guthrie v. Lady Jane Collieries, 722 F.2d 1141, 1146, 26 WH Cases 893 (3d Cir. 1983).</w:t>
      </w:r>
    </w:p>
  </w:footnote>
  <w:footnote w:id="362">
    <w:p w14:paraId="0730374C" w14:textId="77777777" w:rsidR="00201F3F" w:rsidRPr="00CD0FEB" w:rsidRDefault="00201F3F" w:rsidP="00CE5492">
      <w:pPr>
        <w:pStyle w:val="14Footnote"/>
      </w:pPr>
      <w:r w:rsidRPr="00CD0FEB">
        <w:rPr>
          <w:vertAlign w:val="superscript"/>
        </w:rPr>
        <w:footnoteRef/>
      </w:r>
      <w:r w:rsidRPr="00CD0FEB">
        <w:t xml:space="preserve">29 C.F.R. §541.700(a) (noting that primary duty “means the principal, main, major, or most important duty”); </w:t>
      </w:r>
      <w:r w:rsidRPr="00CD0FEB">
        <w:rPr>
          <w:i/>
          <w:iCs/>
        </w:rPr>
        <w:t>see also Burger King Corp</w:t>
      </w:r>
      <w:r w:rsidRPr="00CD0FEB">
        <w:t xml:space="preserve">., 675 F.2d 516 (holding that manager’s most important or critical duties with respect to success of restaurant were managerial, but not that management duties had to be critical to business in order for employee to be exempt (despite being cited by </w:t>
      </w:r>
      <w:r w:rsidRPr="00CD0FEB">
        <w:rPr>
          <w:i/>
          <w:iCs/>
        </w:rPr>
        <w:t>Guthrie</w:t>
      </w:r>
      <w:r w:rsidRPr="00CD0FEB">
        <w:t xml:space="preserve"> in support of such a test)).</w:t>
      </w:r>
    </w:p>
  </w:footnote>
  <w:footnote w:id="363">
    <w:p w14:paraId="5FC609FE" w14:textId="77777777" w:rsidR="00201F3F" w:rsidRPr="00CD0FEB" w:rsidRDefault="00201F3F" w:rsidP="00CE5492">
      <w:pPr>
        <w:pStyle w:val="14Footnote"/>
      </w:pPr>
      <w:r w:rsidRPr="00CD0FEB">
        <w:rPr>
          <w:vertAlign w:val="superscript"/>
        </w:rPr>
        <w:footnoteRef/>
      </w:r>
      <w:r w:rsidRPr="00CD0FEB">
        <w:t>WH Op. FLSA2006-29, 2006 WL 2792443 (Sept. 8, 2006).</w:t>
      </w:r>
    </w:p>
  </w:footnote>
  <w:footnote w:id="364">
    <w:p w14:paraId="4B7A35A1" w14:textId="77777777" w:rsidR="00201F3F" w:rsidRPr="00CD0FEB" w:rsidRDefault="00201F3F" w:rsidP="00CE5492">
      <w:pPr>
        <w:pStyle w:val="14Footnote"/>
      </w:pPr>
      <w:r w:rsidRPr="00CD0FEB">
        <w:rPr>
          <w:vertAlign w:val="superscript"/>
        </w:rPr>
        <w:footnoteRef/>
      </w:r>
      <w:r w:rsidRPr="00CD0FEB">
        <w:rPr>
          <w:i/>
          <w:iCs/>
        </w:rPr>
        <w:t>Id.</w:t>
      </w:r>
      <w:r w:rsidRPr="00CD0FEB">
        <w:t>;</w:t>
      </w:r>
      <w:r w:rsidRPr="00CD0FEB">
        <w:rPr>
          <w:i/>
          <w:iCs/>
        </w:rPr>
        <w:t xml:space="preserve"> see also</w:t>
      </w:r>
      <w:r w:rsidRPr="00CD0FEB">
        <w:t xml:space="preserve"> Langston v. Lookout Mountain Cmty. Servs., 775 F. App’x 991, 999 </w:t>
      </w:r>
      <w:r w:rsidRPr="003E59E1">
        <w:t>(1</w:t>
      </w:r>
      <w:r w:rsidRPr="00CD0FEB">
        <w:t>1th Cir. 2019) (concluding that primary duty of House Manager at a home for severely disabled residents was management where “her nonexempt duties were limited to preparing food for the patient, counting medication, and changing the patient’s clothes—all of which she did only when the nonexempt staff were busy or needed help”).</w:t>
      </w:r>
    </w:p>
  </w:footnote>
  <w:footnote w:id="365">
    <w:p w14:paraId="2A6851F5" w14:textId="77777777" w:rsidR="00201F3F" w:rsidRPr="00CD0FEB" w:rsidRDefault="00201F3F" w:rsidP="00CE5492">
      <w:pPr>
        <w:pStyle w:val="14Footnote"/>
      </w:pPr>
      <w:r w:rsidRPr="00CD0FEB">
        <w:rPr>
          <w:vertAlign w:val="superscript"/>
        </w:rPr>
        <w:footnoteRef/>
      </w:r>
      <w:r w:rsidRPr="00CD0FEB">
        <w:t>29 C.F.R. §541.700(b).</w:t>
      </w:r>
    </w:p>
  </w:footnote>
  <w:footnote w:id="366">
    <w:p w14:paraId="7F1CF021"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367">
    <w:p w14:paraId="143510CF"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§541.700(a); </w:t>
      </w:r>
      <w:r w:rsidRPr="00CD0FEB">
        <w:rPr>
          <w:i/>
          <w:iCs/>
        </w:rPr>
        <w:t>see also</w:t>
      </w:r>
      <w:r w:rsidRPr="00CD0FEB">
        <w:t xml:space="preserve"> Taylor v. Autozone, Inc., 572 F. App’x 515, 516, 22 WH Cases2d 924</w:t>
      </w:r>
      <w:r w:rsidRPr="003E59E1">
        <w:t xml:space="preserve"> (</w:t>
      </w:r>
      <w:r w:rsidRPr="00CD0FEB">
        <w:t>9th Cir. 2014) (reversing summary judgment in employer’s favor where store managers spent less than 50% of their time performing exempt work “in light of conflicting evidence concerning the importance of [plaintiffs’] management duties as compared to their nonexempt duties”); Saunders v. Lincoln Mfg., Inc., 2019 WL 1601875, at *10 (S.D. Tex. Apr. 15, 2019) (holding night-shift production supervisor exempt where “undisputed evidence in the record supports a strong inference that [plaintiff’s] supervisory duties were the ones ‘of principal value’” to defendant).</w:t>
      </w:r>
    </w:p>
  </w:footnote>
  <w:footnote w:id="368">
    <w:p w14:paraId="52D2A18D" w14:textId="77777777" w:rsidR="00201F3F" w:rsidRPr="00CD0FEB" w:rsidRDefault="00201F3F" w:rsidP="00CE5492">
      <w:pPr>
        <w:pStyle w:val="14Footnote"/>
      </w:pPr>
      <w:r w:rsidRPr="00CD0FEB">
        <w:rPr>
          <w:vertAlign w:val="superscript"/>
        </w:rPr>
        <w:footnoteRef/>
      </w:r>
      <w:r w:rsidRPr="00CD0FEB">
        <w:t xml:space="preserve">518 F.3d 1259, 13 WH Cases2d 653 </w:t>
      </w:r>
      <w:r w:rsidRPr="003E59E1">
        <w:t>(1</w:t>
      </w:r>
      <w:r w:rsidRPr="00CD0FEB">
        <w:t xml:space="preserve">1th Cir. 2008); </w:t>
      </w:r>
      <w:r w:rsidRPr="00CD0FEB">
        <w:rPr>
          <w:i/>
          <w:iCs/>
        </w:rPr>
        <w:t xml:space="preserve">see also </w:t>
      </w:r>
      <w:r w:rsidRPr="00CD0FEB">
        <w:t>Jackson v. Go-Tane Servs., Inc., 56 F. App’x 267, 8 WH Cases2d 1472</w:t>
      </w:r>
      <w:r w:rsidRPr="003E59E1">
        <w:t xml:space="preserve"> (</w:t>
      </w:r>
      <w:r w:rsidRPr="00CD0FEB">
        <w:t>7th Cir. 2003) (deeming car wash manager who spent 95% of his time performing the same tasks as car wash attendants not eligible for executive exemption).</w:t>
      </w:r>
    </w:p>
  </w:footnote>
  <w:footnote w:id="369">
    <w:p w14:paraId="758C7B95" w14:textId="77777777" w:rsidR="00201F3F" w:rsidRPr="00CD0FEB" w:rsidRDefault="00201F3F" w:rsidP="00CE5492">
      <w:pPr>
        <w:pStyle w:val="14Footnote"/>
      </w:pPr>
      <w:r w:rsidRPr="00CD0FEB">
        <w:rPr>
          <w:vertAlign w:val="superscript"/>
        </w:rPr>
        <w:footnoteRef/>
      </w:r>
      <w:r w:rsidRPr="00CD0FEB">
        <w:rPr>
          <w:i/>
          <w:iCs/>
        </w:rPr>
        <w:t>Rodriguez</w:t>
      </w:r>
      <w:r w:rsidRPr="00CD0FEB">
        <w:t xml:space="preserve">, 518 F.3d at 1265; </w:t>
      </w:r>
      <w:r w:rsidRPr="00CD0FEB">
        <w:rPr>
          <w:i/>
          <w:iCs/>
        </w:rPr>
        <w:t>see also</w:t>
      </w:r>
      <w:r w:rsidRPr="00CD0FEB">
        <w:t xml:space="preserve"> Elghourab v. Vista JFK, LLC, 2019 WL 2431905, at *8–9 (E.D.N.Y. June 11, 2019) (finding hotel restaurant chef was improperly classified as exempt executive where he spent 90% of his time performing nonexempt work, including preparing and cooking food, and his salary, when converted to an hourly rate, was actually less than his co-workers), </w:t>
      </w:r>
      <w:r w:rsidRPr="00CD0FEB">
        <w:rPr>
          <w:i/>
          <w:iCs/>
        </w:rPr>
        <w:t>aff’d</w:t>
      </w:r>
      <w:r w:rsidRPr="00CD0FEB">
        <w:t>, 818 F. App’x 63 (2d Cir. 2020).</w:t>
      </w:r>
    </w:p>
  </w:footnote>
  <w:footnote w:id="370">
    <w:p w14:paraId="296DE968" w14:textId="77777777" w:rsidR="00201F3F" w:rsidRPr="00CD0FEB" w:rsidRDefault="00201F3F" w:rsidP="00CE5492">
      <w:pPr>
        <w:pStyle w:val="14Footnote"/>
      </w:pPr>
      <w:r w:rsidRPr="00CD0FEB">
        <w:rPr>
          <w:vertAlign w:val="superscript"/>
        </w:rPr>
        <w:footnoteRef/>
      </w:r>
      <w:r w:rsidRPr="00CD0FEB">
        <w:t>476 F.3d 6, 12 WH Cases2d 417</w:t>
      </w:r>
      <w:r w:rsidRPr="003E59E1">
        <w:t xml:space="preserve"> (</w:t>
      </w:r>
      <w:r w:rsidRPr="00CD0FEB">
        <w:t>1st Cir. 2007).</w:t>
      </w:r>
    </w:p>
  </w:footnote>
  <w:footnote w:id="371">
    <w:p w14:paraId="78A0125F" w14:textId="77777777" w:rsidR="00201F3F" w:rsidRPr="00CD0FEB" w:rsidRDefault="00201F3F" w:rsidP="00CE5492">
      <w:pPr>
        <w:pStyle w:val="14Footnote"/>
      </w:pPr>
      <w:r w:rsidRPr="00CD0FEB">
        <w:rPr>
          <w:vertAlign w:val="superscript"/>
        </w:rPr>
        <w:footnoteRef/>
      </w:r>
      <w:r w:rsidRPr="00CD0FEB">
        <w:rPr>
          <w:i/>
          <w:iCs/>
        </w:rPr>
        <w:t>Id</w:t>
      </w:r>
      <w:r w:rsidRPr="00CD0FEB">
        <w:t>. at 14.</w:t>
      </w:r>
    </w:p>
  </w:footnote>
  <w:footnote w:id="372">
    <w:p w14:paraId="2FEDAD51" w14:textId="77777777" w:rsidR="00201F3F" w:rsidRPr="00CD0FEB" w:rsidRDefault="00201F3F" w:rsidP="00CE5492">
      <w:pPr>
        <w:pStyle w:val="14Footnote"/>
      </w:pPr>
      <w:r w:rsidRPr="00CD0FEB">
        <w:rPr>
          <w:vertAlign w:val="superscript"/>
        </w:rPr>
        <w:footnoteRef/>
      </w:r>
      <w:r w:rsidRPr="00CD0FEB">
        <w:rPr>
          <w:i/>
          <w:iCs/>
        </w:rPr>
        <w:t>Id.; see also</w:t>
      </w:r>
    </w:p>
    <w:p w14:paraId="4C1EB7FE" w14:textId="77777777" w:rsidR="00201F3F" w:rsidRPr="00CD0FEB" w:rsidRDefault="00201F3F" w:rsidP="00CE5492">
      <w:pPr>
        <w:pStyle w:val="14Footnote"/>
      </w:pPr>
      <w:r w:rsidRPr="00CD0FEB">
        <w:rPr>
          <w:i/>
          <w:iCs/>
        </w:rPr>
        <w:t>Sixth Circuit:</w:t>
      </w:r>
      <w:r w:rsidRPr="00CD0FEB">
        <w:t xml:space="preserve"> Vezina v. Jewish Cmty. Ctr., 2 WH Cases2d 862 (E.D. Mich. 1994) (holding that aquatics director responsible for day-to-day operation of a community center’s aquatics department and performance of management duties (i.e., selecting, training, supervising, and disciplining staff) was an executive even though she sometimes served as lifeguard or swim instructor, answered the telephone, and took class registrations).</w:t>
      </w:r>
    </w:p>
    <w:p w14:paraId="5185749F" w14:textId="77777777" w:rsidR="00201F3F" w:rsidRPr="00CD0FEB" w:rsidRDefault="00201F3F" w:rsidP="00CE5492">
      <w:pPr>
        <w:pStyle w:val="14Footnote"/>
      </w:pPr>
      <w:r w:rsidRPr="00CD0FEB">
        <w:rPr>
          <w:i/>
          <w:iCs/>
        </w:rPr>
        <w:t xml:space="preserve">Ninth Circuit: </w:t>
      </w:r>
      <w:r w:rsidRPr="00CD0FEB">
        <w:t>Ortiz v. Amazon.com LLC, 2019 WL 2247780 (N.D. Cal. May 24, 2019) (holding that warehouse manager was exempt executive despite majority of time spent performing manual labor where he was the only manager on duty, he was relatively free from direct supervision, and his compensation was significantly higher than laborers).</w:t>
      </w:r>
    </w:p>
    <w:p w14:paraId="07D7E071" w14:textId="77777777" w:rsidR="00201F3F" w:rsidRPr="00CD0FEB" w:rsidRDefault="00201F3F" w:rsidP="00CE5492">
      <w:pPr>
        <w:pStyle w:val="14Footnote"/>
      </w:pPr>
      <w:r w:rsidRPr="00CD0FEB">
        <w:rPr>
          <w:i/>
          <w:iCs/>
        </w:rPr>
        <w:t>Tenth Circuit:</w:t>
      </w:r>
      <w:r w:rsidRPr="00CD0FEB">
        <w:t xml:space="preserve"> Cooper v. Spring Haven, 2 WH Cases2d 1707 (D. Kan. 1995) (finding that dietary manager for a retirement apartment complex had management as her primary duty where (1) she spent a significant amount of time engaged in managerial duties such as ordering, scheduling, and planning; (2) her managerial duties were among her more important functions; and (3) she exercised discretionary powers, which were not dictated by higher management, in determining what food to buy and prepare, scheduling hours, and assigning tasks).</w:t>
      </w:r>
    </w:p>
    <w:p w14:paraId="7FC9F902" w14:textId="77777777" w:rsidR="00201F3F" w:rsidRPr="00CD0FEB" w:rsidRDefault="00201F3F" w:rsidP="00CE5492">
      <w:pPr>
        <w:pStyle w:val="14Footnote"/>
      </w:pPr>
      <w:r w:rsidRPr="00CD0FEB">
        <w:rPr>
          <w:i/>
          <w:iCs/>
        </w:rPr>
        <w:t>Eleventh Circuit:</w:t>
      </w:r>
      <w:r w:rsidRPr="00CD0FEB">
        <w:t xml:space="preserve"> Garcia v. Nachon Enters., Inc., 223 F. Supp. 3d 1257 (S.D. Fla. 2016) (holding that general manager of hardware store who spent significant time on nonexempt tasks was properly classified as exempt executive where managerial duties were of “primary value” to employer); Hicks v. Mercedes-Benz U.S. Int’l, Inc., 877 F. Supp. 2d 1161, 1170 (N.D. Ala. 2012) (finding group leaders for automobile manufacturer were exempt executives where their primary duties included overseeing and directing team leaders and they did not perform production or quality check work)</w:t>
      </w:r>
    </w:p>
  </w:footnote>
  <w:footnote w:id="373">
    <w:p w14:paraId="0262B725" w14:textId="77777777" w:rsidR="00201F3F" w:rsidRPr="00CD0FEB" w:rsidRDefault="00201F3F" w:rsidP="00CE5492">
      <w:pPr>
        <w:pStyle w:val="14Footnote"/>
      </w:pPr>
      <w:r w:rsidRPr="00CD0FEB">
        <w:rPr>
          <w:vertAlign w:val="superscript"/>
        </w:rPr>
        <w:footnoteRef/>
      </w:r>
      <w:r w:rsidRPr="00CD0FEB">
        <w:rPr>
          <w:i/>
          <w:iCs/>
        </w:rPr>
        <w:t xml:space="preserve">See, e.g., </w:t>
      </w:r>
      <w:r w:rsidRPr="00CD0FEB">
        <w:t>Little v. Belle Tire Distribs., Inc., 588 F. App’x 424, 23 WH Cases2d 1216</w:t>
      </w:r>
      <w:r w:rsidRPr="003E59E1">
        <w:t xml:space="preserve"> (</w:t>
      </w:r>
      <w:r w:rsidRPr="00CD0FEB">
        <w:t>6th Cir. 2014) (reversing summary judgment in case involving assistant manager based on factual dispute regarding nature of work employee performed and level of discretion employee exercised).</w:t>
      </w:r>
    </w:p>
  </w:footnote>
  <w:footnote w:id="374">
    <w:p w14:paraId="2018ABD5" w14:textId="77777777" w:rsidR="00201F3F" w:rsidRPr="00CD0FEB" w:rsidRDefault="00201F3F" w:rsidP="00CE5492">
      <w:pPr>
        <w:pStyle w:val="14Footnote"/>
      </w:pPr>
      <w:r w:rsidRPr="00CD0FEB">
        <w:rPr>
          <w:vertAlign w:val="superscript"/>
        </w:rPr>
        <w:footnoteRef/>
      </w:r>
      <w:r w:rsidRPr="00CD0FEB">
        <w:t>506 F.3d 496, 12 WH Cases2d 1729</w:t>
      </w:r>
      <w:r w:rsidRPr="003E59E1">
        <w:t xml:space="preserve"> (</w:t>
      </w:r>
      <w:r w:rsidRPr="00CD0FEB">
        <w:t>6th Cir. 2007).</w:t>
      </w:r>
    </w:p>
  </w:footnote>
  <w:footnote w:id="375">
    <w:p w14:paraId="6D84D65B" w14:textId="77777777" w:rsidR="00201F3F" w:rsidRPr="00CD0FEB" w:rsidRDefault="00201F3F" w:rsidP="00CE5492">
      <w:pPr>
        <w:pStyle w:val="14Footnote"/>
      </w:pPr>
      <w:r w:rsidRPr="00CD0FEB">
        <w:rPr>
          <w:vertAlign w:val="superscript"/>
        </w:rPr>
        <w:footnoteRef/>
      </w:r>
      <w:r w:rsidRPr="00CD0FEB">
        <w:t>506 F.3d</w:t>
      </w:r>
      <w:r w:rsidRPr="00CD0FEB">
        <w:rPr>
          <w:i/>
          <w:iCs/>
        </w:rPr>
        <w:t xml:space="preserve"> </w:t>
      </w:r>
      <w:r w:rsidRPr="00CD0FEB">
        <w:t>at 505.</w:t>
      </w:r>
    </w:p>
  </w:footnote>
  <w:footnote w:id="376">
    <w:p w14:paraId="1C2058F2" w14:textId="77777777" w:rsidR="00201F3F" w:rsidRPr="00CD0FEB" w:rsidRDefault="00201F3F" w:rsidP="00CE5492">
      <w:pPr>
        <w:pStyle w:val="14Footnote"/>
      </w:pPr>
      <w:r w:rsidRPr="00CD0FEB">
        <w:rPr>
          <w:vertAlign w:val="superscript"/>
        </w:rPr>
        <w:footnoteRef/>
      </w:r>
      <w:r w:rsidRPr="00CD0FEB">
        <w:rPr>
          <w:i/>
          <w:iCs/>
        </w:rPr>
        <w:t>Id</w:t>
      </w:r>
      <w:r w:rsidRPr="00CD0FEB">
        <w:t>. at 506.</w:t>
      </w:r>
    </w:p>
  </w:footnote>
  <w:footnote w:id="377">
    <w:p w14:paraId="2001075E" w14:textId="77777777" w:rsidR="00201F3F" w:rsidRPr="00CD0FEB" w:rsidRDefault="00201F3F" w:rsidP="00CE5492">
      <w:pPr>
        <w:pStyle w:val="14Footnote"/>
      </w:pPr>
      <w:r w:rsidRPr="00CD0FEB">
        <w:rPr>
          <w:vertAlign w:val="superscript"/>
        </w:rPr>
        <w:footnoteRef/>
      </w:r>
      <w:r w:rsidRPr="00CD0FEB">
        <w:rPr>
          <w:i/>
          <w:iCs/>
        </w:rPr>
        <w:t>Id</w:t>
      </w:r>
      <w:r w:rsidRPr="00CD0FEB">
        <w:t>. at 507.</w:t>
      </w:r>
    </w:p>
  </w:footnote>
  <w:footnote w:id="378">
    <w:p w14:paraId="6284779D"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508; </w:t>
      </w:r>
      <w:r w:rsidRPr="00CD0FEB">
        <w:rPr>
          <w:i/>
          <w:iCs/>
        </w:rPr>
        <w:t>see</w:t>
      </w:r>
      <w:r w:rsidRPr="00CD0FEB">
        <w:t xml:space="preserve"> </w:t>
      </w:r>
      <w:r w:rsidRPr="00CD0FEB">
        <w:rPr>
          <w:i/>
          <w:iCs/>
        </w:rPr>
        <w:t>also</w:t>
      </w:r>
      <w:r w:rsidRPr="00CD0FEB">
        <w:t xml:space="preserve"> Soehnle v. Hess Corp., 399 F. App’x 749, 16 WH Cases2d 1541 (3d Cir. 2010) (finding gas station site manager was properly classified as exempt, notwithstanding that she spent 85% of her time on nonmanagerial duties, where she was sole manager at site, was responsible for profit and loss, “was subject to minimal supervision but fully responsible for the supervision of several employees whom she hired, trained and fired,” and was paid substantially more than hourly workers at site); Hays v. City of Pauls Valley, 74 F.3d 1002, 3 WH Cases2d 97 </w:t>
      </w:r>
      <w:r w:rsidRPr="003E59E1">
        <w:t>(1</w:t>
      </w:r>
      <w:r w:rsidRPr="00CD0FEB">
        <w:t>0th Cir. 1996) (holding golf course manager was an executive employee where he spent more than 50% of his time on nonmanual management tasks such as keeping financial records, making recommendations on hiring and firing, overseeing the general operations of the golf course, and supervising more than two full-time employees).</w:t>
      </w:r>
    </w:p>
  </w:footnote>
  <w:footnote w:id="379">
    <w:p w14:paraId="0EEDB368" w14:textId="77777777" w:rsidR="00201F3F" w:rsidRPr="00CD0FEB" w:rsidRDefault="00201F3F"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80">
    <w:p w14:paraId="50084970" w14:textId="77777777" w:rsidR="00201F3F" w:rsidRPr="00CD0FEB" w:rsidRDefault="00201F3F" w:rsidP="00CE5492">
      <w:pPr>
        <w:pStyle w:val="14Footnote"/>
      </w:pPr>
      <w:r w:rsidRPr="00CD0FEB">
        <w:rPr>
          <w:vertAlign w:val="superscript"/>
        </w:rPr>
        <w:footnoteRef/>
      </w:r>
      <w:r w:rsidRPr="00CD0FEB">
        <w:t xml:space="preserve">551 F.3d at 1269–70; </w:t>
      </w:r>
      <w:r w:rsidRPr="00CD0FEB">
        <w:rPr>
          <w:i/>
          <w:iCs/>
        </w:rPr>
        <w:t xml:space="preserve">see also </w:t>
      </w:r>
      <w:r w:rsidRPr="00CD0FEB">
        <w:t xml:space="preserve">Barreto v. Davie Marketplace, LLC, 331 F. App’x 672 </w:t>
      </w:r>
      <w:r w:rsidRPr="003E59E1">
        <w:t>(1</w:t>
      </w:r>
      <w:r w:rsidRPr="00CD0FEB">
        <w:t>1th Cir. 2009) (vacating summary judgment in favor of employer and remanding, based upon determination that although produce department manager performed some managerial duties, such as ordering and pricing produce and scheduling and directing produce department employees, district court erred in finding executive exemption applied as matter of law where manager spent more than 50% of his time performing same tasks as hourly employees).</w:t>
      </w:r>
    </w:p>
  </w:footnote>
  <w:footnote w:id="381">
    <w:p w14:paraId="68F6316A" w14:textId="77777777" w:rsidR="00201F3F" w:rsidRPr="00CD0FEB" w:rsidRDefault="00201F3F" w:rsidP="00CE5492">
      <w:pPr>
        <w:pStyle w:val="14Footnote"/>
      </w:pPr>
      <w:r w:rsidRPr="00CD0FEB">
        <w:rPr>
          <w:vertAlign w:val="superscript"/>
        </w:rPr>
        <w:footnoteRef/>
      </w:r>
      <w:r w:rsidRPr="00CD0FEB">
        <w:rPr>
          <w:i/>
          <w:iCs/>
        </w:rPr>
        <w:t>Morgan</w:t>
      </w:r>
      <w:r w:rsidRPr="00CD0FEB">
        <w:t>, 551 F.3d at 1270.</w:t>
      </w:r>
    </w:p>
  </w:footnote>
  <w:footnote w:id="382">
    <w:p w14:paraId="47D2A6A5" w14:textId="77777777" w:rsidR="00201F3F" w:rsidRPr="00CD0FEB" w:rsidRDefault="00201F3F" w:rsidP="00CE5492">
      <w:pPr>
        <w:pStyle w:val="14Footnote"/>
      </w:pPr>
      <w:r w:rsidRPr="00CD0FEB">
        <w:rPr>
          <w:vertAlign w:val="superscript"/>
        </w:rPr>
        <w:footnoteRef/>
      </w:r>
      <w:r w:rsidRPr="00CD0FEB">
        <w:rPr>
          <w:i/>
          <w:iCs/>
        </w:rPr>
        <w:t>Id</w:t>
      </w:r>
      <w:r w:rsidRPr="00CD0FEB">
        <w:t>. at 1271.</w:t>
      </w:r>
    </w:p>
  </w:footnote>
  <w:footnote w:id="383">
    <w:p w14:paraId="774FDA6F"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Jackson v. Go-Tane Servs., Inc., 56 F. App’x 267, 8 WH Cases2d 1472</w:t>
      </w:r>
      <w:r w:rsidRPr="003E59E1">
        <w:t xml:space="preserve"> (</w:t>
      </w:r>
      <w:r w:rsidRPr="00CD0FEB">
        <w:t>7th Cir. 2003) (deeming car wash manager who spent 95% of his time performing the same tasks as car wash attendants not eligible for executive exemption); Johnson v. Big Lots Stores, Inc., 604 F. Supp. 2d 903, 14 WH Cases2d 1617 (E.D. La. 2009) (holding assistant store managers with responsibilities similar to Family Dollar store managers were improperly classified as exempt executives).</w:t>
      </w:r>
    </w:p>
  </w:footnote>
  <w:footnote w:id="384">
    <w:p w14:paraId="4D7BD400" w14:textId="77777777" w:rsidR="00201F3F" w:rsidRPr="00CD0FEB" w:rsidRDefault="00201F3F" w:rsidP="00CE5492">
      <w:pPr>
        <w:pStyle w:val="14Footnote"/>
      </w:pPr>
      <w:r w:rsidRPr="00CD0FEB">
        <w:rPr>
          <w:vertAlign w:val="superscript"/>
        </w:rPr>
        <w:footnoteRef/>
      </w:r>
      <w:r w:rsidRPr="00CD0FEB">
        <w:t xml:space="preserve">551 F.3d 1233, 14 WH Cases2d 587 </w:t>
      </w:r>
      <w:r w:rsidRPr="003E59E1">
        <w:t>(1</w:t>
      </w:r>
      <w:r w:rsidRPr="00CD0FEB">
        <w:t>1th Cir. 2008).</w:t>
      </w:r>
    </w:p>
  </w:footnote>
  <w:footnote w:id="385">
    <w:p w14:paraId="2280F19F" w14:textId="77777777" w:rsidR="00201F3F" w:rsidRPr="00CD0FEB" w:rsidRDefault="00201F3F" w:rsidP="00CE5492">
      <w:pPr>
        <w:pStyle w:val="14Footnote"/>
      </w:pPr>
      <w:r w:rsidRPr="00CD0FEB">
        <w:rPr>
          <w:vertAlign w:val="superscript"/>
        </w:rPr>
        <w:footnoteRef/>
      </w:r>
      <w:r w:rsidRPr="00CD0FEB">
        <w:rPr>
          <w:i/>
          <w:iCs/>
        </w:rPr>
        <w:t xml:space="preserve">In re </w:t>
      </w:r>
      <w:r w:rsidRPr="00CD0FEB">
        <w:t>Family Dollar FLSA Litig., 637 F.3d 508, 17 WH Cases2d 705</w:t>
      </w:r>
      <w:r w:rsidRPr="003E59E1">
        <w:t xml:space="preserve"> (</w:t>
      </w:r>
      <w:r w:rsidRPr="00CD0FEB">
        <w:t>4th Cir. 2011).</w:t>
      </w:r>
    </w:p>
  </w:footnote>
  <w:footnote w:id="386">
    <w:p w14:paraId="47C230A3" w14:textId="77777777" w:rsidR="00201F3F" w:rsidRPr="00CD0FEB" w:rsidRDefault="00201F3F" w:rsidP="00CE5492">
      <w:pPr>
        <w:pStyle w:val="14Footnote"/>
      </w:pPr>
      <w:r w:rsidRPr="00CD0FEB">
        <w:rPr>
          <w:vertAlign w:val="superscript"/>
        </w:rPr>
        <w:footnoteRef/>
      </w:r>
      <w:r w:rsidRPr="00CD0FEB">
        <w:t>637 F.3d</w:t>
      </w:r>
      <w:r w:rsidRPr="00CD0FEB">
        <w:rPr>
          <w:i/>
          <w:iCs/>
        </w:rPr>
        <w:t xml:space="preserve"> </w:t>
      </w:r>
      <w:r w:rsidRPr="00CD0FEB">
        <w:t xml:space="preserve">at 515–16. </w:t>
      </w:r>
      <w:r w:rsidRPr="00CD0FEB">
        <w:rPr>
          <w:i/>
          <w:iCs/>
        </w:rPr>
        <w:t>See also</w:t>
      </w:r>
      <w:r w:rsidRPr="00CD0FEB">
        <w:t xml:space="preserve"> Jibowu v. Target Corp., 492 F. Supp. 3d 87, 108 (E.D.N.Y. 2020) (noting that “[c]oncurrent performance of exempt and nonexempt work does not disqualify an employee from the executive exemption”) (quoting 29 C.F.R. §541.106(a)).</w:t>
      </w:r>
    </w:p>
  </w:footnote>
  <w:footnote w:id="387">
    <w:p w14:paraId="7FD0A8D0" w14:textId="77777777" w:rsidR="00201F3F" w:rsidRPr="00CD0FEB" w:rsidRDefault="00201F3F" w:rsidP="00CE5492">
      <w:pPr>
        <w:pStyle w:val="14Footnote"/>
      </w:pPr>
      <w:r w:rsidRPr="00CD0FEB">
        <w:rPr>
          <w:vertAlign w:val="superscript"/>
        </w:rPr>
        <w:footnoteRef/>
      </w:r>
      <w:r w:rsidRPr="00CD0FEB">
        <w:rPr>
          <w:i/>
          <w:iCs/>
        </w:rPr>
        <w:t>Morgan,</w:t>
      </w:r>
      <w:r w:rsidRPr="00CD0FEB">
        <w:t xml:space="preserve"> 637 F.3d at 517.</w:t>
      </w:r>
    </w:p>
  </w:footnote>
  <w:footnote w:id="388">
    <w:p w14:paraId="02E93E55" w14:textId="77777777" w:rsidR="00201F3F" w:rsidRPr="00CD0FEB" w:rsidRDefault="00201F3F" w:rsidP="00CE5492">
      <w:pPr>
        <w:pStyle w:val="14Footnote"/>
      </w:pPr>
      <w:r w:rsidRPr="00CD0FEB">
        <w:rPr>
          <w:vertAlign w:val="superscript"/>
        </w:rPr>
        <w:footnoteRef/>
      </w:r>
      <w:r w:rsidRPr="00CD0FEB">
        <w:rPr>
          <w:i/>
          <w:iCs/>
        </w:rPr>
        <w:t>See, e.g.,</w:t>
      </w:r>
      <w:r w:rsidRPr="00CD0FEB">
        <w:t xml:space="preserve"> </w:t>
      </w:r>
      <w:r w:rsidRPr="00CD0FEB">
        <w:rPr>
          <w:i/>
          <w:iCs/>
        </w:rPr>
        <w:t>In re</w:t>
      </w:r>
      <w:r w:rsidRPr="00CD0FEB">
        <w:t xml:space="preserve"> Family Dollar FLSA Litig., 2014 WL 1384576 (W.D.N.C. Apr. 9, 2014); In re Family Dollar FLSA Litig., 2014 WL 692953 (W.D.N.C. Feb. 21, 2014); </w:t>
      </w:r>
      <w:r w:rsidRPr="00CD0FEB">
        <w:rPr>
          <w:i/>
          <w:iCs/>
        </w:rPr>
        <w:t>In re</w:t>
      </w:r>
      <w:r w:rsidRPr="00CD0FEB">
        <w:t xml:space="preserve"> Family Dollar FLSA Litig., 2014 WL 309466 (W.D.N.C. Jan 28, 2014); </w:t>
      </w:r>
      <w:r w:rsidRPr="00CD0FEB">
        <w:rPr>
          <w:i/>
          <w:iCs/>
        </w:rPr>
        <w:t>In re</w:t>
      </w:r>
      <w:r w:rsidRPr="00CD0FEB">
        <w:t xml:space="preserve"> Family Dollar FLSA Litig., 2013 WL 6729603 (W.D.N.C. Dec. 19, 2013); </w:t>
      </w:r>
      <w:r w:rsidRPr="00CD0FEB">
        <w:rPr>
          <w:i/>
          <w:iCs/>
        </w:rPr>
        <w:t>In re</w:t>
      </w:r>
      <w:r w:rsidRPr="00CD0FEB">
        <w:t xml:space="preserve"> Family Dollar FLSA Litig., 2013 WL 3878174 (W.D.N.C. July 26, 2013); </w:t>
      </w:r>
      <w:r w:rsidRPr="00CD0FEB">
        <w:rPr>
          <w:i/>
          <w:iCs/>
        </w:rPr>
        <w:t>In re</w:t>
      </w:r>
      <w:r w:rsidRPr="00CD0FEB">
        <w:t xml:space="preserve"> Family Dollar FLSA Litig., 2013 WL 3353892 (W.D.N.C. July 3, 2013). </w:t>
      </w:r>
      <w:r w:rsidRPr="00CD0FEB">
        <w:rPr>
          <w:i/>
          <w:iCs/>
        </w:rPr>
        <w:t xml:space="preserve">See also </w:t>
      </w:r>
      <w:r w:rsidRPr="00CD0FEB">
        <w:t xml:space="preserve">Ward v. Family Dollar Stores, Inc., 2011 U.S. Dist. LEXIS 130228 (W.D.N.C. Nov. 9, 2011) (granting summary judgment in favor of Family Dollar upon finding that store managers were properly classified as exempt executives); </w:t>
      </w:r>
      <w:r w:rsidRPr="00CD0FEB">
        <w:rPr>
          <w:i/>
          <w:iCs/>
        </w:rPr>
        <w:t>accord</w:t>
      </w:r>
      <w:r w:rsidRPr="00CD0FEB">
        <w:t xml:space="preserve"> Grace v. Family Dollar Stores, Inc., 2011 WL 6020051 (W.D.N.C. Dec. 2, 2011).</w:t>
      </w:r>
    </w:p>
  </w:footnote>
  <w:footnote w:id="389">
    <w:p w14:paraId="490905A4" w14:textId="77777777" w:rsidR="00201F3F" w:rsidRPr="00CD0FEB" w:rsidRDefault="00201F3F" w:rsidP="00CE5492">
      <w:pPr>
        <w:pStyle w:val="14Footnote"/>
      </w:pPr>
      <w:r w:rsidRPr="00CD0FEB">
        <w:rPr>
          <w:vertAlign w:val="superscript"/>
        </w:rPr>
        <w:footnoteRef/>
      </w:r>
      <w:r w:rsidRPr="00CD0FEB">
        <w:rPr>
          <w:i/>
          <w:iCs/>
        </w:rPr>
        <w:t>See, e.g.,</w:t>
      </w:r>
    </w:p>
    <w:p w14:paraId="7A2A3859" w14:textId="77777777" w:rsidR="00201F3F" w:rsidRPr="00CD0FEB" w:rsidRDefault="00201F3F" w:rsidP="00CE5492">
      <w:pPr>
        <w:pStyle w:val="14Footnote"/>
      </w:pPr>
      <w:r w:rsidRPr="00CD0FEB">
        <w:rPr>
          <w:i/>
          <w:iCs/>
        </w:rPr>
        <w:t>Fourth Circuit:</w:t>
      </w:r>
      <w:r w:rsidRPr="00CD0FEB">
        <w:t xml:space="preserve"> Thomas v. Dolgencorp, Inc., 2012 WL 1110078 (D.S.C. Apr. 3, 2012); Gooden v. Dolgencorp, Inc., 2012 WL 1110085 (D.S.C. Apr. 3, 2012); Kreiner v. Dolgencorp, Inc., 841 F. Supp. 2d 897 (D. Md. 2012); </w:t>
      </w:r>
      <w:r w:rsidRPr="00CD0FEB">
        <w:rPr>
          <w:i/>
          <w:iCs/>
        </w:rPr>
        <w:t>In re</w:t>
      </w:r>
      <w:r w:rsidRPr="00CD0FEB">
        <w:t xml:space="preserve"> Dollar Gen. Stores FLSA Litig., 766 F. Supp. 2d 631 (E.D.N.C. 2011); Mayne-Harrison v. Dolgencorp, Inc., 2010 WL 3717604, 16 WH Cases2d 1694 (N.D. W. Va. Sept. 17, 2010).</w:t>
      </w:r>
    </w:p>
    <w:p w14:paraId="40C0A206" w14:textId="77777777" w:rsidR="00201F3F" w:rsidRPr="00CD0FEB" w:rsidRDefault="00201F3F" w:rsidP="00CE5492">
      <w:pPr>
        <w:pStyle w:val="14Footnote"/>
      </w:pPr>
      <w:r w:rsidRPr="00CD0FEB">
        <w:rPr>
          <w:i/>
          <w:iCs/>
        </w:rPr>
        <w:t>Fifth Circuit:</w:t>
      </w:r>
      <w:r w:rsidRPr="00CD0FEB">
        <w:t xml:space="preserve"> Dizer v. Dolgencorp, Inc., 2012 WL 626201 (W.D. La. Jan. 12, 2012), </w:t>
      </w:r>
      <w:r w:rsidRPr="00CD0FEB">
        <w:rPr>
          <w:i/>
          <w:iCs/>
        </w:rPr>
        <w:t xml:space="preserve">adopted by </w:t>
      </w:r>
      <w:r w:rsidRPr="00CD0FEB">
        <w:t>2012 WL 626198 (W.D. La. Feb. 24, 2012).</w:t>
      </w:r>
    </w:p>
    <w:p w14:paraId="3914850A" w14:textId="77777777" w:rsidR="00201F3F" w:rsidRPr="00CD0FEB" w:rsidRDefault="00201F3F" w:rsidP="00CE5492">
      <w:pPr>
        <w:pStyle w:val="14Footnote"/>
      </w:pPr>
      <w:r w:rsidRPr="00CD0FEB">
        <w:rPr>
          <w:i/>
          <w:iCs/>
        </w:rPr>
        <w:t>Sixth Circuit:</w:t>
      </w:r>
      <w:r w:rsidRPr="00CD0FEB">
        <w:t xml:space="preserve"> Cavins v. Dolgencorp, Inc., 2011 WL 6848385 (S.D. Ohio Dec. 29, 2011); Gonzalez v. Dolgencorp, Inc., 2011 WL 6009860 (W.D. Mich. Dec. 1, 2011); Roberts v. Dolgencorp, Inc., 2010 WL 4806792 (M.D. Tenn. Nov. 18, 2010).</w:t>
      </w:r>
    </w:p>
    <w:p w14:paraId="6340A7B3" w14:textId="77777777" w:rsidR="00201F3F" w:rsidRPr="00CD0FEB" w:rsidRDefault="00201F3F" w:rsidP="00CE5492">
      <w:pPr>
        <w:pStyle w:val="14Footnote"/>
      </w:pPr>
      <w:r w:rsidRPr="00CD0FEB">
        <w:rPr>
          <w:i/>
          <w:iCs/>
        </w:rPr>
        <w:t>Eighth Circuit:</w:t>
      </w:r>
      <w:r w:rsidRPr="00CD0FEB">
        <w:t xml:space="preserve"> Aschenbrenner v. Dolgencorp, Inc., 2011 WL 2200630 (D. Neb. June 3, 2011)</w:t>
      </w:r>
    </w:p>
  </w:footnote>
  <w:footnote w:id="390">
    <w:p w14:paraId="426E5A6A" w14:textId="77777777" w:rsidR="00201F3F" w:rsidRPr="00CD0FEB" w:rsidRDefault="00201F3F" w:rsidP="00CE5492">
      <w:pPr>
        <w:pStyle w:val="14Footnote"/>
      </w:pPr>
      <w:r w:rsidRPr="00CD0FEB">
        <w:rPr>
          <w:vertAlign w:val="superscript"/>
        </w:rPr>
        <w:footnoteRef/>
      </w:r>
      <w:r w:rsidRPr="00CD0FEB">
        <w:rPr>
          <w:i/>
          <w:iCs/>
        </w:rPr>
        <w:t>See, e.g</w:t>
      </w:r>
      <w:r w:rsidRPr="00CD0FEB">
        <w:t>.,</w:t>
      </w:r>
    </w:p>
    <w:p w14:paraId="1E8F6CED" w14:textId="77777777" w:rsidR="00201F3F" w:rsidRPr="00CD0FEB" w:rsidRDefault="00201F3F" w:rsidP="00CE5492">
      <w:pPr>
        <w:pStyle w:val="14Footnote"/>
      </w:pPr>
      <w:r w:rsidRPr="00CD0FEB">
        <w:rPr>
          <w:i/>
          <w:iCs/>
        </w:rPr>
        <w:t>Second Circuit:</w:t>
      </w:r>
      <w:r w:rsidRPr="00CD0FEB">
        <w:t xml:space="preserve"> Anderson v. Dolgencorp of N.Y., Inc., 2011 WL 1770301 (N.D.N.Y. May 9, 2011).</w:t>
      </w:r>
    </w:p>
    <w:p w14:paraId="7F528075" w14:textId="77777777" w:rsidR="00201F3F" w:rsidRPr="00CD0FEB" w:rsidRDefault="00201F3F" w:rsidP="00CE5492">
      <w:pPr>
        <w:pStyle w:val="14Footnote"/>
      </w:pPr>
      <w:r w:rsidRPr="00CD0FEB">
        <w:rPr>
          <w:i/>
          <w:iCs/>
        </w:rPr>
        <w:t>Third Circuit:</w:t>
      </w:r>
      <w:r w:rsidRPr="00CD0FEB">
        <w:t xml:space="preserve"> Pierce v. Dolgencorp, Inc., 2011 WL 398366 (M.D. Pa. Feb. 3, 2011); Plaunt v. Dolgencorp, Inc., 2010 WL 5158620 (M.D. Pa. Dec. 14, 2010).</w:t>
      </w:r>
    </w:p>
    <w:p w14:paraId="1B1709D5" w14:textId="77777777" w:rsidR="00201F3F" w:rsidRPr="00CD0FEB" w:rsidRDefault="00201F3F" w:rsidP="00CE5492">
      <w:pPr>
        <w:pStyle w:val="14Footnote"/>
      </w:pPr>
      <w:r w:rsidRPr="00CD0FEB">
        <w:rPr>
          <w:i/>
          <w:iCs/>
        </w:rPr>
        <w:t>Fourth Circuit:</w:t>
      </w:r>
      <w:r w:rsidRPr="00CD0FEB">
        <w:t xml:space="preserve"> Hale v. Dolgencorp, Inc., 2010 WL 2595313 (W.D. Va. June 23, 2010).</w:t>
      </w:r>
    </w:p>
    <w:p w14:paraId="5DE0F7A2" w14:textId="77777777" w:rsidR="00201F3F" w:rsidRPr="00CD0FEB" w:rsidRDefault="00201F3F" w:rsidP="00CE5492">
      <w:pPr>
        <w:pStyle w:val="14Footnote"/>
      </w:pPr>
      <w:r w:rsidRPr="00CD0FEB">
        <w:rPr>
          <w:i/>
          <w:iCs/>
        </w:rPr>
        <w:t>Eighth Circuit:</w:t>
      </w:r>
      <w:r w:rsidRPr="00CD0FEB">
        <w:t xml:space="preserve"> Ely v. Dolgencorp, LLC, 827 F. Supp. 2d 872 (E.D. Ark. 2011); Jones v. Dolgencorp, Inc., 789 F. Supp. 2d 1090 (N.D. Iowa 2011); Kanatzer v. Dolgencorp, Inc., 2010 WL 2720788 (E.D. Mo. July 8, 2010)</w:t>
      </w:r>
    </w:p>
  </w:footnote>
  <w:footnote w:id="391">
    <w:p w14:paraId="1A88F817" w14:textId="77777777" w:rsidR="00201F3F" w:rsidRPr="00CD0FEB" w:rsidRDefault="00201F3F" w:rsidP="00CE5492">
      <w:pPr>
        <w:pStyle w:val="14Footnote"/>
      </w:pPr>
      <w:r w:rsidRPr="00CD0FEB">
        <w:rPr>
          <w:vertAlign w:val="superscript"/>
        </w:rPr>
        <w:footnoteRef/>
      </w:r>
      <w:r w:rsidRPr="00CD0FEB">
        <w:rPr>
          <w:i/>
          <w:iCs/>
        </w:rPr>
        <w:t>Fourth Circuit:</w:t>
      </w:r>
      <w:r w:rsidRPr="00CD0FEB">
        <w:t xml:space="preserve"> Haines v. Southern Retailers, 939 F. Supp. 441, 449, 3 WH Cases2d 872, 878 (E.D. Va. 1996) (“[A]n employee may qualify for the ‘executive exemption’ even if the majority of the employee’s time is spent in the performance of nonexempt functions.”); Meyer v. Worsley Cos., 881 F. Supp. 1014, 1019–20, 2 WH Cases2d 435 (E.D.N.C. 1994) (finding manager exempt despite claim that less than 50% of time spent on exempt work); Horne v. Crown Cent. Petroleum, 775 F. Supp. 189, 190–91, 30 WH Cases 871 (D.S.C. 1991) (deeming manager exempt even though less than half of manager’s time spent in exempt work).</w:t>
      </w:r>
    </w:p>
    <w:p w14:paraId="13A255F6" w14:textId="77777777" w:rsidR="00201F3F" w:rsidRPr="00CD0FEB" w:rsidRDefault="00201F3F" w:rsidP="00CE5492">
      <w:pPr>
        <w:pStyle w:val="14Footnote"/>
      </w:pPr>
      <w:r w:rsidRPr="00CD0FEB">
        <w:rPr>
          <w:i/>
          <w:iCs/>
        </w:rPr>
        <w:t>Eighth Circuit:</w:t>
      </w:r>
      <w:r w:rsidRPr="00CD0FEB">
        <w:t xml:space="preserve"> Murray v. Stuckey’s, Inc., 939 F.2d 614, 618, 30 WH Cases 705</w:t>
      </w:r>
      <w:r w:rsidRPr="003E59E1">
        <w:t xml:space="preserve"> (</w:t>
      </w:r>
      <w:r w:rsidRPr="00CD0FEB">
        <w:t>8th Cir. 1991) (holding fact that 65 to 90% of time was spent on nonmanagerial duties did not defeat exempt status).</w:t>
      </w:r>
    </w:p>
    <w:p w14:paraId="55C87C68" w14:textId="77777777" w:rsidR="00201F3F" w:rsidRPr="00CD0FEB" w:rsidRDefault="00201F3F" w:rsidP="00CE5492">
      <w:pPr>
        <w:pStyle w:val="14Footnote"/>
      </w:pPr>
      <w:r w:rsidRPr="00CD0FEB">
        <w:rPr>
          <w:i/>
          <w:iCs/>
        </w:rPr>
        <w:t>Ninth Circuit:</w:t>
      </w:r>
      <w:r w:rsidRPr="00CD0FEB">
        <w:t xml:space="preserve"> Russell v. Mini Mart, 711 F. Supp. 556, 559, 29 WH Cases 494 (D. Mont. 1988) (store manager who contended he spent “less than 50 percent of his time” in management nonetheless found exempt).</w:t>
      </w:r>
    </w:p>
    <w:p w14:paraId="07598AE9" w14:textId="77777777" w:rsidR="00201F3F" w:rsidRPr="00CD0FEB" w:rsidRDefault="00201F3F" w:rsidP="00CE5492">
      <w:pPr>
        <w:pStyle w:val="14Footnote"/>
      </w:pPr>
      <w:r w:rsidRPr="00CD0FEB">
        <w:rPr>
          <w:i/>
          <w:iCs/>
        </w:rPr>
        <w:t>Eleventh Circuit:</w:t>
      </w:r>
      <w:r w:rsidRPr="00CD0FEB">
        <w:t xml:space="preserve"> Hood v. JeJe Enters., Inc., 207 F. Supp. 3d 1363, 1378 (N.D. Ga. 2016) (holding that employer did not present sufficient evidence to conclusively demonstrate that employee “was performing her managerial and non-managerial functions concurrently on a continual basis”); Sturm v. TOC Retail, 864 F. Supp. 1346, 1352–53, 2 WH Cases2d 628 (M.D. Ga. 1994) (concluding that, even though managers spent majority of time as clerks waiting on customers, their primary duty was management)</w:t>
      </w:r>
    </w:p>
  </w:footnote>
  <w:footnote w:id="392">
    <w:p w14:paraId="1132BA0E" w14:textId="77777777" w:rsidR="00201F3F" w:rsidRPr="00CD0FEB" w:rsidRDefault="00201F3F" w:rsidP="00CE5492">
      <w:pPr>
        <w:pStyle w:val="14Footnote"/>
      </w:pPr>
      <w:r w:rsidRPr="00CD0FEB">
        <w:rPr>
          <w:vertAlign w:val="superscript"/>
        </w:rPr>
        <w:footnoteRef/>
      </w:r>
      <w:r w:rsidRPr="00CD0FEB">
        <w:rPr>
          <w:i/>
          <w:iCs/>
        </w:rPr>
        <w:t>Fifth Circuit:</w:t>
      </w:r>
      <w:r w:rsidRPr="00CD0FEB">
        <w:t xml:space="preserve"> Mims v. Starbucks Corp., 2007 WL 10369 (S.D. Tex. Jan. 2, 2007) (finding store managers’ primary duty was management where (1) they were the highest ranking employees at their stores, (2) they enjoyed freedom from supervision and higher salaries, and (3) they made decisions on matters such as whom to interview and hire, whom to assign to train new hires, when to discipline employees, whom to deploy in certain positions, what promotions to run, and the amount of product to order for inventory control); Roberts v. National Autotech, Inc., 192 F. Supp. 2d 672 (N.D. Tex. 2002) (finding store manager properly classified as exempt even if he spent the majority of his time performing duties of a service writer, such as answering the phone, driving customers to and from work, retrieving parts not delivered on time, and cleaning the bathroom, where his primary importance to the employer was as the highest ranking employee, responsible for supervising five to six people).</w:t>
      </w:r>
    </w:p>
    <w:p w14:paraId="62186168" w14:textId="77777777" w:rsidR="00201F3F" w:rsidRPr="00CD0FEB" w:rsidRDefault="00201F3F" w:rsidP="00CE5492">
      <w:pPr>
        <w:pStyle w:val="14Footnote"/>
      </w:pPr>
      <w:r w:rsidRPr="00CD0FEB">
        <w:rPr>
          <w:i/>
          <w:iCs/>
        </w:rPr>
        <w:t>Sixth Circuit:</w:t>
      </w:r>
      <w:r w:rsidRPr="00CD0FEB">
        <w:t xml:space="preserve"> Glefke v. K.F.C. Take Home Food Co., 1 WH Cases2d 1080 (E.D. Mich. 1993) (deeming manager of fast food franchise exempt where she had supervisory responsibility and was in charge of store).</w:t>
      </w:r>
    </w:p>
    <w:p w14:paraId="5C5DC712" w14:textId="77777777" w:rsidR="00201F3F" w:rsidRPr="00CD0FEB" w:rsidRDefault="00201F3F" w:rsidP="00CE5492">
      <w:pPr>
        <w:pStyle w:val="14Footnote"/>
      </w:pPr>
      <w:r w:rsidRPr="00CD0FEB">
        <w:rPr>
          <w:i/>
          <w:iCs/>
        </w:rPr>
        <w:t>Eighth Circuit: Murray</w:t>
      </w:r>
      <w:r w:rsidRPr="00CD0FEB">
        <w:t>, 939 F.2d at 618.</w:t>
      </w:r>
    </w:p>
    <w:p w14:paraId="14AAD3C9" w14:textId="77777777" w:rsidR="00201F3F" w:rsidRPr="00CD0FEB" w:rsidRDefault="00201F3F" w:rsidP="00CE5492">
      <w:pPr>
        <w:pStyle w:val="14Footnote"/>
      </w:pPr>
      <w:r w:rsidRPr="00CD0FEB">
        <w:rPr>
          <w:i/>
          <w:iCs/>
        </w:rPr>
        <w:t>Ninth Circuit:</w:t>
      </w:r>
      <w:r w:rsidRPr="00CD0FEB">
        <w:t xml:space="preserve"> Depew v. Shopko Stores, Inc., 2006 WL 1663272, 11 WH Cases2d 1353 (D. Idaho May 30, 2006) (holding retail assistant managers properly classified as exempt executives even though as a result of a management restructuring they exercised less discretion than in the past and spent more of their time—up to 60%—performing manual work, where their primary duty remained selecting, training, motivating, and leading their team members—tasks performed concurrently with the nonsupervisory manual functions).</w:t>
      </w:r>
    </w:p>
    <w:p w14:paraId="788B7C1D" w14:textId="77777777" w:rsidR="00201F3F" w:rsidRPr="00CD0FEB" w:rsidRDefault="00201F3F" w:rsidP="00CE5492">
      <w:pPr>
        <w:pStyle w:val="14Footnote"/>
      </w:pPr>
      <w:r w:rsidRPr="00CD0FEB">
        <w:rPr>
          <w:i/>
          <w:iCs/>
        </w:rPr>
        <w:t>Eleventh Circuit:</w:t>
      </w:r>
      <w:r w:rsidRPr="00CD0FEB">
        <w:t xml:space="preserve"> White v. Winn Dixie, 741 F. App’x 649 </w:t>
      </w:r>
      <w:r w:rsidRPr="003E59E1">
        <w:t>(1</w:t>
      </w:r>
      <w:r w:rsidRPr="00CD0FEB">
        <w:t>1th Cir. 2018) (holding store manager exempt where he performed management duties, including supervising workers); Posely v. Eckerd Corp., 433 F. Supp. 2d 1287 (S.D. Fla. 2006) (deeming pharmacy store managers were exempt).</w:t>
      </w:r>
    </w:p>
    <w:p w14:paraId="1A256A49" w14:textId="77777777" w:rsidR="00201F3F" w:rsidRPr="00CD0FEB" w:rsidRDefault="00201F3F" w:rsidP="00CE5492">
      <w:pPr>
        <w:pStyle w:val="14Footnote"/>
      </w:pPr>
      <w:r w:rsidRPr="00CD0FEB">
        <w:rPr>
          <w:i/>
          <w:iCs/>
        </w:rPr>
        <w:t>Accord</w:t>
      </w:r>
      <w:r w:rsidRPr="00CD0FEB">
        <w:t xml:space="preserve"> Jackson v. Jean Coutu Grp. (PJC) USA, Inc., 2007 WL 1850710, 12 WH Cases2d 1246 (S.D. Ga. June 26, 2007) (holding Eckerd store manager was exempt)</w:t>
      </w:r>
    </w:p>
  </w:footnote>
  <w:footnote w:id="393">
    <w:p w14:paraId="286B2ED7" w14:textId="77777777" w:rsidR="00201F3F" w:rsidRPr="00CD0FEB" w:rsidRDefault="00201F3F" w:rsidP="00CE5492">
      <w:pPr>
        <w:pStyle w:val="14Footnote"/>
      </w:pPr>
      <w:r w:rsidRPr="00CD0FEB">
        <w:rPr>
          <w:vertAlign w:val="superscript"/>
        </w:rPr>
        <w:footnoteRef/>
      </w:r>
      <w:r w:rsidRPr="00CD0FEB">
        <w:rPr>
          <w:i/>
          <w:iCs/>
        </w:rPr>
        <w:t>Murray</w:t>
      </w:r>
      <w:r w:rsidRPr="00CD0FEB">
        <w:t>, 939 F.2d at 618 (finding manager’s delegation of duties irrelevant to whether primary duty was management).</w:t>
      </w:r>
    </w:p>
  </w:footnote>
  <w:footnote w:id="394">
    <w:p w14:paraId="32F0AA0D" w14:textId="77777777" w:rsidR="00201F3F" w:rsidRPr="00CD0FEB" w:rsidRDefault="00201F3F" w:rsidP="00CE5492">
      <w:pPr>
        <w:pStyle w:val="14Footnote"/>
      </w:pPr>
      <w:r w:rsidRPr="00CD0FEB">
        <w:rPr>
          <w:vertAlign w:val="superscript"/>
        </w:rPr>
        <w:footnoteRef/>
      </w:r>
      <w:r w:rsidRPr="00CD0FEB">
        <w:rPr>
          <w:i/>
          <w:iCs/>
        </w:rPr>
        <w:t>Fourth Circuit:</w:t>
      </w:r>
      <w:r w:rsidRPr="00CD0FEB">
        <w:t xml:space="preserve"> Buechler v. DavCo Rests., Inc., 2009 WL 3833999 (D. Md. Nov. 16, 2009) (finding assistant restaurant manager sufficiently free from supervision to qualify as exempt even though he had to follow corporate policies and take direction from higher level supervisors); </w:t>
      </w:r>
      <w:r w:rsidRPr="00CD0FEB">
        <w:rPr>
          <w:i/>
          <w:iCs/>
        </w:rPr>
        <w:t>Haines</w:t>
      </w:r>
      <w:r w:rsidRPr="00CD0FEB">
        <w:t xml:space="preserve">, 3 WH Cases2d at 879; </w:t>
      </w:r>
      <w:r w:rsidRPr="00CD0FEB">
        <w:rPr>
          <w:i/>
          <w:iCs/>
        </w:rPr>
        <w:t>Meyer</w:t>
      </w:r>
      <w:r w:rsidRPr="00CD0FEB">
        <w:t xml:space="preserve">, 881 F. Supp. at 1016; </w:t>
      </w:r>
      <w:r w:rsidRPr="00CD0FEB">
        <w:rPr>
          <w:i/>
          <w:iCs/>
        </w:rPr>
        <w:t>Horne</w:t>
      </w:r>
      <w:r w:rsidRPr="00CD0FEB">
        <w:t>, 775 F. Supp. at 190.</w:t>
      </w:r>
    </w:p>
    <w:p w14:paraId="55B87430" w14:textId="77777777" w:rsidR="00201F3F" w:rsidRPr="00CD0FEB" w:rsidRDefault="00201F3F" w:rsidP="00CE5492">
      <w:pPr>
        <w:pStyle w:val="14Footnote"/>
      </w:pPr>
      <w:r w:rsidRPr="00CD0FEB">
        <w:rPr>
          <w:i/>
          <w:iCs/>
        </w:rPr>
        <w:t>Sixth Circuit:</w:t>
      </w:r>
      <w:r w:rsidRPr="00CD0FEB">
        <w:t xml:space="preserve"> </w:t>
      </w:r>
      <w:r w:rsidRPr="00554A7C">
        <w:t>Manteuffel v. HMS Host Tollroads, Inc.,</w:t>
      </w:r>
      <w:r w:rsidRPr="00710397">
        <w:rPr>
          <w:rFonts w:ascii="Arial" w:hAnsi="Arial" w:cs="Arial"/>
          <w:color w:val="292E31"/>
          <w:sz w:val="24"/>
        </w:rPr>
        <w:t xml:space="preserve"> </w:t>
      </w:r>
      <w:r w:rsidRPr="00710397">
        <w:t>2023 BL 285691</w:t>
      </w:r>
      <w:r>
        <w:t>,</w:t>
      </w:r>
      <w:r w:rsidRPr="00554A7C">
        <w:t xml:space="preserve"> 2023 WL 5287722, at *4 (6th Cir. Aug. 17, 2023) (holding that District Director of Operations responsible for overseeing several travel plazas along the Ohio Turnpike was properly classified as exempt even accepting his testimony that he spent 80%</w:t>
      </w:r>
      <w:r>
        <w:t>–</w:t>
      </w:r>
      <w:r w:rsidRPr="00554A7C">
        <w:t>90% of his time performing non-exempt work where his management duties “were of greater importance than any nonexempt work that he performed”);</w:t>
      </w:r>
      <w:r>
        <w:t xml:space="preserve"> </w:t>
      </w:r>
      <w:r w:rsidRPr="00CD0FEB">
        <w:t>Burson v. Viking Forge Corp., 661 F. Supp. 2d 794 (N.D. Ohio 2009) (finding shift manager exempt even though his supervisor retained control over certain management decisions and dictated how other decisions were to be made where plaintiff retained authority to run his shift on daily basis).</w:t>
      </w:r>
    </w:p>
    <w:p w14:paraId="204E2982" w14:textId="77777777" w:rsidR="00201F3F" w:rsidRPr="00CD0FEB" w:rsidRDefault="00201F3F" w:rsidP="00CE5492">
      <w:pPr>
        <w:pStyle w:val="14Footnote"/>
      </w:pPr>
      <w:r w:rsidRPr="00CD0FEB">
        <w:rPr>
          <w:i/>
          <w:iCs/>
        </w:rPr>
        <w:t>Eighth Circuit:</w:t>
      </w:r>
      <w:r w:rsidRPr="00CD0FEB">
        <w:t xml:space="preserve"> </w:t>
      </w:r>
      <w:r w:rsidRPr="00CD0FEB">
        <w:rPr>
          <w:i/>
          <w:iCs/>
        </w:rPr>
        <w:t>Murray</w:t>
      </w:r>
      <w:r w:rsidRPr="00CD0FEB">
        <w:t>, 939 F.2d at 619; Smith v. Heartland Auto. Servs., 418 F. Supp. 2d 1129 (D. Minn. 2006) (holding store managers for Jiffy Lube were not exempt as a matter of law, where there was evidence suggesting their most important duty was working on cars and showing district managers spent several hours each day in the stores, regularly contacted store managers by phone, and were heavily involved in the hiring and scheduling processes).</w:t>
      </w:r>
    </w:p>
    <w:p w14:paraId="719B326C" w14:textId="77777777" w:rsidR="00201F3F" w:rsidRDefault="00201F3F" w:rsidP="00CE5492">
      <w:pPr>
        <w:pStyle w:val="14Footnote"/>
      </w:pPr>
      <w:r w:rsidRPr="00CD0FEB">
        <w:rPr>
          <w:i/>
          <w:iCs/>
        </w:rPr>
        <w:t>Ninth Circuit:</w:t>
      </w:r>
      <w:r w:rsidRPr="00CD0FEB">
        <w:t xml:space="preserve"> Luksza v. TJX Cos., Inc., 2014 WL 321066 (D. Nev. Jan 28, 2014) (executive exemption applied to distribution center managers; employer’s guidelines or policies for administering employee oversight or discipline did not negate exempt-level management duties).</w:t>
      </w:r>
    </w:p>
    <w:p w14:paraId="69EA3D09" w14:textId="77777777" w:rsidR="00201F3F" w:rsidRPr="008650CC" w:rsidRDefault="00201F3F" w:rsidP="00CE5492">
      <w:pPr>
        <w:pStyle w:val="14Footnote"/>
      </w:pPr>
      <w:r>
        <w:rPr>
          <w:i/>
          <w:iCs/>
        </w:rPr>
        <w:t>Tenth Circuit</w:t>
      </w:r>
      <w:r>
        <w:t xml:space="preserve">: Levine v. Vitamin Cottage Natural Food Mkts., Inc., </w:t>
      </w:r>
      <w:r w:rsidRPr="00EB48C9">
        <w:t>2023 BL 374750</w:t>
      </w:r>
      <w:r>
        <w:t>, 2023 WL 6929402, at *9–11 (D. Colo. Oct. 19, 2023) (factual dispute existed as to whether assistant store managers’ primary duty was management where plaintiff did not undisputedly exercise the degree of freedom from supervision necessary to meet exemption).</w:t>
      </w:r>
    </w:p>
    <w:p w14:paraId="5A34805F" w14:textId="77777777" w:rsidR="00201F3F" w:rsidRPr="00CD0FEB" w:rsidRDefault="00201F3F" w:rsidP="00CE5492">
      <w:pPr>
        <w:pStyle w:val="14Footnote"/>
      </w:pPr>
      <w:r w:rsidRPr="00CD0FEB">
        <w:rPr>
          <w:i/>
          <w:iCs/>
        </w:rPr>
        <w:t>Eleventh Circuit:</w:t>
      </w:r>
      <w:r w:rsidRPr="00CD0FEB">
        <w:t xml:space="preserve"> Lozano v. Burlington Coat Factory of Ala., LLC, 2013 WL 5519517, at *3 (N.D. Ala. Sept. 30, 2013) (assistant retail store manager covered by executive exemption where store manager rejected recommendations because assistant manager “was clearly involved in management activities”)</w:t>
      </w:r>
    </w:p>
  </w:footnote>
  <w:footnote w:id="395">
    <w:p w14:paraId="2B2DB140" w14:textId="77777777" w:rsidR="00201F3F" w:rsidRPr="00CD0FEB" w:rsidRDefault="00201F3F" w:rsidP="00CE5492">
      <w:pPr>
        <w:pStyle w:val="14Footnote"/>
      </w:pPr>
      <w:r w:rsidRPr="00CD0FEB">
        <w:rPr>
          <w:vertAlign w:val="superscript"/>
        </w:rPr>
        <w:footnoteRef/>
      </w:r>
      <w:r w:rsidRPr="00CD0FEB">
        <w:rPr>
          <w:i/>
          <w:iCs/>
        </w:rPr>
        <w:t>First Circuit:</w:t>
      </w:r>
      <w:r w:rsidRPr="00CD0FEB">
        <w:t xml:space="preserve"> Donovan v. Burger King Corp., 672 F.2d 221, 223–25, 25 WH Cases 428</w:t>
      </w:r>
      <w:r w:rsidRPr="003E59E1">
        <w:t xml:space="preserve"> (</w:t>
      </w:r>
      <w:r w:rsidRPr="00CD0FEB">
        <w:t>1st Cir. 1982).</w:t>
      </w:r>
    </w:p>
    <w:p w14:paraId="12F5BDF1" w14:textId="77777777" w:rsidR="00201F3F" w:rsidRPr="00CD0FEB" w:rsidRDefault="00201F3F" w:rsidP="00CE5492">
      <w:pPr>
        <w:pStyle w:val="14Footnote"/>
      </w:pPr>
      <w:r w:rsidRPr="00CD0FEB">
        <w:rPr>
          <w:i/>
          <w:iCs/>
        </w:rPr>
        <w:t xml:space="preserve">Second Circuit: </w:t>
      </w:r>
      <w:r w:rsidRPr="00CD0FEB">
        <w:t>Donovan v. Burger King Corp., 675 F.2d 516, 517, 521, 25 WH Cases 524 (2d Cir. 1982) (deeming assistant restaurant managers exempt despite the fact that they spent more than half of their time performing nonexempt tasks because they were in charge of the restaurant when supervisors not on duty).</w:t>
      </w:r>
    </w:p>
    <w:p w14:paraId="78848A48" w14:textId="77777777" w:rsidR="00201F3F" w:rsidRPr="00CD0FEB" w:rsidRDefault="00201F3F" w:rsidP="00CE5492">
      <w:pPr>
        <w:pStyle w:val="14Footnote"/>
      </w:pPr>
      <w:r w:rsidRPr="00CD0FEB">
        <w:rPr>
          <w:i/>
          <w:iCs/>
        </w:rPr>
        <w:t>Eleventh Circuit:</w:t>
      </w:r>
      <w:r w:rsidRPr="00CD0FEB">
        <w:t xml:space="preserve"> Calvo v. B&amp;R Supermarket, Inc., 2014 WL 5473565 (S.D. Fla. Oct. 28, 2014)</w:t>
      </w:r>
    </w:p>
  </w:footnote>
  <w:footnote w:id="396">
    <w:p w14:paraId="0FB9F428" w14:textId="77777777" w:rsidR="00201F3F" w:rsidRPr="00CD0FEB" w:rsidRDefault="00201F3F" w:rsidP="00CE5492">
      <w:pPr>
        <w:pStyle w:val="14Footnote"/>
      </w:pPr>
      <w:r w:rsidRPr="00CD0FEB">
        <w:rPr>
          <w:vertAlign w:val="superscript"/>
        </w:rPr>
        <w:footnoteRef/>
      </w:r>
      <w:r w:rsidRPr="00CD0FEB">
        <w:t>807 F.3d 431</w:t>
      </w:r>
      <w:r w:rsidRPr="003E59E1">
        <w:t xml:space="preserve"> (</w:t>
      </w:r>
      <w:r w:rsidRPr="00CD0FEB">
        <w:t xml:space="preserve">1st Cir. 2015). </w:t>
      </w:r>
    </w:p>
  </w:footnote>
  <w:footnote w:id="397">
    <w:p w14:paraId="6BD849B7"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440–44. </w:t>
      </w:r>
    </w:p>
  </w:footnote>
  <w:footnote w:id="398">
    <w:p w14:paraId="6390F19B"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444.</w:t>
      </w:r>
    </w:p>
  </w:footnote>
  <w:footnote w:id="399">
    <w:p w14:paraId="4A91B886" w14:textId="77777777" w:rsidR="00201F3F" w:rsidRPr="00CD0FEB" w:rsidRDefault="00201F3F" w:rsidP="00CE5492">
      <w:pPr>
        <w:pStyle w:val="14Footnote"/>
      </w:pPr>
      <w:r w:rsidRPr="00CD0FEB">
        <w:rPr>
          <w:vertAlign w:val="superscript"/>
        </w:rPr>
        <w:footnoteRef/>
      </w:r>
      <w:r w:rsidRPr="00CD0FEB">
        <w:t>29 C.F.R. §541.700(a).</w:t>
      </w:r>
    </w:p>
  </w:footnote>
  <w:footnote w:id="400">
    <w:p w14:paraId="5360D820" w14:textId="77777777" w:rsidR="00201F3F" w:rsidRPr="00CD0FEB" w:rsidRDefault="00201F3F" w:rsidP="00CE5492">
      <w:pPr>
        <w:pStyle w:val="14Footnote"/>
      </w:pPr>
      <w:r w:rsidRPr="00CD0FEB">
        <w:rPr>
          <w:vertAlign w:val="superscript"/>
        </w:rPr>
        <w:footnoteRef/>
      </w:r>
      <w:r w:rsidRPr="00CD0FEB">
        <w:t>2019 WL 3755442 (D. Mass. July 18, 2019).</w:t>
      </w:r>
    </w:p>
  </w:footnote>
  <w:footnote w:id="401">
    <w:p w14:paraId="45502F99"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*4.</w:t>
      </w:r>
    </w:p>
  </w:footnote>
  <w:footnote w:id="402">
    <w:p w14:paraId="303ED09B"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w:t>
      </w:r>
    </w:p>
  </w:footnote>
  <w:footnote w:id="403">
    <w:p w14:paraId="74D5A3D8" w14:textId="77777777" w:rsidR="00201F3F" w:rsidRPr="00CD0FEB" w:rsidRDefault="00201F3F" w:rsidP="00CE5492">
      <w:pPr>
        <w:pStyle w:val="14Footnote"/>
      </w:pPr>
      <w:r w:rsidRPr="00CD0FEB">
        <w:rPr>
          <w:vertAlign w:val="superscript"/>
        </w:rPr>
        <w:footnoteRef/>
      </w:r>
      <w:r w:rsidRPr="00CD0FEB">
        <w:t>29 C.F.R. §541.103(a).</w:t>
      </w:r>
    </w:p>
  </w:footnote>
  <w:footnote w:id="404">
    <w:p w14:paraId="42FB97FE"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§541.100(a)(2).</w:t>
      </w:r>
    </w:p>
  </w:footnote>
  <w:footnote w:id="405">
    <w:p w14:paraId="4902D54C" w14:textId="77777777" w:rsidR="00201F3F" w:rsidRPr="00CD0FEB" w:rsidRDefault="00201F3F" w:rsidP="00CE5492">
      <w:pPr>
        <w:pStyle w:val="14Footnote"/>
      </w:pPr>
      <w:r w:rsidRPr="00CD0FEB">
        <w:rPr>
          <w:vertAlign w:val="superscript"/>
        </w:rPr>
        <w:footnoteRef/>
      </w:r>
      <w:r w:rsidRPr="00CD0FEB">
        <w:rPr>
          <w:i/>
          <w:iCs/>
        </w:rPr>
        <w:t>Third Circuit:</w:t>
      </w:r>
      <w:r w:rsidRPr="00CD0FEB">
        <w:t xml:space="preserve"> Rau v. Darling’s Drug Store, 388 F. Supp. 877, 881, 22 WH Cases 182 (W.D. Pa. 1975) (holding requirement met where drug store is functionally but not formally divided into prescription and nonprescription retail activities).</w:t>
      </w:r>
    </w:p>
    <w:p w14:paraId="0CBD9F47" w14:textId="77777777" w:rsidR="00201F3F" w:rsidRPr="00CD0FEB" w:rsidRDefault="00201F3F" w:rsidP="00CE5492">
      <w:pPr>
        <w:pStyle w:val="14Footnote"/>
      </w:pPr>
      <w:r w:rsidRPr="00CD0FEB">
        <w:rPr>
          <w:i/>
          <w:iCs/>
        </w:rPr>
        <w:t>Fifth Circuit:</w:t>
      </w:r>
      <w:r w:rsidRPr="00CD0FEB">
        <w:t xml:space="preserve"> Cobb v. Finest Foods, 755 F.2d 1148, 1149–50, 27 WH Cases 215</w:t>
      </w:r>
      <w:r w:rsidRPr="003E59E1">
        <w:t xml:space="preserve"> (</w:t>
      </w:r>
      <w:r w:rsidRPr="00CD0FEB">
        <w:t xml:space="preserve">5th Cir. 1985) (finding primary duty was managing section of cafeteria); Marshall v. Mamma’s Fried Chicken, 23 WH Cases 1105 (M.D. Fla. 1978) (finding chef was in complete control of restaurant’s kitchen), </w:t>
      </w:r>
      <w:r w:rsidRPr="00CD0FEB">
        <w:rPr>
          <w:i/>
          <w:iCs/>
        </w:rPr>
        <w:t>rev’d on other grounds</w:t>
      </w:r>
      <w:r w:rsidRPr="00CD0FEB">
        <w:t>, 590 F.2d 598</w:t>
      </w:r>
      <w:r w:rsidRPr="003E59E1">
        <w:t xml:space="preserve"> (</w:t>
      </w:r>
      <w:r w:rsidRPr="00CD0FEB">
        <w:t>5th Cir. 1979).</w:t>
      </w:r>
    </w:p>
    <w:p w14:paraId="61941206" w14:textId="77777777" w:rsidR="00201F3F" w:rsidRPr="00CD0FEB" w:rsidRDefault="00201F3F" w:rsidP="00CE5492">
      <w:pPr>
        <w:pStyle w:val="14Footnote"/>
      </w:pPr>
      <w:r w:rsidRPr="00CD0FEB">
        <w:rPr>
          <w:i/>
          <w:iCs/>
        </w:rPr>
        <w:t xml:space="preserve">Seventh Circuit: </w:t>
      </w:r>
      <w:r w:rsidRPr="00CD0FEB">
        <w:t>Scherer v. Compass Grp., Inc., 340 F. Supp. 2d 942 (W.D. Wis. 2004) (considering kitchen is a distinct subdivision of catering department).</w:t>
      </w:r>
    </w:p>
    <w:p w14:paraId="088468F8" w14:textId="77777777" w:rsidR="00201F3F" w:rsidRPr="00CD0FEB" w:rsidRDefault="00201F3F" w:rsidP="00CE5492">
      <w:pPr>
        <w:pStyle w:val="14Footnote"/>
      </w:pPr>
      <w:r w:rsidRPr="00CD0FEB">
        <w:rPr>
          <w:i/>
          <w:iCs/>
        </w:rPr>
        <w:t>Eighth Circuit:</w:t>
      </w:r>
      <w:r w:rsidRPr="00CD0FEB">
        <w:t xml:space="preserve"> Fight v. Armour &amp; Co., 533 F. Supp. 998 (W.D. Ark. 1982) (deeming foreman of shipping department exempt)</w:t>
      </w:r>
    </w:p>
  </w:footnote>
  <w:footnote w:id="406">
    <w:p w14:paraId="5ABB9E13" w14:textId="77777777" w:rsidR="00201F3F" w:rsidRPr="00CD0FEB" w:rsidRDefault="00201F3F" w:rsidP="00CE5492">
      <w:pPr>
        <w:pStyle w:val="14Footnote"/>
      </w:pPr>
      <w:r w:rsidRPr="00CD0FEB">
        <w:rPr>
          <w:vertAlign w:val="superscript"/>
        </w:rPr>
        <w:footnoteRef/>
      </w:r>
      <w:r w:rsidRPr="00CD0FEB">
        <w:t xml:space="preserve">29 C.F.R. §541.103(b); </w:t>
      </w:r>
      <w:r w:rsidRPr="00CD0FEB">
        <w:rPr>
          <w:i/>
          <w:iCs/>
        </w:rPr>
        <w:t>see also</w:t>
      </w:r>
      <w:r w:rsidRPr="00CD0FEB">
        <w:t xml:space="preserve"> Haines v. Southern Retailers, 939 F. Supp. 441, 448–49, 3 WH Cases2d 872, 875–76 (E.D. Va. 1996) (involving convenience store manager); Horne v. Crown Cent. Petroleum, 775 F. Supp. 189, 190, 30 WH Cases 871 (D.S.C. 1991) (considering convenience store a customarily recognized department or subdivision of enterprise); </w:t>
      </w:r>
      <w:r w:rsidRPr="00CD0FEB">
        <w:rPr>
          <w:i/>
          <w:iCs/>
        </w:rPr>
        <w:t>see also</w:t>
      </w:r>
      <w:r w:rsidRPr="00CD0FEB">
        <w:t xml:space="preserve"> Brennan v. Westinghouse Credit Corp., 1973 WL 1031, 22 WH Cases 106 (E.D. Tenn. 1973) (concluding three credit managers who work out of same office were in charge of separate subdivisions where each had one or two separate subordinates and was responsible for separate geographic area), </w:t>
      </w:r>
      <w:r w:rsidRPr="00CD0FEB">
        <w:rPr>
          <w:i/>
          <w:iCs/>
        </w:rPr>
        <w:t>aff’d</w:t>
      </w:r>
      <w:r w:rsidRPr="00CD0FEB">
        <w:t>, 509 F.2d 81, 22 WH Cases 110</w:t>
      </w:r>
      <w:r w:rsidRPr="003E59E1">
        <w:t xml:space="preserve"> (</w:t>
      </w:r>
      <w:r w:rsidRPr="00CD0FEB">
        <w:t>6th Cir. 1975); Cobb v. Finest Foods, 582 F. Supp. 818, 822–23 (E.D. La. 1984)</w:t>
      </w:r>
      <w:r w:rsidRPr="00CD0FEB">
        <w:rPr>
          <w:i/>
          <w:iCs/>
        </w:rPr>
        <w:t xml:space="preserve"> </w:t>
      </w:r>
      <w:r w:rsidRPr="00CD0FEB">
        <w:t>(finding employee in charge of section of cafeteria may be exempt).</w:t>
      </w:r>
    </w:p>
  </w:footnote>
  <w:footnote w:id="407">
    <w:p w14:paraId="6AAC30A4" w14:textId="77777777" w:rsidR="00201F3F" w:rsidRPr="00CD0FEB" w:rsidRDefault="00201F3F" w:rsidP="00CE5492">
      <w:pPr>
        <w:pStyle w:val="14Footnote"/>
      </w:pPr>
      <w:r w:rsidRPr="00CD0FEB">
        <w:rPr>
          <w:vertAlign w:val="superscript"/>
        </w:rPr>
        <w:footnoteRef/>
      </w:r>
      <w:r w:rsidRPr="00CD0FEB">
        <w:t xml:space="preserve">Walling v. General Indus. Co., 330 U.S. 545, 549–50, 6 WH Cases 754 (1947) (holding engineers in charge of shift met management requirement); Kelly v. Adroit, Inc., 480 F. Supp. 392 (E.D. Tenn. 1979) (finding second shift foreman in charge), </w:t>
      </w:r>
      <w:r w:rsidRPr="00CD0FEB">
        <w:rPr>
          <w:i/>
          <w:iCs/>
        </w:rPr>
        <w:t>aff’d mem</w:t>
      </w:r>
      <w:r w:rsidRPr="00CD0FEB">
        <w:t>., 657 F.2d 267</w:t>
      </w:r>
      <w:r w:rsidRPr="003E59E1">
        <w:t xml:space="preserve"> (</w:t>
      </w:r>
      <w:r w:rsidRPr="00CD0FEB">
        <w:t xml:space="preserve">6th Cir. 1981); </w:t>
      </w:r>
      <w:r w:rsidRPr="00CD0FEB">
        <w:rPr>
          <w:i/>
          <w:iCs/>
        </w:rPr>
        <w:t>see also</w:t>
      </w:r>
      <w:r w:rsidRPr="00CD0FEB">
        <w:t xml:space="preserve"> Sutton v. Engineered Sys., 598 F.2d 1134, 1136, 24 WH Cases 108</w:t>
      </w:r>
      <w:r w:rsidRPr="003E59E1">
        <w:t xml:space="preserve"> (</w:t>
      </w:r>
      <w:r w:rsidRPr="00CD0FEB">
        <w:t>8th Cir. 1979) (involving job site superintendent).</w:t>
      </w:r>
    </w:p>
  </w:footnote>
  <w:footnote w:id="408">
    <w:p w14:paraId="6AD2F970" w14:textId="77777777" w:rsidR="00201F3F" w:rsidRPr="00CD0FEB" w:rsidRDefault="00201F3F" w:rsidP="00CE5492">
      <w:pPr>
        <w:pStyle w:val="14Footnote"/>
      </w:pPr>
      <w:r w:rsidRPr="00CD0FEB">
        <w:rPr>
          <w:vertAlign w:val="superscript"/>
        </w:rPr>
        <w:footnoteRef/>
      </w:r>
      <w:r w:rsidRPr="00CD0FEB">
        <w:t>Ramos v. Baldor Specialty Foods, Inc., 687 F.3d 554, 564, 19 WH Cases2d 536 (2d Cir. 2012) (holding that captains in charge of group of “pickers” in a warehouse were exempt even though multiple teams functioned identically to each other and rejecting employees’ argument that teams of pickers must be distinguished from one another in order to be considered a customarily recognized subdivision or department).</w:t>
      </w:r>
    </w:p>
  </w:footnote>
  <w:footnote w:id="409">
    <w:p w14:paraId="3AB8332D" w14:textId="77777777" w:rsidR="00201F3F" w:rsidRPr="00CD0FEB" w:rsidRDefault="00201F3F" w:rsidP="00CE5492">
      <w:pPr>
        <w:pStyle w:val="14Footnote"/>
      </w:pPr>
      <w:r w:rsidRPr="00CD0FEB">
        <w:rPr>
          <w:vertAlign w:val="superscript"/>
        </w:rPr>
        <w:footnoteRef/>
      </w:r>
      <w:r w:rsidRPr="00CD0FEB">
        <w:t xml:space="preserve">29 C.F.R. §541.103(c); </w:t>
      </w:r>
      <w:r w:rsidRPr="00CD0FEB">
        <w:rPr>
          <w:i/>
          <w:iCs/>
        </w:rPr>
        <w:t>see, e.g</w:t>
      </w:r>
      <w:r w:rsidRPr="00CD0FEB">
        <w:t>., White v. San Mateo Cnty., 37 F. App’x 280</w:t>
      </w:r>
      <w:r w:rsidRPr="003E59E1">
        <w:t xml:space="preserve"> (</w:t>
      </w:r>
      <w:r w:rsidRPr="00CD0FEB">
        <w:t>9th Cir. 2002) (finding Sheriff’s Office supervisor met exemption’s requirements where he directed the daily activities of numerous deputies and managed the units to which he was assigned).</w:t>
      </w:r>
    </w:p>
  </w:footnote>
  <w:footnote w:id="410">
    <w:p w14:paraId="479017FE" w14:textId="77777777" w:rsidR="00201F3F" w:rsidRPr="00CD0FEB" w:rsidRDefault="00201F3F" w:rsidP="00CE5492">
      <w:pPr>
        <w:pStyle w:val="14Footnote"/>
      </w:pPr>
      <w:r w:rsidRPr="00CD0FEB">
        <w:rPr>
          <w:vertAlign w:val="superscript"/>
        </w:rPr>
        <w:footnoteRef/>
      </w:r>
      <w:r w:rsidRPr="00CD0FEB">
        <w:t>29 C.F.R. §541.103(d).</w:t>
      </w:r>
    </w:p>
  </w:footnote>
  <w:footnote w:id="411">
    <w:p w14:paraId="7DF55285" w14:textId="77777777" w:rsidR="00201F3F" w:rsidRPr="00CD0FEB" w:rsidRDefault="00201F3F" w:rsidP="00CE5492">
      <w:pPr>
        <w:pStyle w:val="14Footnote"/>
      </w:pPr>
      <w:r w:rsidRPr="00CD0FEB">
        <w:rPr>
          <w:vertAlign w:val="superscript"/>
        </w:rPr>
        <w:footnoteRef/>
      </w:r>
      <w:r w:rsidRPr="00CD0FEB">
        <w:rPr>
          <w:i/>
          <w:iCs/>
        </w:rPr>
        <w:t>Id</w:t>
      </w:r>
      <w:r w:rsidRPr="00CD0FEB">
        <w:t>. §541.100(a)(3).</w:t>
      </w:r>
    </w:p>
  </w:footnote>
  <w:footnote w:id="412">
    <w:p w14:paraId="476BC40F"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§541.701; </w:t>
      </w:r>
      <w:r w:rsidRPr="00CD0FEB">
        <w:rPr>
          <w:i/>
          <w:iCs/>
        </w:rPr>
        <w:t xml:space="preserve">see </w:t>
      </w:r>
      <w:r w:rsidRPr="00CD0FEB">
        <w:t>McKinney v. United Stor-All Ctrs. LLC, 656 F. Supp. 2d 114 (D.D.C. 2009) (finding that manager of self-storage facility did not qualify for executive exemption even though she had authority and budget to hire second full-time employee where she only supervised two full-time employees during 19% of claim period); Harris v. Swissport SA, LLC, 2017 WL 1318541 (S.D. Fla. Apr. 7, 2017) (recognizing that “customarily and regularly” mean greater than occasionally, but less than constant).</w:t>
      </w:r>
    </w:p>
  </w:footnote>
  <w:footnote w:id="413">
    <w:p w14:paraId="0C4D4427" w14:textId="77777777" w:rsidR="00201F3F" w:rsidRPr="00CD0FEB" w:rsidRDefault="00201F3F" w:rsidP="004B3FA1">
      <w:pPr>
        <w:pStyle w:val="14Footnote"/>
        <w:rPr>
          <w:rFonts w:eastAsia="Arial Unicode MS"/>
        </w:rPr>
      </w:pPr>
      <w:r w:rsidRPr="00CD0FEB">
        <w:rPr>
          <w:vertAlign w:val="superscript"/>
        </w:rPr>
        <w:footnoteRef/>
      </w:r>
      <w:r w:rsidRPr="00CD0FEB">
        <w:t xml:space="preserve">29 C.F.R. §541.104(a); </w:t>
      </w:r>
      <w:r w:rsidRPr="00CD0FEB">
        <w:rPr>
          <w:i/>
          <w:iCs/>
        </w:rPr>
        <w:t>see, e.g</w:t>
      </w:r>
      <w:r w:rsidRPr="00CD0FEB">
        <w:t xml:space="preserve">., </w:t>
      </w:r>
      <w:r w:rsidRPr="00CD0FEB">
        <w:rPr>
          <w:rStyle w:val="None"/>
        </w:rPr>
        <w:t xml:space="preserve">Brown v. Wheatleigh Corp., 2021 BL 339483, </w:t>
      </w:r>
      <w:r w:rsidRPr="00CD0FEB">
        <w:rPr>
          <w:rStyle w:val="None"/>
          <w:rFonts w:eastAsia="Arial Unicode MS"/>
        </w:rPr>
        <w:t xml:space="preserve">2021 WL 4079779, at *5–6 (D. Mass. Sept. 8, 2021) (granting summary judgment to employee on executive exemption where he did not customarily and regularly direct the work </w:t>
      </w:r>
      <w:r w:rsidRPr="00CD0FEB">
        <w:rPr>
          <w:rStyle w:val="None"/>
        </w:rPr>
        <w:t>of two or more full-time employees or their equivalent but only did so 65% of the time)</w:t>
      </w:r>
      <w:r w:rsidRPr="00CD0FEB">
        <w:rPr>
          <w:rStyle w:val="None"/>
          <w:rFonts w:eastAsia="Arial Unicode MS"/>
        </w:rPr>
        <w:t xml:space="preserve">; </w:t>
      </w:r>
      <w:r w:rsidRPr="00CD0FEB">
        <w:t>Hernandez v. Stringer, 210 F. Supp. 3d 54 (D.D.C. 2016) (observing that supervision requirement applies to employees, not contractors or subcontractors); Marshall v. Hudson Stations, 1979 WL 1917, 24 WH Cases 260 (D. Kan. June 8, 1979) (holding hours in excess of 40 worked by one employee may be added to hours of part-time employment worked by another employee in order to meet the 80-hour threshold); Perez v. RadioShack Corp., 386 F. Supp. 2d 979, 10 WH Cases2d 1608 (N.D. Ill. 2005) (recognizing exception to the 80-hour rule for industries such as banking and insurance where standard workweek is less than 40 hours, but rejecting this argument in retail industry where store operated more than 40 hours).</w:t>
      </w:r>
    </w:p>
  </w:footnote>
  <w:footnote w:id="414">
    <w:p w14:paraId="0B3C3156" w14:textId="77777777" w:rsidR="00201F3F" w:rsidRPr="00CD0FEB" w:rsidRDefault="00201F3F" w:rsidP="00CE5492">
      <w:pPr>
        <w:pStyle w:val="14Footnote"/>
      </w:pPr>
      <w:r w:rsidRPr="00CD0FEB">
        <w:rPr>
          <w:vertAlign w:val="superscript"/>
        </w:rPr>
        <w:footnoteRef/>
      </w:r>
      <w:r w:rsidRPr="00CD0FEB">
        <w:t>29 C.F.R. §541.104(c).</w:t>
      </w:r>
    </w:p>
  </w:footnote>
  <w:footnote w:id="415">
    <w:p w14:paraId="1F3D6751" w14:textId="77777777" w:rsidR="00201F3F" w:rsidRPr="00CD0FEB" w:rsidRDefault="00201F3F" w:rsidP="00CE5492">
      <w:pPr>
        <w:pStyle w:val="14Footnote"/>
      </w:pPr>
      <w:r w:rsidRPr="00CD0FEB">
        <w:rPr>
          <w:vertAlign w:val="superscript"/>
        </w:rPr>
        <w:footnoteRef/>
      </w:r>
      <w:r w:rsidRPr="00CD0FEB">
        <w:rPr>
          <w:i/>
          <w:iCs/>
        </w:rPr>
        <w:t>Id</w:t>
      </w:r>
      <w:r w:rsidRPr="00CD0FEB">
        <w:t>. §541.104(b).</w:t>
      </w:r>
    </w:p>
  </w:footnote>
  <w:footnote w:id="416">
    <w:p w14:paraId="11B15550" w14:textId="77777777" w:rsidR="00201F3F" w:rsidRPr="00CD0FEB" w:rsidRDefault="00201F3F" w:rsidP="00CE5492">
      <w:pPr>
        <w:pStyle w:val="14Footnote"/>
      </w:pPr>
      <w:r w:rsidRPr="00CD0FEB">
        <w:rPr>
          <w:vertAlign w:val="superscript"/>
        </w:rPr>
        <w:footnoteRef/>
      </w:r>
      <w:r w:rsidRPr="00CD0FEB">
        <w:rPr>
          <w:i/>
          <w:iCs/>
        </w:rPr>
        <w:t>Id</w:t>
      </w:r>
      <w:r w:rsidRPr="00CD0FEB">
        <w:t>. §541.104(d).</w:t>
      </w:r>
    </w:p>
  </w:footnote>
  <w:footnote w:id="417">
    <w:p w14:paraId="5B228B18" w14:textId="77777777" w:rsidR="00201F3F" w:rsidRPr="00CD0FEB" w:rsidRDefault="00201F3F" w:rsidP="00CE5492">
      <w:pPr>
        <w:pStyle w:val="14Footnote"/>
      </w:pPr>
      <w:r w:rsidRPr="00CD0FEB">
        <w:rPr>
          <w:vertAlign w:val="superscript"/>
        </w:rPr>
        <w:footnoteRef/>
      </w:r>
      <w:r w:rsidRPr="00CD0FEB">
        <w:t>WH Op. FLSA2006-35, 2006 WL 3227790 (Sept. 21, 2006).</w:t>
      </w:r>
    </w:p>
  </w:footnote>
  <w:footnote w:id="418">
    <w:p w14:paraId="573EF7ED" w14:textId="77777777" w:rsidR="00201F3F" w:rsidRPr="00CD0FEB" w:rsidRDefault="00201F3F"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14:paraId="25BA21A1" w14:textId="77777777" w:rsidR="00201F3F" w:rsidRPr="00CD0FEB" w:rsidRDefault="00201F3F" w:rsidP="00CE5492">
      <w:pPr>
        <w:pStyle w:val="14Footnote"/>
      </w:pPr>
      <w:r w:rsidRPr="00CD0FEB">
        <w:rPr>
          <w:i/>
          <w:iCs/>
        </w:rPr>
        <w:t>Third Circuit:</w:t>
      </w:r>
      <w:r w:rsidRPr="00CD0FEB">
        <w:t xml:space="preserve"> Goff v. Bayada Nurses, Inc., 424 F. Supp. 2d 816 (E.D. Pa. 2006) (involving supervision of nurses in the field).</w:t>
      </w:r>
    </w:p>
    <w:p w14:paraId="70A8F1DB" w14:textId="77777777" w:rsidR="00201F3F" w:rsidRPr="00CD0FEB" w:rsidRDefault="00201F3F" w:rsidP="00CE5492">
      <w:pPr>
        <w:pStyle w:val="14Footnote"/>
      </w:pPr>
      <w:r w:rsidRPr="00CD0FEB">
        <w:rPr>
          <w:i/>
          <w:iCs/>
        </w:rPr>
        <w:t>Fourth Circuit:</w:t>
      </w:r>
      <w:r w:rsidRPr="00CD0FEB">
        <w:t xml:space="preserve"> Lovo v. American Sugar Refining, Inc., 2018 WL 3956688, at *8–11 (D. Md. Aug. 17, 2018) (finding process supervisor exempt where there was “ample evidence” that plaintiffs’ duties involved directing employees and ensuring that employees were doing their job); Haines v. Southern Retailers, Inc., 939 F. Supp. 441, 446 (E.D. Va. 1996).</w:t>
      </w:r>
    </w:p>
    <w:p w14:paraId="1C534CA1" w14:textId="77777777" w:rsidR="00201F3F" w:rsidRPr="00CD0FEB" w:rsidRDefault="00201F3F" w:rsidP="00CE5492">
      <w:pPr>
        <w:pStyle w:val="14Footnote"/>
      </w:pPr>
      <w:r w:rsidRPr="00CD0FEB">
        <w:rPr>
          <w:i/>
          <w:iCs/>
        </w:rPr>
        <w:t>Eighth Circuit:</w:t>
      </w:r>
      <w:r w:rsidRPr="00CD0FEB">
        <w:t xml:space="preserve"> Smith v. Heartland Auto. Serv., Inc., 418 F. Supp. 2d 1129, 1141 (D. Minn. 2006) (ruling that “there is no requirement that, in order to supervise an employee, a manager must be constantly physically present at the store with that employee”).</w:t>
      </w:r>
    </w:p>
    <w:p w14:paraId="42AF8FE2" w14:textId="77777777" w:rsidR="00201F3F" w:rsidRPr="00CD0FEB" w:rsidRDefault="00201F3F" w:rsidP="00CE5492">
      <w:pPr>
        <w:pStyle w:val="14Footnote"/>
      </w:pPr>
      <w:r w:rsidRPr="00CD0FEB">
        <w:rPr>
          <w:i/>
          <w:iCs/>
        </w:rPr>
        <w:t>Ninth Circuit:</w:t>
      </w:r>
      <w:r w:rsidRPr="00CD0FEB">
        <w:t xml:space="preserve"> Baldwin v. Trailer Inns, Inc., 266 F.3d 1104, 1117</w:t>
      </w:r>
      <w:r w:rsidRPr="003E59E1">
        <w:t xml:space="preserve"> (</w:t>
      </w:r>
      <w:r w:rsidRPr="00CD0FEB">
        <w:t>9th Cir. 2001) (holding that “[managers’] continuous simultaneous physical presence with the assistant managers is not an essential requirement of supervision as long the [managers] supervised the assistant managers’ work in other ways”).</w:t>
      </w:r>
    </w:p>
    <w:p w14:paraId="642FB14F" w14:textId="77777777" w:rsidR="00201F3F" w:rsidRPr="00CD0FEB" w:rsidRDefault="00201F3F" w:rsidP="00CE5492">
      <w:pPr>
        <w:pStyle w:val="14Footnote"/>
      </w:pPr>
      <w:r w:rsidRPr="00CD0FEB">
        <w:rPr>
          <w:i/>
          <w:iCs/>
        </w:rPr>
        <w:t>Eleventh Circuit:</w:t>
      </w:r>
      <w:r w:rsidRPr="00CD0FEB">
        <w:t xml:space="preserve"> Rozenblum v. Ocean Beach Props., 436 F. Supp. 2d 1351 (S.D. Fla. 2006) (considering review of work done by employees on prior shift); Sturm v. TOC Retail, Inc., 864 F. Supp. 1346 (M.D. Ga. 1994) (ruling that convenience store manager was properly classified as exempt even if not physically present where manager ensured that company policies were carried out and was always “on-call” if problems arose)</w:t>
      </w:r>
    </w:p>
  </w:footnote>
  <w:footnote w:id="419">
    <w:p w14:paraId="14B2063C" w14:textId="77777777" w:rsidR="00201F3F" w:rsidRPr="00CD0FEB" w:rsidRDefault="00201F3F" w:rsidP="00CE5492">
      <w:pPr>
        <w:pStyle w:val="14Footnote"/>
      </w:pPr>
      <w:r w:rsidRPr="00CD0FEB">
        <w:rPr>
          <w:vertAlign w:val="superscript"/>
        </w:rPr>
        <w:footnoteRef/>
      </w:r>
      <w:r w:rsidRPr="00CD0FEB">
        <w:t xml:space="preserve">Under the pre-2004 regulations, this requirement was found only under the “long test” for exempt executive status. </w:t>
      </w:r>
      <w:r w:rsidRPr="00CD0FEB">
        <w:rPr>
          <w:i/>
          <w:iCs/>
        </w:rPr>
        <w:t>See, e.g.,</w:t>
      </w:r>
      <w:r w:rsidRPr="00CD0FEB">
        <w:t xml:space="preserve"> </w:t>
      </w:r>
      <w:r w:rsidRPr="00CD0FEB">
        <w:rPr>
          <w:i/>
          <w:iCs/>
        </w:rPr>
        <w:t>Baldwin</w:t>
      </w:r>
      <w:r w:rsidRPr="00CD0FEB">
        <w:t>, 266 F.3d at 1116. The DOL included a new definition of “particular weight” in the 2004 regulations by incorporating factors relied upon by courts under the pre-2004 regulations. 69 Fed. Reg. 22,121, 22,135 (Apr. 23, 2004).</w:t>
      </w:r>
    </w:p>
  </w:footnote>
  <w:footnote w:id="420">
    <w:p w14:paraId="0CA5D9CE" w14:textId="77777777" w:rsidR="00201F3F" w:rsidRPr="00CD0FEB" w:rsidRDefault="00201F3F" w:rsidP="00CE5492">
      <w:pPr>
        <w:pStyle w:val="14Footnote"/>
      </w:pPr>
      <w:r w:rsidRPr="00CD0FEB">
        <w:rPr>
          <w:vertAlign w:val="superscript"/>
        </w:rPr>
        <w:footnoteRef/>
      </w:r>
      <w:r w:rsidRPr="00CD0FEB">
        <w:t>29 C.F.R. §541.100(a)(4).</w:t>
      </w:r>
    </w:p>
  </w:footnote>
  <w:footnote w:id="421">
    <w:p w14:paraId="51A17B8B" w14:textId="77777777" w:rsidR="00201F3F" w:rsidRPr="00CD0FEB" w:rsidRDefault="00201F3F" w:rsidP="00CE5492">
      <w:pPr>
        <w:pStyle w:val="14Footnote"/>
      </w:pPr>
      <w:r w:rsidRPr="00CD0FEB">
        <w:rPr>
          <w:vertAlign w:val="superscript"/>
        </w:rPr>
        <w:footnoteRef/>
      </w:r>
      <w:r w:rsidRPr="00CD0FEB">
        <w:t>69 Fed. Reg. at 22,131 (citing Burlington Indus. v. Ellerth, 524 U.S. 742, 761–62 (1998)).</w:t>
      </w:r>
    </w:p>
  </w:footnote>
  <w:footnote w:id="422">
    <w:p w14:paraId="3B0D56D1" w14:textId="77777777" w:rsidR="00201F3F" w:rsidRPr="00CD0FEB" w:rsidRDefault="00201F3F" w:rsidP="00CE5492">
      <w:pPr>
        <w:pStyle w:val="14Footnote"/>
      </w:pPr>
      <w:r w:rsidRPr="00CD0FEB">
        <w:rPr>
          <w:vertAlign w:val="superscript"/>
        </w:rPr>
        <w:footnoteRef/>
      </w:r>
      <w:r w:rsidRPr="00CD0FEB">
        <w:t>Pennsylvania State Police v. Suders, 542 U.S. 129, 144 (2004).</w:t>
      </w:r>
    </w:p>
  </w:footnote>
  <w:footnote w:id="423">
    <w:p w14:paraId="09C8692B" w14:textId="77777777" w:rsidR="00201F3F" w:rsidRPr="00CD0FEB" w:rsidRDefault="00201F3F" w:rsidP="00CE5492">
      <w:pPr>
        <w:pStyle w:val="14Footnote"/>
      </w:pPr>
      <w:r w:rsidRPr="00CD0FEB">
        <w:rPr>
          <w:vertAlign w:val="superscript"/>
        </w:rPr>
        <w:footnoteRef/>
      </w:r>
      <w:r w:rsidRPr="00CD0FEB">
        <w:t>29 C.F.R. §541.105.</w:t>
      </w:r>
    </w:p>
  </w:footnote>
  <w:footnote w:id="424">
    <w:p w14:paraId="687756E8"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425">
    <w:p w14:paraId="454DFCA4" w14:textId="77777777" w:rsidR="00201F3F" w:rsidRPr="00CD0FEB" w:rsidRDefault="00201F3F" w:rsidP="00CE5492">
      <w:pPr>
        <w:pStyle w:val="14Footnote"/>
      </w:pPr>
      <w:r w:rsidRPr="00CD0FEB">
        <w:rPr>
          <w:vertAlign w:val="superscript"/>
        </w:rPr>
        <w:footnoteRef/>
      </w:r>
      <w:r w:rsidRPr="00CD0FEB">
        <w:t>69 Fed. Reg. at 22,135.</w:t>
      </w:r>
    </w:p>
  </w:footnote>
  <w:footnote w:id="426">
    <w:p w14:paraId="5BE1EACE" w14:textId="77777777" w:rsidR="00201F3F" w:rsidRPr="00CD0FEB" w:rsidRDefault="00201F3F" w:rsidP="00CE5492">
      <w:pPr>
        <w:pStyle w:val="14Footnote"/>
      </w:pPr>
      <w:r w:rsidRPr="00CD0FEB">
        <w:rPr>
          <w:rStyle w:val="FootnoteReference"/>
        </w:rPr>
        <w:footnoteRef/>
      </w:r>
      <w:r w:rsidRPr="00CD0FEB">
        <w:t>Holt v. City of Battle Creek, 925 F.3d 905, 912</w:t>
      </w:r>
      <w:r w:rsidRPr="003E59E1">
        <w:t xml:space="preserve"> (</w:t>
      </w:r>
      <w:r w:rsidRPr="00CD0FEB">
        <w:t xml:space="preserve">6th Cir. 2019). </w:t>
      </w:r>
      <w:r w:rsidRPr="00CD0FEB">
        <w:rPr>
          <w:i/>
          <w:iCs/>
        </w:rPr>
        <w:t>See also</w:t>
      </w:r>
      <w:r w:rsidRPr="00CD0FEB">
        <w:t xml:space="preserve"> Emmons v. City of Chesapeake, 982 F.3d 245, 257</w:t>
      </w:r>
      <w:r w:rsidRPr="003E59E1">
        <w:t xml:space="preserve"> (</w:t>
      </w:r>
      <w:r w:rsidRPr="00CD0FEB">
        <w:t>4th Cir. 2020) (“</w:t>
      </w:r>
      <w:r w:rsidRPr="00CD0FEB">
        <w:rPr>
          <w:shd w:val="clear" w:color="auto" w:fill="FFFFFF"/>
        </w:rPr>
        <w:t>The notion that a few rejected recommendations could be decisive contradicts the plain language of the regulation, which sets the standard at ‘particular weight,’ not complete or presumptive deference.</w:t>
      </w:r>
      <w:r w:rsidRPr="00CD0FEB">
        <w:t>”).</w:t>
      </w:r>
    </w:p>
  </w:footnote>
  <w:footnote w:id="427">
    <w:p w14:paraId="04F9C8C4" w14:textId="77777777" w:rsidR="00201F3F" w:rsidRPr="00CD0FEB" w:rsidRDefault="00201F3F" w:rsidP="0019405A">
      <w:pPr>
        <w:pStyle w:val="14Footnote"/>
      </w:pPr>
      <w:r w:rsidRPr="00CD0FEB">
        <w:rPr>
          <w:rStyle w:val="FootnoteReference"/>
        </w:rPr>
        <w:footnoteRef/>
      </w:r>
      <w:r w:rsidRPr="00CD0FEB">
        <w:t>Millikan v. Town of Ingalls, 2022 BL 306844, 2022 WL 3928516, at *2</w:t>
      </w:r>
      <w:r w:rsidRPr="003E59E1">
        <w:t xml:space="preserve"> (</w:t>
      </w:r>
      <w:r w:rsidRPr="00CD0FEB">
        <w:t>7th Cir. Aug. 31, 2022) (citing 29 C.F.R. §541.105).</w:t>
      </w:r>
    </w:p>
  </w:footnote>
  <w:footnote w:id="428">
    <w:p w14:paraId="7D97B834" w14:textId="77777777" w:rsidR="00201F3F" w:rsidRPr="00CD0FEB" w:rsidRDefault="00201F3F" w:rsidP="00CE5492">
      <w:pPr>
        <w:pStyle w:val="14Footnote"/>
      </w:pPr>
      <w:r w:rsidRPr="00CD0FEB">
        <w:rPr>
          <w:vertAlign w:val="superscript"/>
        </w:rPr>
        <w:footnoteRef/>
      </w:r>
      <w:r w:rsidRPr="00CD0FEB">
        <w:t>745 F.3d 899, 22 WH Cases2d 346</w:t>
      </w:r>
      <w:r w:rsidRPr="003E59E1">
        <w:t xml:space="preserve"> (</w:t>
      </w:r>
      <w:r w:rsidRPr="00CD0FEB">
        <w:t>8th Cir. 2014).</w:t>
      </w:r>
    </w:p>
  </w:footnote>
  <w:footnote w:id="429">
    <w:p w14:paraId="40829B27"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907.</w:t>
      </w:r>
    </w:p>
  </w:footnote>
  <w:footnote w:id="430">
    <w:p w14:paraId="6D86EF2C"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908. </w:t>
      </w:r>
    </w:p>
  </w:footnote>
  <w:footnote w:id="431">
    <w:p w14:paraId="6C925A2D" w14:textId="77777777" w:rsidR="00201F3F" w:rsidRPr="00CD0FEB" w:rsidRDefault="00201F3F" w:rsidP="00CE5492">
      <w:pPr>
        <w:pStyle w:val="14Footnote"/>
      </w:pPr>
      <w:r w:rsidRPr="00CD0FEB">
        <w:rPr>
          <w:vertAlign w:val="superscript"/>
        </w:rPr>
        <w:footnoteRef/>
      </w:r>
      <w:r w:rsidRPr="00CD0FEB">
        <w:rPr>
          <w:i/>
          <w:iCs/>
        </w:rPr>
        <w:t>Third Circuit:</w:t>
      </w:r>
      <w:r w:rsidRPr="00CD0FEB">
        <w:t xml:space="preserve"> Goff v. Bayada Nurses, Inc., 424 F. Supp. 2d 816 (E.D. Pa. 2006) (finding that plaintiff was actively involved in interviewing, recruiting, and hiring, and had signed two termination letters).</w:t>
      </w:r>
    </w:p>
    <w:p w14:paraId="459A5F77" w14:textId="77777777" w:rsidR="00201F3F" w:rsidRPr="00CD0FEB" w:rsidRDefault="00201F3F" w:rsidP="00CE5492">
      <w:pPr>
        <w:pStyle w:val="14Footnote"/>
      </w:pPr>
      <w:r w:rsidRPr="00CD0FEB">
        <w:rPr>
          <w:i/>
          <w:iCs/>
        </w:rPr>
        <w:t>Fourth Circuit:</w:t>
      </w:r>
      <w:r w:rsidRPr="00CD0FEB">
        <w:rPr>
          <w:b/>
          <w:bCs/>
          <w:i/>
          <w:iCs/>
        </w:rPr>
        <w:t xml:space="preserve"> </w:t>
      </w:r>
      <w:r w:rsidRPr="00CD0FEB">
        <w:t>Lovo v. American Sugar Refining, Inc., 2018 WL 3956688, at *8–11 (D. Md. Aug. 17, 2018) (finding process supervisor exempt where plaintiff reviewed resumes, made recommendations for interviews, was responsible for training and evaluating new hires, and had authority to request specific employees not be re-hired); Smith v. Brennan, 115 F. Supp. 3d 691 (E.D. Va. 2015) (finding that plaintiff had authority during new hires’ 90-day probationary period to recommend termination or continued employment; defendants relied on plaintiff’s informal evaluations of new hires, plaintiff was only one who would report on new hires’ performance, and defendant followed plaintiff’s termination recommendation for two new hires).</w:t>
      </w:r>
    </w:p>
    <w:p w14:paraId="4E4D4075" w14:textId="77777777" w:rsidR="00201F3F" w:rsidRPr="00CD0FEB" w:rsidRDefault="00201F3F" w:rsidP="00CE5492">
      <w:pPr>
        <w:pStyle w:val="14Footnote"/>
      </w:pPr>
      <w:r w:rsidRPr="00CD0FEB">
        <w:rPr>
          <w:i/>
          <w:iCs/>
        </w:rPr>
        <w:t>Fifth Circuit:</w:t>
      </w:r>
      <w:r w:rsidRPr="00CD0FEB">
        <w:t xml:space="preserve"> Saunders v. Lincoln Mfg., Inc., 2019 WL 1601875, at *11–12 (S.D. Tex. Apr. 15, 2019) (holding night-shift production supervisor exempt where plaintiff made suggestions as to hiring, firing, and “similar employment-status changes,” such as approving time cards, sending employees home, disputing incorrect attendance violations issued by HR, approving wage increases, signing evaluations, issuing written citations, documenting and reporting workplace incidents, and recommending discipline, including suspension); Martinez v. Refinery Terminal Fire Co., 2014 WL 582981 (S.D. Tex. Feb. 13, 2014) (firefighter shift captains exempt where captains’ recommendations were “heavily relied upon” in promoting trainees to firefighters).</w:t>
      </w:r>
    </w:p>
    <w:p w14:paraId="04AE9562" w14:textId="77777777" w:rsidR="00201F3F" w:rsidRPr="00CD0FEB" w:rsidRDefault="00201F3F" w:rsidP="00CE5492">
      <w:pPr>
        <w:pStyle w:val="14Footnote"/>
      </w:pPr>
      <w:r w:rsidRPr="00CD0FEB">
        <w:rPr>
          <w:i/>
          <w:iCs/>
        </w:rPr>
        <w:t>Sixth Circuit</w:t>
      </w:r>
      <w:r w:rsidRPr="00CD0FEB">
        <w:t>: Rainieri v. Alliance Tubular Prods. LLC, 2019 WL 3207852, at *11–12 (N.D. Ohio July 16, 2019) (finding maintenance shift supervisor properly classified as exempt executive where he made recommendation as to whether temporary employees should be offered full-time employment and issued discipline to subordinates for violation of company policies).</w:t>
      </w:r>
    </w:p>
    <w:p w14:paraId="38A59204" w14:textId="77777777" w:rsidR="00201F3F" w:rsidRPr="00CD0FEB" w:rsidRDefault="00201F3F" w:rsidP="00CE5492">
      <w:pPr>
        <w:pStyle w:val="14Footnote"/>
      </w:pPr>
      <w:r w:rsidRPr="00CD0FEB">
        <w:rPr>
          <w:i/>
          <w:iCs/>
        </w:rPr>
        <w:t>Eighth Circuit:</w:t>
      </w:r>
      <w:r w:rsidRPr="00CD0FEB">
        <w:t xml:space="preserve"> Garrison v. ConAgra Packaged Foods, LLC, 833 F.3d 881, 26 WH Cases2d 1486</w:t>
      </w:r>
      <w:r w:rsidRPr="003E59E1">
        <w:t xml:space="preserve"> (</w:t>
      </w:r>
      <w:r w:rsidRPr="00CD0FEB">
        <w:t>8th Cir. 2016) (holding that Team Leaders’ participation in personnel decisions limited to probationary employees was sufficient to satisfy requirements of executive exemption where they made recommendations as to whether probationary employees should be retained, evaluated employees and provided feedback on job performance, filled temporary vacancies, and recommended disciplinary action).</w:t>
      </w:r>
    </w:p>
    <w:p w14:paraId="42DF6CE2" w14:textId="77777777" w:rsidR="00201F3F" w:rsidRPr="00CD0FEB" w:rsidRDefault="00201F3F" w:rsidP="00CE5492">
      <w:pPr>
        <w:pStyle w:val="14Footnote"/>
      </w:pPr>
      <w:r w:rsidRPr="00CD0FEB">
        <w:rPr>
          <w:i/>
          <w:iCs/>
        </w:rPr>
        <w:t>Ninth Circuit:</w:t>
      </w:r>
      <w:r w:rsidRPr="00CD0FEB">
        <w:t xml:space="preserve"> Boyce v. Independent Brewers United Corp., 2017 WL 2377107 (N.D. Cal. June 1, 2017) (finding plaintiff exempt where his personnel recommendations were given particular weight); Rincon v. AFSCME, 2013 WL 4389460 (N.D. Cal. Aug. 13, 2013) (ruling fact that union organizer’s recommendation typically required supervisor approval did not preclude exempt status); Depew v. Shopko Stores, Inc., 2006 WL 1663272, 11 WH Cases2d 1353 (D. Idaho May 30, 2006) (plaintiff’s recommendations on hiring, retention, promotion, advancement, and discipline were routinely approved).</w:t>
      </w:r>
    </w:p>
    <w:p w14:paraId="1060F43E" w14:textId="77777777" w:rsidR="00201F3F" w:rsidRPr="00CD0FEB" w:rsidRDefault="00201F3F" w:rsidP="00CE5492">
      <w:pPr>
        <w:pStyle w:val="14Footnote"/>
      </w:pPr>
      <w:r w:rsidRPr="00CD0FEB">
        <w:rPr>
          <w:i/>
          <w:iCs/>
        </w:rPr>
        <w:t>Eleventh Circuit:</w:t>
      </w:r>
      <w:r w:rsidRPr="00CD0FEB">
        <w:t xml:space="preserve"> White v. Winn Dixie, 741 F. App’x 649, 663 </w:t>
      </w:r>
      <w:r w:rsidRPr="003E59E1">
        <w:t>(1</w:t>
      </w:r>
      <w:r w:rsidRPr="00CD0FEB">
        <w:t>1th Cir. 2018) (holding store manager exempt where his suggestions and recommendations for applicants were given “particular weight”: he selected which applicants to interview, conducted interviews, and recommended candidates to superior); Rozenblum v. Ocean Beach Props., 436 F. Supp. 2d 1351 (S.D. Fla. 2006) (concluding that plaintiff’s opinions and recommendations regarding employee performance were given particular weight)</w:t>
      </w:r>
    </w:p>
  </w:footnote>
  <w:footnote w:id="432">
    <w:p w14:paraId="7286B5B4" w14:textId="77777777" w:rsidR="00201F3F" w:rsidRPr="00CD0FEB" w:rsidRDefault="00201F3F" w:rsidP="00CE5492">
      <w:pPr>
        <w:pStyle w:val="14Footnote"/>
      </w:pPr>
      <w:r w:rsidRPr="00CD0FEB">
        <w:rPr>
          <w:vertAlign w:val="superscript"/>
        </w:rPr>
        <w:footnoteRef/>
      </w:r>
      <w:r w:rsidRPr="00CD0FEB">
        <w:t xml:space="preserve">Paganas v. Total Maint. Sols., LLC, 726 F. App’x 851 (2d Cir. 2018) (reversing summary judgment for employer where evidence established only a single instance in which plaintiff recommended disciplinary action, thereby giving rise to a genuine issue of fact as to whether plaintiff had authority to recommend a change in employee status); </w:t>
      </w:r>
      <w:r w:rsidRPr="00900F86">
        <w:t>Giallanzo v. City of New York</w:t>
      </w:r>
      <w:r>
        <w:t xml:space="preserve">, </w:t>
      </w:r>
      <w:r w:rsidRPr="00AC706A">
        <w:t>630 F.</w:t>
      </w:r>
      <w:r>
        <w:t xml:space="preserve"> </w:t>
      </w:r>
      <w:r w:rsidRPr="00AC706A">
        <w:t>Supp.</w:t>
      </w:r>
      <w:r>
        <w:t xml:space="preserve"> </w:t>
      </w:r>
      <w:r w:rsidRPr="00AC706A">
        <w:t xml:space="preserve">3d 439 </w:t>
      </w:r>
      <w:r w:rsidRPr="00900F86">
        <w:t>(S.D.N.Y. 2022)</w:t>
      </w:r>
      <w:r>
        <w:t xml:space="preserve"> (denying defendant’s summary judgment motion because </w:t>
      </w:r>
      <w:r w:rsidRPr="00900F86">
        <w:t>jury could credit plaintiff’s perception that his recommendations were not given weight, thereby creating a material dispute of fac</w:t>
      </w:r>
      <w:r>
        <w:t xml:space="preserve">t); </w:t>
      </w:r>
      <w:r w:rsidRPr="00CD0FEB">
        <w:t>Duffie v. Michigan Grp., Inc., 2016 WL 28987 (E.D. Mich. Jan. 4, 2016) (holding that defendant failed to show plaintiff’s recommendations were given “particular weight” with respect to personnel matters where record reflected that her suggestions were given weight only “on two isolated occasions over three years”).</w:t>
      </w:r>
    </w:p>
  </w:footnote>
  <w:footnote w:id="433">
    <w:p w14:paraId="34F5A9A9" w14:textId="77777777" w:rsidR="00201F3F" w:rsidRPr="00CD0FEB" w:rsidRDefault="00201F3F" w:rsidP="00CE5492">
      <w:pPr>
        <w:pStyle w:val="14Footnote"/>
      </w:pPr>
      <w:r w:rsidRPr="00CD0FEB">
        <w:rPr>
          <w:rStyle w:val="FootnoteReference"/>
        </w:rPr>
        <w:footnoteRef/>
      </w:r>
      <w:r w:rsidRPr="00CD0FEB">
        <w:t>982 F.3d 245</w:t>
      </w:r>
      <w:r w:rsidRPr="003E59E1">
        <w:t xml:space="preserve"> (</w:t>
      </w:r>
      <w:r w:rsidRPr="00CD0FEB">
        <w:t>4th Cir. 2020).</w:t>
      </w:r>
    </w:p>
  </w:footnote>
  <w:footnote w:id="434">
    <w:p w14:paraId="4F7A8831" w14:textId="77777777" w:rsidR="00201F3F" w:rsidRPr="00CD0FEB" w:rsidRDefault="00201F3F" w:rsidP="00CE5492">
      <w:pPr>
        <w:pStyle w:val="14Footnote"/>
      </w:pPr>
      <w:r w:rsidRPr="00CD0FEB">
        <w:rPr>
          <w:rStyle w:val="FootnoteReference"/>
        </w:rPr>
        <w:footnoteRef/>
      </w:r>
      <w:r w:rsidRPr="00CD0FEB">
        <w:rPr>
          <w:i/>
          <w:iCs/>
        </w:rPr>
        <w:t>Id.</w:t>
      </w:r>
      <w:r w:rsidRPr="00CD0FEB">
        <w:t xml:space="preserve"> at 257.</w:t>
      </w:r>
    </w:p>
  </w:footnote>
  <w:footnote w:id="435">
    <w:p w14:paraId="2AC7AACD" w14:textId="77777777" w:rsidR="00201F3F" w:rsidRPr="00CD0FEB" w:rsidRDefault="00201F3F" w:rsidP="00CE5492">
      <w:pPr>
        <w:pStyle w:val="14Footnote"/>
      </w:pPr>
      <w:r w:rsidRPr="00CD0FEB">
        <w:rPr>
          <w:rStyle w:val="FootnoteReference"/>
        </w:rPr>
        <w:footnoteRef/>
      </w:r>
      <w:r w:rsidRPr="00CD0FEB">
        <w:rPr>
          <w:i/>
          <w:iCs/>
        </w:rPr>
        <w:t>Id.</w:t>
      </w:r>
    </w:p>
  </w:footnote>
  <w:footnote w:id="436">
    <w:p w14:paraId="48F03CA2" w14:textId="77777777" w:rsidR="00201F3F" w:rsidRPr="00CD0FEB" w:rsidRDefault="00201F3F" w:rsidP="00CE5492">
      <w:pPr>
        <w:pStyle w:val="14Footnote"/>
      </w:pPr>
      <w:r w:rsidRPr="00CD0FEB">
        <w:rPr>
          <w:rStyle w:val="FootnoteReference"/>
        </w:rPr>
        <w:footnoteRef/>
      </w:r>
      <w:r w:rsidRPr="00CD0FEB">
        <w:t>953 F.3d 817</w:t>
      </w:r>
      <w:r w:rsidRPr="003E59E1">
        <w:t xml:space="preserve"> (</w:t>
      </w:r>
      <w:r w:rsidRPr="00CD0FEB">
        <w:t>5th Cir. 2020).</w:t>
      </w:r>
    </w:p>
  </w:footnote>
  <w:footnote w:id="437">
    <w:p w14:paraId="4352FB9A" w14:textId="77777777" w:rsidR="00201F3F" w:rsidRPr="00CD0FEB" w:rsidRDefault="00201F3F" w:rsidP="00CE5492">
      <w:pPr>
        <w:pStyle w:val="14Footnote"/>
      </w:pPr>
      <w:r w:rsidRPr="00CD0FEB">
        <w:rPr>
          <w:rStyle w:val="FootnoteReference"/>
        </w:rPr>
        <w:footnoteRef/>
      </w:r>
      <w:r w:rsidRPr="00CD0FEB">
        <w:rPr>
          <w:i/>
          <w:iCs/>
        </w:rPr>
        <w:t>Id.</w:t>
      </w:r>
      <w:r w:rsidRPr="00CD0FEB">
        <w:t xml:space="preserve"> at 820.</w:t>
      </w:r>
    </w:p>
  </w:footnote>
  <w:footnote w:id="438">
    <w:p w14:paraId="618B1A3C" w14:textId="77777777" w:rsidR="00201F3F" w:rsidRPr="00CD0FEB" w:rsidRDefault="00201F3F" w:rsidP="00CE5492">
      <w:pPr>
        <w:pStyle w:val="14Footnote"/>
      </w:pPr>
      <w:r w:rsidRPr="00CD0FEB">
        <w:rPr>
          <w:vertAlign w:val="superscript"/>
        </w:rPr>
        <w:footnoteRef/>
      </w:r>
      <w:r w:rsidRPr="00CD0FEB">
        <w:t>453 F.3d 554, 11 WH Cases2d 1095 (3d Cir. 2006).</w:t>
      </w:r>
    </w:p>
  </w:footnote>
  <w:footnote w:id="439">
    <w:p w14:paraId="307A6117"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558.</w:t>
      </w:r>
    </w:p>
  </w:footnote>
  <w:footnote w:id="440">
    <w:p w14:paraId="61EB7B68"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558–59; see also Bacon v. Eaton Corp., 565 F. App’x 437, 22 WH Cases2d 821</w:t>
      </w:r>
      <w:r w:rsidRPr="003E59E1">
        <w:t xml:space="preserve"> (</w:t>
      </w:r>
      <w:r w:rsidRPr="00CD0FEB">
        <w:t>6th Cir. 2014) (reversing summary judgment ruling in favor of employer due to material factual dispute regarding whether the supervisors’ recommendations were given sufficient weight by the employer where employer removed disciplinary actions issued by the supervisors from employee files).</w:t>
      </w:r>
    </w:p>
  </w:footnote>
  <w:footnote w:id="441">
    <w:p w14:paraId="21EA2CA2" w14:textId="77777777" w:rsidR="00201F3F" w:rsidRPr="00CD0FEB" w:rsidRDefault="00201F3F" w:rsidP="00CE5492">
      <w:pPr>
        <w:pStyle w:val="14Footnote"/>
      </w:pPr>
      <w:r w:rsidRPr="00CD0FEB">
        <w:rPr>
          <w:vertAlign w:val="superscript"/>
        </w:rPr>
        <w:footnoteRef/>
      </w:r>
      <w:r w:rsidRPr="00CD0FEB">
        <w:t>29 C.F.R. §541.101.</w:t>
      </w:r>
    </w:p>
  </w:footnote>
  <w:footnote w:id="442">
    <w:p w14:paraId="2FBF1340" w14:textId="77777777" w:rsidR="00201F3F" w:rsidRPr="00CD0FEB" w:rsidRDefault="00201F3F" w:rsidP="00CE5492">
      <w:pPr>
        <w:pStyle w:val="14Footnote"/>
      </w:pPr>
      <w:r w:rsidRPr="00CD0FEB">
        <w:rPr>
          <w:vertAlign w:val="superscript"/>
        </w:rPr>
        <w:footnoteRef/>
      </w:r>
      <w:r w:rsidRPr="00CD0FEB">
        <w:rPr>
          <w:i/>
          <w:iCs/>
        </w:rPr>
        <w:t>Id.</w:t>
      </w:r>
    </w:p>
  </w:footnote>
  <w:footnote w:id="443">
    <w:p w14:paraId="50525444"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§541.106(c).</w:t>
      </w:r>
    </w:p>
  </w:footnote>
  <w:footnote w:id="444">
    <w:p w14:paraId="0177A2A1" w14:textId="77777777" w:rsidR="00201F3F" w:rsidRPr="00CD0FEB" w:rsidRDefault="00201F3F" w:rsidP="00CE5492">
      <w:pPr>
        <w:pStyle w:val="14Footnote"/>
      </w:pPr>
      <w:r w:rsidRPr="00CD0FEB">
        <w:rPr>
          <w:vertAlign w:val="superscript"/>
        </w:rPr>
        <w:footnoteRef/>
      </w:r>
      <w:r w:rsidRPr="00CD0FEB">
        <w:rPr>
          <w:i/>
          <w:iCs/>
        </w:rPr>
        <w:t>Id.</w:t>
      </w:r>
    </w:p>
  </w:footnote>
  <w:footnote w:id="445">
    <w:p w14:paraId="65A69982" w14:textId="77777777" w:rsidR="00201F3F" w:rsidRPr="003E59E1" w:rsidRDefault="00201F3F" w:rsidP="00CE5492">
      <w:pPr>
        <w:pStyle w:val="14Footnote"/>
      </w:pPr>
      <w:r w:rsidRPr="00CD0FEB">
        <w:rPr>
          <w:vertAlign w:val="superscript"/>
        </w:rPr>
        <w:footnoteRef/>
      </w:r>
      <w:r w:rsidRPr="003E59E1">
        <w:t>29 C.F.R. §541.200(a)(1).</w:t>
      </w:r>
    </w:p>
  </w:footnote>
  <w:footnote w:id="446">
    <w:p w14:paraId="435BF1B6" w14:textId="77777777" w:rsidR="00201F3F" w:rsidRPr="003E59E1" w:rsidRDefault="00201F3F" w:rsidP="00CE5492">
      <w:pPr>
        <w:pStyle w:val="14Footnote"/>
      </w:pPr>
      <w:r w:rsidRPr="00CD0FEB">
        <w:rPr>
          <w:vertAlign w:val="superscript"/>
        </w:rPr>
        <w:footnoteRef/>
      </w:r>
      <w:r w:rsidRPr="003E59E1">
        <w:rPr>
          <w:i/>
          <w:iCs/>
        </w:rPr>
        <w:t>Id</w:t>
      </w:r>
      <w:r w:rsidRPr="003E59E1">
        <w:t>. §541.200(a)(2).</w:t>
      </w:r>
    </w:p>
  </w:footnote>
  <w:footnote w:id="447">
    <w:p w14:paraId="39549E1F" w14:textId="77777777" w:rsidR="00201F3F" w:rsidRPr="003E59E1" w:rsidRDefault="00201F3F" w:rsidP="00CE5492">
      <w:pPr>
        <w:pStyle w:val="14Footnote"/>
      </w:pPr>
      <w:r w:rsidRPr="00CD0FEB">
        <w:rPr>
          <w:vertAlign w:val="superscript"/>
        </w:rPr>
        <w:footnoteRef/>
      </w:r>
      <w:r w:rsidRPr="003E59E1">
        <w:rPr>
          <w:i/>
          <w:iCs/>
        </w:rPr>
        <w:t>Id</w:t>
      </w:r>
      <w:r w:rsidRPr="003E59E1">
        <w:t>. §541.200(a)(3).</w:t>
      </w:r>
    </w:p>
  </w:footnote>
  <w:footnote w:id="448">
    <w:p w14:paraId="7E42DE47"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§541.200(a)(1)–(3); </w:t>
      </w:r>
      <w:r w:rsidRPr="00CD0FEB">
        <w:rPr>
          <w:i/>
          <w:iCs/>
        </w:rPr>
        <w:t xml:space="preserve">see, e.g., </w:t>
      </w:r>
      <w:r w:rsidRPr="00CD0FEB">
        <w:t>Johnson v. Derhaag Motor Sports, Inc.,</w:t>
      </w:r>
      <w:r w:rsidRPr="00CD0FEB">
        <w:rPr>
          <w:i/>
          <w:iCs/>
        </w:rPr>
        <w:t xml:space="preserve"> </w:t>
      </w:r>
      <w:r w:rsidRPr="00CD0FEB">
        <w:t>2014 WL 5817004 (D. Minn. Nov. 10, 2014) (noting that employee must meet all requirements of the administrative exemption for the exemption to be applicable).</w:t>
      </w:r>
    </w:p>
  </w:footnote>
  <w:footnote w:id="449">
    <w:p w14:paraId="665653E2" w14:textId="77777777" w:rsidR="00201F3F" w:rsidRPr="00CD0FEB" w:rsidRDefault="00201F3F" w:rsidP="00CE5492">
      <w:pPr>
        <w:pStyle w:val="14Footnote"/>
      </w:pPr>
      <w:r w:rsidRPr="00CD0FEB">
        <w:rPr>
          <w:vertAlign w:val="superscript"/>
        </w:rPr>
        <w:footnoteRef/>
      </w:r>
      <w:r w:rsidRPr="00CD0FEB">
        <w:t>29 C.F.R. §541.3.</w:t>
      </w:r>
    </w:p>
  </w:footnote>
  <w:footnote w:id="450">
    <w:p w14:paraId="18DCFC51" w14:textId="77777777" w:rsidR="00201F3F" w:rsidRPr="00CD0FEB" w:rsidRDefault="00201F3F" w:rsidP="00CE5492">
      <w:pPr>
        <w:pStyle w:val="14Footnote"/>
      </w:pPr>
      <w:r w:rsidRPr="00CD0FEB">
        <w:rPr>
          <w:vertAlign w:val="superscript"/>
        </w:rPr>
        <w:footnoteRef/>
      </w:r>
      <w:r w:rsidRPr="00CD0FEB">
        <w:rPr>
          <w:i/>
          <w:iCs/>
        </w:rPr>
        <w:t xml:space="preserve">See, e.g., </w:t>
      </w:r>
      <w:r w:rsidRPr="00CD0FEB">
        <w:t>Rincon v. AFSCME, 2013 WL 4389460, at *21 (N.D. Cal. Aug. 13, 2013) (finding that labor union organizer fell within administrative exemption even though the organizer did not typically work in an office because “fieldwork is not necessarily ‘manual’ work”).</w:t>
      </w:r>
    </w:p>
  </w:footnote>
  <w:footnote w:id="451">
    <w:p w14:paraId="70C86286" w14:textId="77777777" w:rsidR="00201F3F" w:rsidRPr="00CD0FEB" w:rsidRDefault="00201F3F" w:rsidP="00CE5492">
      <w:pPr>
        <w:pStyle w:val="14Footnote"/>
      </w:pPr>
      <w:r w:rsidRPr="00CD0FEB">
        <w:rPr>
          <w:vertAlign w:val="superscript"/>
        </w:rPr>
        <w:footnoteRef/>
      </w:r>
      <w:r w:rsidRPr="00CD0FEB">
        <w:t>29 C.F.R. §541.3(a); 69 Fed. Reg. at 22,128.</w:t>
      </w:r>
    </w:p>
  </w:footnote>
  <w:footnote w:id="452">
    <w:p w14:paraId="5278AA3C" w14:textId="77777777" w:rsidR="00201F3F" w:rsidRPr="00CD0FEB" w:rsidRDefault="00201F3F" w:rsidP="00CE5492">
      <w:pPr>
        <w:pStyle w:val="14Footnote"/>
      </w:pPr>
      <w:r w:rsidRPr="00CD0FEB">
        <w:rPr>
          <w:vertAlign w:val="superscript"/>
        </w:rPr>
        <w:footnoteRef/>
      </w:r>
      <w:r w:rsidRPr="00CD0FEB">
        <w:rPr>
          <w:i/>
          <w:iCs/>
        </w:rPr>
        <w:t>See, e.g</w:t>
      </w:r>
      <w:r w:rsidRPr="00CD0FEB">
        <w:t>., Owens v. Neovia Logistics, 816 F. App’x 906, 908–09</w:t>
      </w:r>
      <w:r w:rsidRPr="003E59E1">
        <w:t xml:space="preserve"> (</w:t>
      </w:r>
      <w:r w:rsidRPr="00CD0FEB">
        <w:t>5th Cir. 2020) (finding continuous improvement supervisor employed by logistics company was properly classified as exempt where the manual work performed “</w:t>
      </w:r>
      <w:r w:rsidRPr="00CD0FEB">
        <w:rPr>
          <w:szCs w:val="20"/>
          <w:shd w:val="clear" w:color="auto" w:fill="FFFFFF"/>
        </w:rPr>
        <w:t>was for the purpose of inquiring how a facility worked and then advising the client how it could improve</w:t>
      </w:r>
      <w:r w:rsidRPr="00CD0FEB">
        <w:t>” and therefore “fairly categorized” as “collateral to his primary duty of making the facility more efficient”); Renfro v. Indiana Mich. Power Co., 370 F.3d 512</w:t>
      </w:r>
      <w:r w:rsidRPr="003E59E1">
        <w:t xml:space="preserve"> (</w:t>
      </w:r>
      <w:r w:rsidRPr="00CD0FEB">
        <w:t>6th Cir. 2004) (holding performance of some manual work by planners employed at nuclear power plant did not render exemption inapplicable); Koppinger v. American Interiors, Inc., 295 F. Supp. 2d 797 (N.D. Ohio 2003) (determining information technology employee’s manual work, such as installing hardware and software and fixing computers, was not as important as problem-solving, planning, and purchasing, and was encompassed within his overall responsibility for the employer’s computer system “from end to end”).</w:t>
      </w:r>
    </w:p>
  </w:footnote>
  <w:footnote w:id="453">
    <w:p w14:paraId="7A27ADDD" w14:textId="77777777" w:rsidR="00201F3F" w:rsidRPr="00CD0FEB" w:rsidRDefault="00201F3F" w:rsidP="00CE5492">
      <w:pPr>
        <w:pStyle w:val="14Footnote"/>
      </w:pPr>
      <w:r w:rsidRPr="00CD0FEB">
        <w:rPr>
          <w:vertAlign w:val="superscript"/>
        </w:rPr>
        <w:footnoteRef/>
      </w:r>
      <w:r w:rsidRPr="00CD0FEB">
        <w:rPr>
          <w:i/>
          <w:iCs/>
        </w:rPr>
        <w:t>See, e.g.,</w:t>
      </w:r>
    </w:p>
    <w:p w14:paraId="5F45F0F8" w14:textId="77777777" w:rsidR="00201F3F" w:rsidRPr="00CD0FEB" w:rsidRDefault="00201F3F" w:rsidP="00CE5492">
      <w:pPr>
        <w:pStyle w:val="14Footnote"/>
      </w:pPr>
      <w:r w:rsidRPr="00CD0FEB">
        <w:rPr>
          <w:i/>
          <w:iCs/>
        </w:rPr>
        <w:t>Fifth Circuit:</w:t>
      </w:r>
      <w:r w:rsidRPr="00CD0FEB">
        <w:t xml:space="preserve"> Christenberry v. Rental Tools, 655 F. Supp. 374, 377, 28 WH Cases 265 (E.D. La. 1987), </w:t>
      </w:r>
      <w:r w:rsidRPr="00CD0FEB">
        <w:rPr>
          <w:i/>
          <w:iCs/>
        </w:rPr>
        <w:t>aff’d mem</w:t>
      </w:r>
      <w:r w:rsidRPr="00CD0FEB">
        <w:t>., 851 F.2d 1419</w:t>
      </w:r>
      <w:r w:rsidRPr="003E59E1">
        <w:t xml:space="preserve"> (</w:t>
      </w:r>
      <w:r w:rsidRPr="00CD0FEB">
        <w:t>5th Cir. 1988) (finding damages and inventory clerk/relief dispatcher did not, inter alia, have office or nonmanual work as primary duty).</w:t>
      </w:r>
    </w:p>
    <w:p w14:paraId="193A3356" w14:textId="77777777" w:rsidR="00201F3F" w:rsidRPr="00CD0FEB" w:rsidRDefault="00201F3F" w:rsidP="00CE5492">
      <w:pPr>
        <w:pStyle w:val="14Footnote"/>
      </w:pPr>
      <w:r w:rsidRPr="00CD0FEB">
        <w:rPr>
          <w:i/>
          <w:iCs/>
        </w:rPr>
        <w:t>Tenth Circuit:</w:t>
      </w:r>
      <w:r w:rsidRPr="00CD0FEB">
        <w:t xml:space="preserve"> Donovan v. United Video, 725 F.2d 577 </w:t>
      </w:r>
      <w:r w:rsidRPr="003E59E1">
        <w:t>(1</w:t>
      </w:r>
      <w:r w:rsidRPr="00CD0FEB">
        <w:t>0th Cir. 1984) (deeming microwave engineers not exempt when their primary duty was to perform maintenance inspections requiring great deal of manual work).</w:t>
      </w:r>
    </w:p>
    <w:p w14:paraId="68D02A87" w14:textId="77777777" w:rsidR="00201F3F" w:rsidRPr="00CD0FEB" w:rsidRDefault="00201F3F" w:rsidP="00CE5492">
      <w:pPr>
        <w:pStyle w:val="14Footnote"/>
      </w:pPr>
      <w:r w:rsidRPr="00CD0FEB">
        <w:rPr>
          <w:i/>
          <w:iCs/>
        </w:rPr>
        <w:t>Federal Circuit:</w:t>
      </w:r>
      <w:r w:rsidRPr="00CD0FEB">
        <w:t xml:space="preserve"> Berg v. United States, 49 Fed. Cl. 459 (2001) (declining to apply exemption to electronic technicians who spent the majority of their work time using testing equipment, tools, and cleaning supplies; working off floors and workbenches; and following instruction manuals); Adams v. United States, 26 Cl. Ct. 782, 1 WH Cases2d 1585 (1992) (determining senior border patrol agents not engaged in office or nonmanual work).</w:t>
      </w:r>
    </w:p>
    <w:p w14:paraId="14FC7767" w14:textId="77777777" w:rsidR="00201F3F" w:rsidRPr="00CD0FEB" w:rsidRDefault="00201F3F" w:rsidP="00CE5492">
      <w:pPr>
        <w:pStyle w:val="14Footnote"/>
      </w:pPr>
      <w:r w:rsidRPr="00CD0FEB">
        <w:rPr>
          <w:i/>
          <w:iCs/>
        </w:rPr>
        <w:t>Florida:</w:t>
      </w:r>
      <w:r w:rsidRPr="00CD0FEB">
        <w:t xml:space="preserve"> Saver v. Hyatt Corp., 407 So. 2d 228, 25 WH Cases 219, 229–30 (Fla. Dist. Ct. App. 1981) (deeming assistant chief engineer who spent 75% of his time working with tools not exempt)</w:t>
      </w:r>
    </w:p>
  </w:footnote>
  <w:footnote w:id="454">
    <w:p w14:paraId="347D75A6" w14:textId="77777777" w:rsidR="00201F3F" w:rsidRPr="00CD0FEB" w:rsidRDefault="00201F3F" w:rsidP="00CE5492">
      <w:pPr>
        <w:pStyle w:val="14Footnote"/>
      </w:pPr>
      <w:r w:rsidRPr="00CD0FEB">
        <w:rPr>
          <w:vertAlign w:val="superscript"/>
        </w:rPr>
        <w:footnoteRef/>
      </w:r>
      <w:r w:rsidRPr="00CD0FEB">
        <w:t xml:space="preserve">29 C.F.R. §541.201(a); </w:t>
      </w:r>
      <w:r w:rsidRPr="00CD0FEB">
        <w:rPr>
          <w:i/>
          <w:iCs/>
        </w:rPr>
        <w:t>see, e.g</w:t>
      </w:r>
      <w:r w:rsidRPr="00CD0FEB">
        <w:t>.,</w:t>
      </w:r>
    </w:p>
    <w:p w14:paraId="4C1722DE" w14:textId="77777777" w:rsidR="00201F3F" w:rsidRPr="00CD0FEB" w:rsidRDefault="00201F3F" w:rsidP="00CE5492">
      <w:pPr>
        <w:pStyle w:val="14Footnote"/>
      </w:pPr>
      <w:r w:rsidRPr="00CD0FEB">
        <w:rPr>
          <w:i/>
          <w:iCs/>
        </w:rPr>
        <w:t>Second Circuit:</w:t>
      </w:r>
      <w:r w:rsidRPr="00CD0FEB">
        <w:t xml:space="preserve"> Krupinski v. Laborers E. Region Org. Fund, 2016 WL 5800473 (S.D.N.Y. Oct. 2, 2016) (holding that organizer’s primary duty of recruiting and organizing was directly related to “running or servicing” of labor union’s business); Scarpinato v. East Hampton Point Mgmt. Corp., 2013 WL 5202656, at *11 (E.D.N.Y. Sept. 30, 2013) (holding that restaurant general manager’s primary duty directly related to restaurant’s general business operations where she signed checks as well as other legal and financial documents on behalf of the restaurant).</w:t>
      </w:r>
    </w:p>
    <w:p w14:paraId="2EA17604" w14:textId="77777777" w:rsidR="00201F3F" w:rsidRPr="00CD0FEB" w:rsidRDefault="00201F3F" w:rsidP="00CE5492">
      <w:pPr>
        <w:pStyle w:val="14Footnote"/>
      </w:pPr>
      <w:r w:rsidRPr="00CD0FEB">
        <w:rPr>
          <w:i/>
          <w:iCs/>
        </w:rPr>
        <w:t>Third Circuit</w:t>
      </w:r>
      <w:r w:rsidRPr="00CD0FEB">
        <w:t>: Kelly-Myers v. Mercy Health Sys. of S.E. Pa., 2017 WL 4347605, at *6 (E.D. Pa. Sept. 29, 2017) (plaintiff’s testimony that she performed significant secretarial clerical work does not remove her from the administrative exemption; the record demonstrates that plaintiff’s primary duties were directly related to the general business management of the office at Mercy Health because she was “ultimately responsible for how the office ran”).</w:t>
      </w:r>
    </w:p>
    <w:p w14:paraId="0339495B" w14:textId="77777777" w:rsidR="00201F3F" w:rsidRPr="00CD0FEB" w:rsidRDefault="00201F3F" w:rsidP="00CE5492">
      <w:pPr>
        <w:pStyle w:val="14Footnote"/>
      </w:pPr>
      <w:r w:rsidRPr="00CD0FEB">
        <w:rPr>
          <w:i/>
          <w:iCs/>
        </w:rPr>
        <w:t>Fourth Circuit:</w:t>
      </w:r>
      <w:r w:rsidRPr="00CD0FEB">
        <w:t xml:space="preserve"> Darveau v. Detecon, Inc., 515 F.3d 334, 339, 13 WH Cases2d 375</w:t>
      </w:r>
      <w:r w:rsidRPr="008041AE">
        <w:t xml:space="preserve"> (</w:t>
      </w:r>
      <w:r w:rsidRPr="00CD0FEB">
        <w:t>4th Cir. 2008) (holding Director of Sales qualified for administrative exemption where he participated in company’s overall management and had a “significant role in conducting both specific sales and shaping [the company’s] more general market strategy”).</w:t>
      </w:r>
    </w:p>
    <w:p w14:paraId="47BFC9A0" w14:textId="77777777" w:rsidR="00201F3F" w:rsidRPr="00CD0FEB" w:rsidRDefault="00201F3F" w:rsidP="004B3FA1">
      <w:pPr>
        <w:pStyle w:val="14Footnote"/>
      </w:pPr>
      <w:r w:rsidRPr="00CD0FEB">
        <w:rPr>
          <w:i/>
          <w:iCs/>
          <w:szCs w:val="20"/>
        </w:rPr>
        <w:t>Fifth Circuit</w:t>
      </w:r>
      <w:r w:rsidRPr="00CD0FEB">
        <w:t xml:space="preserve">: </w:t>
      </w:r>
      <w:r w:rsidRPr="00CD0FEB">
        <w:rPr>
          <w:rStyle w:val="None"/>
        </w:rPr>
        <w:t xml:space="preserve">Wimberley v. Beast Energy Servs., Inc., 2022 BL 73942, </w:t>
      </w:r>
      <w:r w:rsidRPr="00CD0FEB">
        <w:rPr>
          <w:rStyle w:val="None"/>
          <w:rFonts w:eastAsia="Arial Unicode MS"/>
        </w:rPr>
        <w:t>2022 WL 658717, at *6 (S.D. Tex. Mar. 4, 2022) (</w:t>
      </w:r>
      <w:r w:rsidRPr="00CD0FEB">
        <w:rPr>
          <w:rStyle w:val="None"/>
        </w:rPr>
        <w:t>denying employer summary judgment on its administrative exemption affirmative defense where employee did not perform the requisite non-manual work and reasoning that employee’s safety-related responsibilities were ancillary to plaintiff</w:t>
      </w:r>
      <w:r w:rsidRPr="00CD0FEB">
        <w:rPr>
          <w:rStyle w:val="None"/>
          <w:szCs w:val="20"/>
          <w:rtl/>
        </w:rPr>
        <w:t>’</w:t>
      </w:r>
      <w:r w:rsidRPr="00CD0FEB">
        <w:rPr>
          <w:rStyle w:val="None"/>
        </w:rPr>
        <w:t xml:space="preserve">s primary duties of loading equipment, traveling, setting up equipment, operating equipment, and taking down equipment, which were all manual in nature); Berry v. Drive Casa, LLC, 2022 BL 138009, </w:t>
      </w:r>
      <w:r w:rsidRPr="00CD0FEB">
        <w:rPr>
          <w:rStyle w:val="None"/>
          <w:rFonts w:eastAsia="Arial Unicode MS"/>
        </w:rPr>
        <w:t xml:space="preserve">2022 WL 1190353, at *4–5 (N.D. Tex. Apr. 21, 2022) (employer established employee was an exempt administrative employee after bench trial where employee </w:t>
      </w:r>
      <w:r w:rsidRPr="00CD0FEB">
        <w:rPr>
          <w:rStyle w:val="None"/>
        </w:rPr>
        <w:t>served on executive team and oversaw IT contracts, the purchase, implementation, and the strategic planning of company</w:t>
      </w:r>
      <w:r w:rsidRPr="00CD0FEB">
        <w:rPr>
          <w:rStyle w:val="None"/>
          <w:szCs w:val="20"/>
          <w:rtl/>
        </w:rPr>
        <w:t>’</w:t>
      </w:r>
      <w:r w:rsidRPr="00CD0FEB">
        <w:rPr>
          <w:rStyle w:val="None"/>
        </w:rPr>
        <w:t xml:space="preserve">s IT needs). </w:t>
      </w:r>
    </w:p>
    <w:p w14:paraId="23A6E75B" w14:textId="77777777" w:rsidR="00201F3F" w:rsidRDefault="00201F3F" w:rsidP="00CE5492">
      <w:pPr>
        <w:pStyle w:val="14Footnote"/>
      </w:pPr>
      <w:r w:rsidRPr="00CD0FEB">
        <w:rPr>
          <w:i/>
          <w:iCs/>
        </w:rPr>
        <w:t>Sixth Circuit:</w:t>
      </w:r>
      <w:r w:rsidRPr="00CD0FEB">
        <w:t xml:space="preserve"> Caveness v. Vogely &amp; Todd, Inc., 2011 WL 3841649, at *4, 18 WH Cases2d 273 (M.D. Tenn. Aug. 30, 2011) (characterizing as “assisting with the running or servicing of the business” tasks of employee at auto-body repair shop that included “making estimates, setting repair schedules, assigning and prioritizing repair work, providing quality assurance, and ensuring collection”).</w:t>
      </w:r>
    </w:p>
    <w:p w14:paraId="55064B93" w14:textId="77777777" w:rsidR="00201F3F" w:rsidRPr="00A47511" w:rsidRDefault="00201F3F" w:rsidP="00CE5492">
      <w:pPr>
        <w:pStyle w:val="14Footnote"/>
      </w:pPr>
      <w:r>
        <w:rPr>
          <w:i/>
          <w:iCs/>
        </w:rPr>
        <w:t>Seventh Circuit</w:t>
      </w:r>
      <w:r>
        <w:t xml:space="preserve">: Markle v. Drummond Advisors, LLC, </w:t>
      </w:r>
      <w:r w:rsidRPr="000C217C">
        <w:t>2022 BL 350027</w:t>
      </w:r>
      <w:r>
        <w:t>, 2022 WL 4604192, at *6–8 (N.D. Ill. Sept. 30, 2022) (primary duty of project manager for company operating in the construction industry was directly related to management or general business operations where plaintiff coordinated 30 trades, scheduled subcontractors, inspected work and determined whether it matched drawings and plans, monitored workplace safety, and interfaced with vendors, in addition to budgetary and financial responsibilities).</w:t>
      </w:r>
    </w:p>
    <w:p w14:paraId="6D8E251C" w14:textId="77777777" w:rsidR="00201F3F" w:rsidRPr="00CD0FEB" w:rsidRDefault="00201F3F" w:rsidP="00CE5492">
      <w:pPr>
        <w:pStyle w:val="14Footnote"/>
      </w:pPr>
      <w:r w:rsidRPr="00CD0FEB">
        <w:rPr>
          <w:i/>
          <w:iCs/>
        </w:rPr>
        <w:t>Opinion Letters:</w:t>
      </w:r>
      <w:r w:rsidRPr="00CD0FEB">
        <w:t xml:space="preserve"> WH Op. FLSA2018-10 (Jan. 5, 2018) (opining that primary duty of project supervisor in the residential homebuilding industry was directly related to the management or general business operations of the employer where more than half of employee’s time was spent directing, managing, scheduling, and paying subcontractors and suppliers, and employee was also responsible for reviewing and modifying new home plans and served as primary contact point for homebuyers); WH Op. FLSA2018-4 (Jan. 5, 2018) (finding that administrative exemption applied to project superintendents for commercial construction company because they were responsible for overseeing a commercial construction project from start to finish); WH Op. FLSA2018-15 (Jan. 5, 2018) (concluding that Coordinator for product-demonstration company qualified for administrative exemption where primary duty related to functional areas of personnel management, human resources, and marketing); WH Op. FLSA2018-12 (Jan. 5, 2018) (opining that Consultants, Clinical Coordinators, Coordinators, and Business Development Managers employed by company providing temporary medical professionals, primarily registered nurses, to hospitals were properly classified as exempt administrative employees); WH Op. FLSA 2008-3, 2008 WL 2018632 (Apr. 21, 2008) (opining that administrative exemption applied to Product Technology Application and Marketing Analyst whose primary duty was to work with employer’s Engineering and Design Group to develop tests measuring performance of new products to prevent soil erosion and assess feasibility of new uses for existing products, which directly related to the employer’s general business operations)</w:t>
      </w:r>
    </w:p>
  </w:footnote>
  <w:footnote w:id="455">
    <w:p w14:paraId="013293CB" w14:textId="77777777" w:rsidR="00201F3F" w:rsidRPr="00CD0FEB" w:rsidRDefault="00201F3F" w:rsidP="00CE5492">
      <w:pPr>
        <w:pStyle w:val="14Footnote"/>
      </w:pPr>
      <w:r w:rsidRPr="00CD0FEB">
        <w:rPr>
          <w:vertAlign w:val="superscript"/>
        </w:rPr>
        <w:footnoteRef/>
      </w:r>
      <w:r w:rsidRPr="00CD0FEB">
        <w:t xml:space="preserve">29 C.F.R. §541.201(b); </w:t>
      </w:r>
      <w:r w:rsidRPr="00CD0FEB">
        <w:rPr>
          <w:i/>
          <w:iCs/>
        </w:rPr>
        <w:t>see, e.g</w:t>
      </w:r>
      <w:r w:rsidRPr="00CD0FEB">
        <w:t>., Grage v. Northern States Power Co.-Minn., 813 F.3d 1051, 1056, 25 WH Cases2d 1521 (8</w:t>
      </w:r>
      <w:r w:rsidRPr="00513758">
        <w:t>th</w:t>
      </w:r>
      <w:r w:rsidRPr="00CD0FEB">
        <w:t xml:space="preserve"> Cir. 2015) (observing that the term “directly related to management or general business operations” encompasses the long-term planning of installations and maintenance for a gas and electric company, as well as the short-term planning of daily work assignments, where the putative administrator “was expected to establish and maintain a safety-focused and positive work culture for her crew”); Lott v. Howard Wilson Chrysler-Plymouth, Inc., 203 F.3d 326, 5 WH Cases2d 1523 (5</w:t>
      </w:r>
      <w:r w:rsidRPr="00513758">
        <w:t>th</w:t>
      </w:r>
      <w:r w:rsidRPr="00CD0FEB">
        <w:t xml:space="preserve"> Cir. 2000) (affirming summary judgment for employer despite the large amount of time spent by office manager on clerical work, in that her primary duties directly related to management and general business operations where she was responsible for (1) preparation of all payrolls and various monthly and quarterly returns, reports, and financial statements, and (2) the supervision of four office employees); Bradford v. CVS Pharmacy, Inc., 2016 WL 6462053 (N.D. Ga. Nov. 1, 2016) (concluding that asset protection is “functional area” directly related to management or general business operations); Nolan v. Transcend Servs., Inc., 2012 WL 14021 (D. Or. Jan. 4, 2012) (holding that quality assurance manager’s duties involving auditing and quality control were directly related to management and general business operations). </w:t>
      </w:r>
      <w:r w:rsidRPr="00CD0FEB">
        <w:rPr>
          <w:i/>
          <w:iCs/>
        </w:rPr>
        <w:t xml:space="preserve">But see </w:t>
      </w:r>
      <w:r w:rsidRPr="00CD0FEB">
        <w:t>Lee v. MegaMart, Inc., 223 F. Supp. 3d 1292, 1302 (N.D. Ga. 2016) (conflicting evidence as to whether information technology manager’s duties primarily consisted of “repairs and troubleshooting (nonexempt work) or ‘writing code, programming, or “administering” databases or networks’ (exempt work)”); Evans v. Encore Event Tech., 2017 WL 986357 (D. Nev. Mar. 14, 2017) (summary judgment denied where evidence showed account executive was responsible for service, not “quality control”).</w:t>
      </w:r>
    </w:p>
  </w:footnote>
  <w:footnote w:id="456">
    <w:p w14:paraId="0C5C8686" w14:textId="77777777" w:rsidR="00201F3F" w:rsidRPr="00CD0FEB" w:rsidRDefault="00201F3F" w:rsidP="00CE5492">
      <w:pPr>
        <w:pStyle w:val="14Footnote"/>
      </w:pPr>
      <w:r w:rsidRPr="00CD0FEB">
        <w:rPr>
          <w:vertAlign w:val="superscript"/>
        </w:rPr>
        <w:footnoteRef/>
      </w:r>
      <w:r w:rsidRPr="00CD0FEB">
        <w:t>29 C.F.R. §541.201</w:t>
      </w:r>
      <w:r>
        <w:t>I</w:t>
      </w:r>
      <w:r w:rsidRPr="00CD0FEB">
        <w:t xml:space="preserve">. </w:t>
      </w:r>
      <w:r w:rsidRPr="00CD0FEB">
        <w:rPr>
          <w:i/>
          <w:iCs/>
        </w:rPr>
        <w:t xml:space="preserve">See </w:t>
      </w:r>
    </w:p>
    <w:p w14:paraId="54A189DD" w14:textId="77777777" w:rsidR="00201F3F" w:rsidRPr="00CD0FEB" w:rsidRDefault="00201F3F" w:rsidP="00CE5492">
      <w:pPr>
        <w:pStyle w:val="14Footnote"/>
      </w:pPr>
      <w:r w:rsidRPr="00CD0FEB">
        <w:rPr>
          <w:i/>
          <w:iCs/>
        </w:rPr>
        <w:t xml:space="preserve">Sixth Circuit: </w:t>
      </w:r>
      <w:r w:rsidRPr="00CD0FEB">
        <w:t>Burton v. Appriss, Inc., 682 F. Appx. 423, 427–28, 2017 WH Cases2d 79953</w:t>
      </w:r>
      <w:r w:rsidRPr="00513758">
        <w:t xml:space="preserve"> (</w:t>
      </w:r>
      <w:r w:rsidRPr="00CD0FEB">
        <w:t xml:space="preserve">6th Cir. 2017) (holding that account manager was properly classified as exempt administrative employee although her “job entailed the selling of Appriss products to existing customers, but this was undisputedly a subpart of her primary duty, i.e., to manage relations with, support, service, and be a liaison to, existing clients regarding their computer software needs”). </w:t>
      </w:r>
    </w:p>
    <w:p w14:paraId="5432B7B1" w14:textId="77777777" w:rsidR="00201F3F" w:rsidRPr="00CD0FEB" w:rsidRDefault="00201F3F" w:rsidP="00CE5492">
      <w:pPr>
        <w:pStyle w:val="14Footnote"/>
      </w:pPr>
      <w:r w:rsidRPr="00CD0FEB">
        <w:rPr>
          <w:i/>
          <w:iCs/>
        </w:rPr>
        <w:t xml:space="preserve">Seventh Circuit: </w:t>
      </w:r>
      <w:r w:rsidRPr="00CD0FEB">
        <w:t>Williams-Bell v. British Standards Inst., Inc., 532 F. Supp. 3d 640, 647 (N.D. Ill. 2021) (finding that quality assurance auditor responsible for conducting ISO 9001 certification audits of employer’s clients properly classified as exempt in that auditing for ISO certification purposes was ancillary to clients’ business).</w:t>
      </w:r>
    </w:p>
    <w:p w14:paraId="38BDDFB6" w14:textId="77777777" w:rsidR="00201F3F" w:rsidRPr="00CD0FEB" w:rsidRDefault="00201F3F" w:rsidP="00CE5492">
      <w:pPr>
        <w:pStyle w:val="14Footnote"/>
      </w:pPr>
      <w:r w:rsidRPr="00CD0FEB">
        <w:rPr>
          <w:i/>
          <w:iCs/>
        </w:rPr>
        <w:t>Ninth Circuit:</w:t>
      </w:r>
      <w:r w:rsidRPr="00CD0FEB">
        <w:t xml:space="preserve"> Quintiliani v. Concentric Healthcare Sols., LLC, 944 F. Supp. 2d 738, 745 (D. Ariz. 2013) (finding a 2005 DOL opinion letter compelling in determining that staffing coordinators at temporary staffing agency were exempt administrators where they performed management, human resources, and labor relations work and, therefore, performed “work directly related to the management or general business operations of the employer’s clients”).</w:t>
      </w:r>
    </w:p>
  </w:footnote>
  <w:footnote w:id="457">
    <w:p w14:paraId="673C1DDC" w14:textId="77777777" w:rsidR="00201F3F" w:rsidRPr="00CD0FEB" w:rsidRDefault="00201F3F" w:rsidP="00996C7A">
      <w:pPr>
        <w:pStyle w:val="14Footnote"/>
      </w:pPr>
      <w:r w:rsidRPr="00CD0FEB">
        <w:rPr>
          <w:rStyle w:val="FootnoteReference"/>
        </w:rPr>
        <w:footnoteRef/>
      </w:r>
      <w:r w:rsidRPr="00CD0FEB">
        <w:t xml:space="preserve">Walsh </w:t>
      </w:r>
      <w:r>
        <w:t>v. Uni</w:t>
      </w:r>
      <w:r w:rsidRPr="00CD0FEB">
        <w:t xml:space="preserve">til Serv. Corp., 64 </w:t>
      </w:r>
      <w:r w:rsidRPr="00FA607F">
        <w:t>F.</w:t>
      </w:r>
      <w:r w:rsidRPr="00CD0FEB">
        <w:t>4th 1, 7–8</w:t>
      </w:r>
      <w:r w:rsidRPr="00513758">
        <w:t xml:space="preserve"> (</w:t>
      </w:r>
      <w:r w:rsidRPr="00CD0FEB">
        <w:t>1st Cir. 2023).</w:t>
      </w:r>
    </w:p>
  </w:footnote>
  <w:footnote w:id="458">
    <w:p w14:paraId="08526B79" w14:textId="77777777" w:rsidR="00201F3F" w:rsidRPr="00CD0FEB" w:rsidRDefault="00201F3F" w:rsidP="00996C7A">
      <w:pPr>
        <w:pStyle w:val="14Footnote"/>
      </w:pPr>
      <w:r w:rsidRPr="00CD0FEB">
        <w:rPr>
          <w:rStyle w:val="FootnoteReference"/>
        </w:rPr>
        <w:footnoteRef/>
      </w:r>
      <w:r w:rsidRPr="00CD0FEB">
        <w:rPr>
          <w:i/>
          <w:iCs/>
        </w:rPr>
        <w:t>Id.</w:t>
      </w:r>
      <w:r w:rsidRPr="00CD0FEB">
        <w:t xml:space="preserve"> </w:t>
      </w:r>
    </w:p>
  </w:footnote>
  <w:footnote w:id="459">
    <w:p w14:paraId="5CF1BFAC" w14:textId="77777777" w:rsidR="00201F3F" w:rsidRPr="00CD0FEB" w:rsidRDefault="00201F3F" w:rsidP="00996C7A">
      <w:pPr>
        <w:pStyle w:val="14Footnote"/>
      </w:pPr>
      <w:r w:rsidRPr="00CD0FEB">
        <w:rPr>
          <w:rStyle w:val="FootnoteReference"/>
        </w:rPr>
        <w:footnoteRef/>
      </w:r>
      <w:r w:rsidRPr="00CD0FEB">
        <w:rPr>
          <w:i/>
          <w:iCs/>
        </w:rPr>
        <w:t>Id</w:t>
      </w:r>
      <w:r w:rsidRPr="00CD0FEB">
        <w:t>. at 8.</w:t>
      </w:r>
    </w:p>
  </w:footnote>
  <w:footnote w:id="460">
    <w:p w14:paraId="41530499" w14:textId="77777777" w:rsidR="00201F3F" w:rsidRPr="00CD0FEB" w:rsidRDefault="00201F3F" w:rsidP="00CE5492">
      <w:pPr>
        <w:pStyle w:val="14Footnote"/>
      </w:pPr>
      <w:r w:rsidRPr="00CD0FEB">
        <w:rPr>
          <w:vertAlign w:val="superscript"/>
        </w:rPr>
        <w:footnoteRef/>
      </w:r>
      <w:r w:rsidRPr="00CD0FEB">
        <w:t xml:space="preserve">Reiseck v. Universal Commc’ns of Miami, Inc., 591 F.3d 101, 15 WH Cases2d 1217 (2d Cir. 2010); </w:t>
      </w:r>
      <w:r w:rsidRPr="00CD0FEB">
        <w:rPr>
          <w:i/>
          <w:iCs/>
        </w:rPr>
        <w:t>see also</w:t>
      </w:r>
      <w:r w:rsidRPr="00CD0FEB">
        <w:t xml:space="preserve"> Little v. Belle Tire Distribs., Inc., 588 F. App’x 424, 23 WH Cases2d 1216</w:t>
      </w:r>
      <w:r w:rsidRPr="00513758">
        <w:t xml:space="preserve"> (</w:t>
      </w:r>
      <w:r w:rsidRPr="00CD0FEB">
        <w:t>6th Cir. 2014) (question of fact precluded summary judgment as to applicability of administrative exemption where assistant manager testified that he spent 80–90% of his time engaged in sales duties)</w:t>
      </w:r>
      <w:r>
        <w:t xml:space="preserve">; </w:t>
      </w:r>
      <w:r w:rsidRPr="001621A1">
        <w:rPr>
          <w:szCs w:val="20"/>
        </w:rPr>
        <w:t>Su v. F.W. Webb Co., 677 F. Supp. 3d 7, 22 (D. Mass. 2023) (finding inside sales representatives did not qualify for the administrative exemption because even if “</w:t>
      </w:r>
      <w:r w:rsidRPr="001621A1">
        <w:rPr>
          <w:color w:val="000000"/>
          <w:szCs w:val="20"/>
        </w:rPr>
        <w:t>they spend much more time on helping customers, doing in-depth research on their needs, and finding the associated available products than on completing orders</w:t>
      </w:r>
      <w:r>
        <w:rPr>
          <w:color w:val="000000"/>
          <w:szCs w:val="20"/>
        </w:rPr>
        <w:t>…the goal of their research is to provide customers information about which Webb products they should purchase” so their “primary function is helping to sell Webb products”</w:t>
      </w:r>
      <w:r>
        <w:t>)</w:t>
      </w:r>
      <w:r w:rsidRPr="00CD0FEB">
        <w:t>.</w:t>
      </w:r>
    </w:p>
  </w:footnote>
  <w:footnote w:id="461">
    <w:p w14:paraId="28E436A1" w14:textId="77777777" w:rsidR="00201F3F" w:rsidRPr="00CD0FEB" w:rsidRDefault="00201F3F" w:rsidP="00CE5492">
      <w:pPr>
        <w:pStyle w:val="14Footnote"/>
      </w:pPr>
      <w:r w:rsidRPr="00CD0FEB">
        <w:rPr>
          <w:vertAlign w:val="superscript"/>
        </w:rPr>
        <w:footnoteRef/>
      </w:r>
      <w:r w:rsidRPr="00CD0FEB">
        <w:rPr>
          <w:i/>
          <w:iCs/>
        </w:rPr>
        <w:t>Reiseck</w:t>
      </w:r>
      <w:r w:rsidRPr="00CD0FEB">
        <w:t>, 591 F.3d at 107.</w:t>
      </w:r>
    </w:p>
  </w:footnote>
  <w:footnote w:id="462">
    <w:p w14:paraId="5610782F" w14:textId="77777777" w:rsidR="00201F3F" w:rsidRPr="00CD0FEB" w:rsidRDefault="00201F3F" w:rsidP="00CE5492">
      <w:pPr>
        <w:pStyle w:val="14Footnote"/>
      </w:pPr>
      <w:r w:rsidRPr="00CD0FEB">
        <w:rPr>
          <w:vertAlign w:val="superscript"/>
        </w:rPr>
        <w:footnoteRef/>
      </w:r>
      <w:r w:rsidRPr="00CD0FEB">
        <w:t>Bigger v. Facebook, Inc., 947 F.3d 1043, 1053</w:t>
      </w:r>
      <w:r w:rsidRPr="00513758">
        <w:t xml:space="preserve"> (</w:t>
      </w:r>
      <w:r w:rsidRPr="00CD0FEB">
        <w:t>7th Cir. 2020).</w:t>
      </w:r>
    </w:p>
  </w:footnote>
  <w:footnote w:id="463">
    <w:p w14:paraId="50DF77AB" w14:textId="77777777" w:rsidR="00201F3F" w:rsidRPr="00CD0FEB" w:rsidRDefault="00201F3F" w:rsidP="00CE5492">
      <w:pPr>
        <w:pStyle w:val="14Footnote"/>
      </w:pPr>
      <w:r w:rsidRPr="00CD0FEB">
        <w:rPr>
          <w:vertAlign w:val="superscript"/>
        </w:rPr>
        <w:footnoteRef/>
      </w:r>
      <w:r w:rsidRPr="00CD0FEB">
        <w:t>Verkuilen v. MediaBank, LLC, 646 F.3d 979, 17 WH Cases2d 1256</w:t>
      </w:r>
      <w:r w:rsidRPr="00513758">
        <w:t xml:space="preserve"> (</w:t>
      </w:r>
      <w:r w:rsidRPr="00CD0FEB">
        <w:t xml:space="preserve">7th Cir. 2011); </w:t>
      </w:r>
      <w:r w:rsidRPr="00CD0FEB">
        <w:rPr>
          <w:i/>
          <w:iCs/>
        </w:rPr>
        <w:t>see also</w:t>
      </w:r>
      <w:r w:rsidRPr="00CD0FEB">
        <w:t xml:space="preserve"> </w:t>
      </w:r>
      <w:r>
        <w:t xml:space="preserve"> </w:t>
      </w:r>
      <w:r w:rsidRPr="00CD0FEB">
        <w:t>Blanchar v. Standard Ins. Co., 736 F.3d 753</w:t>
      </w:r>
      <w:r w:rsidRPr="00513758">
        <w:t xml:space="preserve"> (</w:t>
      </w:r>
      <w:r w:rsidRPr="00CD0FEB">
        <w:t>7th Cir. 2013) (holding sales managers properly classified as exempt administrators because primary duties of advising sales employees and promoting sales were directly related to management and general business operations)</w:t>
      </w:r>
      <w:r>
        <w:t xml:space="preserve">; Harrison v. Tyler Techs., Inc., 638 F. Supp. 3d 694, 707–08 (E.D. Tex. 2022) (Implementation Analyst for provider of timekeeping software that tracks employees’ attendance and hours worked then exports that information to payroll vendors, was properly classified as exempt; primary duty of offering expertise to resolve problems with employees and the process of implementing software was directly related to general business operations of defendant’s customers); Epstein v. Evergreen Comput. Sols., Inc., </w:t>
      </w:r>
      <w:r w:rsidRPr="00973431">
        <w:t>2022 BL 229632</w:t>
      </w:r>
      <w:r>
        <w:t>, 2022 WL 2391001, at *3 (E.D.N.Y. June 30, 2022) (finding administrative exemption applied to account manager whose primary duty included visiting customer locations, training employees on use of software, and helping find ways to customize software to meet customers’ needs)</w:t>
      </w:r>
      <w:r w:rsidRPr="00CD0FEB">
        <w:t>.</w:t>
      </w:r>
    </w:p>
  </w:footnote>
  <w:footnote w:id="464">
    <w:p w14:paraId="27FEB7BC" w14:textId="77777777" w:rsidR="00201F3F" w:rsidRPr="00CD0FEB" w:rsidRDefault="00201F3F" w:rsidP="00CE5492">
      <w:pPr>
        <w:pStyle w:val="14Footnote"/>
      </w:pPr>
      <w:r w:rsidRPr="00CD0FEB">
        <w:rPr>
          <w:vertAlign w:val="superscript"/>
        </w:rPr>
        <w:footnoteRef/>
      </w:r>
      <w:r w:rsidRPr="00CD0FEB">
        <w:t>Hines v. State Room, Inc., 665 F.3d 235, 242, 18 WH Cases2d 705</w:t>
      </w:r>
      <w:r w:rsidRPr="00513758">
        <w:t xml:space="preserve"> (</w:t>
      </w:r>
      <w:r w:rsidRPr="00CD0FEB">
        <w:t>1st Cir. 2011).</w:t>
      </w:r>
    </w:p>
  </w:footnote>
  <w:footnote w:id="465">
    <w:p w14:paraId="71DB6E40" w14:textId="77777777" w:rsidR="00201F3F" w:rsidRPr="00CD0FEB" w:rsidRDefault="00201F3F" w:rsidP="00CE5492">
      <w:pPr>
        <w:pStyle w:val="14Footnote"/>
        <w:rPr>
          <w:i/>
          <w:iCs/>
        </w:rPr>
      </w:pPr>
      <w:r w:rsidRPr="00CD0FEB">
        <w:rPr>
          <w:vertAlign w:val="superscript"/>
        </w:rPr>
        <w:footnoteRef/>
      </w:r>
      <w:r w:rsidRPr="00CD0FEB">
        <w:t xml:space="preserve">Swartz v. Windstream Commc’ns, Inc., 429 F. App’x 102, 105 (3d Cir. 2011); </w:t>
      </w:r>
      <w:r w:rsidRPr="00CD0FEB">
        <w:rPr>
          <w:i/>
          <w:iCs/>
        </w:rPr>
        <w:t>see also</w:t>
      </w:r>
    </w:p>
    <w:p w14:paraId="0A218DFB" w14:textId="77777777" w:rsidR="00201F3F" w:rsidRPr="00CD0FEB" w:rsidRDefault="00201F3F" w:rsidP="00CE5492">
      <w:pPr>
        <w:pStyle w:val="14Footnote"/>
      </w:pPr>
      <w:r w:rsidRPr="00CD0FEB">
        <w:rPr>
          <w:i/>
          <w:iCs/>
        </w:rPr>
        <w:t>Third Circuit:</w:t>
      </w:r>
      <w:r w:rsidRPr="00CD0FEB">
        <w:t xml:space="preserve"> Antiskay v. Contemporary Graphics &amp; Bindery, Inc., 2013 WL 6858950 (D.N.J. Dec. 26, 2013) (graphic design production planner fell within administrative exemption despite time spent monitoring progress of products through production because work was directly related to general business operations).</w:t>
      </w:r>
    </w:p>
    <w:p w14:paraId="44508C0F" w14:textId="77777777" w:rsidR="00201F3F" w:rsidRPr="00CD0FEB" w:rsidRDefault="00201F3F" w:rsidP="00CE5492">
      <w:pPr>
        <w:pStyle w:val="14Footnote"/>
      </w:pPr>
      <w:r w:rsidRPr="00CD0FEB">
        <w:rPr>
          <w:i/>
          <w:iCs/>
        </w:rPr>
        <w:t>Fifth Circuit:</w:t>
      </w:r>
      <w:r w:rsidRPr="00CD0FEB">
        <w:t xml:space="preserve"> Carbaugh v. Unisoft Int’l, Inc., 2011 WL 5553724 (S.D. Tex. Nov. 15, 2011) (holding that software consultant who frequently traveled to customer sites to install products and train customers’ employees was administratively exempt).</w:t>
      </w:r>
    </w:p>
    <w:p w14:paraId="6119E5ED" w14:textId="77777777" w:rsidR="00201F3F" w:rsidRPr="00CD0FEB" w:rsidRDefault="00201F3F" w:rsidP="00CE5492">
      <w:pPr>
        <w:pStyle w:val="14Footnote"/>
      </w:pPr>
      <w:r w:rsidRPr="00CD0FEB">
        <w:rPr>
          <w:i/>
          <w:iCs/>
        </w:rPr>
        <w:t>Ninth Circuit:</w:t>
      </w:r>
      <w:r w:rsidRPr="00CD0FEB">
        <w:t xml:space="preserve"> D’Este v. Bayer Corp., 492 F. App’x 721</w:t>
      </w:r>
      <w:r w:rsidRPr="00513758">
        <w:t xml:space="preserve"> (</w:t>
      </w:r>
      <w:r w:rsidRPr="00CD0FEB">
        <w:t xml:space="preserve">9th Cir. 2012) (pharmaceutical sales representatives were properly classified as exempt administrators because their work disseminating employer’s message to market and seeking to improve market share was of substantial importance to operation of business). </w:t>
      </w:r>
    </w:p>
    <w:p w14:paraId="3996A411" w14:textId="77777777" w:rsidR="00201F3F" w:rsidRPr="00CD0FEB" w:rsidRDefault="00201F3F" w:rsidP="00CE5492">
      <w:pPr>
        <w:pStyle w:val="14Footnote"/>
      </w:pPr>
      <w:r w:rsidRPr="00CD0FEB">
        <w:rPr>
          <w:i/>
          <w:iCs/>
        </w:rPr>
        <w:t>Compare</w:t>
      </w:r>
      <w:r w:rsidRPr="00CD0FEB">
        <w:t xml:space="preserve"> Grant v. Shaw Grp., Inc., 2012 WL 124399 (E.D. Tenn. Jan. 17, 2012) (finding that environmental scientist responsible for maintenance, testing, and related installation of employer’s systems did not perform work directly related to management)</w:t>
      </w:r>
    </w:p>
  </w:footnote>
  <w:footnote w:id="466">
    <w:p w14:paraId="6320FA63" w14:textId="77777777" w:rsidR="00201F3F" w:rsidRPr="00CD0FEB" w:rsidRDefault="00201F3F" w:rsidP="00CE5492">
      <w:pPr>
        <w:pStyle w:val="14Footnote"/>
      </w:pPr>
      <w:r w:rsidRPr="00CD0FEB">
        <w:rPr>
          <w:vertAlign w:val="superscript"/>
        </w:rPr>
        <w:footnoteRef/>
      </w:r>
      <w:r w:rsidRPr="00CD0FEB">
        <w:t>Bigger v. Facebook, Inc., 947 F.3d 1043, 1047</w:t>
      </w:r>
      <w:r w:rsidRPr="00513758">
        <w:t xml:space="preserve"> (</w:t>
      </w:r>
      <w:r w:rsidRPr="00CD0FEB">
        <w:t>7th Cir. 2020).</w:t>
      </w:r>
    </w:p>
  </w:footnote>
  <w:footnote w:id="467">
    <w:p w14:paraId="03329C7B" w14:textId="77777777" w:rsidR="00201F3F" w:rsidRPr="00CD0FEB" w:rsidRDefault="00201F3F" w:rsidP="00513758">
      <w:pPr>
        <w:pStyle w:val="14Footnote"/>
      </w:pPr>
      <w:r w:rsidRPr="00513758">
        <w:rPr>
          <w:vertAlign w:val="superscript"/>
        </w:rPr>
        <w:footnoteRef/>
      </w:r>
      <w:r w:rsidRPr="00513758">
        <w:rPr>
          <w:i/>
          <w:iCs/>
        </w:rPr>
        <w:t>Id.</w:t>
      </w:r>
      <w:r w:rsidRPr="00513758">
        <w:t xml:space="preserve"> at 1054. </w:t>
      </w:r>
      <w:r w:rsidRPr="00513758">
        <w:rPr>
          <w:i/>
          <w:iCs/>
        </w:rPr>
        <w:t>See also</w:t>
      </w:r>
      <w:r w:rsidRPr="00CD0FEB">
        <w:rPr>
          <w:i/>
          <w:iCs/>
        </w:rPr>
        <w:t xml:space="preserve"> </w:t>
      </w:r>
      <w:r w:rsidRPr="00513758">
        <w:t>Rego v. Liberty Mut. Managed Care, LLC, 367 F. Supp. 3d 849 (E.D. Wis. 2019) (holding the work of Utilization Management Nurses was essential to employer’s core function of determining whether medical services were necessary, and therefore not administratively exempt).</w:t>
      </w:r>
      <w:r w:rsidRPr="00CD0FEB">
        <w:t xml:space="preserve"> </w:t>
      </w:r>
    </w:p>
  </w:footnote>
  <w:footnote w:id="468">
    <w:p w14:paraId="47A9DF78" w14:textId="77777777" w:rsidR="00201F3F" w:rsidRPr="00CD0FEB" w:rsidRDefault="00201F3F" w:rsidP="00CE5492">
      <w:pPr>
        <w:pStyle w:val="14Footnote"/>
      </w:pPr>
      <w:r w:rsidRPr="00CD0FEB">
        <w:rPr>
          <w:vertAlign w:val="superscript"/>
        </w:rPr>
        <w:footnoteRef/>
      </w:r>
      <w:r w:rsidRPr="00CD0FEB">
        <w:t>Bratt v. County of L.A., 912 F.2d 1066, 1070, 29 WH Cases 1578</w:t>
      </w:r>
      <w:r w:rsidRPr="00513758">
        <w:t xml:space="preserve"> (</w:t>
      </w:r>
      <w:r w:rsidRPr="00CD0FEB">
        <w:t xml:space="preserve">9th Cir. 1990); </w:t>
      </w:r>
      <w:r w:rsidRPr="00CD0FEB">
        <w:rPr>
          <w:i/>
          <w:iCs/>
        </w:rPr>
        <w:t>see also</w:t>
      </w:r>
      <w:r w:rsidRPr="00CD0FEB">
        <w:t xml:space="preserve"> Kadden v. VisuaLex, LLC, 910 F. Supp. 2d 523 (S.D.N.Y. 2012) (finding litigation graphic consultant did not qualify for administrative exemption where her time was largely spent helping to generate graphic presentations, which was the very product or service employer provided to clients); Reich v. Chicago Title Ins. Co., 853 F. Supp. 1325, 1330, 2 WH Cases2d 150 (D. Kan. 1994) (determining escrow officers to be engaged in nonexempt day-to-day production); Yu v. Five Boars, LLC, 2018 WL 4103662 (W.D. Wash. Aug. 29, 2018) (granting summary judgment to front desk receptionist on administrative exemption issue where she implemented the day-to-day operations of the hotel, rather than running the general business operations).</w:t>
      </w:r>
    </w:p>
  </w:footnote>
  <w:footnote w:id="469">
    <w:p w14:paraId="5AEECEB1" w14:textId="77777777" w:rsidR="00201F3F" w:rsidRPr="00CD0FEB" w:rsidRDefault="00201F3F" w:rsidP="00CE5492">
      <w:pPr>
        <w:pStyle w:val="14Footnote"/>
      </w:pPr>
      <w:r w:rsidRPr="00CD0FEB">
        <w:rPr>
          <w:vertAlign w:val="superscript"/>
        </w:rPr>
        <w:footnoteRef/>
      </w:r>
      <w:r w:rsidRPr="00CD0FEB">
        <w:rPr>
          <w:i/>
          <w:iCs/>
        </w:rPr>
        <w:t>Chicago Title Insurance Co</w:t>
      </w:r>
      <w:r w:rsidRPr="00CD0FEB">
        <w:t>., 853 F. Supp. at 1330, 2 WH Cases2d at 153.</w:t>
      </w:r>
    </w:p>
  </w:footnote>
  <w:footnote w:id="470">
    <w:p w14:paraId="167C53D0" w14:textId="77777777" w:rsidR="00201F3F" w:rsidRPr="00CD0FEB" w:rsidRDefault="00201F3F" w:rsidP="00CE5492">
      <w:pPr>
        <w:pStyle w:val="14Footnote"/>
      </w:pPr>
      <w:r w:rsidRPr="00CD0FEB">
        <w:rPr>
          <w:vertAlign w:val="superscript"/>
        </w:rPr>
        <w:footnoteRef/>
      </w:r>
      <w:r w:rsidRPr="00CD0FEB">
        <w:t>Desmond v. PNGI Charles Town Gaming, 564 F.3d 688, 692, 14 WH Cases2d 1449</w:t>
      </w:r>
      <w:r w:rsidRPr="00513758">
        <w:t xml:space="preserve"> (</w:t>
      </w:r>
      <w:r w:rsidRPr="00CD0FEB">
        <w:t>4th Cir. 2009).</w:t>
      </w:r>
    </w:p>
  </w:footnote>
  <w:footnote w:id="471">
    <w:p w14:paraId="3AA8218A"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472">
    <w:p w14:paraId="5F1B6FD7" w14:textId="77777777" w:rsidR="00201F3F" w:rsidRPr="00CD0FEB" w:rsidRDefault="00201F3F" w:rsidP="00CE5492">
      <w:pPr>
        <w:pStyle w:val="14Footnote"/>
      </w:pPr>
      <w:r w:rsidRPr="00CD0FEB">
        <w:rPr>
          <w:vertAlign w:val="superscript"/>
        </w:rPr>
        <w:footnoteRef/>
      </w:r>
      <w:r w:rsidRPr="00CD0FEB">
        <w:rPr>
          <w:i/>
          <w:iCs/>
        </w:rPr>
        <w:t>Id</w:t>
      </w:r>
      <w:r w:rsidRPr="00CD0FEB">
        <w:t>. at 693 (emphasis in original).</w:t>
      </w:r>
    </w:p>
  </w:footnote>
  <w:footnote w:id="473">
    <w:p w14:paraId="3A9E7A99" w14:textId="77777777" w:rsidR="00201F3F" w:rsidRPr="00CD0FEB" w:rsidRDefault="00201F3F" w:rsidP="00CE5492">
      <w:pPr>
        <w:pStyle w:val="14Footnote"/>
      </w:pPr>
      <w:r w:rsidRPr="00CD0FEB">
        <w:rPr>
          <w:vertAlign w:val="superscript"/>
        </w:rPr>
        <w:footnoteRef/>
      </w:r>
      <w:r w:rsidRPr="00CD0FEB">
        <w:t>There was relatively little litigation involving the administrative exemption until the late 1980s. In litigation that did arise, the administrative exemption was often found to be inapplicable on the ground that insufficient discretion was exercised by a particular employee. For example, in 1986, the WHD issued an opinion letter that expressed the view that the putative administrative employees were not exempt because they failed to exercise the requisite discretion and independent judgment in their work. WH Op., 1986 WL 1171077 (Feb. 25, 1986). The letter did not address the issue of whether the appraisers in question engaged in work that was directly related to management policies or general business operations of the employer.</w:t>
      </w:r>
    </w:p>
  </w:footnote>
  <w:footnote w:id="474">
    <w:p w14:paraId="6CD22435" w14:textId="77777777" w:rsidR="00201F3F" w:rsidRPr="00CD0FEB" w:rsidRDefault="00201F3F" w:rsidP="00CE5492">
      <w:pPr>
        <w:pStyle w:val="14Footnote"/>
      </w:pPr>
      <w:r w:rsidRPr="00CD0FEB">
        <w:rPr>
          <w:vertAlign w:val="superscript"/>
        </w:rPr>
        <w:footnoteRef/>
      </w:r>
      <w:r w:rsidRPr="00CD0FEB">
        <w:t>69 Fed. Reg. 22,121, 22,141 (Apr. 23, 2004).</w:t>
      </w:r>
    </w:p>
  </w:footnote>
  <w:footnote w:id="475">
    <w:p w14:paraId="54C40348" w14:textId="77777777" w:rsidR="00201F3F" w:rsidRPr="00CD0FEB" w:rsidRDefault="00201F3F" w:rsidP="00CE5492">
      <w:pPr>
        <w:pStyle w:val="14Footnote"/>
      </w:pPr>
      <w:r w:rsidRPr="00CD0FEB">
        <w:rPr>
          <w:vertAlign w:val="superscript"/>
        </w:rPr>
        <w:footnoteRef/>
      </w:r>
      <w:r w:rsidRPr="00CD0FEB">
        <w:t xml:space="preserve">706 F. Supp. 493, 29 WH Cases 1 (N.D. Tex. 1988), </w:t>
      </w:r>
      <w:r w:rsidRPr="00CD0FEB">
        <w:rPr>
          <w:i/>
          <w:iCs/>
        </w:rPr>
        <w:t>aff’d</w:t>
      </w:r>
      <w:r w:rsidRPr="00CD0FEB">
        <w:t>, 918 F.2d 1220, 30 WH Cases 113</w:t>
      </w:r>
      <w:r w:rsidRPr="00513758">
        <w:t xml:space="preserve"> (</w:t>
      </w:r>
      <w:r w:rsidRPr="00CD0FEB">
        <w:t>5th Cir. 1990).</w:t>
      </w:r>
    </w:p>
  </w:footnote>
  <w:footnote w:id="476">
    <w:p w14:paraId="7EBECF13" w14:textId="77777777" w:rsidR="00201F3F" w:rsidRPr="00CD0FEB" w:rsidRDefault="00201F3F" w:rsidP="00CE5492">
      <w:pPr>
        <w:pStyle w:val="14Footnote"/>
      </w:pPr>
      <w:r w:rsidRPr="00CD0FEB">
        <w:rPr>
          <w:vertAlign w:val="superscript"/>
        </w:rPr>
        <w:footnoteRef/>
      </w:r>
      <w:r w:rsidRPr="00CD0FEB">
        <w:rPr>
          <w:i/>
          <w:iCs/>
        </w:rPr>
        <w:t>Id</w:t>
      </w:r>
      <w:r w:rsidRPr="00CD0FEB">
        <w:t>.</w:t>
      </w:r>
    </w:p>
  </w:footnote>
  <w:footnote w:id="477">
    <w:p w14:paraId="791AF7A5" w14:textId="77777777" w:rsidR="00201F3F" w:rsidRPr="00CD0FEB" w:rsidRDefault="00201F3F" w:rsidP="00CE5492">
      <w:pPr>
        <w:pStyle w:val="14Footnote"/>
      </w:pPr>
      <w:r w:rsidRPr="00CD0FEB">
        <w:rPr>
          <w:vertAlign w:val="superscript"/>
        </w:rPr>
        <w:footnoteRef/>
      </w:r>
      <w:r w:rsidRPr="00CD0FEB">
        <w:rPr>
          <w:i/>
          <w:iCs/>
        </w:rPr>
        <w:t>See, e.g</w:t>
      </w:r>
      <w:r w:rsidRPr="00CD0FEB">
        <w:t>.,</w:t>
      </w:r>
    </w:p>
    <w:p w14:paraId="1A9B7CF0" w14:textId="77777777" w:rsidR="00201F3F" w:rsidRPr="00CD0FEB" w:rsidRDefault="00201F3F" w:rsidP="00CE5492">
      <w:pPr>
        <w:pStyle w:val="14Footnote"/>
      </w:pPr>
      <w:r w:rsidRPr="00CD0FEB">
        <w:rPr>
          <w:i/>
          <w:iCs/>
        </w:rPr>
        <w:t>Second Circuit:</w:t>
      </w:r>
      <w:r w:rsidRPr="00CD0FEB">
        <w:t xml:space="preserve"> Reich v. New York, 3 F.3d 581, 587–88, 1 WH Cases2d 950 (2d Cir. 1993) (applying analysis to state police investigators); Arasimowicz v. All Panel Sys., LLC, 948 F. Supp. 2d 211 (D. Conn. 2013) (applying analysis to fabric shop coordinator); Kadden v. VisuaLex, LLC, 910 F. Supp. 2d 523 (S.D.N.Y. 2012) (applying analysis to litigation graphic consultant and finding employee nonexempt because her time was largely spent generating graphic presentations, which was the product that the company provided to clients); Relyea v. Carmen, Callahan &amp; Ingham, L.L.P., 2006 WL 2577829, 11 WH Cases2d 1700 (E.D.N.Y. 2006) (applying analysis to real estate closers for law firm).</w:t>
      </w:r>
    </w:p>
    <w:p w14:paraId="5A14D0BD" w14:textId="77777777" w:rsidR="00201F3F" w:rsidRPr="00CD0FEB" w:rsidRDefault="00201F3F" w:rsidP="00CE5492">
      <w:pPr>
        <w:pStyle w:val="14Footnote"/>
      </w:pPr>
      <w:r w:rsidRPr="00CD0FEB">
        <w:rPr>
          <w:i/>
          <w:iCs/>
        </w:rPr>
        <w:t>Third Circuit:</w:t>
      </w:r>
      <w:r w:rsidRPr="00CD0FEB">
        <w:t xml:space="preserve"> Martin v. Cooper Elec. Supply Co., 940 F.2d 896, 903, 30 WH Cases 793 (3d Cir. 1991) (applying analysis to inside salespersons).</w:t>
      </w:r>
    </w:p>
    <w:p w14:paraId="6B98BC6C" w14:textId="77777777" w:rsidR="00201F3F" w:rsidRPr="00CD0FEB" w:rsidRDefault="00201F3F" w:rsidP="00CE5492">
      <w:pPr>
        <w:pStyle w:val="14Footnote"/>
      </w:pPr>
      <w:r w:rsidRPr="00CD0FEB">
        <w:rPr>
          <w:i/>
          <w:iCs/>
        </w:rPr>
        <w:t>Fourth Circuit:</w:t>
      </w:r>
      <w:r w:rsidRPr="00CD0FEB">
        <w:t xml:space="preserve"> Turner v. Human Genome Scis., Inc., 292 F. Supp. 2d 738 (D. Md. 2003) (applying analysis to system support technicians).</w:t>
      </w:r>
    </w:p>
    <w:p w14:paraId="5D816C4D" w14:textId="77777777" w:rsidR="00201F3F" w:rsidRPr="00CD0FEB" w:rsidRDefault="00201F3F" w:rsidP="00CE5492">
      <w:pPr>
        <w:pStyle w:val="14Footnote"/>
      </w:pPr>
      <w:r w:rsidRPr="00CD0FEB">
        <w:rPr>
          <w:i/>
          <w:iCs/>
        </w:rPr>
        <w:t>Fifth Circuit</w:t>
      </w:r>
      <w:r w:rsidRPr="00CD0FEB">
        <w:t>: Fraser v. Patrick O’Connor &amp; Assocs., L.P., 954 F.3d 742, 746–47</w:t>
      </w:r>
      <w:r w:rsidRPr="00513758">
        <w:t xml:space="preserve"> (</w:t>
      </w:r>
      <w:r w:rsidRPr="00CD0FEB">
        <w:t>5th Cir. 2020) (applying analysis to property-tax consultants).</w:t>
      </w:r>
    </w:p>
    <w:p w14:paraId="4924A38F" w14:textId="77777777" w:rsidR="00201F3F" w:rsidRPr="00CD0FEB" w:rsidRDefault="00201F3F" w:rsidP="00CE5492">
      <w:pPr>
        <w:pStyle w:val="14Footnote"/>
      </w:pPr>
      <w:r w:rsidRPr="00CD0FEB">
        <w:rPr>
          <w:i/>
          <w:iCs/>
        </w:rPr>
        <w:t xml:space="preserve">Sixth Circuit: </w:t>
      </w:r>
      <w:r w:rsidRPr="00CD0FEB">
        <w:t>Renfro v. Indiana Mich. Power Co., 370 F.3d 512</w:t>
      </w:r>
      <w:r w:rsidRPr="00513758">
        <w:t xml:space="preserve"> (</w:t>
      </w:r>
      <w:r w:rsidRPr="00CD0FEB">
        <w:t>6th Cir. 2004) (applying analysis to planners employed by nuclear power plant).</w:t>
      </w:r>
    </w:p>
    <w:p w14:paraId="1DA379C5" w14:textId="77777777" w:rsidR="00201F3F" w:rsidRPr="00CD0FEB" w:rsidRDefault="00201F3F" w:rsidP="00CE5492">
      <w:pPr>
        <w:pStyle w:val="14Footnote"/>
      </w:pPr>
      <w:r w:rsidRPr="00CD0FEB">
        <w:rPr>
          <w:i/>
          <w:iCs/>
        </w:rPr>
        <w:t>Eighth Circuit:</w:t>
      </w:r>
      <w:r w:rsidRPr="00CD0FEB">
        <w:t xml:space="preserve"> Grage v. Northern States Power Co.-Minn., 813 F.3d 1051, 25 WH Cases2d 1521</w:t>
      </w:r>
      <w:r w:rsidRPr="00513758">
        <w:t xml:space="preserve"> (</w:t>
      </w:r>
      <w:r w:rsidRPr="00CD0FEB">
        <w:t>8th Cir. 2015) (applying analysis to utility service center supervisor).</w:t>
      </w:r>
    </w:p>
    <w:p w14:paraId="238345B9" w14:textId="77777777" w:rsidR="00201F3F" w:rsidRPr="00CD0FEB" w:rsidRDefault="00201F3F" w:rsidP="00CE5492">
      <w:pPr>
        <w:pStyle w:val="14Footnote"/>
      </w:pPr>
      <w:r w:rsidRPr="00CD0FEB">
        <w:rPr>
          <w:i/>
          <w:iCs/>
        </w:rPr>
        <w:t>Ninth Circuit:</w:t>
      </w:r>
      <w:r w:rsidRPr="00CD0FEB">
        <w:t xml:space="preserve"> Bratt v. County of L.A., 912 F.2d 1066, 1070, 29 WH Cases 1578</w:t>
      </w:r>
      <w:r w:rsidRPr="00513758">
        <w:t xml:space="preserve"> (</w:t>
      </w:r>
      <w:r w:rsidRPr="00CD0FEB">
        <w:t>9th Cir. 1990) (applying analysis to probation officers).</w:t>
      </w:r>
    </w:p>
    <w:p w14:paraId="7E1684CC" w14:textId="77777777" w:rsidR="00201F3F" w:rsidRPr="00CD0FEB" w:rsidRDefault="00201F3F" w:rsidP="00CE5492">
      <w:pPr>
        <w:pStyle w:val="14Footnote"/>
      </w:pPr>
      <w:r w:rsidRPr="00CD0FEB">
        <w:rPr>
          <w:i/>
          <w:iCs/>
        </w:rPr>
        <w:t>Tenth Circuit:</w:t>
      </w:r>
      <w:r w:rsidRPr="00CD0FEB">
        <w:t xml:space="preserve"> Reich v. Chicago Title Ins. Co., 853 F. Supp. 1325, 1330, 2 WH Cases2d 150, 153 (D. Kan. 1994) (applying analysis to escrow closers).</w:t>
      </w:r>
    </w:p>
    <w:p w14:paraId="40F187F6" w14:textId="77777777" w:rsidR="00201F3F" w:rsidRPr="00CD0FEB" w:rsidRDefault="00201F3F" w:rsidP="00CE5492">
      <w:pPr>
        <w:pStyle w:val="14Footnote"/>
      </w:pPr>
      <w:r w:rsidRPr="00CD0FEB">
        <w:rPr>
          <w:i/>
          <w:iCs/>
        </w:rPr>
        <w:t>Eleventh Circuit:</w:t>
      </w:r>
      <w:r w:rsidRPr="00CD0FEB">
        <w:t xml:space="preserve"> Match v. PGA Tour, Inc., 2006 WL 510068, 11 WH Cases2d 602 (M.D. Fla. 2006) (applying analysis to rules officials).</w:t>
      </w:r>
    </w:p>
    <w:p w14:paraId="0CF9B9F8" w14:textId="77777777" w:rsidR="00201F3F" w:rsidRPr="00CD0FEB" w:rsidRDefault="00201F3F" w:rsidP="00CE5492">
      <w:pPr>
        <w:pStyle w:val="14Footnote"/>
      </w:pPr>
      <w:r w:rsidRPr="00CD0FEB">
        <w:rPr>
          <w:i/>
          <w:iCs/>
        </w:rPr>
        <w:t>D.C. Circuit:</w:t>
      </w:r>
      <w:r w:rsidRPr="00CD0FEB">
        <w:t xml:space="preserve"> Roney v. United States, 790 F. Supp. 23, 27, 30 WH Cases 1482 (D.D.C. 1992) (applying analysis to deputy marshals); Harris v. District of Columbia, 741 F. Supp. 254, 261, 29 WH Cases 1241 (D.D.C. 1990) (applying analysis to building inspectors).</w:t>
      </w:r>
    </w:p>
    <w:p w14:paraId="63600B26" w14:textId="77777777" w:rsidR="00201F3F" w:rsidRPr="00CD0FEB" w:rsidRDefault="00201F3F" w:rsidP="00CE5492">
      <w:pPr>
        <w:pStyle w:val="14Footnote"/>
      </w:pPr>
      <w:r w:rsidRPr="00CD0FEB">
        <w:rPr>
          <w:i/>
          <w:iCs/>
        </w:rPr>
        <w:t>Opinion Letters:</w:t>
      </w:r>
      <w:r w:rsidRPr="00CD0FEB">
        <w:t xml:space="preserve"> WH Op. FLSA2006-45, 2006 WL 3930478 (Dec. 21, 2006) (applying analysis to copy editors for marketing firms); WH Op. FLSA2005-30, 2005 WL 3308601 (Aug. 29, 2005) (applying analysis to regional advocate); WH Op. FLSA2001-11, 2001 WL 1869960 (Apr. 18, 2001) (applying analysis to home office sales consultants).</w:t>
      </w:r>
    </w:p>
    <w:p w14:paraId="7698A983" w14:textId="77777777" w:rsidR="00201F3F" w:rsidRPr="00CD0FEB" w:rsidRDefault="00201F3F" w:rsidP="00CE5492">
      <w:pPr>
        <w:pStyle w:val="14Footnote"/>
      </w:pPr>
      <w:r w:rsidRPr="00CD0FEB">
        <w:rPr>
          <w:i/>
          <w:iCs/>
        </w:rPr>
        <w:t>See also</w:t>
      </w:r>
      <w:r w:rsidRPr="00CD0FEB">
        <w:t xml:space="preserve"> Gusdonovich v. Business Info. Co., 705 F. Supp. 262, 265, 28 WH Cases 1372 (W.D. Pa. 1985) (applying analysis to insurance investigators in case decided before </w:t>
      </w:r>
      <w:r w:rsidRPr="00CD0FEB">
        <w:rPr>
          <w:i/>
          <w:iCs/>
        </w:rPr>
        <w:t>Dalheim</w:t>
      </w:r>
      <w:r w:rsidRPr="00CD0FEB">
        <w:t>)</w:t>
      </w:r>
    </w:p>
  </w:footnote>
  <w:footnote w:id="478">
    <w:p w14:paraId="59ABF854" w14:textId="77777777" w:rsidR="00201F3F" w:rsidRPr="00CD0FEB" w:rsidRDefault="00201F3F" w:rsidP="00CE5492">
      <w:pPr>
        <w:pStyle w:val="14Footnote"/>
      </w:pPr>
      <w:r w:rsidRPr="00CD0FEB">
        <w:rPr>
          <w:vertAlign w:val="superscript"/>
        </w:rPr>
        <w:footnoteRef/>
      </w:r>
      <w:r w:rsidRPr="00CD0FEB">
        <w:rPr>
          <w:i/>
          <w:iCs/>
        </w:rPr>
        <w:t>See, e.g</w:t>
      </w:r>
      <w:r w:rsidRPr="00CD0FEB">
        <w:t>., Roe-Midgett v. CC Servs., 512 F.3d 865, 872, 13 WH Cases2d 180</w:t>
      </w:r>
      <w:r w:rsidRPr="00513758">
        <w:t xml:space="preserve"> (</w:t>
      </w:r>
      <w:r w:rsidRPr="00CD0FEB">
        <w:t xml:space="preserve">7th Cir. 2008) (“[T]he so-called production/administrative dichotomy—a concept that has an industrial age genesis—is only useful by analogy in the modern context.”); </w:t>
      </w:r>
      <w:r w:rsidRPr="00CD0FEB">
        <w:rPr>
          <w:i/>
          <w:iCs/>
        </w:rPr>
        <w:t>accord</w:t>
      </w:r>
      <w:r w:rsidRPr="00CD0FEB">
        <w:t xml:space="preserve"> Schaefer v. Indiana Mich. Power Co., 358 F.3d 394, 9 WH Cases2d 614</w:t>
      </w:r>
      <w:r w:rsidRPr="00513758">
        <w:t xml:space="preserve"> (</w:t>
      </w:r>
      <w:r w:rsidRPr="00CD0FEB">
        <w:t>6th Cir. 2004) (finding duties of environmental specialist for nuclear power not easily categorized as administration or production); Krupinski v. Laborers E. Region Org. Fund, 2016 WL 5800473, at *7 (S.D.N.Y. Oct. 2, 2016) (recognizing “the limited utility of the administration-production dichotomy in the modern service-industry context”); Rincon v. AFSCME, 2013 WL 4389460, at *19 (N.D. Cal. Aug. 13, 2013) (noting that traditional “administrative/production dichotomy” was not useful outside of the manufacturing context and better focus was on whether the employee “performed work directly related to assisting with the running or servicing of the employer’s business”); Heffelfinger v. Electronic Data Sys. Corp., 580 F. Supp. 2d 933, 956 (C.D. Cal. 2008) (“[T]he dichotomy is often of limited use outside the manufacturing context in which it was devised.”); Sessoms v. Gherter &amp; Co., 2006 WL 1102323, at *8 (M.D. Tenn. Apr. 25, 2006) (“[T]he production/administrative dichotomy may be inapplicable where the business of the employer is providing services, as opposed to products or sales.”).</w:t>
      </w:r>
    </w:p>
  </w:footnote>
  <w:footnote w:id="479">
    <w:p w14:paraId="3562A487" w14:textId="77777777" w:rsidR="00201F3F" w:rsidRPr="00CD0FEB" w:rsidRDefault="00201F3F" w:rsidP="00CE5492">
      <w:pPr>
        <w:pStyle w:val="14Footnote"/>
      </w:pPr>
      <w:r w:rsidRPr="00CD0FEB">
        <w:rPr>
          <w:vertAlign w:val="superscript"/>
        </w:rPr>
        <w:footnoteRef/>
      </w:r>
      <w:r w:rsidRPr="00CD0FEB">
        <w:rPr>
          <w:i/>
          <w:iCs/>
        </w:rPr>
        <w:t>Roe-Midgett</w:t>
      </w:r>
      <w:r w:rsidRPr="00CD0FEB">
        <w:t>, 512 F.3d at 872.</w:t>
      </w:r>
    </w:p>
  </w:footnote>
  <w:footnote w:id="480">
    <w:p w14:paraId="244EAC1B" w14:textId="77777777" w:rsidR="00201F3F" w:rsidRPr="00CD0FEB" w:rsidRDefault="00201F3F" w:rsidP="00CE5492">
      <w:pPr>
        <w:pStyle w:val="14Footnote"/>
      </w:pPr>
      <w:r w:rsidRPr="00CD0FEB">
        <w:rPr>
          <w:vertAlign w:val="superscript"/>
        </w:rPr>
        <w:footnoteRef/>
      </w:r>
      <w:r w:rsidRPr="00CD0FEB">
        <w:rPr>
          <w:i/>
          <w:iCs/>
        </w:rPr>
        <w:t>See, e.g</w:t>
      </w:r>
      <w:r w:rsidRPr="00CD0FEB">
        <w:t>.,</w:t>
      </w:r>
    </w:p>
    <w:p w14:paraId="792D5236" w14:textId="77777777" w:rsidR="00201F3F" w:rsidRPr="00CD0FEB" w:rsidRDefault="00201F3F" w:rsidP="00CE5492">
      <w:pPr>
        <w:pStyle w:val="14Footnote"/>
      </w:pPr>
      <w:r w:rsidRPr="00CD0FEB">
        <w:rPr>
          <w:i/>
          <w:iCs/>
        </w:rPr>
        <w:t>First Circuit:</w:t>
      </w:r>
      <w:r w:rsidRPr="00CD0FEB">
        <w:t xml:space="preserve"> Reich v. John Alden Life Ins. Co., 126 F.3d 1, 4 WH Cases2d 129</w:t>
      </w:r>
      <w:r w:rsidRPr="00513758">
        <w:t xml:space="preserve"> (</w:t>
      </w:r>
      <w:r w:rsidRPr="00CD0FEB">
        <w:t>1st Cir. 1997) (deeming insurance company’s marketing representatives who dealt with licensed independent insurance agents to increase purchases of company’s products and who acted as company’s primary source for information about carriers to be primarily engaged in administrative rather than production work, despite Secretary’s claim that marketing representatives are simply salespersons); Crowe v. ExamWorks, Inc., 136 F. Supp. 3d 16 (D. Mass. 2015) (holding plaintiffs’ quality control duties were not in nature of production work but rather were substantially similar to duties performed by claims adjusters, exempt position); Reich v. Haemonetics Corp., 907 F. Supp. 512, 3 WH Cases2d 10 (D. Mass. 1995) (finding that primary duty of business analysts is structuring deals, which directly relates to employer’s management policies or general business operations despite claim of Secretary that analysts were in business of “producing” sales for company).</w:t>
      </w:r>
    </w:p>
    <w:p w14:paraId="5AB7C99E" w14:textId="77777777" w:rsidR="00201F3F" w:rsidRPr="00CD0FEB" w:rsidRDefault="00201F3F" w:rsidP="00CE5492">
      <w:pPr>
        <w:pStyle w:val="14Footnote"/>
      </w:pPr>
      <w:r w:rsidRPr="00CD0FEB">
        <w:rPr>
          <w:i/>
          <w:iCs/>
        </w:rPr>
        <w:t>Second Circuit:</w:t>
      </w:r>
      <w:r w:rsidRPr="00CD0FEB">
        <w:t xml:space="preserve"> Schwind v. EW &amp; Assocs., Inc., 357 F. Supp. 2d 191 (S.D.N.Y. 2005) (determining vice president of sales for computer training company to be exempt); O’Neill-Marino v. Omni Hotels Mgmt. Corp., 6 WH Cases2d 1625 (S.D.N.Y. 2001) (finding Director of Conference Services for hotel to be exempt).</w:t>
      </w:r>
    </w:p>
    <w:p w14:paraId="57BE90BB" w14:textId="77777777" w:rsidR="00201F3F" w:rsidRPr="00CD0FEB" w:rsidRDefault="00201F3F" w:rsidP="00CE5492">
      <w:pPr>
        <w:pStyle w:val="14Footnote"/>
      </w:pPr>
      <w:r w:rsidRPr="00CD0FEB">
        <w:rPr>
          <w:i/>
          <w:iCs/>
        </w:rPr>
        <w:t xml:space="preserve">Fourth Circuit: </w:t>
      </w:r>
      <w:r w:rsidRPr="00CD0FEB">
        <w:t xml:space="preserve">Lovo v. American Sugar Refining, Inc., 2018 WL 3956688, at *14 (D. Md. Aug. 17, 2018) (holding process supervisor administratively exempt). </w:t>
      </w:r>
    </w:p>
    <w:p w14:paraId="44C34A13" w14:textId="77777777" w:rsidR="00201F3F" w:rsidRPr="00CD0FEB" w:rsidRDefault="00201F3F" w:rsidP="00CE5492">
      <w:pPr>
        <w:pStyle w:val="14Footnote"/>
      </w:pPr>
      <w:r w:rsidRPr="00CD0FEB">
        <w:rPr>
          <w:i/>
          <w:iCs/>
        </w:rPr>
        <w:t>Sixth Circuit:</w:t>
      </w:r>
      <w:r w:rsidRPr="00CD0FEB">
        <w:t xml:space="preserve"> Burton v. Appriss, Inc., 682 F. App’x 423</w:t>
      </w:r>
      <w:r w:rsidRPr="00513758">
        <w:t xml:space="preserve"> (</w:t>
      </w:r>
      <w:r w:rsidRPr="00CD0FEB">
        <w:t>6th Cir. 2017) (applying administrative/production dichotomy and holding that account manager qualified for exemption); Koppinger v. American Interiors, Inc., 295 F. Supp. 2d 797 (N.D. Ohio 2003) (deeming sale information technology employee to be exempt).</w:t>
      </w:r>
    </w:p>
    <w:p w14:paraId="12FD8336" w14:textId="77777777" w:rsidR="00201F3F" w:rsidRPr="00CD0FEB" w:rsidRDefault="00201F3F" w:rsidP="00CE5492">
      <w:pPr>
        <w:pStyle w:val="14Footnote"/>
      </w:pPr>
      <w:r w:rsidRPr="00CD0FEB">
        <w:rPr>
          <w:i/>
          <w:iCs/>
        </w:rPr>
        <w:t>Seventh Circuit:</w:t>
      </w:r>
      <w:r w:rsidRPr="00CD0FEB">
        <w:t xml:space="preserve"> Kennedy v. Commonwealth Edison Co., 8 WH Cases2d 1783 (C.D. Ill. 2003) (applying exemption to nuclear power plant’s work planners, lead work planners, first line supervisors, supply analysts, and staff specialists); Shaw v. Prentice Hall, Inc., 977 F. Supp. 909 (S.D. Ind. 1999) (finding production editor/senior production editor of publishing company to be exempt).</w:t>
      </w:r>
    </w:p>
    <w:p w14:paraId="229F6CF6" w14:textId="77777777" w:rsidR="00201F3F" w:rsidRPr="00CD0FEB" w:rsidRDefault="00201F3F" w:rsidP="00CE5492">
      <w:pPr>
        <w:pStyle w:val="14Footnote"/>
      </w:pPr>
      <w:r w:rsidRPr="00CD0FEB">
        <w:rPr>
          <w:i/>
          <w:iCs/>
        </w:rPr>
        <w:t>Eleventh Circuit:</w:t>
      </w:r>
      <w:r w:rsidRPr="00CD0FEB">
        <w:t xml:space="preserve"> Hogan v. Allstate Ins. Co., 361 F.3d 621, 9 WH Cases2d 720 </w:t>
      </w:r>
      <w:r w:rsidRPr="00513758">
        <w:t>(</w:t>
      </w:r>
      <w:r w:rsidRPr="00046545">
        <w:t>11th</w:t>
      </w:r>
      <w:r w:rsidRPr="00CD0FEB">
        <w:t xml:space="preserve"> Cir. 2004) (applying </w:t>
      </w:r>
      <w:r w:rsidRPr="00CD0FEB">
        <w:rPr>
          <w:i/>
          <w:iCs/>
        </w:rPr>
        <w:t>John Alden</w:t>
      </w:r>
      <w:r w:rsidRPr="00CD0FEB">
        <w:t xml:space="preserve"> and finding insurance agents to be exempt administrative employees); Wilshin v. Allstate Ins. Co., 212 F. Supp. 2d 1360 (M.D. Ga. 2002) (deeming neighborhood office insurance agent exempt).</w:t>
      </w:r>
    </w:p>
    <w:p w14:paraId="5923D1A3" w14:textId="77777777" w:rsidR="00201F3F" w:rsidRPr="00CD0FEB" w:rsidRDefault="00201F3F" w:rsidP="00CE5492">
      <w:pPr>
        <w:pStyle w:val="14Footnote"/>
      </w:pPr>
      <w:r w:rsidRPr="00CD0FEB">
        <w:rPr>
          <w:i/>
          <w:iCs/>
        </w:rPr>
        <w:t>Federal Circuit:</w:t>
      </w:r>
      <w:r w:rsidRPr="00CD0FEB">
        <w:t xml:space="preserve"> Bates v. United States, 51 Fed. Cl. 450, 7 WH Cases2d 1137 (2002) (deeming supervisory border patrol agent exempt).</w:t>
      </w:r>
    </w:p>
    <w:p w14:paraId="4E2E43DD" w14:textId="77777777" w:rsidR="00201F3F" w:rsidRPr="00CD0FEB" w:rsidRDefault="00201F3F" w:rsidP="00CE5492">
      <w:pPr>
        <w:pStyle w:val="14Footnote"/>
      </w:pPr>
      <w:r w:rsidRPr="00CD0FEB">
        <w:rPr>
          <w:i/>
          <w:iCs/>
        </w:rPr>
        <w:t>Opinion Letter:</w:t>
      </w:r>
      <w:r w:rsidRPr="00CD0FEB">
        <w:t xml:space="preserve"> WH Op. FLSA2005-43, 2005 WL 3308614 (Oct. 24, 2005) (deeming museum curator exempt)</w:t>
      </w:r>
    </w:p>
  </w:footnote>
  <w:footnote w:id="481">
    <w:p w14:paraId="5FEE5378" w14:textId="77777777" w:rsidR="00201F3F" w:rsidRPr="00CD0FEB" w:rsidRDefault="00201F3F" w:rsidP="00CE5492">
      <w:pPr>
        <w:pStyle w:val="14Footnote"/>
      </w:pPr>
      <w:r w:rsidRPr="00CD0FEB">
        <w:rPr>
          <w:vertAlign w:val="superscript"/>
        </w:rPr>
        <w:footnoteRef/>
      </w:r>
      <w:r w:rsidRPr="00CD0FEB">
        <w:rPr>
          <w:i/>
          <w:iCs/>
        </w:rPr>
        <w:t>See, e.g</w:t>
      </w:r>
      <w:r w:rsidRPr="00CD0FEB">
        <w:t>.,</w:t>
      </w:r>
    </w:p>
    <w:p w14:paraId="550508CC" w14:textId="77777777" w:rsidR="00201F3F" w:rsidRPr="00CD0FEB" w:rsidRDefault="00201F3F" w:rsidP="00CE5492">
      <w:pPr>
        <w:pStyle w:val="14Footnote"/>
      </w:pPr>
      <w:r w:rsidRPr="00CD0FEB">
        <w:rPr>
          <w:i/>
          <w:iCs/>
        </w:rPr>
        <w:t>Second Circuit:</w:t>
      </w:r>
      <w:r w:rsidRPr="00CD0FEB">
        <w:t xml:space="preserve"> </w:t>
      </w:r>
      <w:r w:rsidRPr="00CD0FEB">
        <w:rPr>
          <w:i/>
          <w:iCs/>
        </w:rPr>
        <w:t>Reich v. New York</w:t>
      </w:r>
      <w:r w:rsidRPr="00CD0FEB">
        <w:t xml:space="preserve">, 3 F.3d at 587–88 (applying analysis to state police investigators); </w:t>
      </w:r>
      <w:r w:rsidRPr="00CD0FEB">
        <w:rPr>
          <w:i/>
          <w:iCs/>
        </w:rPr>
        <w:t>Arasimowicz</w:t>
      </w:r>
      <w:r w:rsidRPr="00CD0FEB">
        <w:t xml:space="preserve">, 948 F. Supp. 2d 211 (applying analysis to fabric shop coordinator); </w:t>
      </w:r>
      <w:r w:rsidRPr="00CD0FEB">
        <w:rPr>
          <w:i/>
          <w:iCs/>
        </w:rPr>
        <w:t>Kadden</w:t>
      </w:r>
      <w:r w:rsidRPr="00CD0FEB">
        <w:t xml:space="preserve">, 910 F. Supp. 2d 523 (applying analysis to litigation graphic consultant and finding employee nonexempt because her time was largely spent generating graphic presentations, which was the product that the company provided to clients); </w:t>
      </w:r>
      <w:r w:rsidRPr="00CD0FEB">
        <w:rPr>
          <w:i/>
          <w:iCs/>
        </w:rPr>
        <w:t>Relyea</w:t>
      </w:r>
      <w:r w:rsidRPr="00CD0FEB">
        <w:t>, 2006 WL 2577829 (applying analysis to real estate closers for law firm).</w:t>
      </w:r>
    </w:p>
    <w:p w14:paraId="3D2F4AA8" w14:textId="77777777" w:rsidR="00201F3F" w:rsidRPr="00CD0FEB" w:rsidRDefault="00201F3F" w:rsidP="00CE5492">
      <w:pPr>
        <w:pStyle w:val="14Footnote"/>
      </w:pPr>
      <w:r w:rsidRPr="00CD0FEB">
        <w:rPr>
          <w:i/>
          <w:iCs/>
        </w:rPr>
        <w:t>Third Circuit:</w:t>
      </w:r>
      <w:r w:rsidRPr="00CD0FEB">
        <w:t xml:space="preserve"> </w:t>
      </w:r>
      <w:r w:rsidRPr="00CD0FEB">
        <w:rPr>
          <w:i/>
          <w:iCs/>
        </w:rPr>
        <w:t>Cooper Electric Supply</w:t>
      </w:r>
      <w:r w:rsidRPr="00CD0FEB">
        <w:t xml:space="preserve">, 940 F.2d at 903 (deeming inside salespersons of electrical products not exempt); Gusdonovich v. Business Info. Co., 705 F. Supp. 262, 265, 28 WH Cases 1372 (W.D. Pa. 1985) (applying analysis to insurance investigators in case decided before </w:t>
      </w:r>
      <w:r w:rsidRPr="00CD0FEB">
        <w:rPr>
          <w:i/>
          <w:iCs/>
        </w:rPr>
        <w:t>Dalheim</w:t>
      </w:r>
      <w:r w:rsidRPr="00CD0FEB">
        <w:t xml:space="preserve"> and determining that investigators performed production work that rendered them nonexempt).</w:t>
      </w:r>
    </w:p>
    <w:p w14:paraId="5A4FF2FC" w14:textId="77777777" w:rsidR="00201F3F" w:rsidRPr="00CD0FEB" w:rsidRDefault="00201F3F" w:rsidP="00CE5492">
      <w:pPr>
        <w:pStyle w:val="14Footnote"/>
      </w:pPr>
      <w:r w:rsidRPr="00CD0FEB">
        <w:rPr>
          <w:i/>
          <w:iCs/>
        </w:rPr>
        <w:t>Fourth Circuit:</w:t>
      </w:r>
      <w:r w:rsidRPr="00CD0FEB">
        <w:t xml:space="preserve"> </w:t>
      </w:r>
      <w:r w:rsidRPr="00CD0FEB">
        <w:rPr>
          <w:i/>
          <w:iCs/>
        </w:rPr>
        <w:t>Turner</w:t>
      </w:r>
      <w:r w:rsidRPr="00CD0FEB">
        <w:t>, 292 F. Supp. 2d 738 (applying analysis to system support technicians).</w:t>
      </w:r>
    </w:p>
    <w:p w14:paraId="48299339" w14:textId="77777777" w:rsidR="00201F3F" w:rsidRPr="00CD0FEB" w:rsidRDefault="00201F3F" w:rsidP="00CE5492">
      <w:pPr>
        <w:pStyle w:val="14Footnote"/>
      </w:pPr>
      <w:r w:rsidRPr="00CD0FEB">
        <w:rPr>
          <w:i/>
          <w:iCs/>
        </w:rPr>
        <w:t>Fifth Circuit:</w:t>
      </w:r>
      <w:r w:rsidRPr="00CD0FEB">
        <w:t xml:space="preserve"> Hobbs v. EVO Inc., 7 </w:t>
      </w:r>
      <w:r w:rsidRPr="00513758">
        <w:t>F.</w:t>
      </w:r>
      <w:r>
        <w:t xml:space="preserve"> </w:t>
      </w:r>
      <w:r w:rsidRPr="00CD0FEB">
        <w:t>4th 241, 255</w:t>
      </w:r>
      <w:r w:rsidRPr="00513758">
        <w:t xml:space="preserve"> (</w:t>
      </w:r>
      <w:r w:rsidRPr="00CD0FEB">
        <w:t>5th Cir. 2021) (holding that work of field engineers employed by company offering downhole video services to oil well owners “is production related in that they provide EVO’s service and compile the final video product through their filming and annotating”); Fraser v. Patrick O’Connor &amp; Assocs., L.P., 954 F.3d 742, 746–47</w:t>
      </w:r>
      <w:r w:rsidRPr="00513758">
        <w:t xml:space="preserve"> (</w:t>
      </w:r>
      <w:r w:rsidRPr="00CD0FEB">
        <w:t>5th Cir. 2020) (concluding that property-tax consultants did not qualify for administrative exemption where employer was “in the business of tax reduction; property-tax consultants provided that service to the company’s clients”); Cowart v. Ingalls Shipbldg., Inc., 213 F.3d 261</w:t>
      </w:r>
      <w:r w:rsidRPr="00513758">
        <w:t xml:space="preserve"> (</w:t>
      </w:r>
      <w:r w:rsidRPr="00CD0FEB">
        <w:t>5th Cir. 2000).</w:t>
      </w:r>
    </w:p>
    <w:p w14:paraId="7E01DE33" w14:textId="77777777" w:rsidR="00201F3F" w:rsidRPr="00CD0FEB" w:rsidRDefault="00201F3F" w:rsidP="00CE5492">
      <w:pPr>
        <w:pStyle w:val="14Footnote"/>
      </w:pPr>
      <w:r w:rsidRPr="00CD0FEB">
        <w:rPr>
          <w:i/>
          <w:iCs/>
        </w:rPr>
        <w:t>Sixth Circuit:</w:t>
      </w:r>
      <w:r w:rsidRPr="00CD0FEB">
        <w:t xml:space="preserve"> </w:t>
      </w:r>
      <w:r w:rsidRPr="00CD0FEB">
        <w:rPr>
          <w:i/>
          <w:iCs/>
        </w:rPr>
        <w:t>Renfro</w:t>
      </w:r>
      <w:r w:rsidRPr="00CD0FEB">
        <w:t>, 370 F.3d 512 (applying analysis to planners employed by nuclear power plant); Douglas v. Argo-Tech Corp., 113 F.3d 67, 3 WH Cases2d 1569</w:t>
      </w:r>
      <w:r w:rsidRPr="00513758">
        <w:t xml:space="preserve"> (</w:t>
      </w:r>
      <w:r w:rsidRPr="00CD0FEB">
        <w:t>6th Cir. 1997) (holding that a union vice president who was paid by the employer but who performed no production work, handled employee grievances, and engaged in daily functions to ensure the employer followed the terms of the collective bargaining agreement was deemed an exempt administrative employee).</w:t>
      </w:r>
    </w:p>
    <w:p w14:paraId="28B64B55" w14:textId="77777777" w:rsidR="00201F3F" w:rsidRPr="00CD0FEB" w:rsidRDefault="00201F3F" w:rsidP="00CE5492">
      <w:pPr>
        <w:pStyle w:val="14Footnote"/>
      </w:pPr>
      <w:r w:rsidRPr="00CD0FEB">
        <w:rPr>
          <w:i/>
          <w:iCs/>
        </w:rPr>
        <w:t>Eighth Circuit:</w:t>
      </w:r>
      <w:r w:rsidRPr="00CD0FEB">
        <w:t xml:space="preserve"> </w:t>
      </w:r>
      <w:r w:rsidRPr="00CD0FEB">
        <w:rPr>
          <w:i/>
          <w:iCs/>
        </w:rPr>
        <w:t>Grage,</w:t>
      </w:r>
      <w:r w:rsidRPr="00CD0FEB">
        <w:t xml:space="preserve"> 813 F.3d 1051 (applying analysis to utility service center supervisor); Neil v. White Commc’ns, LLC, 2017 WL 6997895, at *6–7 (S.D. Iowa Sept. 18, 2017) (finding factual dispute as to whether Chief Financial Officer qualified for administrative exemption where she testified that she spent about 50% of her time producing profit and loss statements; 25% of her time calculating, filing, and reporting taxes; and the remaining 25% on bookkeeping functions).</w:t>
      </w:r>
    </w:p>
    <w:p w14:paraId="7474B8A5" w14:textId="77777777" w:rsidR="00201F3F" w:rsidRPr="00CD0FEB" w:rsidRDefault="00201F3F" w:rsidP="00CE5492">
      <w:pPr>
        <w:pStyle w:val="14Footnote"/>
      </w:pPr>
      <w:r w:rsidRPr="00CD0FEB">
        <w:rPr>
          <w:i/>
          <w:iCs/>
        </w:rPr>
        <w:t>Ninth Circuit:</w:t>
      </w:r>
      <w:r w:rsidRPr="00CD0FEB">
        <w:t xml:space="preserve"> </w:t>
      </w:r>
      <w:r w:rsidRPr="00CD0FEB">
        <w:rPr>
          <w:i/>
          <w:iCs/>
        </w:rPr>
        <w:t>Bratt</w:t>
      </w:r>
      <w:r w:rsidRPr="00CD0FEB">
        <w:t>, 912 F.2d at 1070 (applying analysis to probation officers); Boyd v. Bank of Am. Corp., 109 F. Supp. 3d 1273 (C.D. Cal. 2015) (holding real estate appraisers’ work does not directly relate to employer’s management policies or general business operations and is more appropriately classified as production work).</w:t>
      </w:r>
    </w:p>
    <w:p w14:paraId="3CDC77B2" w14:textId="77777777" w:rsidR="00201F3F" w:rsidRPr="00CD0FEB" w:rsidRDefault="00201F3F" w:rsidP="00CE5492">
      <w:pPr>
        <w:pStyle w:val="14Footnote"/>
      </w:pPr>
      <w:r w:rsidRPr="00CD0FEB">
        <w:rPr>
          <w:i/>
          <w:iCs/>
        </w:rPr>
        <w:t>Tenth Circuit:</w:t>
      </w:r>
      <w:r w:rsidRPr="00CD0FEB">
        <w:t xml:space="preserve"> </w:t>
      </w:r>
      <w:r w:rsidRPr="00CD0FEB">
        <w:rPr>
          <w:i/>
          <w:iCs/>
        </w:rPr>
        <w:t>Chicago Title Insurance</w:t>
      </w:r>
      <w:r w:rsidRPr="00CD0FEB">
        <w:t>, 853 F. Supp. at 1330 (applying analysis to escrow closers).</w:t>
      </w:r>
    </w:p>
    <w:p w14:paraId="70E8B4EA" w14:textId="77777777" w:rsidR="00201F3F" w:rsidRPr="00CD0FEB" w:rsidRDefault="00201F3F" w:rsidP="00CE5492">
      <w:pPr>
        <w:pStyle w:val="14Footnote"/>
      </w:pPr>
      <w:r w:rsidRPr="00CD0FEB">
        <w:rPr>
          <w:i/>
          <w:iCs/>
        </w:rPr>
        <w:t>Eleventh Circuit:</w:t>
      </w:r>
      <w:r w:rsidRPr="00CD0FEB">
        <w:t xml:space="preserve"> </w:t>
      </w:r>
      <w:r w:rsidRPr="00CD0FEB">
        <w:rPr>
          <w:i/>
          <w:iCs/>
        </w:rPr>
        <w:t>Match</w:t>
      </w:r>
      <w:r w:rsidRPr="00CD0FEB">
        <w:t>, 2006 WL 510068 (applying analysis to rules officials).</w:t>
      </w:r>
    </w:p>
    <w:p w14:paraId="2A715943" w14:textId="77777777" w:rsidR="00201F3F" w:rsidRPr="00CD0FEB" w:rsidRDefault="00201F3F" w:rsidP="00CE5492">
      <w:pPr>
        <w:pStyle w:val="14Footnote"/>
      </w:pPr>
      <w:r w:rsidRPr="00CD0FEB">
        <w:rPr>
          <w:i/>
          <w:iCs/>
        </w:rPr>
        <w:t>D.C. Circuit:</w:t>
      </w:r>
      <w:r w:rsidRPr="00CD0FEB">
        <w:t xml:space="preserve"> </w:t>
      </w:r>
      <w:r w:rsidRPr="00CD0FEB">
        <w:rPr>
          <w:i/>
          <w:iCs/>
        </w:rPr>
        <w:t>Roney</w:t>
      </w:r>
      <w:r w:rsidRPr="00CD0FEB">
        <w:t xml:space="preserve">, 790 F. Supp. at 27 (applying analysis to deputy marshals); </w:t>
      </w:r>
      <w:r w:rsidRPr="00CD0FEB">
        <w:rPr>
          <w:i/>
          <w:iCs/>
        </w:rPr>
        <w:t>Harris</w:t>
      </w:r>
      <w:r w:rsidRPr="00CD0FEB">
        <w:t>, 741 F. Supp. at 261 (applying analysis to building inspectors).</w:t>
      </w:r>
    </w:p>
    <w:p w14:paraId="597A3AAD" w14:textId="77777777" w:rsidR="00201F3F" w:rsidRPr="00CD0FEB" w:rsidRDefault="00201F3F" w:rsidP="00CE5492">
      <w:pPr>
        <w:pStyle w:val="14Footnote"/>
      </w:pPr>
      <w:r w:rsidRPr="00CD0FEB">
        <w:rPr>
          <w:i/>
          <w:iCs/>
        </w:rPr>
        <w:t>Opinion Letters:</w:t>
      </w:r>
      <w:r w:rsidRPr="00CD0FEB">
        <w:t xml:space="preserve"> WH Op. FLSA2006-45, 2006 WL 3930478 (Dec. 21, 2006) (applying analysis to copy editors for marketing firms); WH Op. FLSA2005-30, 2005 WL 3308601 (Aug. 29, 2005) (applying analysis to regional advocate); WH Op. FLSA2001-11, 2001 WL 1869960 (Apr. 18, 2001) (applying analysis to home office sales consultants).</w:t>
      </w:r>
    </w:p>
  </w:footnote>
  <w:footnote w:id="482">
    <w:p w14:paraId="4129E8CC" w14:textId="77777777" w:rsidR="00201F3F" w:rsidRPr="00CD0FEB" w:rsidRDefault="00201F3F" w:rsidP="00CE5492">
      <w:pPr>
        <w:pStyle w:val="14Footnote"/>
      </w:pPr>
      <w:r w:rsidRPr="00CD0FEB">
        <w:rPr>
          <w:vertAlign w:val="superscript"/>
        </w:rPr>
        <w:footnoteRef/>
      </w:r>
      <w:r w:rsidRPr="00CD0FEB">
        <w:t>299 F.3d 1120, 7 WH Cases2d 1829</w:t>
      </w:r>
      <w:r w:rsidRPr="00513758">
        <w:t xml:space="preserve"> (</w:t>
      </w:r>
      <w:r w:rsidRPr="00CD0FEB">
        <w:t>9th Cir. 2002).</w:t>
      </w:r>
    </w:p>
  </w:footnote>
  <w:footnote w:id="483">
    <w:p w14:paraId="7FD4ADCD" w14:textId="77777777" w:rsidR="00201F3F" w:rsidRPr="00CD0FEB" w:rsidRDefault="00201F3F" w:rsidP="00CE5492">
      <w:pPr>
        <w:pStyle w:val="14Footnote"/>
      </w:pPr>
      <w:r w:rsidRPr="00CD0FEB">
        <w:rPr>
          <w:vertAlign w:val="superscript"/>
        </w:rPr>
        <w:footnoteRef/>
      </w:r>
      <w:r w:rsidRPr="00CD0FEB">
        <w:rPr>
          <w:i/>
          <w:iCs/>
        </w:rPr>
        <w:t>Id</w:t>
      </w:r>
      <w:r w:rsidRPr="00CD0FEB">
        <w:t>. at 1127.</w:t>
      </w:r>
    </w:p>
  </w:footnote>
  <w:footnote w:id="484">
    <w:p w14:paraId="1D1C8D8E" w14:textId="77777777" w:rsidR="00201F3F" w:rsidRPr="00CD0FEB" w:rsidRDefault="00201F3F" w:rsidP="00CE5492">
      <w:pPr>
        <w:pStyle w:val="14Footnote"/>
      </w:pPr>
      <w:r w:rsidRPr="00CD0FEB">
        <w:rPr>
          <w:vertAlign w:val="superscript"/>
        </w:rPr>
        <w:footnoteRef/>
      </w:r>
      <w:r w:rsidRPr="00CD0FEB">
        <w:t>94 F.3d 421, 3 WH Cases2d 737</w:t>
      </w:r>
      <w:r w:rsidRPr="00513758">
        <w:t xml:space="preserve"> (</w:t>
      </w:r>
      <w:r w:rsidRPr="00CD0FEB">
        <w:t>8th Cir. 1996).</w:t>
      </w:r>
    </w:p>
  </w:footnote>
  <w:footnote w:id="485">
    <w:p w14:paraId="6B6F52A1" w14:textId="77777777" w:rsidR="00201F3F" w:rsidRPr="00CD0FEB" w:rsidRDefault="00201F3F" w:rsidP="00CE5492">
      <w:pPr>
        <w:pStyle w:val="14Footnote"/>
      </w:pPr>
      <w:r w:rsidRPr="00CD0FEB">
        <w:rPr>
          <w:vertAlign w:val="superscript"/>
        </w:rPr>
        <w:footnoteRef/>
      </w:r>
      <w:r w:rsidRPr="00CD0FEB">
        <w:rPr>
          <w:i/>
          <w:iCs/>
        </w:rPr>
        <w:t>Id</w:t>
      </w:r>
      <w:r w:rsidRPr="00CD0FEB">
        <w:t>. at 425.</w:t>
      </w:r>
    </w:p>
  </w:footnote>
  <w:footnote w:id="486">
    <w:p w14:paraId="28C1E6B9" w14:textId="77777777" w:rsidR="00201F3F" w:rsidRPr="00CD0FEB" w:rsidRDefault="00201F3F" w:rsidP="00CE5492">
      <w:pPr>
        <w:pStyle w:val="14Footnote"/>
      </w:pPr>
      <w:r w:rsidRPr="00CD0FEB">
        <w:rPr>
          <w:vertAlign w:val="superscript"/>
        </w:rPr>
        <w:footnoteRef/>
      </w:r>
      <w:r w:rsidRPr="00CD0FEB">
        <w:rPr>
          <w:i/>
          <w:iCs/>
        </w:rPr>
        <w:t>Id</w:t>
      </w:r>
      <w:r w:rsidRPr="00CD0FEB">
        <w:t>. at 428.</w:t>
      </w:r>
    </w:p>
  </w:footnote>
  <w:footnote w:id="487">
    <w:p w14:paraId="31BD00FA" w14:textId="77777777" w:rsidR="00201F3F" w:rsidRPr="00CD0FEB" w:rsidRDefault="00201F3F" w:rsidP="00CE5492">
      <w:pPr>
        <w:pStyle w:val="14Footnote"/>
        <w:rPr>
          <w:i/>
          <w:iCs/>
        </w:rPr>
      </w:pPr>
      <w:r w:rsidRPr="00CD0FEB">
        <w:rPr>
          <w:vertAlign w:val="superscript"/>
        </w:rPr>
        <w:footnoteRef/>
      </w:r>
      <w:r w:rsidRPr="00CD0FEB">
        <w:rPr>
          <w:i/>
          <w:iCs/>
        </w:rPr>
        <w:t>Id</w:t>
      </w:r>
      <w:r w:rsidRPr="00CD0FEB">
        <w:t xml:space="preserve">.; </w:t>
      </w:r>
      <w:r w:rsidRPr="00CD0FEB">
        <w:rPr>
          <w:i/>
          <w:iCs/>
        </w:rPr>
        <w:t>see also</w:t>
      </w:r>
    </w:p>
    <w:p w14:paraId="3ADB5262" w14:textId="77777777" w:rsidR="00201F3F" w:rsidRPr="00CD0FEB" w:rsidRDefault="00201F3F" w:rsidP="00CE5492">
      <w:pPr>
        <w:pStyle w:val="14Footnote"/>
      </w:pPr>
      <w:r w:rsidRPr="00CD0FEB">
        <w:rPr>
          <w:i/>
          <w:iCs/>
        </w:rPr>
        <w:t>Second Circuit:</w:t>
      </w:r>
      <w:r w:rsidRPr="00CD0FEB">
        <w:t xml:space="preserve"> Krumholz v. Village of Northport, 873 F. Supp. 2d 481 (E.D.N.Y. 2012) (finding treasurer qualified as an exempt administrative employee where she exercised discretion and independent judgment in drafting budget, deciding where to invest village’s money, opening bank accounts, signing checks, and formulating and implementing management policies and operating practices). </w:t>
      </w:r>
    </w:p>
    <w:p w14:paraId="0AF45218" w14:textId="77777777" w:rsidR="00201F3F" w:rsidRPr="00CD0FEB" w:rsidRDefault="00201F3F" w:rsidP="00CE5492">
      <w:pPr>
        <w:pStyle w:val="14Footnote"/>
      </w:pPr>
      <w:r w:rsidRPr="00CD0FEB">
        <w:rPr>
          <w:i/>
          <w:iCs/>
        </w:rPr>
        <w:t>Sixth Circuit:</w:t>
      </w:r>
      <w:r w:rsidRPr="00CD0FEB">
        <w:t xml:space="preserve"> Lemmon v. Ayres, 860 F. Supp. 2d 489 (S.D. Ohio 2012) (finding staff accountant whose primary duties were keeping accounting records, preparing financial reports, and preparing tax returns was exempt administrative employee), </w:t>
      </w:r>
      <w:r w:rsidRPr="00CD0FEB">
        <w:rPr>
          <w:i/>
          <w:iCs/>
        </w:rPr>
        <w:t>rev’d in part on other grounds</w:t>
      </w:r>
      <w:r w:rsidRPr="00CD0FEB">
        <w:t>, 2013 WL 1003494, 20 WH Cases2d 953</w:t>
      </w:r>
      <w:r w:rsidRPr="00513758">
        <w:t xml:space="preserve"> (</w:t>
      </w:r>
      <w:r w:rsidRPr="00CD0FEB">
        <w:t>6th Cir. Mar. 15, 2013) (reversing summary judgment upon finding that factual dispute existed as to whether plaintiff was paid on salary basis); Fox v. Lovas, 2012 WL 692131 (W.D. Ky. Mar. 2, 2012) (concluding bookkeepers responsible for implementing and maintaining financial bookkeeping system, recommending software programs, and correcting erroneous bookkeeping errors, and who enjoyed substantial autonomy were properly classified as exempt administrative employees).</w:t>
      </w:r>
    </w:p>
    <w:p w14:paraId="59FE2A0D" w14:textId="77777777" w:rsidR="00201F3F" w:rsidRPr="00CD0FEB" w:rsidRDefault="00201F3F" w:rsidP="00CE5492">
      <w:pPr>
        <w:pStyle w:val="14Footnote"/>
      </w:pPr>
      <w:r w:rsidRPr="00CD0FEB">
        <w:rPr>
          <w:i/>
          <w:iCs/>
        </w:rPr>
        <w:t>Ninth Circuit:</w:t>
      </w:r>
      <w:r w:rsidRPr="00CD0FEB">
        <w:t xml:space="preserve"> Allen v. Centillium Commc’ns, Inc., 2008 WL 9196976, at *3 (N.D. Cal. Apr. 3, 2008) (holding accountant for company that designed and marketed integrated circuits and related hardware and software applications was properly classified as exempt administrative employee where she “invent[ed] the accounting system” and exercised ample discretion).</w:t>
      </w:r>
    </w:p>
    <w:p w14:paraId="06A00B92" w14:textId="77777777" w:rsidR="00201F3F" w:rsidRPr="00CD0FEB" w:rsidRDefault="00201F3F" w:rsidP="00CE5492">
      <w:pPr>
        <w:pStyle w:val="14Footnote"/>
      </w:pPr>
      <w:r w:rsidRPr="00CD0FEB">
        <w:rPr>
          <w:i/>
          <w:iCs/>
        </w:rPr>
        <w:t>Eleventh Circuit:</w:t>
      </w:r>
      <w:r w:rsidRPr="00CD0FEB">
        <w:t xml:space="preserve"> Brooks v. Healthcare-IQ, Inc., 2019 WL 497693 (M.D. Fla. Feb. 8, 2019) (holding software training manager was exempt administrative employee where he had primary authority and substantial autonomy in the design, customization, and delivery of training programs); Broach v. Snyder’s Lance, Inc., 2017 WL 6388864, at *7 (M.D. Fla. Aug. 17, 2017) (holding that plaintiff’s primary duties included tracking and analyzing sales activity and forecasts, preparing and presenting sales management meetings, implementing promotions, and recruiting and recommending independent business owners to higher management, all of which “went to the heart” of defendants’ business and were necessary to its operations); Garcia v. ALS Educ., Inc., 2017 WL 7791566 (S.D. Fla. July 21, 2017) (holding that plaintiff was not a “data entry technician” or a “highly paid secretary” where her primary duty was to advise ALS and others on topics related to the measurement of student teacher performance at ALS schools; the role required plaintiff to research, be knowledgeable about, and help the company comply with applicable performance standards established by legislatures and governmental authorities).</w:t>
      </w:r>
    </w:p>
    <w:p w14:paraId="44E88128" w14:textId="77777777" w:rsidR="00201F3F" w:rsidRPr="00CD0FEB" w:rsidRDefault="00201F3F" w:rsidP="00CE5492">
      <w:pPr>
        <w:pStyle w:val="14Footnote"/>
      </w:pPr>
      <w:r w:rsidRPr="00CD0FEB">
        <w:rPr>
          <w:i/>
          <w:iCs/>
        </w:rPr>
        <w:t xml:space="preserve">D.C. Circuit: </w:t>
      </w:r>
      <w:r w:rsidRPr="00CD0FEB">
        <w:t>Long v. Endocrine Soc’y, 263 F. Supp. 3d 275, 290–91 (D.D.C. 2017) (holding that plaintiff’s primary duty, which involved marketing defendant’s publication, was related to the running of the business; “plaintiff cannot use her lack of effort or exercise of creativity to argue that her job was menial”).</w:t>
      </w:r>
    </w:p>
  </w:footnote>
  <w:footnote w:id="488">
    <w:p w14:paraId="26AFC050" w14:textId="77777777" w:rsidR="00201F3F" w:rsidRPr="00CD0FEB" w:rsidRDefault="00201F3F" w:rsidP="00CE5492">
      <w:pPr>
        <w:pStyle w:val="14Footnote"/>
      </w:pPr>
      <w:r w:rsidRPr="00CD0FEB">
        <w:rPr>
          <w:vertAlign w:val="superscript"/>
        </w:rPr>
        <w:footnoteRef/>
      </w:r>
      <w:r w:rsidRPr="00CD0FEB">
        <w:t>247 F.3d 910, 914–17, 6 WH Cases2d 1601</w:t>
      </w:r>
      <w:r w:rsidRPr="00513758">
        <w:t xml:space="preserve"> (</w:t>
      </w:r>
      <w:r w:rsidRPr="00CD0FEB">
        <w:t>9th Cir. 2001).</w:t>
      </w:r>
    </w:p>
  </w:footnote>
  <w:footnote w:id="489">
    <w:p w14:paraId="3F717C4D" w14:textId="77777777" w:rsidR="00201F3F" w:rsidRPr="00CD0FEB" w:rsidRDefault="00201F3F" w:rsidP="00CE5492">
      <w:pPr>
        <w:pStyle w:val="14Footnote"/>
      </w:pPr>
      <w:r w:rsidRPr="00CD0FEB">
        <w:rPr>
          <w:vertAlign w:val="superscript"/>
        </w:rPr>
        <w:footnoteRef/>
      </w:r>
      <w:r w:rsidRPr="00CD0FEB">
        <w:rPr>
          <w:i/>
          <w:iCs/>
        </w:rPr>
        <w:t>Id</w:t>
      </w:r>
      <w:r w:rsidRPr="00CD0FEB">
        <w:t>. at 916.</w:t>
      </w:r>
    </w:p>
  </w:footnote>
  <w:footnote w:id="490">
    <w:p w14:paraId="7FBA7B7F"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Savage v. UNITE HERE, 2008 WL 1790402 (S.D.N.Y. Apr. 17, 2008) (determining union staff organizer responsible for promoting the union’s interests by increasing membership to be exempt).</w:t>
      </w:r>
    </w:p>
  </w:footnote>
  <w:footnote w:id="491">
    <w:p w14:paraId="3020BC10" w14:textId="77777777" w:rsidR="00201F3F" w:rsidRPr="00CD0FEB" w:rsidRDefault="00201F3F" w:rsidP="00CE5492">
      <w:pPr>
        <w:pStyle w:val="14Footnote"/>
      </w:pPr>
      <w:r w:rsidRPr="00CD0FEB">
        <w:rPr>
          <w:vertAlign w:val="superscript"/>
        </w:rPr>
        <w:footnoteRef/>
      </w:r>
      <w:r w:rsidRPr="00CD0FEB">
        <w:t xml:space="preserve">WH Op. FLSA2006-45, 2006 WL 3930478 (Dec. 21, 2006); </w:t>
      </w:r>
      <w:r w:rsidRPr="00CD0FEB">
        <w:rPr>
          <w:i/>
          <w:iCs/>
        </w:rPr>
        <w:t>see also</w:t>
      </w:r>
      <w:r w:rsidRPr="00CD0FEB">
        <w:t xml:space="preserve"> Dewan v. M-I, LLC, 858 F.3d 331, 337, 27 WH Cases2d 541</w:t>
      </w:r>
      <w:r w:rsidRPr="00513758">
        <w:t xml:space="preserve"> (</w:t>
      </w:r>
      <w:r w:rsidRPr="00CD0FEB">
        <w:t>5th Cir. 2017) (concluding that mud engineer’s primary duty of “[s]upplying the drilling-fluid systems seems more related to producing the commodities than the administering of [defendant’s] business”).</w:t>
      </w:r>
    </w:p>
  </w:footnote>
  <w:footnote w:id="492">
    <w:p w14:paraId="72DB6E47" w14:textId="77777777" w:rsidR="00201F3F" w:rsidRPr="00CD0FEB" w:rsidRDefault="00201F3F" w:rsidP="00CE5492">
      <w:pPr>
        <w:pStyle w:val="14Footnote"/>
      </w:pPr>
      <w:r w:rsidRPr="00CD0FEB">
        <w:rPr>
          <w:vertAlign w:val="superscript"/>
        </w:rPr>
        <w:footnoteRef/>
      </w:r>
      <w:r w:rsidRPr="00CD0FEB">
        <w:t xml:space="preserve">WH Op. FLSA2005-30, 2005 WL 3308601 (Aug. 29, 2005); </w:t>
      </w:r>
      <w:r w:rsidRPr="00CD0FEB">
        <w:rPr>
          <w:i/>
          <w:iCs/>
        </w:rPr>
        <w:t>see also</w:t>
      </w:r>
      <w:r w:rsidRPr="00CD0FEB">
        <w:t xml:space="preserve"> Colyer v. SSC Disability Servs., LLC, 2012 WL 882500, at *9 (S.D. Fla. Mar. 14, 2012) (observing that administrative/production analysis “disfavors an exemption” in case of advocate for disability claimants where “to the extent [plaintiff] made determinations about whether to proceed with an application or not, it amounted to a ‘yes or no decision,’ rather than providing advice as to which product might suit [the] clients’ needs.”).</w:t>
      </w:r>
    </w:p>
  </w:footnote>
  <w:footnote w:id="493">
    <w:p w14:paraId="67228A09" w14:textId="77777777" w:rsidR="00201F3F" w:rsidRPr="00513758" w:rsidRDefault="00201F3F" w:rsidP="00CE5492">
      <w:pPr>
        <w:pStyle w:val="14Footnote"/>
      </w:pPr>
      <w:r w:rsidRPr="00CD0FEB">
        <w:rPr>
          <w:rStyle w:val="FootnoteReference"/>
        </w:rPr>
        <w:footnoteRef/>
      </w:r>
      <w:r w:rsidRPr="00513758">
        <w:t>391 F. Supp. 3d 546 (E.D. Va. 2019).</w:t>
      </w:r>
    </w:p>
  </w:footnote>
  <w:footnote w:id="494">
    <w:p w14:paraId="33165902" w14:textId="77777777" w:rsidR="00201F3F" w:rsidRPr="00CD0FEB" w:rsidRDefault="00201F3F" w:rsidP="00F961CA">
      <w:pPr>
        <w:pStyle w:val="14Footnote"/>
        <w:spacing w:after="0"/>
      </w:pPr>
      <w:r w:rsidRPr="00CD0FEB">
        <w:rPr>
          <w:rStyle w:val="FootnoteReference"/>
        </w:rPr>
        <w:footnoteRef/>
      </w:r>
      <w:r w:rsidRPr="00CD0FEB">
        <w:rPr>
          <w:i/>
          <w:iCs/>
        </w:rPr>
        <w:t>Id.</w:t>
      </w:r>
      <w:r w:rsidRPr="00CD0FEB">
        <w:t xml:space="preserve"> at 556.</w:t>
      </w:r>
    </w:p>
  </w:footnote>
  <w:footnote w:id="495">
    <w:p w14:paraId="7B615E1E" w14:textId="77777777" w:rsidR="00201F3F" w:rsidRPr="00F961CA" w:rsidRDefault="00201F3F" w:rsidP="00F746E7">
      <w:pPr>
        <w:pStyle w:val="FootnoteText"/>
        <w:rPr>
          <w:i/>
          <w:iCs/>
        </w:rPr>
      </w:pPr>
      <w:r>
        <w:rPr>
          <w:rStyle w:val="FootnoteReference"/>
        </w:rPr>
        <w:footnoteRef/>
      </w:r>
      <w:r w:rsidRPr="00F961CA">
        <w:t>Perez v. Express Scripts, Inc., 2024 BL 74089,</w:t>
      </w:r>
      <w:r>
        <w:rPr>
          <w:i/>
          <w:iCs/>
        </w:rPr>
        <w:t xml:space="preserve"> </w:t>
      </w:r>
      <w:r>
        <w:t>2024 WL 957978 (3d Cir. Mar. 6, 2024).</w:t>
      </w:r>
    </w:p>
  </w:footnote>
  <w:footnote w:id="496">
    <w:p w14:paraId="61648E2C" w14:textId="77777777" w:rsidR="00201F3F" w:rsidRPr="00A11AE0" w:rsidRDefault="00201F3F" w:rsidP="00FE1E16">
      <w:pPr>
        <w:pStyle w:val="FootnoteText"/>
      </w:pPr>
      <w:r>
        <w:rPr>
          <w:rStyle w:val="FootnoteReference"/>
        </w:rPr>
        <w:footnoteRef/>
      </w:r>
      <w:r>
        <w:rPr>
          <w:i/>
          <w:iCs/>
        </w:rPr>
        <w:t>Id.</w:t>
      </w:r>
      <w:r>
        <w:t xml:space="preserve"> at *4.</w:t>
      </w:r>
    </w:p>
  </w:footnote>
  <w:footnote w:id="497">
    <w:p w14:paraId="69AF0FC3" w14:textId="77777777" w:rsidR="00201F3F" w:rsidRDefault="00201F3F" w:rsidP="00FE1E16">
      <w:pPr>
        <w:pStyle w:val="FootnoteText"/>
      </w:pPr>
      <w:r>
        <w:rPr>
          <w:rStyle w:val="FootnoteReference"/>
        </w:rPr>
        <w:footnoteRef/>
      </w:r>
      <w:r>
        <w:rPr>
          <w:i/>
          <w:iCs/>
        </w:rPr>
        <w:t>Id.</w:t>
      </w:r>
      <w:r>
        <w:t xml:space="preserve"> at *3.</w:t>
      </w:r>
    </w:p>
  </w:footnote>
  <w:footnote w:id="498">
    <w:p w14:paraId="7BFCAD9D" w14:textId="77777777" w:rsidR="00201F3F" w:rsidRPr="00CD0FEB" w:rsidRDefault="00201F3F" w:rsidP="00F961CA">
      <w:pPr>
        <w:pStyle w:val="14Footnote"/>
        <w:spacing w:after="0"/>
      </w:pPr>
      <w:r w:rsidRPr="00CD0FEB">
        <w:rPr>
          <w:rStyle w:val="FootnoteReference"/>
        </w:rPr>
        <w:footnoteRef/>
      </w:r>
      <w:r w:rsidRPr="00F961CA">
        <w:t>Walsh v. Unitil Serv</w:t>
      </w:r>
      <w:r>
        <w:t>.</w:t>
      </w:r>
      <w:r w:rsidRPr="00F961CA">
        <w:t xml:space="preserve"> Corp.</w:t>
      </w:r>
      <w:r>
        <w:t xml:space="preserve">, </w:t>
      </w:r>
      <w:r w:rsidRPr="00CD0FEB">
        <w:t xml:space="preserve">64 </w:t>
      </w:r>
      <w:r>
        <w:t>F.4th</w:t>
      </w:r>
      <w:r w:rsidRPr="00CD0FEB">
        <w:t xml:space="preserve"> 1</w:t>
      </w:r>
      <w:r w:rsidRPr="00F961CA">
        <w:rPr>
          <w:vertAlign w:val="superscript"/>
        </w:rPr>
        <w:t xml:space="preserve"> </w:t>
      </w:r>
      <w:r>
        <w:t xml:space="preserve">(1st </w:t>
      </w:r>
      <w:r w:rsidRPr="00CD0FEB">
        <w:t>Cir. 2023).</w:t>
      </w:r>
    </w:p>
  </w:footnote>
  <w:footnote w:id="499">
    <w:p w14:paraId="279D50F4" w14:textId="77777777" w:rsidR="00201F3F" w:rsidRPr="00CD0FEB" w:rsidRDefault="00201F3F" w:rsidP="00F961CA">
      <w:pPr>
        <w:pStyle w:val="14Footnote"/>
        <w:spacing w:after="0"/>
      </w:pPr>
      <w:r w:rsidRPr="00CD0FEB">
        <w:rPr>
          <w:rStyle w:val="FootnoteReference"/>
        </w:rPr>
        <w:footnoteRef/>
      </w:r>
      <w:r w:rsidRPr="00CD0FEB">
        <w:rPr>
          <w:i/>
          <w:iCs/>
        </w:rPr>
        <w:t>Id.</w:t>
      </w:r>
      <w:r w:rsidRPr="00CD0FEB">
        <w:t xml:space="preserve"> at 6 (citations omitted).</w:t>
      </w:r>
    </w:p>
  </w:footnote>
  <w:footnote w:id="500">
    <w:p w14:paraId="5937704A" w14:textId="77777777" w:rsidR="00201F3F" w:rsidRDefault="00201F3F" w:rsidP="00FE1E16">
      <w:pPr>
        <w:pStyle w:val="FootnoteText"/>
      </w:pPr>
      <w:r>
        <w:rPr>
          <w:rStyle w:val="FootnoteReference"/>
        </w:rPr>
        <w:footnoteRef/>
      </w:r>
      <w:r w:rsidRPr="00F961CA">
        <w:t>Marcus v. American Cont</w:t>
      </w:r>
      <w:r>
        <w:t>.</w:t>
      </w:r>
      <w:r w:rsidRPr="00F961CA">
        <w:t xml:space="preserve"> Bridge League,</w:t>
      </w:r>
      <w:r>
        <w:t xml:space="preserve"> 80 F.4th 33 (1st Cir. 2024).</w:t>
      </w:r>
    </w:p>
  </w:footnote>
  <w:footnote w:id="501">
    <w:p w14:paraId="3EDBA3F2" w14:textId="77777777" w:rsidR="00201F3F" w:rsidRPr="003B3A6B" w:rsidRDefault="00201F3F" w:rsidP="00FE1E16">
      <w:pPr>
        <w:pStyle w:val="FootnoteText"/>
      </w:pPr>
      <w:r>
        <w:rPr>
          <w:rStyle w:val="FootnoteReference"/>
        </w:rPr>
        <w:footnoteRef/>
      </w:r>
      <w:r>
        <w:rPr>
          <w:i/>
          <w:iCs/>
        </w:rPr>
        <w:t>Id.</w:t>
      </w:r>
      <w:r>
        <w:t xml:space="preserve"> at 47.</w:t>
      </w:r>
    </w:p>
  </w:footnote>
  <w:footnote w:id="502">
    <w:p w14:paraId="0B2D4552" w14:textId="77777777" w:rsidR="00201F3F" w:rsidRDefault="00201F3F" w:rsidP="00FE1E16">
      <w:pPr>
        <w:pStyle w:val="FootnoteText"/>
      </w:pPr>
      <w:r>
        <w:rPr>
          <w:rStyle w:val="FootnoteReference"/>
        </w:rPr>
        <w:footnoteRef/>
      </w:r>
      <w:r>
        <w:rPr>
          <w:i/>
          <w:iCs/>
        </w:rPr>
        <w:t>Id.</w:t>
      </w:r>
      <w:r>
        <w:t xml:space="preserve"> at 47–48.</w:t>
      </w:r>
    </w:p>
  </w:footnote>
  <w:footnote w:id="503">
    <w:p w14:paraId="62C91C6D" w14:textId="77777777" w:rsidR="00201F3F" w:rsidRDefault="00201F3F" w:rsidP="00FE1E16">
      <w:pPr>
        <w:pStyle w:val="FootnoteText"/>
      </w:pPr>
      <w:r>
        <w:rPr>
          <w:rStyle w:val="FootnoteReference"/>
        </w:rPr>
        <w:footnoteRef/>
      </w:r>
      <w:r>
        <w:rPr>
          <w:i/>
          <w:iCs/>
        </w:rPr>
        <w:t>Id.</w:t>
      </w:r>
      <w:r>
        <w:t xml:space="preserve"> at 48.</w:t>
      </w:r>
    </w:p>
  </w:footnote>
  <w:footnote w:id="504">
    <w:p w14:paraId="58545FEE" w14:textId="77777777" w:rsidR="00201F3F" w:rsidRDefault="00201F3F" w:rsidP="00FE1E16">
      <w:pPr>
        <w:pStyle w:val="FootnoteText"/>
      </w:pPr>
      <w:r>
        <w:rPr>
          <w:rStyle w:val="FootnoteReference"/>
        </w:rPr>
        <w:footnoteRef/>
      </w:r>
      <w:r>
        <w:rPr>
          <w:i/>
          <w:iCs/>
        </w:rPr>
        <w:t>Id.</w:t>
      </w:r>
      <w:r>
        <w:t xml:space="preserve"> at 48–49.</w:t>
      </w:r>
    </w:p>
  </w:footnote>
  <w:footnote w:id="505">
    <w:p w14:paraId="37F1219A" w14:textId="77777777" w:rsidR="00201F3F" w:rsidRDefault="00201F3F" w:rsidP="00FE1E16">
      <w:pPr>
        <w:pStyle w:val="FootnoteText"/>
      </w:pPr>
      <w:r>
        <w:rPr>
          <w:rStyle w:val="FootnoteReference"/>
        </w:rPr>
        <w:footnoteRef/>
      </w:r>
      <w:r>
        <w:rPr>
          <w:i/>
          <w:iCs/>
        </w:rPr>
        <w:t>Id.</w:t>
      </w:r>
      <w:r>
        <w:t xml:space="preserve"> at 49.</w:t>
      </w:r>
    </w:p>
  </w:footnote>
  <w:footnote w:id="506">
    <w:p w14:paraId="38A2D940" w14:textId="77777777" w:rsidR="00201F3F" w:rsidRPr="00CD0FEB" w:rsidRDefault="00201F3F" w:rsidP="00CE5492">
      <w:pPr>
        <w:pStyle w:val="14Footnote"/>
      </w:pPr>
      <w:r w:rsidRPr="00CD0FEB">
        <w:rPr>
          <w:vertAlign w:val="superscript"/>
        </w:rPr>
        <w:footnoteRef/>
      </w:r>
      <w:r w:rsidRPr="00CD0FEB">
        <w:t>587 F.3d 529, 15 WH Cases2d 932 (2d Cir. 2009).</w:t>
      </w:r>
    </w:p>
  </w:footnote>
  <w:footnote w:id="507">
    <w:p w14:paraId="5A7550F4" w14:textId="77777777" w:rsidR="00201F3F" w:rsidRPr="00CD0FEB" w:rsidRDefault="00201F3F" w:rsidP="00CE5492">
      <w:pPr>
        <w:pStyle w:val="14Footnote"/>
      </w:pPr>
      <w:r w:rsidRPr="00CD0FEB">
        <w:rPr>
          <w:vertAlign w:val="superscript"/>
        </w:rPr>
        <w:footnoteRef/>
      </w:r>
      <w:r w:rsidRPr="00CD0FEB">
        <w:t>587 F.3d</w:t>
      </w:r>
      <w:r w:rsidRPr="00CD0FEB">
        <w:rPr>
          <w:i/>
          <w:iCs/>
        </w:rPr>
        <w:t xml:space="preserve"> </w:t>
      </w:r>
      <w:r w:rsidRPr="00CD0FEB">
        <w:t>at 532.</w:t>
      </w:r>
    </w:p>
  </w:footnote>
  <w:footnote w:id="508">
    <w:p w14:paraId="61AF7F46" w14:textId="77777777" w:rsidR="00201F3F" w:rsidRPr="00CD0FEB" w:rsidRDefault="00201F3F"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at 536–37.</w:t>
      </w:r>
    </w:p>
  </w:footnote>
  <w:footnote w:id="509">
    <w:p w14:paraId="24B28A15" w14:textId="77777777" w:rsidR="00201F3F" w:rsidRPr="00CD0FEB" w:rsidRDefault="00201F3F" w:rsidP="00CE5492">
      <w:pPr>
        <w:pStyle w:val="14Footnote"/>
      </w:pPr>
      <w:r w:rsidRPr="00CD0FEB">
        <w:rPr>
          <w:vertAlign w:val="superscript"/>
        </w:rPr>
        <w:footnoteRef/>
      </w:r>
      <w:r w:rsidRPr="00CD0FEB">
        <w:rPr>
          <w:i/>
          <w:iCs/>
        </w:rPr>
        <w:t>Id</w:t>
      </w:r>
      <w:r w:rsidRPr="00CD0FEB">
        <w:t>.</w:t>
      </w:r>
      <w:r w:rsidRPr="00CD0FEB">
        <w:rPr>
          <w:i/>
          <w:iCs/>
        </w:rPr>
        <w:t xml:space="preserve"> </w:t>
      </w:r>
      <w:r w:rsidRPr="00CD0FEB">
        <w:t xml:space="preserve">at 534, 535. In concluding that the mortgage loan underwrites were nonexempt, the </w:t>
      </w:r>
      <w:r w:rsidRPr="00CD0FEB">
        <w:rPr>
          <w:i/>
          <w:iCs/>
        </w:rPr>
        <w:t>Davis</w:t>
      </w:r>
      <w:r w:rsidRPr="00CD0FEB">
        <w:t xml:space="preserve"> court denied any inconsistency with the Second Circuit’s earlier decision in </w:t>
      </w:r>
      <w:r w:rsidRPr="00CD0FEB">
        <w:rPr>
          <w:i/>
          <w:iCs/>
        </w:rPr>
        <w:t>Havey v</w:t>
      </w:r>
      <w:r w:rsidRPr="00CD0FEB">
        <w:t>.</w:t>
      </w:r>
      <w:r w:rsidRPr="00CD0FEB">
        <w:rPr>
          <w:i/>
          <w:iCs/>
        </w:rPr>
        <w:t xml:space="preserve"> Homebound Mortgage, Inc</w:t>
      </w:r>
      <w:r w:rsidRPr="00CD0FEB">
        <w:t xml:space="preserve">., 547 F.3d 158, 14 WH Cases2d 225 (2d Cir. 2008), affirming the district court’s finding that certain underwriters qualified for the administrative exemption. Because the lone issue raised on appeal in </w:t>
      </w:r>
      <w:r w:rsidRPr="00CD0FEB">
        <w:rPr>
          <w:i/>
          <w:iCs/>
        </w:rPr>
        <w:t>Havey</w:t>
      </w:r>
      <w:r w:rsidRPr="00CD0FEB">
        <w:t xml:space="preserve"> concerned whether the plaintiffs were paid on a salary basis, the court’s decision there “offered no analysis as to whether the underwriters performed work directly related to the management policies or general business operations of their employers under the FLSA.” </w:t>
      </w:r>
      <w:r w:rsidRPr="00CD0FEB">
        <w:rPr>
          <w:i/>
          <w:iCs/>
        </w:rPr>
        <w:t>Davis</w:t>
      </w:r>
      <w:r w:rsidRPr="00CD0FEB">
        <w:t>, 587 F.3d at 532.</w:t>
      </w:r>
    </w:p>
  </w:footnote>
  <w:footnote w:id="510">
    <w:p w14:paraId="7067FF73" w14:textId="77777777" w:rsidR="00201F3F" w:rsidRPr="00CD0FEB" w:rsidRDefault="00201F3F" w:rsidP="00CE5492">
      <w:pPr>
        <w:pStyle w:val="14Footnote"/>
      </w:pPr>
      <w:r w:rsidRPr="00CD0FEB">
        <w:rPr>
          <w:vertAlign w:val="superscript"/>
        </w:rPr>
        <w:footnoteRef/>
      </w:r>
      <w:r w:rsidRPr="00CD0FEB">
        <w:t>815 F.3d 988, 26 WH Cases2d 160</w:t>
      </w:r>
      <w:r w:rsidRPr="00226A66">
        <w:t xml:space="preserve"> (</w:t>
      </w:r>
      <w:r w:rsidRPr="00CD0FEB">
        <w:t xml:space="preserve">6th Cir. 2016). </w:t>
      </w:r>
    </w:p>
  </w:footnote>
  <w:footnote w:id="511">
    <w:p w14:paraId="60BFC4FA"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815 F.3d at 995. </w:t>
      </w:r>
    </w:p>
  </w:footnote>
  <w:footnote w:id="512">
    <w:p w14:paraId="37F4A1BB"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997–98 (emphasis in original); </w:t>
      </w:r>
      <w:r w:rsidRPr="00CD0FEB">
        <w:rPr>
          <w:i/>
          <w:iCs/>
        </w:rPr>
        <w:t>see also</w:t>
      </w:r>
      <w:r w:rsidRPr="00CD0FEB">
        <w:t xml:space="preserve"> Geist v. Handke, 2018 WL 3474175 (D. Kan. July 19, 2018) (denying summary judgment, finding reasonable factfinder could find underwriter nonexempt); Hanis v. Metropolitan Life Ins. Co., 2016 WL 5660344 (W.D. Mo. Sept. 29, 2016) (determining that insurance underwriter’s primary duty of protecting and advising employer was directly related to its management and business operations). </w:t>
      </w:r>
    </w:p>
  </w:footnote>
  <w:footnote w:id="513">
    <w:p w14:paraId="3EED66E3" w14:textId="77777777" w:rsidR="00201F3F" w:rsidRPr="00CD0FEB" w:rsidRDefault="00201F3F" w:rsidP="00CE5492">
      <w:pPr>
        <w:pStyle w:val="14Footnote"/>
      </w:pPr>
      <w:r w:rsidRPr="00CD0FEB">
        <w:rPr>
          <w:vertAlign w:val="superscript"/>
        </w:rPr>
        <w:footnoteRef/>
      </w:r>
      <w:r w:rsidRPr="00CD0FEB">
        <w:t>862 F.3d 847</w:t>
      </w:r>
      <w:r w:rsidRPr="00226A66">
        <w:t xml:space="preserve"> (</w:t>
      </w:r>
      <w:r w:rsidRPr="00CD0FEB">
        <w:t xml:space="preserve">9th Cir. 2017). </w:t>
      </w:r>
    </w:p>
  </w:footnote>
  <w:footnote w:id="514">
    <w:p w14:paraId="3490F825" w14:textId="77777777" w:rsidR="00201F3F" w:rsidRPr="00CD0FEB" w:rsidRDefault="00201F3F" w:rsidP="00CE5492">
      <w:pPr>
        <w:pStyle w:val="14Footnote"/>
      </w:pPr>
      <w:r w:rsidRPr="00CD0FEB">
        <w:rPr>
          <w:vertAlign w:val="superscript"/>
        </w:rPr>
        <w:footnoteRef/>
      </w:r>
      <w:r w:rsidRPr="00CD0FEB">
        <w:rPr>
          <w:i/>
          <w:iCs/>
        </w:rPr>
        <w:t>Id.</w:t>
      </w:r>
      <w:r w:rsidRPr="00CD0FEB">
        <w:t xml:space="preserve"> at 854; </w:t>
      </w:r>
      <w:r w:rsidRPr="00CD0FEB">
        <w:rPr>
          <w:i/>
          <w:iCs/>
        </w:rPr>
        <w:t>see also</w:t>
      </w:r>
      <w:r w:rsidRPr="00CD0FEB">
        <w:t xml:space="preserve"> Fraser v. Patrick O’Connor &amp; Assocs., L.P., 954 F.3d 742, 747</w:t>
      </w:r>
      <w:r w:rsidRPr="00226A66">
        <w:t xml:space="preserve"> (</w:t>
      </w:r>
      <w:r w:rsidRPr="00CD0FEB">
        <w:t>5th Cir. 2020) (drawing analogy to mortgage loan officers and finding property-tax consultants were not administratively exempt in that they “provide the tax-reduction services that [defendant] offers its clients—i.e., the production work of [defendant]”).</w:t>
      </w:r>
    </w:p>
  </w:footnote>
  <w:footnote w:id="515">
    <w:p w14:paraId="388C6993" w14:textId="77777777" w:rsidR="00201F3F" w:rsidRPr="00CD0FEB" w:rsidRDefault="00201F3F" w:rsidP="00CE5492">
      <w:pPr>
        <w:pStyle w:val="14Footnote"/>
      </w:pPr>
      <w:r w:rsidRPr="00CD0FEB">
        <w:rPr>
          <w:vertAlign w:val="superscript"/>
        </w:rPr>
        <w:footnoteRef/>
      </w:r>
      <w:r w:rsidRPr="00CD0FEB">
        <w:t xml:space="preserve">Nigg v. United States Postal Serv., 829 F. Supp. 2d 889, 899–900 (C.D. Cal. 2011) (observing that law enforcement functions performed by postal inspectors, such as investigating, apprehending, and detaining individuals suspected or convicted of crimes relating to the Postal Service, “support the general business operations of the Postal Service and its customers,” which “is to provide safe and reliable mail service,” and “not to conduct law enforcement investigations and apprehend criminals”); </w:t>
      </w:r>
      <w:r w:rsidRPr="00CD0FEB">
        <w:rPr>
          <w:i/>
          <w:iCs/>
        </w:rPr>
        <w:t>see also</w:t>
      </w:r>
      <w:r w:rsidRPr="00CD0FEB">
        <w:t xml:space="preserve"> Fleming v. Carpenters/Contractors Cooperation Comm., 834 F. Supp. 323, 328, 1 WH Cases2d 1047 (S.D. Cal. 1993) (deeming field investigator of labor activities not exempt); Gusdonovich v. Business Info. Co., 705 F. Supp. 262, 28 WH Cases 1372 (W.D. Pa. 1985) (holding investigator who searched records, conducted interviews, and carried out surveillance not exempt).</w:t>
      </w:r>
    </w:p>
  </w:footnote>
  <w:footnote w:id="516">
    <w:p w14:paraId="7DBB06D6" w14:textId="77777777" w:rsidR="00201F3F" w:rsidRPr="00CD0FEB" w:rsidRDefault="00201F3F" w:rsidP="00CE5492">
      <w:pPr>
        <w:pStyle w:val="14Footnote"/>
      </w:pPr>
      <w:r w:rsidRPr="00CD0FEB">
        <w:rPr>
          <w:vertAlign w:val="superscript"/>
        </w:rPr>
        <w:footnoteRef/>
      </w:r>
      <w:r w:rsidRPr="00CD0FEB">
        <w:t>Adams v. United States, 26 Cl. Ct. 782, 1 WH Cases2d 1585 (1992).</w:t>
      </w:r>
    </w:p>
  </w:footnote>
  <w:footnote w:id="517">
    <w:p w14:paraId="0B02492A" w14:textId="77777777" w:rsidR="00201F3F" w:rsidRPr="00CD0FEB" w:rsidRDefault="00201F3F" w:rsidP="00CE5492">
      <w:pPr>
        <w:pStyle w:val="14Footnote"/>
      </w:pPr>
      <w:r w:rsidRPr="00CD0FEB">
        <w:rPr>
          <w:vertAlign w:val="superscript"/>
        </w:rPr>
        <w:footnoteRef/>
      </w:r>
      <w:r w:rsidRPr="00CD0FEB">
        <w:t>Shea v. United States, 976 F.3d 1292, 1297 (Fed. Cir. 2020) (finding exemption inapplicable to investigation specialist whose primary duty was conducting surveillance in support of criminal and counterintelligence investigations); Reich v. New York, 3 F.3d 581, 587–88, 1 WH Cases2d 950, 951 (2d Cir. 1993) (deeming investigators performing such activities engaged in production aspects of law enforcement and not exempt).</w:t>
      </w:r>
    </w:p>
  </w:footnote>
  <w:footnote w:id="518">
    <w:p w14:paraId="71BD88D3" w14:textId="77777777" w:rsidR="00201F3F" w:rsidRPr="00CD0FEB" w:rsidRDefault="00201F3F" w:rsidP="00CE5492">
      <w:pPr>
        <w:pStyle w:val="14Footnote"/>
      </w:pPr>
      <w:r w:rsidRPr="00CD0FEB">
        <w:rPr>
          <w:vertAlign w:val="superscript"/>
        </w:rPr>
        <w:footnoteRef/>
      </w:r>
      <w:r w:rsidRPr="00CD0FEB">
        <w:rPr>
          <w:i/>
          <w:iCs/>
        </w:rPr>
        <w:t>Adams</w:t>
      </w:r>
      <w:r w:rsidRPr="00CD0FEB">
        <w:t>, 26 Cl. Ct. 782 (determining senior border patrol agents not exempt when engaged in intelligence, anti-smuggling, and prosecution activities).</w:t>
      </w:r>
    </w:p>
  </w:footnote>
  <w:footnote w:id="519">
    <w:p w14:paraId="0F370C2E" w14:textId="77777777" w:rsidR="00201F3F" w:rsidRPr="00CD0FEB" w:rsidRDefault="00201F3F" w:rsidP="00CE5492">
      <w:pPr>
        <w:pStyle w:val="14Footnote"/>
      </w:pPr>
      <w:r w:rsidRPr="00CD0FEB">
        <w:rPr>
          <w:vertAlign w:val="superscript"/>
        </w:rPr>
        <w:footnoteRef/>
      </w:r>
      <w:r w:rsidRPr="00CD0FEB">
        <w:t>Bratt v. County of L.A., 912 F.2d 1066, 1070, 29 WH Cases 1578</w:t>
      </w:r>
      <w:r w:rsidRPr="00226A66">
        <w:t xml:space="preserve"> (</w:t>
      </w:r>
      <w:r w:rsidRPr="00CD0FEB">
        <w:t xml:space="preserve">9th Cir. 1990) (finding probation officer who investigated defendants and made sentencing recommendations not engaged in exempt work); </w:t>
      </w:r>
      <w:r w:rsidRPr="00CD0FEB">
        <w:rPr>
          <w:i/>
          <w:iCs/>
        </w:rPr>
        <w:t>see also</w:t>
      </w:r>
      <w:r w:rsidRPr="00CD0FEB">
        <w:t xml:space="preserve"> WH Op. FLSA2018-13, 2018 WL 2348792 (Jan. 5, 2018) (opining that analysts employed by company that combats fraud and theft in the insurance industry did not qualify for administrative exemption where primary duties of conducting investigations and collecting and analyzing data do not relate to employer’s management or general business operations; concluding that Field Information Analyst’s primary duty of collecting intelligence information, coordinating the collection efforts of area personnel, and evaluating and approving information to ensure accuracy and relevancy directly relates to the functional area of quality control).</w:t>
      </w:r>
    </w:p>
  </w:footnote>
  <w:footnote w:id="520">
    <w:p w14:paraId="4DDAE833" w14:textId="77777777" w:rsidR="00201F3F" w:rsidRPr="00CD0FEB" w:rsidRDefault="00201F3F" w:rsidP="00CE5492">
      <w:pPr>
        <w:pStyle w:val="14Footnote"/>
      </w:pPr>
      <w:r w:rsidRPr="00CD0FEB">
        <w:rPr>
          <w:vertAlign w:val="superscript"/>
        </w:rPr>
        <w:footnoteRef/>
      </w:r>
      <w:r w:rsidRPr="00CD0FEB">
        <w:t>29 C.F.R. §541.200(a)(3).</w:t>
      </w:r>
    </w:p>
  </w:footnote>
  <w:footnote w:id="521">
    <w:p w14:paraId="620ABBCD" w14:textId="77777777" w:rsidR="00201F3F" w:rsidRPr="00CD0FEB" w:rsidRDefault="00201F3F" w:rsidP="00CE5492">
      <w:pPr>
        <w:pStyle w:val="14Footnote"/>
      </w:pPr>
      <w:r w:rsidRPr="00CD0FEB">
        <w:rPr>
          <w:vertAlign w:val="superscript"/>
        </w:rPr>
        <w:footnoteRef/>
      </w:r>
      <w:r w:rsidRPr="00CD0FEB">
        <w:t xml:space="preserve">69 Fed. Reg. 22,121, 22,139 (Apr. 23, 2004); </w:t>
      </w:r>
      <w:r w:rsidRPr="00CD0FEB">
        <w:rPr>
          <w:i/>
          <w:iCs/>
        </w:rPr>
        <w:t>see also</w:t>
      </w:r>
      <w:r w:rsidRPr="00CD0FEB">
        <w:t xml:space="preserve"> Hunter v. Sprint Corp., 453 F. Supp. 2d 44 (D.D.C. 2006) (holding administrative exemption not applicable where employee’s exercise of discretion and independent judgment is </w:t>
      </w:r>
      <w:r w:rsidRPr="00CD0FEB">
        <w:rPr>
          <w:i/>
          <w:iCs/>
        </w:rPr>
        <w:t>unrelated</w:t>
      </w:r>
      <w:r w:rsidRPr="00CD0FEB">
        <w:t xml:space="preserve"> to management or general business operations).</w:t>
      </w:r>
    </w:p>
  </w:footnote>
  <w:footnote w:id="522">
    <w:p w14:paraId="50D3880E" w14:textId="77777777" w:rsidR="00201F3F" w:rsidRPr="00CD0FEB" w:rsidRDefault="00201F3F" w:rsidP="00CE5492">
      <w:pPr>
        <w:pStyle w:val="14Footnote"/>
      </w:pPr>
      <w:r w:rsidRPr="00CD0FEB">
        <w:rPr>
          <w:vertAlign w:val="superscript"/>
        </w:rPr>
        <w:footnoteRef/>
      </w:r>
      <w:r w:rsidRPr="00CD0FEB">
        <w:t xml:space="preserve">29 C.F.R. §541.202(a); </w:t>
      </w:r>
      <w:r w:rsidRPr="00CD0FEB">
        <w:rPr>
          <w:i/>
          <w:iCs/>
        </w:rPr>
        <w:t>see also</w:t>
      </w:r>
      <w:r w:rsidRPr="00CD0FEB">
        <w:t xml:space="preserve"> Ramsey v. Wallace Elec. Co., LLC, 653 F. App’x 675, 677, 26 WH Cases2d 1010 </w:t>
      </w:r>
      <w:r w:rsidRPr="00226A66">
        <w:t>(</w:t>
      </w:r>
      <w:r w:rsidRPr="00323FAC">
        <w:t>11th</w:t>
      </w:r>
      <w:r w:rsidRPr="00CD0FEB">
        <w:t xml:space="preserve"> Cir. 2016) (observing that “exercising discretion with respect to matters of significance generally requires that an employee make consequential decisions among available options”).</w:t>
      </w:r>
    </w:p>
  </w:footnote>
  <w:footnote w:id="523">
    <w:p w14:paraId="5E176018" w14:textId="77777777" w:rsidR="00201F3F" w:rsidRPr="00CD0FEB" w:rsidRDefault="00201F3F" w:rsidP="00CE5492">
      <w:pPr>
        <w:pStyle w:val="14Footnote"/>
      </w:pPr>
      <w:r w:rsidRPr="00CD0FEB">
        <w:rPr>
          <w:vertAlign w:val="superscript"/>
        </w:rPr>
        <w:footnoteRef/>
      </w:r>
      <w:r w:rsidRPr="00CD0FEB">
        <w:t xml:space="preserve">29 C.F.R. §541.202(c); </w:t>
      </w:r>
      <w:r w:rsidRPr="00CD0FEB">
        <w:rPr>
          <w:i/>
          <w:iCs/>
        </w:rPr>
        <w:t>see, e.g</w:t>
      </w:r>
      <w:r w:rsidRPr="00CD0FEB">
        <w:t>.,</w:t>
      </w:r>
    </w:p>
    <w:p w14:paraId="41CE5ED9" w14:textId="77777777" w:rsidR="00201F3F" w:rsidRPr="00CD0FEB" w:rsidRDefault="00201F3F" w:rsidP="00CE5492">
      <w:pPr>
        <w:pStyle w:val="14Footnote"/>
      </w:pPr>
      <w:r w:rsidRPr="00CD0FEB">
        <w:rPr>
          <w:i/>
          <w:iCs/>
        </w:rPr>
        <w:t>First Circuit:</w:t>
      </w:r>
      <w:r w:rsidRPr="00CD0FEB">
        <w:t xml:space="preserve"> Drexler v. Tel Nexx, Inc., 266 F. Supp. 3d 492 (D. Mass. 2017) (although plaintiff’s work was reviewed and subject to supervision, the supervision pertained to the pace of work and the style rather than the substance; plaintiff was free to perform the substantive elements of his manual writing as he saw fit, decide which questions to ask subject matter experts first, and draft technical manuals, subject only to the confines of defendants’ style guide); DiBlasi v. Liberty Mut. Grp., Inc., 2014 WL 1331056, at *7 (D. Mass. Apr. 3, 2014) (holding that senior product analyst was exempt and noting that exercising discretion and independent judgment implied “authority to make an independent choice” which encompasses even “decisions or recommendations reviewed at a higher level”).</w:t>
      </w:r>
    </w:p>
    <w:p w14:paraId="2519746A" w14:textId="77777777" w:rsidR="00201F3F" w:rsidRPr="00CD0FEB" w:rsidRDefault="00201F3F" w:rsidP="00CE5492">
      <w:pPr>
        <w:pStyle w:val="14Footnote"/>
      </w:pPr>
      <w:r w:rsidRPr="00CD0FEB">
        <w:rPr>
          <w:i/>
          <w:iCs/>
        </w:rPr>
        <w:t>Fifth Circuit:</w:t>
      </w:r>
      <w:r w:rsidRPr="00CD0FEB">
        <w:t xml:space="preserve"> </w:t>
      </w:r>
      <w:r w:rsidRPr="00CD0FEB">
        <w:rPr>
          <w:color w:val="3D3D3D"/>
          <w:szCs w:val="20"/>
          <w:bdr w:val="none" w:sz="0" w:space="0" w:color="auto" w:frame="1"/>
        </w:rPr>
        <w:t>Hobbs v. EVO Inc.</w:t>
      </w:r>
      <w:r w:rsidRPr="00CD0FEB">
        <w:rPr>
          <w:color w:val="000000"/>
          <w:szCs w:val="20"/>
        </w:rPr>
        <w:t xml:space="preserve">, 7 </w:t>
      </w:r>
      <w:r w:rsidRPr="00226A66">
        <w:rPr>
          <w:color w:val="000000"/>
          <w:szCs w:val="20"/>
        </w:rPr>
        <w:t>F.</w:t>
      </w:r>
      <w:r w:rsidRPr="00CD0FEB">
        <w:rPr>
          <w:color w:val="000000"/>
          <w:szCs w:val="20"/>
        </w:rPr>
        <w:t>4th 241, 251–52</w:t>
      </w:r>
      <w:r w:rsidRPr="00226A66">
        <w:rPr>
          <w:color w:val="000000"/>
          <w:szCs w:val="20"/>
        </w:rPr>
        <w:t xml:space="preserve"> (</w:t>
      </w:r>
      <w:r w:rsidRPr="00CD0FEB">
        <w:rPr>
          <w:color w:val="000000"/>
          <w:szCs w:val="20"/>
        </w:rPr>
        <w:t xml:space="preserve">5th Cir. 2021) (explaining that “a duty is typically not administrative without an exercise of </w:t>
      </w:r>
      <w:r w:rsidRPr="00CD0FEB">
        <w:rPr>
          <w:color w:val="000000"/>
          <w:szCs w:val="20"/>
          <w:bdr w:val="none" w:sz="0" w:space="0" w:color="auto" w:frame="1"/>
          <w:shd w:val="clear" w:color="auto" w:fill="FFFFFF"/>
        </w:rPr>
        <w:t>discretion</w:t>
      </w:r>
      <w:r w:rsidRPr="00CD0FEB">
        <w:rPr>
          <w:color w:val="000000"/>
          <w:szCs w:val="20"/>
        </w:rPr>
        <w:t xml:space="preserve"> ‘involv[ing] the comparison and the evaluation of possible courses of conduct, and acting or making a decision after the various possibilities have been considered’” and that “an employee may still ‘exercise </w:t>
      </w:r>
      <w:r w:rsidRPr="00CD0FEB">
        <w:rPr>
          <w:color w:val="000000"/>
          <w:szCs w:val="20"/>
          <w:bdr w:val="none" w:sz="0" w:space="0" w:color="auto" w:frame="1"/>
          <w:shd w:val="clear" w:color="auto" w:fill="FFFFFF"/>
        </w:rPr>
        <w:t>discretion</w:t>
      </w:r>
      <w:r w:rsidRPr="00CD0FEB">
        <w:rPr>
          <w:color w:val="000000"/>
          <w:szCs w:val="20"/>
        </w:rPr>
        <w:t xml:space="preserve"> and independent judgment even if their decisions or recommendations are reviewed at a higher level,’ but some sort of recommendation is a prerequisite for this caveat”); </w:t>
      </w:r>
      <w:r w:rsidRPr="00CD0FEB">
        <w:t>Owens v. Neovia Logistics, LLC, 2019 WL 1411792 (N.D. Tex. Mar. 14, 2019) (holding Continuous Improvement Supervisor for logistics services business was administratively exempt in part because he exercised the requisite discretion despite having his recommendations reviewed at a higher level); Self v. Meritage Homes Corp., 2014 WL 2171468 (S.D. Tex. May 23, 2014) (construction manager exercised sufficient discretion and independent judgment where although decisions were subject to project manager review, project manager was on site infrequently).</w:t>
      </w:r>
    </w:p>
    <w:p w14:paraId="5C93C838" w14:textId="77777777" w:rsidR="00201F3F" w:rsidRPr="00CD0FEB" w:rsidRDefault="00201F3F" w:rsidP="00CE5492">
      <w:pPr>
        <w:pStyle w:val="14Footnote"/>
      </w:pPr>
      <w:r w:rsidRPr="00CD0FEB">
        <w:rPr>
          <w:i/>
          <w:iCs/>
        </w:rPr>
        <w:t>Seventh Circuit:</w:t>
      </w:r>
      <w:r w:rsidRPr="00CD0FEB">
        <w:t xml:space="preserve"> Miller v. University of Chi., 2007 WL 317028, at *16, 12 WH Cases2d 539 (N.D. Ill. Jan. 29, 2007) (determining facilities manager for university was exempt, where “he had ‘game management responsibilities’ requiring him to ‘make sure that all of the varsity competitions transpired,’ which suggests that he had both managerial and discretionary responsibilities”).</w:t>
      </w:r>
    </w:p>
    <w:p w14:paraId="2C74F1A6" w14:textId="77777777" w:rsidR="00201F3F" w:rsidRPr="00CD0FEB" w:rsidRDefault="00201F3F" w:rsidP="00CE5492">
      <w:pPr>
        <w:pStyle w:val="14Footnote"/>
        <w:rPr>
          <w:i/>
          <w:iCs/>
        </w:rPr>
      </w:pPr>
      <w:r w:rsidRPr="00CD0FEB">
        <w:rPr>
          <w:i/>
          <w:iCs/>
        </w:rPr>
        <w:t>Eighth Circuit</w:t>
      </w:r>
      <w:r w:rsidRPr="00CD0FEB">
        <w:t>: Simmons v. USAble Corp., 2021 BL 376037, 2021 WL 4505549, at *27 (E.D. Ark. Sept. 30, 2021) (administrative exemption applied notwithstanding that plaintiffs’ work was subject to higher-level review where plaintiffs exercised discretion and independent judgment through development of policies, trainings, and protocols; coordinating audits; reviewing potential contracts; and advising on the organization and management of security information technology).</w:t>
      </w:r>
    </w:p>
    <w:p w14:paraId="1D6736F6" w14:textId="77777777" w:rsidR="00201F3F" w:rsidRPr="00CD0FEB" w:rsidRDefault="00201F3F" w:rsidP="00CE5492">
      <w:pPr>
        <w:pStyle w:val="14Footnote"/>
      </w:pPr>
      <w:r w:rsidRPr="00CD0FEB">
        <w:rPr>
          <w:i/>
          <w:iCs/>
        </w:rPr>
        <w:t>Ninth Circuit:</w:t>
      </w:r>
      <w:r w:rsidRPr="00CD0FEB">
        <w:t xml:space="preserve"> Cole v. Daniels, Inc., 2001 WL 294064</w:t>
      </w:r>
      <w:r w:rsidRPr="00226A66">
        <w:t xml:space="preserve"> (</w:t>
      </w:r>
      <w:r w:rsidRPr="00CD0FEB">
        <w:t>9th Cir. Mar. 26, 2001) (holding event coordinators were exempt administrative employees even though they did not have discretion to cancel events where their recommendations on whether an event should go forward were a matter of significance to the employer)</w:t>
      </w:r>
    </w:p>
  </w:footnote>
  <w:footnote w:id="524">
    <w:p w14:paraId="1BB4440D" w14:textId="77777777" w:rsidR="00201F3F" w:rsidRPr="00CD0FEB" w:rsidRDefault="00201F3F" w:rsidP="00CE5492">
      <w:pPr>
        <w:pStyle w:val="14Footnote"/>
      </w:pPr>
      <w:r w:rsidRPr="00CD0FEB">
        <w:rPr>
          <w:vertAlign w:val="superscript"/>
        </w:rPr>
        <w:footnoteRef/>
      </w:r>
      <w:r w:rsidRPr="00CD0FEB">
        <w:rPr>
          <w:i/>
          <w:iCs/>
        </w:rPr>
        <w:t>See, e.g</w:t>
      </w:r>
      <w:r w:rsidRPr="00CD0FEB">
        <w:t>., Austin v. CUNA Mut. Ins. Soc’y, 240 F.R.D. 426 (W.D. Wis. 2006).</w:t>
      </w:r>
    </w:p>
  </w:footnote>
  <w:footnote w:id="525">
    <w:p w14:paraId="6DA3618A" w14:textId="77777777" w:rsidR="00201F3F" w:rsidRPr="00CD0FEB" w:rsidRDefault="00201F3F" w:rsidP="00CE5492">
      <w:pPr>
        <w:pStyle w:val="14Footnote"/>
      </w:pPr>
      <w:r w:rsidRPr="00CD0FEB">
        <w:rPr>
          <w:vertAlign w:val="superscript"/>
        </w:rPr>
        <w:footnoteRef/>
      </w:r>
      <w:r w:rsidRPr="00CD0FEB">
        <w:t xml:space="preserve">29 C.F.R. §541.202(c); </w:t>
      </w:r>
      <w:r w:rsidRPr="00CD0FEB">
        <w:rPr>
          <w:i/>
          <w:iCs/>
        </w:rPr>
        <w:t>see, e.g</w:t>
      </w:r>
      <w:r w:rsidRPr="00CD0FEB">
        <w:t>.,</w:t>
      </w:r>
    </w:p>
    <w:p w14:paraId="2FE1DB87" w14:textId="77777777" w:rsidR="00201F3F" w:rsidRPr="00CD0FEB" w:rsidRDefault="00201F3F" w:rsidP="00CE5492">
      <w:pPr>
        <w:pStyle w:val="14Footnote"/>
      </w:pPr>
      <w:r w:rsidRPr="00CD0FEB">
        <w:rPr>
          <w:i/>
          <w:iCs/>
        </w:rPr>
        <w:t>First Circuit:</w:t>
      </w:r>
      <w:r w:rsidRPr="00CD0FEB">
        <w:t xml:space="preserve"> Cash v. Cycle Craft Co., Inc., 508 F.3d 680, 686, 13 WH Cases2d 8</w:t>
      </w:r>
      <w:r w:rsidRPr="00226A66">
        <w:t xml:space="preserve"> (</w:t>
      </w:r>
      <w:r w:rsidRPr="00CD0FEB">
        <w:t>1st Cir. 2007) (deeming new purchases/customer relation manager for motorcycle store exempt where “he focused on improving customer service generally, by coordinating with various … departments to ensure that customers were satisfied with their purchases and that they would provide … positive feedback reports”);</w:t>
      </w:r>
      <w:r w:rsidRPr="00CD0FEB">
        <w:rPr>
          <w:i/>
          <w:iCs/>
        </w:rPr>
        <w:t xml:space="preserve"> </w:t>
      </w:r>
      <w:r w:rsidRPr="00CD0FEB">
        <w:t>Crowe v. ExamWorks, Inc., 136 F. Supp. 3d 16, 42 (D. Mass. 2015) (holding quality control workers exercised discretion and independent judgment by “communicating with reviewing physicians to ensure adequate information, reviewing the physician’s reports, ensuring their accuracy, and transmitting them back to the insurer”).</w:t>
      </w:r>
    </w:p>
    <w:p w14:paraId="06AF8F35" w14:textId="77777777" w:rsidR="00201F3F" w:rsidRPr="00CD0FEB" w:rsidRDefault="00201F3F" w:rsidP="00CE5492">
      <w:pPr>
        <w:pStyle w:val="14Footnote"/>
      </w:pPr>
      <w:r w:rsidRPr="00CD0FEB">
        <w:rPr>
          <w:i/>
          <w:iCs/>
        </w:rPr>
        <w:t>Second Circuit:</w:t>
      </w:r>
      <w:r w:rsidRPr="00CD0FEB">
        <w:t xml:space="preserve"> Suarez v. Big Apple Car, Inc., 806 F. App’x 19, 23 (2d Cir. 2020) (upholding jury determination that plaintiff was properly classified as exempt whereas driver recruiter plaintiff had complete control over recruiting and training drivers and as director of driver services plaintiff had authority to hire and fire drivers and was the only employee authorized to communicate with the Taxi and Limousine Commission); Krupinski v. Laborers E. Region Org. Fund, 2016 WL 5800473 (S.D.N.Y. Oct. 2, 2016) (holding union organizer exercised discretion and independent judgment by targeting certain workers for organizing purposes, assessing how best to approach workers, departing from defendant’s script, and varying approach to campaigns, all matters of significance because organizing campaigns constituted bulk of union’s business activities and promoted its core mission); Raffe v. American Nat’l Red Cross, 2011 WL 6019436, 18 WH Cases2d 912 (N.D.N.Y. Nov. 30, 2011) (finding that director of emergency services qualified for administrative exemption given that he was responsible for almost every aspect of disaster services, including managing and monitoring delivery of services, formulated and modified disaster and emergency response plans, oversaw emergency services department, and managed department’s operations).</w:t>
      </w:r>
    </w:p>
    <w:p w14:paraId="18158A78" w14:textId="77777777" w:rsidR="00201F3F" w:rsidRPr="00CD0FEB" w:rsidRDefault="00201F3F" w:rsidP="00CE5492">
      <w:pPr>
        <w:pStyle w:val="14Footnote"/>
      </w:pPr>
      <w:r w:rsidRPr="00CD0FEB">
        <w:rPr>
          <w:i/>
          <w:iCs/>
        </w:rPr>
        <w:t>Fifth Circuit:</w:t>
      </w:r>
      <w:r w:rsidRPr="00CD0FEB">
        <w:t xml:space="preserve"> McKee v. CBF Corp., 299 F. App’x 426</w:t>
      </w:r>
      <w:r w:rsidRPr="00226A66">
        <w:t xml:space="preserve"> (</w:t>
      </w:r>
      <w:r w:rsidRPr="00CD0FEB">
        <w:t>5th Cir. 2008) (holding property manager for nightclub operator was properly classified as exempt where she was responsible for ensuring venues were properly maintained, supervised five maintenance employees, screened applicants and made hiring recommendations, decided which tasks would be handled by outside contractors, and ordered beer and liquor).</w:t>
      </w:r>
    </w:p>
    <w:p w14:paraId="0D6DE980" w14:textId="77777777" w:rsidR="00201F3F" w:rsidRPr="00CD0FEB" w:rsidRDefault="00201F3F" w:rsidP="00CE5492">
      <w:pPr>
        <w:pStyle w:val="14Footnote"/>
      </w:pPr>
      <w:r w:rsidRPr="00CD0FEB">
        <w:rPr>
          <w:i/>
          <w:iCs/>
        </w:rPr>
        <w:t>Seventh Circuit:</w:t>
      </w:r>
      <w:r w:rsidRPr="00CD0FEB">
        <w:t xml:space="preserve"> Brown v. Indiana Univ. Health Ball Mem’l Hosp., Inc., 2015 WL 6142269 (S.D. Ind. Oct. 19, 2015) (finding exemption applied to employee who played integral role in developing hospital’s trauma program from ground up).</w:t>
      </w:r>
    </w:p>
    <w:p w14:paraId="4CA3870D" w14:textId="77777777" w:rsidR="00201F3F" w:rsidRPr="00CD0FEB" w:rsidRDefault="00201F3F" w:rsidP="00CE5492">
      <w:pPr>
        <w:pStyle w:val="14Footnote"/>
      </w:pPr>
      <w:r w:rsidRPr="00CD0FEB">
        <w:rPr>
          <w:i/>
          <w:iCs/>
        </w:rPr>
        <w:t xml:space="preserve">Ninth Circuit: </w:t>
      </w:r>
      <w:r w:rsidRPr="00CD0FEB">
        <w:t>Fetrow-Fix v. Harrah’s Entm’t, Inc., 2011 WL 5827199, 18 WH Cases2d 925 (D. Nev. Nov. 18, 2011) (concluding game supervisor was properly classified as exempt where duties included supervision of table games to detect cheating and theft and evaluating dealers for efficiency and regulatory compliance).</w:t>
      </w:r>
    </w:p>
    <w:p w14:paraId="3880D65D" w14:textId="77777777" w:rsidR="00201F3F" w:rsidRPr="00CD0FEB" w:rsidRDefault="00201F3F" w:rsidP="00CE5492">
      <w:pPr>
        <w:pStyle w:val="14Footnote"/>
      </w:pPr>
      <w:r w:rsidRPr="00CD0FEB">
        <w:rPr>
          <w:i/>
          <w:iCs/>
        </w:rPr>
        <w:t>Eleventh Circuit:</w:t>
      </w:r>
      <w:r w:rsidRPr="00CD0FEB">
        <w:t xml:space="preserve"> Viola v. Comprehensive Health Mgmt., Inc., 441 F. App’x 660, 18 WH Cases2d 205 </w:t>
      </w:r>
      <w:r w:rsidRPr="00226A66">
        <w:t>(</w:t>
      </w:r>
      <w:r w:rsidRPr="00323FAC">
        <w:t>11th</w:t>
      </w:r>
      <w:r w:rsidRPr="00CD0FEB">
        <w:t xml:space="preserve"> Cir. 2011) (holding that community event coordinator usually worked alone, analyzed market, created promotion strategies, negotiated costs for events, complied with federal regulations, and therefore exercised discretion and independent judgment sufficient to meet the requirements of the administrative exemption); Bradford v. CVS Pharmacy, Inc., 2016 WL 6462053 (N.D. Ga. Nov. 1, 2016) (finding that regional loss prevention manager exercised discretion and independent judgment in making witness credibility determinations, initiating investigations on his own, asking questions outside investigative script, and using audit results to help reduce shrink).</w:t>
      </w:r>
    </w:p>
    <w:p w14:paraId="41AC830E" w14:textId="77777777" w:rsidR="00201F3F" w:rsidRPr="00CD0FEB" w:rsidRDefault="00201F3F" w:rsidP="00CE5492">
      <w:pPr>
        <w:pStyle w:val="14Footnote"/>
        <w:rPr>
          <w:i/>
          <w:iCs/>
        </w:rPr>
      </w:pPr>
      <w:r w:rsidRPr="00CD0FEB">
        <w:rPr>
          <w:i/>
          <w:iCs/>
        </w:rPr>
        <w:t>Cf.</w:t>
      </w:r>
    </w:p>
    <w:p w14:paraId="122C7EB0" w14:textId="77777777" w:rsidR="00201F3F" w:rsidRPr="00CD0FEB" w:rsidRDefault="00201F3F" w:rsidP="00C2067F">
      <w:pPr>
        <w:pStyle w:val="14Footnote"/>
      </w:pPr>
      <w:r w:rsidRPr="00CD0FEB">
        <w:rPr>
          <w:i/>
          <w:iCs/>
        </w:rPr>
        <w:t>Second Circuit:</w:t>
      </w:r>
      <w:r w:rsidRPr="00CD0FEB">
        <w:t xml:space="preserve"> Strauch v. Computer Scis. Corp., 2018 WL 4539660, at *7 (D. Conn. Sept. 21, 2018) (upholding jury verdict in favor of plaintiffs despite testimony that plaintiffs exercised some discretion where jury’s findings were supported by “substantial evidence” indicating “that Plaintiffs’ primary duty involved following checklists, step-by-step instructions, troubleshooting policies, patch approval processes, the instructions of system integrators, and existing documentation”); Siegel v. Bloomberg LP, 2015 WL 223781 (S.D.N.Y. Jan. 16, 2015) (finding information technology staff not exempt because discretion exercised in maintaining and troubleshooting computer systems was not matter of significance); Neary v. Metropolitan Prop. &amp; Cas. Ins. Co., 517 F. Supp. 2d 606, 616 (D. Conn. 2007) (determining automobile appraiser/adjusters to be nonexempt because negotiating with auto body shops and estimating costs of repair are not tasks that require “the type of independent judgment envisioned by the regulations”).</w:t>
      </w:r>
    </w:p>
    <w:p w14:paraId="5004EE2B" w14:textId="77777777" w:rsidR="00201F3F" w:rsidRPr="00CD0FEB" w:rsidRDefault="00201F3F" w:rsidP="00C2067F">
      <w:pPr>
        <w:pStyle w:val="14Footnote"/>
      </w:pPr>
      <w:r w:rsidRPr="00CD0FEB">
        <w:rPr>
          <w:i/>
          <w:iCs/>
        </w:rPr>
        <w:t xml:space="preserve">Third Circuit: </w:t>
      </w:r>
      <w:r w:rsidRPr="00CD0FEB">
        <w:t>Galdo v. PPL Elec. Utils. Corp., 2016 WL 454416 (E.D. Pa. Feb. 5, 2016) (finding factual dispute on issue of discretion and independent judgment where system operators testified they were closely circumscribed by defendant’s operating instructions and checklists).</w:t>
      </w:r>
    </w:p>
    <w:p w14:paraId="6831C55B" w14:textId="77777777" w:rsidR="00201F3F" w:rsidRPr="00CD0FEB" w:rsidRDefault="00201F3F" w:rsidP="00C2067F">
      <w:pPr>
        <w:pStyle w:val="14Footnote"/>
      </w:pPr>
      <w:r w:rsidRPr="00CD0FEB">
        <w:rPr>
          <w:i/>
          <w:iCs/>
        </w:rPr>
        <w:t xml:space="preserve">Fifth Circuit: </w:t>
      </w:r>
      <w:r w:rsidRPr="00CD0FEB">
        <w:t>Clark v. Centene Co. of Tex., L.P., 656 F. App’x 688, 691, 26 WH Cases2d 1266</w:t>
      </w:r>
      <w:r w:rsidRPr="00226A66">
        <w:t xml:space="preserve"> (</w:t>
      </w:r>
      <w:r w:rsidRPr="00CD0FEB">
        <w:t>5th Cir. 2016) (affirming that case managers were misclassified as exempt where they did not have authority to deny medical authorization requests and responsibilities more closely resembled “[o]rdinary inspection work”); Tran v. St. Luke’s Episcopal Health Sys., 2012 WL 3985219, 19 WH Cases2d 1278 (S.D. Tex. Sept. 11, 2012) (finding network analyst’s duty to buy replacement parts did not involve exercise of discretion and independent judgment as to matter of sufficient significance to justify classification as exempt administrator).</w:t>
      </w:r>
    </w:p>
    <w:p w14:paraId="586D16D0" w14:textId="77777777" w:rsidR="00201F3F" w:rsidRPr="00CD0FEB" w:rsidRDefault="00201F3F" w:rsidP="00C2067F">
      <w:pPr>
        <w:pStyle w:val="14Footnote"/>
      </w:pPr>
      <w:r w:rsidRPr="00CD0FEB">
        <w:rPr>
          <w:i/>
          <w:iCs/>
        </w:rPr>
        <w:t xml:space="preserve">Ninth Circuit: </w:t>
      </w:r>
      <w:r w:rsidRPr="00CD0FEB">
        <w:t>Quintilliani v. Concentric Healthcare Sols., LLC, 672 F. App’x 643</w:t>
      </w:r>
      <w:r w:rsidRPr="00226A66">
        <w:t xml:space="preserve"> (</w:t>
      </w:r>
      <w:r w:rsidRPr="00CD0FEB">
        <w:t>9th Cir. 2016) (finding issues of material fact as to whether staffing coordinator had ability to discipline nurses and set higher pay rates); Boyd v. Bank of Am. Corp., 109 F. Supp. 3d 1273 (C.D. Cal. 2015) (finding appraisers not exempt because appraisals are not “of significance” in sense that they do not affect major policy decisions).</w:t>
      </w:r>
    </w:p>
  </w:footnote>
  <w:footnote w:id="526">
    <w:p w14:paraId="6C1112D6" w14:textId="77777777" w:rsidR="00201F3F" w:rsidRPr="00CD0FEB" w:rsidRDefault="00201F3F" w:rsidP="00C2067F">
      <w:pPr>
        <w:pStyle w:val="14Footnote"/>
      </w:pPr>
      <w:r w:rsidRPr="00CD0FEB">
        <w:rPr>
          <w:vertAlign w:val="superscript"/>
        </w:rPr>
        <w:footnoteRef/>
      </w:r>
      <w:r w:rsidRPr="00CD0FEB">
        <w:t xml:space="preserve">29 C.F.R. §541.202(f); </w:t>
      </w:r>
      <w:r w:rsidRPr="00CD0FEB">
        <w:rPr>
          <w:i/>
          <w:iCs/>
        </w:rPr>
        <w:t>see, e.g</w:t>
      </w:r>
      <w:r w:rsidRPr="00CD0FEB">
        <w:t>., Burke v. County of Monroe, 225 F. Supp. 2d 306 (W.D.N.Y. 2002) (deeming computer network administrators nonexempt even though they could easily disrupt operations by pressing the wrong button).</w:t>
      </w:r>
    </w:p>
  </w:footnote>
  <w:footnote w:id="527">
    <w:p w14:paraId="660C7D72" w14:textId="77777777" w:rsidR="00201F3F" w:rsidRPr="00CD0FEB" w:rsidRDefault="00201F3F" w:rsidP="00C2067F">
      <w:pPr>
        <w:pStyle w:val="14Footnote"/>
      </w:pPr>
      <w:r w:rsidRPr="00CD0FEB">
        <w:rPr>
          <w:vertAlign w:val="superscript"/>
        </w:rPr>
        <w:footnoteRef/>
      </w:r>
      <w:r w:rsidRPr="00CD0FEB">
        <w:t>29 C.F.R. §541.202(b).</w:t>
      </w:r>
    </w:p>
  </w:footnote>
  <w:footnote w:id="528">
    <w:p w14:paraId="0835793A"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§541.202(e). </w:t>
      </w:r>
      <w:r w:rsidRPr="00CD0FEB">
        <w:rPr>
          <w:i/>
          <w:iCs/>
        </w:rPr>
        <w:t>See, e</w:t>
      </w:r>
      <w:r w:rsidRPr="00CD0FEB">
        <w:t>.</w:t>
      </w:r>
      <w:r w:rsidRPr="00CD0FEB">
        <w:rPr>
          <w:i/>
          <w:iCs/>
        </w:rPr>
        <w:t>g</w:t>
      </w:r>
      <w:r w:rsidRPr="00CD0FEB">
        <w:t>., Clark v. Centene Co. of Tex., L.P., 656 F. App’x 688, 26 WH Cases2d 1266</w:t>
      </w:r>
      <w:r w:rsidRPr="00105650">
        <w:t xml:space="preserve"> (</w:t>
      </w:r>
      <w:r w:rsidRPr="00CD0FEB">
        <w:t>5th Cir. 2016) (finding that nurses did not exercise discretion and independent judgment in performance of utilization review functions involving collection and review of medical information for comparison to established guidelines in order to determine whether medical necessity and appropriateness criteria were met).</w:t>
      </w:r>
    </w:p>
  </w:footnote>
  <w:footnote w:id="529">
    <w:p w14:paraId="06784E63" w14:textId="77777777" w:rsidR="00201F3F" w:rsidRPr="00CD0FEB" w:rsidRDefault="00201F3F" w:rsidP="00C2067F">
      <w:pPr>
        <w:pStyle w:val="14Footnote"/>
      </w:pPr>
      <w:r w:rsidRPr="00CD0FEB">
        <w:rPr>
          <w:vertAlign w:val="superscript"/>
        </w:rPr>
        <w:footnoteRef/>
      </w:r>
      <w:r w:rsidRPr="00CD0FEB">
        <w:t>WH Op. FLSA2006-27, 2006 WL 2792441 (July 24, 2006).</w:t>
      </w:r>
    </w:p>
  </w:footnote>
  <w:footnote w:id="530">
    <w:p w14:paraId="5063D4CD" w14:textId="77777777" w:rsidR="00201F3F" w:rsidRPr="00CD0FEB" w:rsidRDefault="00201F3F" w:rsidP="00FE1E16">
      <w:pPr>
        <w:pStyle w:val="FootnoteText"/>
      </w:pPr>
      <w:r w:rsidRPr="00CD0FEB">
        <w:rPr>
          <w:rStyle w:val="FootnoteReference"/>
        </w:rPr>
        <w:footnoteRef/>
      </w:r>
      <w:r w:rsidRPr="00CD0FEB">
        <w:t xml:space="preserve">7 </w:t>
      </w:r>
      <w:r w:rsidRPr="00105650">
        <w:t>F.</w:t>
      </w:r>
      <w:r w:rsidRPr="00CD0FEB">
        <w:t>4th 241</w:t>
      </w:r>
      <w:r w:rsidRPr="00105650">
        <w:t xml:space="preserve"> (</w:t>
      </w:r>
      <w:r>
        <w:t>(</w:t>
      </w:r>
      <w:r w:rsidRPr="00CD0FEB">
        <w:t>5th Cir. 2021).</w:t>
      </w:r>
    </w:p>
  </w:footnote>
  <w:footnote w:id="531">
    <w:p w14:paraId="20E79617" w14:textId="77777777" w:rsidR="00201F3F" w:rsidRPr="00CD0FEB" w:rsidRDefault="00201F3F" w:rsidP="00B14309">
      <w:pPr>
        <w:pStyle w:val="14Footnote"/>
      </w:pPr>
      <w:r w:rsidRPr="00CD0FEB">
        <w:rPr>
          <w:rStyle w:val="FootnoteReference"/>
        </w:rPr>
        <w:footnoteRef/>
      </w:r>
      <w:r w:rsidRPr="00CD0FEB">
        <w:rPr>
          <w:i/>
          <w:iCs/>
        </w:rPr>
        <w:t>Id.</w:t>
      </w:r>
      <w:r w:rsidRPr="00CD0FEB">
        <w:t xml:space="preserve"> at 246.</w:t>
      </w:r>
    </w:p>
  </w:footnote>
  <w:footnote w:id="532">
    <w:p w14:paraId="6F75AD1F" w14:textId="77777777" w:rsidR="00201F3F" w:rsidRPr="00CD0FEB" w:rsidRDefault="00201F3F" w:rsidP="00B14309">
      <w:pPr>
        <w:pStyle w:val="14Footnote"/>
      </w:pPr>
      <w:r w:rsidRPr="00CD0FEB">
        <w:rPr>
          <w:rStyle w:val="FootnoteReference"/>
        </w:rPr>
        <w:footnoteRef/>
      </w:r>
      <w:r w:rsidRPr="00CD0FEB">
        <w:rPr>
          <w:i/>
          <w:iCs/>
        </w:rPr>
        <w:t>Id.</w:t>
      </w:r>
      <w:r w:rsidRPr="00CD0FEB">
        <w:t xml:space="preserve"> at 251.</w:t>
      </w:r>
    </w:p>
  </w:footnote>
  <w:footnote w:id="533">
    <w:p w14:paraId="107F6405" w14:textId="77777777" w:rsidR="00201F3F" w:rsidRPr="007A0603" w:rsidRDefault="00201F3F" w:rsidP="00B14309">
      <w:pPr>
        <w:pStyle w:val="14Footnote"/>
      </w:pPr>
      <w:r w:rsidRPr="00CD0FEB">
        <w:rPr>
          <w:rStyle w:val="FootnoteReference"/>
        </w:rPr>
        <w:footnoteRef/>
      </w:r>
      <w:r w:rsidRPr="00CD0FEB">
        <w:rPr>
          <w:i/>
          <w:iCs/>
        </w:rPr>
        <w:t>Id</w:t>
      </w:r>
      <w:r w:rsidRPr="00CD0FEB">
        <w:t>. at 252.</w:t>
      </w:r>
      <w:r>
        <w:t xml:space="preserve"> </w:t>
      </w:r>
      <w:r>
        <w:rPr>
          <w:i/>
          <w:iCs/>
        </w:rPr>
        <w:t>See also</w:t>
      </w:r>
      <w:r>
        <w:t xml:space="preserve"> Mondeck v. LineQuest, LLC, </w:t>
      </w:r>
      <w:r w:rsidRPr="00907B0F">
        <w:t>2023 BL 202854</w:t>
      </w:r>
      <w:r>
        <w:t>, 2023 WL 4015361, at *4 (5</w:t>
      </w:r>
      <w:r w:rsidRPr="005642A6">
        <w:t>th</w:t>
      </w:r>
      <w:r>
        <w:t xml:space="preserve"> Cir. June 14, 2023) (reversing finding that Line Locators for construction and backfilling operations qualified for the administrative exemption as a matter of law where district court relied on evidence that Line Locators had stop work authority and operated without immediate direct supervision but record reflected that “all employees had the responsibility to stop unsafe work” and Line Locators lacked “authority to require anyone on the job site to do anything”).</w:t>
      </w:r>
    </w:p>
  </w:footnote>
  <w:footnote w:id="534">
    <w:p w14:paraId="022CBAB5" w14:textId="77777777" w:rsidR="00201F3F" w:rsidRPr="00CD0FEB" w:rsidRDefault="00201F3F" w:rsidP="00B14309">
      <w:pPr>
        <w:pStyle w:val="14Footnote"/>
      </w:pPr>
      <w:r w:rsidRPr="00CD0FEB">
        <w:rPr>
          <w:vertAlign w:val="superscript"/>
        </w:rPr>
        <w:footnoteRef/>
      </w:r>
      <w:r w:rsidRPr="00CD0FEB">
        <w:t>781 F.3d 396</w:t>
      </w:r>
      <w:r w:rsidRPr="00105650">
        <w:t xml:space="preserve"> (</w:t>
      </w:r>
      <w:r w:rsidRPr="00CD0FEB">
        <w:t xml:space="preserve">8th Cir. 2015). </w:t>
      </w:r>
    </w:p>
  </w:footnote>
  <w:footnote w:id="535">
    <w:p w14:paraId="09036FA6" w14:textId="77777777" w:rsidR="00201F3F" w:rsidRPr="00CD0FEB" w:rsidRDefault="00201F3F" w:rsidP="00B14309">
      <w:pPr>
        <w:pStyle w:val="14Footnote"/>
      </w:pPr>
      <w:r w:rsidRPr="00CD0FEB">
        <w:rPr>
          <w:vertAlign w:val="superscript"/>
        </w:rPr>
        <w:footnoteRef/>
      </w:r>
      <w:r w:rsidRPr="00CD0FEB">
        <w:rPr>
          <w:i/>
          <w:iCs/>
        </w:rPr>
        <w:t>Id</w:t>
      </w:r>
      <w:r w:rsidRPr="00CD0FEB">
        <w:t xml:space="preserve">. at 399–400. </w:t>
      </w:r>
    </w:p>
  </w:footnote>
  <w:footnote w:id="536">
    <w:p w14:paraId="63DEE821" w14:textId="77777777" w:rsidR="00201F3F" w:rsidRPr="00CD0FEB" w:rsidRDefault="00201F3F" w:rsidP="00B14309">
      <w:pPr>
        <w:pStyle w:val="14Footnote"/>
      </w:pPr>
      <w:r w:rsidRPr="00CD0FEB">
        <w:rPr>
          <w:vertAlign w:val="superscript"/>
        </w:rPr>
        <w:footnoteRef/>
      </w:r>
      <w:r w:rsidRPr="00CD0FEB">
        <w:t>Long v. Endocrine Soc’y, 263 F. Supp. 3d 275, 292 (D.D.C. 2017).</w:t>
      </w:r>
    </w:p>
  </w:footnote>
  <w:footnote w:id="537">
    <w:p w14:paraId="797C2CFE" w14:textId="77777777" w:rsidR="00201F3F" w:rsidRPr="00CD0FEB" w:rsidRDefault="00201F3F" w:rsidP="00B14309">
      <w:pPr>
        <w:pStyle w:val="14Footnote"/>
      </w:pPr>
      <w:r w:rsidRPr="00CD0FEB">
        <w:rPr>
          <w:vertAlign w:val="superscript"/>
        </w:rPr>
        <w:footnoteRef/>
      </w:r>
      <w:r w:rsidRPr="00CD0FEB">
        <w:rPr>
          <w:i/>
          <w:iCs/>
        </w:rPr>
        <w:t>Id.</w:t>
      </w:r>
    </w:p>
  </w:footnote>
  <w:footnote w:id="538">
    <w:p w14:paraId="2BD6F639" w14:textId="77777777" w:rsidR="00201F3F" w:rsidRPr="00CD0FEB" w:rsidRDefault="00201F3F" w:rsidP="00B14309">
      <w:pPr>
        <w:pStyle w:val="14Footnote"/>
      </w:pPr>
      <w:r w:rsidRPr="00CD0FEB">
        <w:rPr>
          <w:rStyle w:val="FootnoteReference"/>
        </w:rPr>
        <w:footnoteRef/>
      </w:r>
      <w:r w:rsidRPr="00CD0FEB">
        <w:t xml:space="preserve">Brown v. Nexus Sols., LLC, 29 </w:t>
      </w:r>
      <w:r w:rsidRPr="00105650">
        <w:t>F.</w:t>
      </w:r>
      <w:r w:rsidRPr="00CD0FEB">
        <w:t xml:space="preserve">4th 1315, 1318 </w:t>
      </w:r>
      <w:r w:rsidRPr="00105650">
        <w:t>(</w:t>
      </w:r>
      <w:r w:rsidRPr="00323FAC">
        <w:t>11th</w:t>
      </w:r>
      <w:r w:rsidRPr="00CD0FEB">
        <w:t xml:space="preserve"> Cir. 2022) (citing Hogan v. Allstate Ins. Co., 361 F.3d 621, 627 </w:t>
      </w:r>
      <w:r w:rsidRPr="00105650">
        <w:t>(</w:t>
      </w:r>
      <w:r w:rsidRPr="00323FAC">
        <w:t>11th</w:t>
      </w:r>
      <w:r w:rsidRPr="00CD0FEB">
        <w:t xml:space="preserve"> Cir. 2004)). </w:t>
      </w:r>
    </w:p>
  </w:footnote>
  <w:footnote w:id="539">
    <w:p w14:paraId="70B0BC8D" w14:textId="77777777" w:rsidR="00201F3F" w:rsidRPr="00CD0FEB" w:rsidRDefault="00201F3F" w:rsidP="002834A9">
      <w:pPr>
        <w:pStyle w:val="14Footnote"/>
      </w:pPr>
      <w:r w:rsidRPr="00CD0FEB">
        <w:rPr>
          <w:rStyle w:val="FootnoteReference"/>
        </w:rPr>
        <w:footnoteRef/>
      </w:r>
      <w:r w:rsidRPr="00CD0FEB">
        <w:rPr>
          <w:i/>
          <w:iCs/>
        </w:rPr>
        <w:t>Id.</w:t>
      </w:r>
      <w:r w:rsidRPr="00CD0FEB">
        <w:t xml:space="preserve"> </w:t>
      </w:r>
    </w:p>
  </w:footnote>
  <w:footnote w:id="540">
    <w:p w14:paraId="473E50E1" w14:textId="77777777" w:rsidR="00201F3F" w:rsidRPr="00CD0FEB" w:rsidRDefault="00201F3F" w:rsidP="002834A9">
      <w:pPr>
        <w:pStyle w:val="14Footnote"/>
      </w:pPr>
      <w:r w:rsidRPr="00CD0FEB">
        <w:rPr>
          <w:rStyle w:val="FootnoteReference"/>
        </w:rPr>
        <w:footnoteRef/>
      </w:r>
      <w:r w:rsidRPr="00CD0FEB">
        <w:rPr>
          <w:i/>
          <w:iCs/>
        </w:rPr>
        <w:t>Id.</w:t>
      </w:r>
      <w:r w:rsidRPr="00CD0FEB">
        <w:t xml:space="preserve"> at 1319. </w:t>
      </w:r>
    </w:p>
  </w:footnote>
  <w:footnote w:id="541">
    <w:p w14:paraId="3CB191B1" w14:textId="77777777" w:rsidR="00201F3F" w:rsidRPr="00CD0FEB" w:rsidRDefault="00201F3F" w:rsidP="002834A9">
      <w:pPr>
        <w:pStyle w:val="14Footnote"/>
      </w:pPr>
      <w:r w:rsidRPr="00CD0FEB">
        <w:rPr>
          <w:rStyle w:val="FootnoteReference"/>
        </w:rPr>
        <w:footnoteRef/>
      </w:r>
      <w:r w:rsidRPr="00CD0FEB">
        <w:rPr>
          <w:i/>
          <w:iCs/>
        </w:rPr>
        <w:t>Id</w:t>
      </w:r>
      <w:r w:rsidRPr="00CD0FEB">
        <w:t>. at 1318 (quoting the district court, Brown v. Nexus Bus. Sols., LLC, 488 F. Supp. 3d 1287, 1312 (N.D. Ga. 2020)).</w:t>
      </w:r>
    </w:p>
  </w:footnote>
  <w:footnote w:id="542">
    <w:p w14:paraId="032F17DC" w14:textId="77777777" w:rsidR="00201F3F" w:rsidRPr="00105650" w:rsidRDefault="00201F3F" w:rsidP="002834A9">
      <w:pPr>
        <w:pStyle w:val="14Footnote"/>
      </w:pPr>
      <w:r w:rsidRPr="00CD0FEB">
        <w:rPr>
          <w:rStyle w:val="FootnoteReference"/>
        </w:rPr>
        <w:footnoteRef/>
      </w:r>
      <w:r w:rsidRPr="00105650">
        <w:t>2022 BL 432706, 2022 WL 17411286 (2d Cir. Dec. 5, 2022).</w:t>
      </w:r>
    </w:p>
  </w:footnote>
  <w:footnote w:id="543">
    <w:p w14:paraId="40B2FD42" w14:textId="77777777" w:rsidR="00201F3F" w:rsidRPr="00CD0FEB" w:rsidRDefault="00201F3F" w:rsidP="002834A9">
      <w:pPr>
        <w:pStyle w:val="14Footnote"/>
      </w:pPr>
      <w:r w:rsidRPr="00CD0FEB">
        <w:rPr>
          <w:rStyle w:val="FootnoteReference"/>
        </w:rPr>
        <w:footnoteRef/>
      </w:r>
      <w:r w:rsidRPr="00CD0FEB">
        <w:rPr>
          <w:i/>
          <w:iCs/>
        </w:rPr>
        <w:t>Id.</w:t>
      </w:r>
      <w:r w:rsidRPr="00CD0FEB">
        <w:rPr>
          <w:rFonts w:eastAsiaTheme="minorEastAsia" w:cstheme="minorBidi"/>
          <w:i/>
          <w:iCs/>
          <w:szCs w:val="20"/>
        </w:rPr>
        <w:t xml:space="preserve">, </w:t>
      </w:r>
      <w:r w:rsidRPr="00CD0FEB">
        <w:rPr>
          <w:rFonts w:eastAsiaTheme="minorEastAsia" w:cstheme="minorBidi"/>
          <w:szCs w:val="20"/>
        </w:rPr>
        <w:t>2020 WL 17411286,</w:t>
      </w:r>
      <w:r w:rsidRPr="00CD0FEB">
        <w:t xml:space="preserve"> at *2 (quoting 29 C.F.R. § 541.202(b)).</w:t>
      </w:r>
    </w:p>
  </w:footnote>
  <w:footnote w:id="544">
    <w:p w14:paraId="2DAA9882" w14:textId="77777777" w:rsidR="00201F3F" w:rsidRPr="00CD0FEB" w:rsidRDefault="00201F3F" w:rsidP="002834A9">
      <w:pPr>
        <w:pStyle w:val="14Footnote"/>
      </w:pPr>
      <w:r w:rsidRPr="00CD0FEB">
        <w:rPr>
          <w:rStyle w:val="FootnoteReference"/>
        </w:rPr>
        <w:footnoteRef/>
      </w:r>
      <w:r w:rsidRPr="00CD0FEB">
        <w:rPr>
          <w:i/>
          <w:iCs/>
        </w:rPr>
        <w:t>Id</w:t>
      </w:r>
      <w:r w:rsidRPr="00CD0FEB">
        <w:t>.</w:t>
      </w:r>
    </w:p>
  </w:footnote>
  <w:footnote w:id="545">
    <w:p w14:paraId="04A9814E" w14:textId="77777777" w:rsidR="00201F3F" w:rsidRPr="00CD0FEB" w:rsidRDefault="00201F3F" w:rsidP="002834A9">
      <w:pPr>
        <w:pStyle w:val="14Footnote"/>
      </w:pPr>
      <w:r w:rsidRPr="00CD0FEB">
        <w:rPr>
          <w:rStyle w:val="FootnoteReference"/>
        </w:rPr>
        <w:footnoteRef/>
      </w:r>
      <w:r w:rsidRPr="00CD0FEB">
        <w:rPr>
          <w:i/>
          <w:iCs/>
        </w:rPr>
        <w:t>Id.</w:t>
      </w:r>
      <w:r w:rsidRPr="00CD0FEB">
        <w:t xml:space="preserve"> (quoting 29 C.F.R. § 541.202(b)).</w:t>
      </w:r>
    </w:p>
  </w:footnote>
  <w:footnote w:id="546">
    <w:p w14:paraId="75D24B26" w14:textId="77777777" w:rsidR="00201F3F" w:rsidRPr="00CD0FEB" w:rsidRDefault="00201F3F" w:rsidP="00C2067F">
      <w:pPr>
        <w:pStyle w:val="14Footnote"/>
      </w:pPr>
      <w:r w:rsidRPr="00CD0FEB">
        <w:rPr>
          <w:vertAlign w:val="superscript"/>
        </w:rPr>
        <w:footnoteRef/>
      </w:r>
      <w:r w:rsidRPr="00CD0FEB">
        <w:t xml:space="preserve">29 C.F.R. §541.704. </w:t>
      </w:r>
      <w:r w:rsidRPr="00CD0FEB">
        <w:rPr>
          <w:i/>
          <w:iCs/>
        </w:rPr>
        <w:t>Cf.</w:t>
      </w:r>
      <w:r w:rsidRPr="00CD0FEB">
        <w:t xml:space="preserve"> Hines v. State Room, Inc., 665 F.3d 235, 245, 18 WH Cases2d 705</w:t>
      </w:r>
      <w:r w:rsidRPr="00105650">
        <w:t xml:space="preserve"> (</w:t>
      </w:r>
      <w:r w:rsidRPr="00CD0FEB">
        <w:t>1st Cir. 2011) (holding that sales managers for banquet facilities qualified for administrative exemption despite being guided by instructions in event sales handbook where “[t]he rules were not so numerous nor the guidelines—to upsell where possible, to make sure menus fit the tone of an event and the like—so specific as to cabin the judgment that the plaintiffs were required to exercise in engaging with clients and prospective clients”).</w:t>
      </w:r>
    </w:p>
  </w:footnote>
  <w:footnote w:id="547">
    <w:p w14:paraId="1F99EB64" w14:textId="77777777" w:rsidR="00201F3F" w:rsidRPr="00CD0FEB" w:rsidRDefault="00201F3F" w:rsidP="00C2067F">
      <w:pPr>
        <w:pStyle w:val="14Footnote"/>
      </w:pPr>
      <w:r w:rsidRPr="00CD0FEB">
        <w:rPr>
          <w:vertAlign w:val="superscript"/>
        </w:rPr>
        <w:footnoteRef/>
      </w:r>
      <w:r w:rsidRPr="00CD0FEB">
        <w:t xml:space="preserve">WH Op. FLSA2005-21, 2005 WL 3308592 (Aug. 19, 2005); </w:t>
      </w:r>
      <w:r w:rsidRPr="00CD0FEB">
        <w:rPr>
          <w:i/>
          <w:iCs/>
        </w:rPr>
        <w:t>accord</w:t>
      </w:r>
      <w:r w:rsidRPr="00CD0FEB">
        <w:t xml:space="preserve"> Schaefer v. Indiana Mich. Power Co., 358 F.3d 394</w:t>
      </w:r>
      <w:r w:rsidRPr="00105650">
        <w:t xml:space="preserve"> (</w:t>
      </w:r>
      <w:r w:rsidRPr="00CD0FEB">
        <w:t xml:space="preserve">6th Cir. 2004) (finding that security background investigators had discretion in planning their own workloads, prioritizing and assessing leads, and determining which witnesses to interview, but did not exercise discretion and independent judgment with respect to matters of significance because they were merely applying their knowledge in following prescribed procedures or determining which procedure to follow). </w:t>
      </w:r>
      <w:r w:rsidRPr="00CD0FEB">
        <w:rPr>
          <w:i/>
          <w:iCs/>
        </w:rPr>
        <w:t xml:space="preserve">See also </w:t>
      </w:r>
      <w:r w:rsidRPr="00CD0FEB">
        <w:t>Ahle v. Veracity Rsch. Co., 738 F. Supp. 2d 896, 16 WH Cases2d 1161 (D. Minn. 2010) (ruling that private investigators did not qualify for administrative exemption where they were constrained by detailed written guidelines dictating the manner and scope of investigations and did not offer opinions, conclusions, or recommendations as to whether a claim should be paid or denied).</w:t>
      </w:r>
    </w:p>
  </w:footnote>
  <w:footnote w:id="548">
    <w:p w14:paraId="6EE81518" w14:textId="77777777" w:rsidR="00201F3F" w:rsidRPr="00CD0FEB" w:rsidRDefault="00201F3F" w:rsidP="00C2067F">
      <w:pPr>
        <w:pStyle w:val="14Footnote"/>
      </w:pPr>
      <w:r w:rsidRPr="00CD0FEB">
        <w:rPr>
          <w:vertAlign w:val="superscript"/>
        </w:rPr>
        <w:footnoteRef/>
      </w:r>
      <w:r w:rsidRPr="00CD0FEB">
        <w:t>269 F.3d 680</w:t>
      </w:r>
      <w:r w:rsidRPr="00F961CA">
        <w:rPr>
          <w:vertAlign w:val="superscript"/>
        </w:rPr>
        <w:t xml:space="preserve"> </w:t>
      </w:r>
      <w:r>
        <w:t>(</w:t>
      </w:r>
      <w:r w:rsidRPr="00CD0FEB">
        <w:t>6th Cir. 2001).</w:t>
      </w:r>
    </w:p>
  </w:footnote>
  <w:footnote w:id="549">
    <w:p w14:paraId="587E3BA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687; </w:t>
      </w:r>
      <w:r w:rsidRPr="00CD0FEB">
        <w:rPr>
          <w:i/>
          <w:iCs/>
        </w:rPr>
        <w:t>see also</w:t>
      </w:r>
      <w:r w:rsidRPr="00CD0FEB">
        <w:t xml:space="preserve"> Radtke v. Lifecare Mgmt. Partners, 795 F.3d 159, 25 WH Cases2d 18 (D.C. Cir. 2015) (upholding jury verdict where plaintiffs offered evidence that their coding of medical records did not require independent judgment because relevant codes and descriptions were specific in manuals); Zuber v. APC Natchiq, Inc., 144 F. App’x 657, 657</w:t>
      </w:r>
      <w:r w:rsidRPr="00F961CA">
        <w:rPr>
          <w:vertAlign w:val="superscript"/>
        </w:rPr>
        <w:t xml:space="preserve"> </w:t>
      </w:r>
      <w:r>
        <w:t>(</w:t>
      </w:r>
      <w:r w:rsidRPr="00CD0FEB">
        <w:t xml:space="preserve">9th Cir. 2005) (finding that safety specialist’s job entailed the “use of skill in applying techniques, procedures or specific standards” rather than “the exercise of discretion and independent judgment”); Bullard v. Babcock &amp; Wilcox Tech. Servs. Pantex, LLC, 2009 WL 1704251 (N.D. Tex. June 17, 2009) (finding curriculum developers and administrative and desk lieutenants nonexempt where they applied well-established policies, techniques, and procedures as described in manuals, standing orders, a collective bargaining agreement, and Department of Energy instructions within closely prescribed limits to determine appropriate response to an inquiry or set of circumstances, and thus were given little discretion in matters of significance), </w:t>
      </w:r>
      <w:r w:rsidRPr="00CD0FEB">
        <w:rPr>
          <w:i/>
          <w:iCs/>
        </w:rPr>
        <w:t>vacated on another ground sub nom</w:t>
      </w:r>
      <w:r w:rsidRPr="00CD0FEB">
        <w:t>. Stokes v. Babcock &amp; Wilcox Tech. Servs. Pantex, 424 F. App’x 324</w:t>
      </w:r>
      <w:r w:rsidRPr="00F961CA">
        <w:rPr>
          <w:vertAlign w:val="superscript"/>
        </w:rPr>
        <w:t xml:space="preserve"> </w:t>
      </w:r>
      <w:r>
        <w:t>(</w:t>
      </w:r>
      <w:r w:rsidRPr="00CD0FEB">
        <w:t>5th Cir. 2011).</w:t>
      </w:r>
    </w:p>
  </w:footnote>
  <w:footnote w:id="550">
    <w:p w14:paraId="7DC30194" w14:textId="77777777" w:rsidR="00201F3F" w:rsidRPr="00CD0FEB" w:rsidRDefault="00201F3F" w:rsidP="00C2067F">
      <w:pPr>
        <w:pStyle w:val="14Footnote"/>
      </w:pPr>
      <w:r w:rsidRPr="00CD0FEB">
        <w:rPr>
          <w:vertAlign w:val="superscript"/>
        </w:rPr>
        <w:footnoteRef/>
      </w:r>
      <w:r w:rsidRPr="00CD0FEB">
        <w:t>710 F.3d 640, 642, 20 WH Cases2d 732</w:t>
      </w:r>
      <w:r w:rsidRPr="00F961CA">
        <w:rPr>
          <w:vertAlign w:val="superscript"/>
        </w:rPr>
        <w:t xml:space="preserve"> </w:t>
      </w:r>
      <w:r>
        <w:t>(</w:t>
      </w:r>
      <w:r w:rsidRPr="00CD0FEB">
        <w:t>6th Cir. 2013).</w:t>
      </w:r>
    </w:p>
  </w:footnote>
  <w:footnote w:id="551">
    <w:p w14:paraId="3D208666" w14:textId="77777777" w:rsidR="00201F3F" w:rsidRPr="00CD0FEB" w:rsidRDefault="00201F3F" w:rsidP="00C2067F">
      <w:pPr>
        <w:pStyle w:val="14Footnote"/>
      </w:pPr>
      <w:r w:rsidRPr="00CD0FEB">
        <w:rPr>
          <w:vertAlign w:val="superscript"/>
        </w:rPr>
        <w:footnoteRef/>
      </w:r>
      <w:r w:rsidRPr="00CD0FEB">
        <w:t>710 F.3d at 649–50.</w:t>
      </w:r>
    </w:p>
  </w:footnote>
  <w:footnote w:id="552">
    <w:p w14:paraId="23D0C5CE" w14:textId="77777777" w:rsidR="00201F3F" w:rsidRPr="00CD0FEB" w:rsidRDefault="00201F3F" w:rsidP="00C2067F">
      <w:pPr>
        <w:pStyle w:val="14Footnote"/>
      </w:pPr>
      <w:r w:rsidRPr="00CD0FEB">
        <w:rPr>
          <w:vertAlign w:val="superscript"/>
        </w:rPr>
        <w:footnoteRef/>
      </w:r>
      <w:r w:rsidRPr="00CD0FEB">
        <w:t>Calderon v. GEICO Gen. Ins. Co., 809 F.3d 111, 25 WH Cases2d 1526</w:t>
      </w:r>
      <w:r w:rsidRPr="00F961CA">
        <w:rPr>
          <w:vertAlign w:val="superscript"/>
        </w:rPr>
        <w:t xml:space="preserve"> </w:t>
      </w:r>
      <w:r>
        <w:t>(</w:t>
      </w:r>
      <w:r w:rsidRPr="00CD0FEB">
        <w:t xml:space="preserve">4th Cir. 2015). </w:t>
      </w:r>
    </w:p>
  </w:footnote>
  <w:footnote w:id="553">
    <w:p w14:paraId="1B414602" w14:textId="77777777" w:rsidR="00201F3F" w:rsidRPr="00CD0FEB" w:rsidRDefault="00201F3F" w:rsidP="004B3FA1">
      <w:pPr>
        <w:pStyle w:val="14Footnote"/>
      </w:pPr>
      <w:r w:rsidRPr="00CD0FEB">
        <w:rPr>
          <w:vertAlign w:val="superscript"/>
        </w:rPr>
        <w:footnoteRef/>
      </w:r>
      <w:r w:rsidRPr="00CD0FEB">
        <w:t>809 F.3d at 124 (quoting Desmond v. PNGI Charles Town Gaming, LLC, 564 F.3d 688, 694</w:t>
      </w:r>
      <w:r w:rsidRPr="00F961CA">
        <w:rPr>
          <w:vertAlign w:val="superscript"/>
        </w:rPr>
        <w:t xml:space="preserve"> </w:t>
      </w:r>
      <w:r>
        <w:t>(</w:t>
      </w:r>
      <w:r w:rsidRPr="00CD0FEB">
        <w:t xml:space="preserve">4th Cir. 2009) (internal quotations omitted)). </w:t>
      </w:r>
    </w:p>
  </w:footnote>
  <w:footnote w:id="554">
    <w:p w14:paraId="322769DC" w14:textId="77777777" w:rsidR="00201F3F" w:rsidRPr="00CD0FEB" w:rsidRDefault="00201F3F" w:rsidP="002834A9">
      <w:pPr>
        <w:pStyle w:val="14Footnote"/>
      </w:pPr>
      <w:r w:rsidRPr="00CD0FEB">
        <w:rPr>
          <w:rStyle w:val="FootnoteReference"/>
        </w:rPr>
        <w:footnoteRef/>
      </w:r>
      <w:r w:rsidRPr="00CD0FEB">
        <w:t xml:space="preserve">38 </w:t>
      </w:r>
      <w:r>
        <w:t>F.</w:t>
      </w:r>
      <w:r w:rsidRPr="00CD0FEB">
        <w:t xml:space="preserve">4th 103 </w:t>
      </w:r>
      <w:r w:rsidRPr="00323FAC">
        <w:t>(1</w:t>
      </w:r>
      <w:r w:rsidRPr="00CD0FEB">
        <w:t>1th Cir. 2022).</w:t>
      </w:r>
    </w:p>
  </w:footnote>
  <w:footnote w:id="555">
    <w:p w14:paraId="2D14DA11" w14:textId="77777777" w:rsidR="00201F3F" w:rsidRPr="00CD0FEB" w:rsidRDefault="00201F3F" w:rsidP="002834A9">
      <w:pPr>
        <w:pStyle w:val="14Footnote"/>
      </w:pPr>
      <w:r w:rsidRPr="00CD0FEB">
        <w:rPr>
          <w:rStyle w:val="FootnoteReference"/>
        </w:rPr>
        <w:footnoteRef/>
      </w:r>
      <w:r w:rsidRPr="00CD0FEB">
        <w:rPr>
          <w:i/>
          <w:iCs/>
        </w:rPr>
        <w:t>Id.</w:t>
      </w:r>
      <w:r w:rsidRPr="00CD0FEB">
        <w:t xml:space="preserve"> at 113.</w:t>
      </w:r>
    </w:p>
  </w:footnote>
  <w:footnote w:id="556">
    <w:p w14:paraId="13FE7A0C" w14:textId="77777777" w:rsidR="00201F3F" w:rsidRPr="00CD0FEB" w:rsidRDefault="00201F3F" w:rsidP="002834A9">
      <w:pPr>
        <w:pStyle w:val="14Footnote"/>
      </w:pPr>
      <w:r w:rsidRPr="00CD0FEB">
        <w:rPr>
          <w:rStyle w:val="FootnoteReference"/>
        </w:rPr>
        <w:footnoteRef/>
      </w:r>
      <w:r w:rsidRPr="00CD0FEB">
        <w:rPr>
          <w:i/>
          <w:iCs/>
        </w:rPr>
        <w:t>Id.</w:t>
      </w:r>
      <w:r w:rsidRPr="00CD0FEB">
        <w:t xml:space="preserve"> at 114 (emphasis in original).</w:t>
      </w:r>
    </w:p>
  </w:footnote>
  <w:footnote w:id="557">
    <w:p w14:paraId="249CD6DB" w14:textId="77777777" w:rsidR="00201F3F" w:rsidRPr="00CD0FEB" w:rsidRDefault="00201F3F" w:rsidP="00C2067F">
      <w:pPr>
        <w:pStyle w:val="14Footnote"/>
      </w:pPr>
      <w:r w:rsidRPr="00CD0FEB">
        <w:rPr>
          <w:vertAlign w:val="superscript"/>
        </w:rPr>
        <w:footnoteRef/>
      </w:r>
      <w:r w:rsidRPr="00CD0FEB">
        <w:t xml:space="preserve">29 C.F.R. §541.704; </w:t>
      </w:r>
      <w:r w:rsidRPr="00CD0FEB">
        <w:rPr>
          <w:i/>
          <w:iCs/>
        </w:rPr>
        <w:t>see also</w:t>
      </w:r>
      <w:r w:rsidRPr="00CD0FEB">
        <w:t xml:space="preserve"> 69 Fed. Reg. 22,121, 22,188–89 (Apr. 23, 2004) (expressing intention to avoid “absurd result” in </w:t>
      </w:r>
      <w:r w:rsidRPr="00CD0FEB">
        <w:rPr>
          <w:i/>
          <w:iCs/>
        </w:rPr>
        <w:t>Hashop v. Rockwell Space Operations Co</w:t>
      </w:r>
      <w:r w:rsidRPr="00CD0FEB">
        <w:t>., 867 F. Supp. 1287 (S.D. Tex. 1994), in which the court held that professional exemption did not apply to instructors who trained Space Shuttle ground control personnel during simulated missions).</w:t>
      </w:r>
    </w:p>
  </w:footnote>
  <w:footnote w:id="558">
    <w:p w14:paraId="2FEB67C0" w14:textId="77777777" w:rsidR="00201F3F" w:rsidRPr="00CD0FEB" w:rsidRDefault="00201F3F" w:rsidP="00C2067F">
      <w:pPr>
        <w:pStyle w:val="14Footnote"/>
      </w:pPr>
      <w:r w:rsidRPr="00CD0FEB">
        <w:rPr>
          <w:vertAlign w:val="superscript"/>
        </w:rPr>
        <w:footnoteRef/>
      </w:r>
      <w:r w:rsidRPr="00CD0FEB">
        <w:t>424 F. Supp. 2d 816 (E.D. Pa. 2006).</w:t>
      </w:r>
    </w:p>
  </w:footnote>
  <w:footnote w:id="559">
    <w:p w14:paraId="74F80292" w14:textId="77777777" w:rsidR="00201F3F" w:rsidRPr="00CD0FEB" w:rsidRDefault="00201F3F" w:rsidP="00C2067F">
      <w:pPr>
        <w:pStyle w:val="14Footnote"/>
      </w:pPr>
      <w:r w:rsidRPr="00CD0FEB">
        <w:rPr>
          <w:vertAlign w:val="superscript"/>
        </w:rPr>
        <w:footnoteRef/>
      </w:r>
      <w:r w:rsidRPr="00CD0FEB">
        <w:t>497 F.3d 573, 12 WH Cases2d 1281</w:t>
      </w:r>
      <w:r w:rsidRPr="00105650">
        <w:t xml:space="preserve"> (</w:t>
      </w:r>
      <w:r w:rsidRPr="00CD0FEB">
        <w:t>6th Cir. 2007).</w:t>
      </w:r>
    </w:p>
  </w:footnote>
  <w:footnote w:id="560">
    <w:p w14:paraId="6987825D"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577; </w:t>
      </w:r>
      <w:r w:rsidRPr="00CD0FEB">
        <w:rPr>
          <w:i/>
          <w:iCs/>
        </w:rPr>
        <w:t>see also</w:t>
      </w:r>
      <w:r w:rsidRPr="00CD0FEB">
        <w:t xml:space="preserve"> Drexler v. Tel Nexx, Inc., 266 F. Supp. 3d 492 (D. Mass. 2017) (holding that technical writer who wrote manuals related to the maintenance, safety, and procedure for operating semiconductor fabrication equipment and other products was properly classified as exempt administrative employee, following </w:t>
      </w:r>
      <w:r w:rsidRPr="00CD0FEB">
        <w:rPr>
          <w:i/>
          <w:iCs/>
        </w:rPr>
        <w:t>Renfro</w:t>
      </w:r>
      <w:r w:rsidRPr="00CD0FEB">
        <w:t>); Bunn v. City &amp; Cnty. of Denver, 2015 WL 6153392 (D. Colo. Oct. 20, 2015) (finding exempt classification was supported by evidence that 911 system administrators created “playbooks,” wrote complex operating procedures, and were “lead” technicians, which involved planning, coordinating, scheduling, and working with customers and vendors, but denying summary judgment where plaintiffs offered evidence that duties primarily involved application of specific standards and routine tasks over which they had little discretion).</w:t>
      </w:r>
    </w:p>
  </w:footnote>
  <w:footnote w:id="561">
    <w:p w14:paraId="0EA11636" w14:textId="77777777" w:rsidR="00201F3F" w:rsidRPr="00CD0FEB" w:rsidRDefault="00201F3F" w:rsidP="00C2067F">
      <w:pPr>
        <w:pStyle w:val="14Footnote"/>
      </w:pPr>
      <w:r w:rsidRPr="00CD0FEB">
        <w:rPr>
          <w:vertAlign w:val="superscript"/>
        </w:rPr>
        <w:footnoteRef/>
      </w:r>
      <w:r w:rsidRPr="00CD0FEB">
        <w:t>370 F.3d 512, 9 WH Cases2d 1204</w:t>
      </w:r>
      <w:r w:rsidRPr="00105650">
        <w:t xml:space="preserve"> </w:t>
      </w:r>
      <w:r w:rsidRPr="00323FAC">
        <w:t>(</w:t>
      </w:r>
      <w:r w:rsidRPr="00CD0FEB">
        <w:t>6th Cir. 2004).</w:t>
      </w:r>
    </w:p>
  </w:footnote>
  <w:footnote w:id="562">
    <w:p w14:paraId="54DDC2B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515; </w:t>
      </w:r>
      <w:r w:rsidRPr="00CD0FEB">
        <w:rPr>
          <w:i/>
          <w:iCs/>
        </w:rPr>
        <w:t>see also</w:t>
      </w:r>
    </w:p>
    <w:p w14:paraId="5A841A62" w14:textId="77777777" w:rsidR="00201F3F" w:rsidRPr="00CD0FEB" w:rsidRDefault="00201F3F" w:rsidP="00C2067F">
      <w:pPr>
        <w:pStyle w:val="14Footnote"/>
      </w:pPr>
      <w:r w:rsidRPr="00CD0FEB">
        <w:rPr>
          <w:i/>
          <w:iCs/>
        </w:rPr>
        <w:t>Sixth Circuit:</w:t>
      </w:r>
      <w:r w:rsidRPr="00CD0FEB">
        <w:t xml:space="preserve"> Boaz v. Federal Express Corp., 107 F. Supp. 3d 861 (W.D. Tenn. 2015) (holding systems support analyst who implemented operating practices and carried out major assignments exempt even though she could not establish or deviate from established policies).</w:t>
      </w:r>
    </w:p>
    <w:p w14:paraId="18F50004" w14:textId="77777777" w:rsidR="00201F3F" w:rsidRPr="00CD0FEB" w:rsidRDefault="00201F3F" w:rsidP="00C2067F">
      <w:pPr>
        <w:pStyle w:val="14Footnote"/>
      </w:pPr>
      <w:r w:rsidRPr="00CD0FEB">
        <w:rPr>
          <w:i/>
          <w:iCs/>
        </w:rPr>
        <w:t xml:space="preserve">Seventh Circuit: </w:t>
      </w:r>
      <w:r w:rsidRPr="00CD0FEB">
        <w:t>Kennedy v. Commonwealth Edison Co., 410 F.3d 365, 10 WH Cases2d 1078</w:t>
      </w:r>
      <w:r w:rsidRPr="00F961CA">
        <w:rPr>
          <w:vertAlign w:val="superscript"/>
        </w:rPr>
        <w:t xml:space="preserve"> </w:t>
      </w:r>
      <w:r>
        <w:t>(</w:t>
      </w:r>
      <w:r w:rsidRPr="00CD0FEB">
        <w:t>7th Cir. 2005) (deeming work planners, lead work planners, first-line supervisors, supply analysts, and staff specialists exempt); DeWalt v. Greencroft Goshen, Inc., 902 F. Supp. 2d 1127, 1134–35 (N.D. Ind. 2012) (finding marketing associate qualified for administrative exemption because she used discretion and independent judgment in communicating with prospects and referrals and her employer did not supervise visits or script her communications).</w:t>
      </w:r>
    </w:p>
    <w:p w14:paraId="0A0E47D6" w14:textId="77777777" w:rsidR="00201F3F" w:rsidRPr="00CD0FEB" w:rsidRDefault="00201F3F" w:rsidP="00C2067F">
      <w:pPr>
        <w:pStyle w:val="14Footnote"/>
      </w:pPr>
      <w:r w:rsidRPr="00CD0FEB">
        <w:rPr>
          <w:i/>
          <w:iCs/>
        </w:rPr>
        <w:t>Ninth Circuit:</w:t>
      </w:r>
      <w:r w:rsidRPr="00CD0FEB">
        <w:t xml:space="preserve"> Nolan v. Transcend Servs., Inc., 2012 WL 14021 (D. Or. Jan. 4, 2012) (finding that quality assurance manager for medical transcription company qualified for administrative exemption notwithstanding reliance on manual where she helped develop manual and was not confined to manual’s techniques and procedures).</w:t>
      </w:r>
    </w:p>
    <w:p w14:paraId="60E6A0ED" w14:textId="77777777" w:rsidR="00201F3F" w:rsidRPr="00CD0FEB" w:rsidRDefault="00201F3F" w:rsidP="00C2067F">
      <w:pPr>
        <w:pStyle w:val="14Footnote"/>
      </w:pPr>
      <w:r w:rsidRPr="00CD0FEB">
        <w:rPr>
          <w:i/>
          <w:iCs/>
        </w:rPr>
        <w:t>Opinion Letter:</w:t>
      </w:r>
      <w:r w:rsidRPr="00CD0FEB">
        <w:t xml:space="preserve"> WH Op. FLSA2008-3, 2008 WL 2018632 (Apr. 21, 2008) (opining that Product Technology Application and Marketing Analyst exercised discretion and independent judgment in developing tests measuring performance of new products and assessing feasibility of novel uses for existing products).</w:t>
      </w:r>
    </w:p>
  </w:footnote>
  <w:footnote w:id="563">
    <w:p w14:paraId="0AB8892E" w14:textId="77777777" w:rsidR="00201F3F" w:rsidRPr="00CD0FEB" w:rsidRDefault="00201F3F" w:rsidP="00C2067F">
      <w:pPr>
        <w:pStyle w:val="14Footnote"/>
      </w:pPr>
      <w:r w:rsidRPr="00CD0FEB">
        <w:rPr>
          <w:vertAlign w:val="superscript"/>
        </w:rPr>
        <w:footnoteRef/>
      </w:r>
      <w:r w:rsidRPr="00CD0FEB">
        <w:t>WH Op. FLSA2006-30, at 1, 2006 WL 2792444 (Sept. 8, 2006).</w:t>
      </w:r>
    </w:p>
  </w:footnote>
  <w:footnote w:id="564">
    <w:p w14:paraId="64735E75" w14:textId="77777777" w:rsidR="00201F3F" w:rsidRPr="00CD0FEB" w:rsidRDefault="00201F3F" w:rsidP="00C2067F">
      <w:pPr>
        <w:pStyle w:val="14Footnote"/>
      </w:pPr>
      <w:r w:rsidRPr="00CD0FEB">
        <w:rPr>
          <w:vertAlign w:val="superscript"/>
        </w:rPr>
        <w:footnoteRef/>
      </w:r>
      <w:r w:rsidRPr="00CD0FEB">
        <w:rPr>
          <w:i/>
          <w:iCs/>
        </w:rPr>
        <w:t>Id</w:t>
      </w:r>
      <w:r w:rsidRPr="00CD0FEB">
        <w:t>. at 2.</w:t>
      </w:r>
    </w:p>
  </w:footnote>
  <w:footnote w:id="565">
    <w:p w14:paraId="38FBA9E9" w14:textId="77777777" w:rsidR="00201F3F" w:rsidRPr="00CD0FEB" w:rsidRDefault="00201F3F" w:rsidP="00C2067F">
      <w:pPr>
        <w:pStyle w:val="14Footnote"/>
      </w:pPr>
      <w:r w:rsidRPr="00CD0FEB">
        <w:rPr>
          <w:vertAlign w:val="superscript"/>
        </w:rPr>
        <w:footnoteRef/>
      </w:r>
      <w:r w:rsidRPr="00CD0FEB">
        <w:t>WH Op. FLSA2006-34, 2006 WL 3227789 (Sept. 21, 2006).</w:t>
      </w:r>
    </w:p>
  </w:footnote>
  <w:footnote w:id="566">
    <w:p w14:paraId="29B22FB4" w14:textId="77777777" w:rsidR="00201F3F" w:rsidRPr="00CD0FEB" w:rsidRDefault="00201F3F" w:rsidP="00C2067F">
      <w:pPr>
        <w:pStyle w:val="14Footnote"/>
      </w:pPr>
      <w:r w:rsidRPr="00CD0FEB">
        <w:rPr>
          <w:vertAlign w:val="superscript"/>
        </w:rPr>
        <w:footnoteRef/>
      </w:r>
      <w:r w:rsidRPr="00CD0FEB">
        <w:rPr>
          <w:i/>
          <w:iCs/>
        </w:rPr>
        <w:t>See also</w:t>
      </w:r>
      <w:r w:rsidRPr="00CD0FEB">
        <w:t xml:space="preserve"> WH Op. FLSA2006-46, 2006 WL 3930479 (Dec. 21, 2006) (observing that location managers in the motion picture industry qualified for the administrative exemption in that they used discretion and independent judgment to select locations for filming, negotiated contracts, applied for all necessary permits, and created rules for the production crew in order to comply with those contracts and permits).</w:t>
      </w:r>
    </w:p>
  </w:footnote>
  <w:footnote w:id="567">
    <w:p w14:paraId="33DCE0FC" w14:textId="77777777" w:rsidR="00201F3F" w:rsidRPr="00CD0FEB" w:rsidRDefault="00201F3F" w:rsidP="00C2067F">
      <w:pPr>
        <w:pStyle w:val="14Footnote"/>
      </w:pPr>
      <w:r w:rsidRPr="00CD0FEB">
        <w:rPr>
          <w:vertAlign w:val="superscript"/>
        </w:rPr>
        <w:footnoteRef/>
      </w:r>
      <w:r w:rsidRPr="00CD0FEB">
        <w:t xml:space="preserve">230 F. App’x 772 </w:t>
      </w:r>
      <w:r w:rsidRPr="00323FAC">
        <w:t>(1</w:t>
      </w:r>
      <w:r w:rsidRPr="00CD0FEB">
        <w:t>0th Cir. 2007).</w:t>
      </w:r>
    </w:p>
  </w:footnote>
  <w:footnote w:id="568">
    <w:p w14:paraId="3BB00029"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783.</w:t>
      </w:r>
    </w:p>
  </w:footnote>
  <w:footnote w:id="569">
    <w:p w14:paraId="6A02EBD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784. </w:t>
      </w:r>
    </w:p>
  </w:footnote>
  <w:footnote w:id="570">
    <w:p w14:paraId="0D1EE490" w14:textId="77777777" w:rsidR="00201F3F" w:rsidRPr="00CD0FEB" w:rsidRDefault="00201F3F" w:rsidP="00C2067F">
      <w:pPr>
        <w:pStyle w:val="14Footnote"/>
      </w:pPr>
      <w:r w:rsidRPr="00CD0FEB">
        <w:rPr>
          <w:vertAlign w:val="superscript"/>
        </w:rPr>
        <w:footnoteRef/>
      </w:r>
      <w:r w:rsidRPr="00CD0FEB">
        <w:t>WH Op. FLSA2006-23, 2006 WL 2158424 (June 29, 2006).</w:t>
      </w:r>
    </w:p>
  </w:footnote>
  <w:footnote w:id="571">
    <w:p w14:paraId="75331E08" w14:textId="77777777" w:rsidR="00201F3F" w:rsidRPr="00CD0FEB" w:rsidRDefault="00201F3F" w:rsidP="00C2067F">
      <w:pPr>
        <w:pStyle w:val="14Footnote"/>
      </w:pPr>
      <w:r w:rsidRPr="00CD0FEB">
        <w:rPr>
          <w:vertAlign w:val="superscript"/>
        </w:rPr>
        <w:footnoteRef/>
      </w:r>
      <w:r w:rsidRPr="00CD0FEB">
        <w:t>69 Fed. Reg. 22,121, 22,144 (Apr. 23, 2004).</w:t>
      </w:r>
    </w:p>
  </w:footnote>
  <w:footnote w:id="572">
    <w:p w14:paraId="4514222D" w14:textId="77777777" w:rsidR="00201F3F" w:rsidRPr="00CD0FEB" w:rsidRDefault="00201F3F" w:rsidP="00C2067F">
      <w:pPr>
        <w:pStyle w:val="14Footnote"/>
      </w:pPr>
      <w:r w:rsidRPr="00CD0FEB">
        <w:rPr>
          <w:vertAlign w:val="superscript"/>
        </w:rPr>
        <w:footnoteRef/>
      </w:r>
      <w:r w:rsidRPr="00CD0FEB">
        <w:t>29 C.F.R. §541.203(a).</w:t>
      </w:r>
    </w:p>
  </w:footnote>
  <w:footnote w:id="573">
    <w:p w14:paraId="306FE93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e.g</w:t>
      </w:r>
      <w:r w:rsidRPr="00CD0FEB">
        <w:t>.,</w:t>
      </w:r>
    </w:p>
    <w:p w14:paraId="5051FCA1" w14:textId="77777777" w:rsidR="00201F3F" w:rsidRPr="00CD0FEB" w:rsidRDefault="00201F3F" w:rsidP="00C2067F">
      <w:pPr>
        <w:pStyle w:val="14Footnote"/>
      </w:pPr>
      <w:r w:rsidRPr="00CD0FEB">
        <w:rPr>
          <w:i/>
          <w:iCs/>
        </w:rPr>
        <w:t>Second Circuit:</w:t>
      </w:r>
      <w:r w:rsidRPr="00CD0FEB">
        <w:t xml:space="preserve"> Julian v. MetLife, Inc., 2021 BL 328953, 2021 WL 3887763 (S.D.N.Y. Aug. 31, 2021) (finding disability claims specialists were properly classified as exempt where they exercised discretion and independent judgment with respect to matters of significance in gathering, assessing, and evaluating large amounts of information, including information from initial and follow-up witnesses, medical reports, employer data, and data from resources such as clinical experts, vocational rehabilitation experts, and other internal resources to determine whether the individual had a disability covered by the plan, whether claims should be approved or denied, and the amount of benefits that should be provided under the policy).</w:t>
      </w:r>
    </w:p>
    <w:p w14:paraId="745581AE" w14:textId="77777777" w:rsidR="00201F3F" w:rsidRPr="00CD0FEB" w:rsidRDefault="00201F3F" w:rsidP="00C2067F">
      <w:pPr>
        <w:pStyle w:val="14Footnote"/>
      </w:pPr>
      <w:r w:rsidRPr="00CD0FEB">
        <w:rPr>
          <w:i/>
          <w:iCs/>
        </w:rPr>
        <w:t>Third Circuit:</w:t>
      </w:r>
      <w:r w:rsidRPr="00CD0FEB">
        <w:t xml:space="preserve"> Estrada v. MaGuire Ins. Agency, Inc., 2014 WL 795996, 22 WH Cases2d 416 (E.D. Pa. Feb. 28, 2014) (ruling on summary judgment that automobile insurance claims examiners exercised sufficient discretion and independent judgment to fall within exemption).</w:t>
      </w:r>
    </w:p>
    <w:p w14:paraId="0F5CDE35" w14:textId="77777777" w:rsidR="00201F3F" w:rsidRPr="00CD0FEB" w:rsidRDefault="00201F3F" w:rsidP="00C2067F">
      <w:pPr>
        <w:pStyle w:val="14Footnote"/>
      </w:pPr>
      <w:r w:rsidRPr="00CD0FEB">
        <w:rPr>
          <w:i/>
          <w:iCs/>
        </w:rPr>
        <w:t>Fourth Circuit:</w:t>
      </w:r>
      <w:r w:rsidRPr="00CD0FEB">
        <w:t xml:space="preserve"> Withrow v. Sedgwick Claims Mgmt. Servs., Inc., 841 F. Supp. 2d 972 (S.D. W. Va. 2012) (deeming workers’ compensation claims examiners exempt).</w:t>
      </w:r>
    </w:p>
    <w:p w14:paraId="78C5639A" w14:textId="77777777" w:rsidR="00201F3F" w:rsidRPr="00CD0FEB" w:rsidRDefault="00201F3F" w:rsidP="00C2067F">
      <w:pPr>
        <w:pStyle w:val="14Footnote"/>
      </w:pPr>
      <w:r w:rsidRPr="00CD0FEB">
        <w:rPr>
          <w:i/>
          <w:iCs/>
        </w:rPr>
        <w:t>Fifth Circuit:</w:t>
      </w:r>
      <w:r w:rsidRPr="00CD0FEB">
        <w:t xml:space="preserve"> Talbert v. American Risk Ins. Co., 405 F. App’x 848, 17 WH Cases2d 257</w:t>
      </w:r>
      <w:r w:rsidRPr="00105650">
        <w:t xml:space="preserve"> </w:t>
      </w:r>
      <w:r w:rsidRPr="00323FAC">
        <w:t>(</w:t>
      </w:r>
      <w:r w:rsidRPr="00CD0FEB">
        <w:t>5th Cir. 2010) (holding that assistant claims adjusters responsible for making coverage and settlement recommendations after interviewing witnesses and assisting in litigation met requirements for administrative exemption); Cheatham v. Allstate Ins. Co., 465 F.3d 578, 11 WH Cases2d 1851</w:t>
      </w:r>
      <w:r w:rsidRPr="00105650">
        <w:t xml:space="preserve"> </w:t>
      </w:r>
      <w:r w:rsidRPr="006F4C5E">
        <w:t>(</w:t>
      </w:r>
      <w:r w:rsidRPr="00CD0FEB">
        <w:t>5th Cir. 2006) (applying administrative exemption to various classes of employees responsible for determining coverage, conducting investigations, assessing liability and assigning percentages of fault to parties, evaluating bodily injuries, negotiating final settlements, setting and adjusting reserves, and deciding whether coverage should be approved or denied).</w:t>
      </w:r>
    </w:p>
    <w:p w14:paraId="478B0EAB" w14:textId="77777777" w:rsidR="00201F3F" w:rsidRPr="00CD0FEB" w:rsidRDefault="00201F3F" w:rsidP="00C2067F">
      <w:pPr>
        <w:pStyle w:val="14Footnote"/>
      </w:pPr>
      <w:r w:rsidRPr="00CD0FEB">
        <w:rPr>
          <w:i/>
          <w:iCs/>
        </w:rPr>
        <w:t>Sixth Circuit:</w:t>
      </w:r>
      <w:r w:rsidRPr="00CD0FEB">
        <w:t xml:space="preserve"> Murray v. Ohio Cas. Corp., 2005 WL 2373857 (S.D. Ohio Sept. 27, 2005) (determining claims representatives, claims specialists, and claims adjusters to be exempt).</w:t>
      </w:r>
    </w:p>
    <w:p w14:paraId="3CBE9C8C" w14:textId="77777777" w:rsidR="00201F3F" w:rsidRPr="00CD0FEB" w:rsidRDefault="00201F3F" w:rsidP="00C2067F">
      <w:pPr>
        <w:pStyle w:val="14Footnote"/>
      </w:pPr>
      <w:r w:rsidRPr="00CD0FEB">
        <w:rPr>
          <w:i/>
          <w:iCs/>
        </w:rPr>
        <w:t>Seventh Circuit:</w:t>
      </w:r>
      <w:r w:rsidRPr="00CD0FEB">
        <w:t xml:space="preserve"> Roe-Midgett v. CC Servs., Inc., 512 F.3d 865, 13 WH Cases2d 180</w:t>
      </w:r>
      <w:r w:rsidRPr="00105650">
        <w:t xml:space="preserve"> </w:t>
      </w:r>
      <w:r w:rsidRPr="006F4C5E">
        <w:t>(</w:t>
      </w:r>
      <w:r w:rsidRPr="00CD0FEB">
        <w:t>7th Cir. 2008) (deeming automobile claims adjuster exempt); Marting v. Crawford &amp; Co., 2006 WL 681060 (N.D. Ill. Mar. 14, 2006) (deeming claims adjusters exempt).</w:t>
      </w:r>
    </w:p>
    <w:p w14:paraId="77888C4F" w14:textId="77777777" w:rsidR="00201F3F" w:rsidRPr="00CD0FEB" w:rsidRDefault="00201F3F" w:rsidP="00C2067F">
      <w:pPr>
        <w:pStyle w:val="14Footnote"/>
      </w:pPr>
      <w:r w:rsidRPr="00CD0FEB">
        <w:rPr>
          <w:i/>
          <w:iCs/>
        </w:rPr>
        <w:t>Eighth Circuit:</w:t>
      </w:r>
      <w:r w:rsidRPr="00CD0FEB">
        <w:t xml:space="preserve"> McAllister v. Transamerica Occidental Life Ins. Co., 325 F.3d 997, 8 WH Cases2d 1057</w:t>
      </w:r>
      <w:r w:rsidRPr="00105650">
        <w:t xml:space="preserve"> </w:t>
      </w:r>
      <w:r w:rsidRPr="006F4C5E">
        <w:t>(</w:t>
      </w:r>
      <w:r w:rsidRPr="00CD0FEB">
        <w:t>8th Cir. 2003) (holding life insurance claims coordinator properly classified as exempt where employee had authority to approve contestable claims up to $150,000 and uncontestable claims up to $250,000, and had disbursement authority up to $50,000).</w:t>
      </w:r>
    </w:p>
    <w:p w14:paraId="4C7BB0A7" w14:textId="77777777" w:rsidR="00201F3F" w:rsidRPr="00CD0FEB" w:rsidRDefault="00201F3F" w:rsidP="00C2067F">
      <w:pPr>
        <w:pStyle w:val="14Footnote"/>
      </w:pPr>
      <w:r w:rsidRPr="00CD0FEB">
        <w:rPr>
          <w:i/>
          <w:iCs/>
        </w:rPr>
        <w:t>Ninth Circuit:</w:t>
      </w:r>
      <w:r w:rsidRPr="00CD0FEB">
        <w:t xml:space="preserve"> Miller v. Farmers Ins. Exch., 481 F.3d 1119</w:t>
      </w:r>
      <w:r w:rsidRPr="00105650">
        <w:t xml:space="preserve"> </w:t>
      </w:r>
      <w:r w:rsidRPr="006F4C5E">
        <w:t>(</w:t>
      </w:r>
      <w:r w:rsidRPr="00CD0FEB">
        <w:t>9th Cir. 2007) (deeming exempt adjusters responsible for determining coverage, estimating exposure, investigating claims, and deciding whether to retain expert to examine validity of claim); Locke v. American Bankers Ins. Co. of Fla., 2014 WL 2091346 (E.D. Cal. May 19, 2014) (deeming insurance claims adjustors exempt).</w:t>
      </w:r>
    </w:p>
  </w:footnote>
  <w:footnote w:id="574">
    <w:p w14:paraId="4034DD8B" w14:textId="77777777" w:rsidR="00201F3F" w:rsidRPr="00CD0FEB" w:rsidRDefault="00201F3F" w:rsidP="00C2067F">
      <w:pPr>
        <w:pStyle w:val="14Footnote"/>
      </w:pPr>
      <w:r w:rsidRPr="00CD0FEB">
        <w:rPr>
          <w:vertAlign w:val="superscript"/>
        </w:rPr>
        <w:footnoteRef/>
      </w:r>
      <w:r w:rsidRPr="00CD0FEB">
        <w:t>WH Op. FLSA2005-2, 2005 WL 330610 (Jan. 7, 2005).</w:t>
      </w:r>
    </w:p>
  </w:footnote>
  <w:footnote w:id="575">
    <w:p w14:paraId="47240665"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576">
    <w:p w14:paraId="4C1635EB" w14:textId="77777777" w:rsidR="00201F3F" w:rsidRPr="00CD0FEB" w:rsidRDefault="00201F3F" w:rsidP="00C2067F">
      <w:pPr>
        <w:pStyle w:val="14Footnote"/>
      </w:pPr>
      <w:r w:rsidRPr="00CD0FEB">
        <w:rPr>
          <w:vertAlign w:val="superscript"/>
        </w:rPr>
        <w:footnoteRef/>
      </w:r>
      <w:r w:rsidRPr="00CD0FEB">
        <w:t xml:space="preserve">WH Op. FLSA2005-25, 2005 WL 3308596 (Aug. 26, 2005); </w:t>
      </w:r>
      <w:r w:rsidRPr="00CD0FEB">
        <w:rPr>
          <w:i/>
          <w:iCs/>
        </w:rPr>
        <w:t>see also In re</w:t>
      </w:r>
      <w:r w:rsidRPr="00CD0FEB">
        <w:t xml:space="preserve"> American Family Mut. Ins. Co. Overtime Pay Litig., 2007 WL 2936319 (D. Colo. Oct. 9, 2007) (concluding physical damage claims analysts who lacked discretion to make coverage determinations or ascribe value to a claim did not qualify for administrative exemption).</w:t>
      </w:r>
    </w:p>
  </w:footnote>
  <w:footnote w:id="577">
    <w:p w14:paraId="0B1F616D" w14:textId="77777777" w:rsidR="00201F3F" w:rsidRPr="00CD0FEB" w:rsidRDefault="00201F3F" w:rsidP="00C2067F">
      <w:pPr>
        <w:pStyle w:val="14Footnote"/>
      </w:pPr>
      <w:r w:rsidRPr="00CD0FEB">
        <w:rPr>
          <w:vertAlign w:val="superscript"/>
        </w:rPr>
        <w:footnoteRef/>
      </w:r>
      <w:r w:rsidRPr="00CD0FEB">
        <w:rPr>
          <w:i/>
          <w:iCs/>
        </w:rPr>
        <w:t xml:space="preserve">See also </w:t>
      </w:r>
      <w:r w:rsidRPr="00CD0FEB">
        <w:t>Foster v. Nationwide Mut. Ins. Co., 710 F.3d 640, 646, 20 WH Cases2d 732</w:t>
      </w:r>
      <w:r w:rsidRPr="00105650">
        <w:t xml:space="preserve"> (</w:t>
      </w:r>
      <w:r w:rsidRPr="00CD0FEB">
        <w:t>6th Cir. 2013) (observing that “just as claims adjusting is ancillary to Nationwide’s general business operations, … investigative work that drives the claims adjusting decisions with respect to suspicious claims is also directly related to assisting with the servicing of Nationwide’s business”).</w:t>
      </w:r>
    </w:p>
  </w:footnote>
  <w:footnote w:id="578">
    <w:p w14:paraId="4DE93909" w14:textId="77777777" w:rsidR="00201F3F" w:rsidRPr="00CD0FEB" w:rsidRDefault="00201F3F" w:rsidP="00C2067F">
      <w:pPr>
        <w:pStyle w:val="14Footnote"/>
      </w:pPr>
      <w:r w:rsidRPr="00CD0FEB">
        <w:rPr>
          <w:vertAlign w:val="superscript"/>
        </w:rPr>
        <w:footnoteRef/>
      </w:r>
      <w:r w:rsidRPr="00CD0FEB">
        <w:t>481 F.3d 1119</w:t>
      </w:r>
      <w:r w:rsidRPr="00105650">
        <w:t xml:space="preserve"> (</w:t>
      </w:r>
      <w:r w:rsidRPr="00CD0FEB">
        <w:t>9th Cir. 2007).</w:t>
      </w:r>
    </w:p>
  </w:footnote>
  <w:footnote w:id="579">
    <w:p w14:paraId="073DEF1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1130; </w:t>
      </w:r>
      <w:r w:rsidRPr="00CD0FEB">
        <w:rPr>
          <w:i/>
          <w:iCs/>
        </w:rPr>
        <w:t>see also</w:t>
      </w:r>
      <w:r w:rsidRPr="00CD0FEB">
        <w:t xml:space="preserve"> Bucklin v. Zurich Am. Ins. Co., 619 F. App’x 574, 576, 25 WH Cases2d 39</w:t>
      </w:r>
      <w:r w:rsidRPr="00105650">
        <w:t xml:space="preserve"> </w:t>
      </w:r>
      <w:r w:rsidRPr="006F4C5E">
        <w:t>(</w:t>
      </w:r>
      <w:r w:rsidRPr="00CD0FEB">
        <w:t>9th Cir. 2015) (affirming finding that adjusters were properly classified as exempt administrative employees and noting that “[a]n obligation to utilize specific computer programs or to refer to reference manuals and guidelines does not necessarily prevent an employee from exercising independent discretion or judgment”).</w:t>
      </w:r>
    </w:p>
  </w:footnote>
  <w:footnote w:id="580">
    <w:p w14:paraId="6E099FD0" w14:textId="77777777" w:rsidR="00201F3F" w:rsidRPr="00CD0FEB" w:rsidRDefault="00201F3F" w:rsidP="00C2067F">
      <w:pPr>
        <w:pStyle w:val="14Footnote"/>
      </w:pPr>
      <w:r w:rsidRPr="00CD0FEB">
        <w:rPr>
          <w:vertAlign w:val="superscript"/>
        </w:rPr>
        <w:footnoteRef/>
      </w:r>
      <w:r w:rsidRPr="00CD0FEB">
        <w:t>465 F.3d 578, 11 WH Cases2d 1851</w:t>
      </w:r>
      <w:r w:rsidRPr="00105650">
        <w:t xml:space="preserve"> </w:t>
      </w:r>
      <w:r w:rsidRPr="006F4C5E">
        <w:t>(</w:t>
      </w:r>
      <w:r w:rsidRPr="00CD0FEB">
        <w:t>5th Cir. 2006).</w:t>
      </w:r>
    </w:p>
  </w:footnote>
  <w:footnote w:id="581">
    <w:p w14:paraId="0244EEB2" w14:textId="77777777" w:rsidR="00201F3F" w:rsidRPr="00CD0FEB" w:rsidRDefault="00201F3F" w:rsidP="00C2067F">
      <w:pPr>
        <w:pStyle w:val="14Footnote"/>
      </w:pPr>
      <w:r w:rsidRPr="00CD0FEB">
        <w:rPr>
          <w:vertAlign w:val="superscript"/>
        </w:rPr>
        <w:footnoteRef/>
      </w:r>
      <w:r w:rsidRPr="00CD0FEB">
        <w:t>325 F.3d 997, 8 WH Cases2d 1057</w:t>
      </w:r>
      <w:r w:rsidRPr="00105650">
        <w:t xml:space="preserve"> </w:t>
      </w:r>
      <w:r w:rsidRPr="006F4C5E">
        <w:t>(</w:t>
      </w:r>
      <w:r w:rsidRPr="00CD0FEB">
        <w:t>8th Cir. 2003).</w:t>
      </w:r>
    </w:p>
  </w:footnote>
  <w:footnote w:id="582">
    <w:p w14:paraId="2985C728" w14:textId="77777777" w:rsidR="00201F3F" w:rsidRPr="00CD0FEB" w:rsidRDefault="00201F3F" w:rsidP="00C2067F">
      <w:pPr>
        <w:pStyle w:val="14Footnote"/>
      </w:pPr>
      <w:r w:rsidRPr="00CD0FEB">
        <w:rPr>
          <w:vertAlign w:val="superscript"/>
        </w:rPr>
        <w:footnoteRef/>
      </w:r>
      <w:r w:rsidRPr="00CD0FEB">
        <w:t>590 F.3d 886, 15 WH Cases2d 1126 (D.C. Cir. 2010) (finding auto claims adjusters properly classified as exempt where (1) their primary duty involved assessing, negotiating, and settling automobile damage claims, which required that discretion be exercised in context of total loss negotiations; (2) they made independent choices in settling claims within their authority limits of $10,000 or $15,000; and (3) those choices served to bind employer financially and thus implicated matters of significance).</w:t>
      </w:r>
    </w:p>
  </w:footnote>
  <w:footnote w:id="583">
    <w:p w14:paraId="0C360E9F" w14:textId="77777777" w:rsidR="00201F3F" w:rsidRPr="00CD0FEB" w:rsidRDefault="00201F3F" w:rsidP="00C2067F">
      <w:pPr>
        <w:pStyle w:val="14Footnote"/>
      </w:pPr>
      <w:r w:rsidRPr="00CD0FEB">
        <w:rPr>
          <w:vertAlign w:val="superscript"/>
        </w:rPr>
        <w:footnoteRef/>
      </w:r>
      <w:r w:rsidRPr="00CD0FEB">
        <w:t>586 F. App’x 772, 23 WH Cases2d 1036 (2d Cir. 2014).</w:t>
      </w:r>
    </w:p>
  </w:footnote>
  <w:footnote w:id="584">
    <w:p w14:paraId="10DBA003" w14:textId="77777777" w:rsidR="00201F3F" w:rsidRPr="00CD0FEB" w:rsidRDefault="00201F3F" w:rsidP="00C2067F">
      <w:pPr>
        <w:pStyle w:val="14Footnote"/>
      </w:pPr>
      <w:r w:rsidRPr="00CD0FEB">
        <w:rPr>
          <w:vertAlign w:val="superscript"/>
        </w:rPr>
        <w:footnoteRef/>
      </w:r>
      <w:r w:rsidRPr="00CD0FEB">
        <w:t>586 F. App’x at 775–76.</w:t>
      </w:r>
    </w:p>
  </w:footnote>
  <w:footnote w:id="585">
    <w:p w14:paraId="54965A0C" w14:textId="77777777" w:rsidR="00201F3F" w:rsidRPr="00CD0FEB" w:rsidRDefault="00201F3F" w:rsidP="00C2067F">
      <w:pPr>
        <w:pStyle w:val="14Footnote"/>
      </w:pPr>
      <w:r w:rsidRPr="00CD0FEB">
        <w:rPr>
          <w:vertAlign w:val="superscript"/>
        </w:rPr>
        <w:footnoteRef/>
      </w:r>
      <w:r w:rsidRPr="00CD0FEB">
        <w:rPr>
          <w:i/>
          <w:iCs/>
        </w:rPr>
        <w:t>See</w:t>
      </w:r>
      <w:r w:rsidRPr="00CD0FEB">
        <w:t xml:space="preserve"> 29 U.S.C. §207(s). </w:t>
      </w:r>
    </w:p>
  </w:footnote>
  <w:footnote w:id="586">
    <w:p w14:paraId="270958BA" w14:textId="77777777" w:rsidR="00201F3F" w:rsidRPr="00CD0FEB" w:rsidRDefault="00201F3F" w:rsidP="00C2067F">
      <w:pPr>
        <w:pStyle w:val="14Footnote"/>
      </w:pPr>
      <w:r w:rsidRPr="00CD0FEB">
        <w:rPr>
          <w:vertAlign w:val="superscript"/>
        </w:rPr>
        <w:footnoteRef/>
      </w:r>
      <w:r w:rsidRPr="00CD0FEB">
        <w:rPr>
          <w:i/>
          <w:iCs/>
        </w:rPr>
        <w:t>See</w:t>
      </w:r>
      <w:r w:rsidRPr="00CD0FEB">
        <w:t xml:space="preserve"> </w:t>
      </w:r>
      <w:r w:rsidRPr="00CD0FEB">
        <w:rPr>
          <w:smallCaps/>
        </w:rPr>
        <w:t xml:space="preserve">U.S. Dep’t of Labor, Wage &amp; Hour Div., Fact Sheet #72A: Major Disaster Claims Adjusters under the Fair Labor Standards Act (FLSA) </w:t>
      </w:r>
      <w:r w:rsidRPr="00CD0FEB">
        <w:t>(Nov. 2019</w:t>
      </w:r>
      <w:r w:rsidRPr="00F961CA">
        <w:t>), https://</w:t>
      </w:r>
      <w:r w:rsidRPr="00CD0FEB">
        <w:t>www.dol.gov/agencies/whd/fact-sheets/72a-flsa-major-disaster-claims-adjusters (interpreting the exemption).</w:t>
      </w:r>
    </w:p>
  </w:footnote>
  <w:footnote w:id="587">
    <w:p w14:paraId="2C9D8D4C" w14:textId="77777777" w:rsidR="00201F3F" w:rsidRPr="00CD0FEB" w:rsidRDefault="00201F3F" w:rsidP="00C2067F">
      <w:pPr>
        <w:pStyle w:val="14Footnote"/>
      </w:pPr>
      <w:r w:rsidRPr="00CD0FEB">
        <w:rPr>
          <w:vertAlign w:val="superscript"/>
        </w:rPr>
        <w:footnoteRef/>
      </w:r>
      <w:r w:rsidRPr="00CD0FEB">
        <w:t>29 C.F.R. §541.203(b).</w:t>
      </w:r>
    </w:p>
  </w:footnote>
  <w:footnote w:id="588">
    <w:p w14:paraId="33425927"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589">
    <w:p w14:paraId="1362FE05" w14:textId="77777777" w:rsidR="00201F3F" w:rsidRPr="00CD0FEB" w:rsidRDefault="00201F3F" w:rsidP="00C2067F">
      <w:pPr>
        <w:pStyle w:val="14Footnote"/>
      </w:pPr>
      <w:r w:rsidRPr="00CD0FEB">
        <w:rPr>
          <w:vertAlign w:val="superscript"/>
        </w:rPr>
        <w:footnoteRef/>
      </w:r>
      <w:r w:rsidRPr="00CD0FEB">
        <w:t>69 Fed. Reg. 22,121, 22,146 (Apr. 23, 2004).</w:t>
      </w:r>
    </w:p>
  </w:footnote>
  <w:footnote w:id="590">
    <w:p w14:paraId="57B7B8EB"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w:t>
      </w:r>
      <w:r w:rsidRPr="00CD0FEB">
        <w:t xml:space="preserve">, </w:t>
      </w:r>
      <w:r w:rsidRPr="00CD0FEB">
        <w:rPr>
          <w:i/>
          <w:iCs/>
        </w:rPr>
        <w:t>e.g</w:t>
      </w:r>
      <w:r w:rsidRPr="00CD0FEB">
        <w:t>., Torrenegra v. Grameen Am., Inc., 2017 WL 1401291 (E.D.N.Y. Apr. 19, 2017) (holding training center manager who exercised discretion to determine eligibility for membership and loan amounts was properly classified as exempt); Coppage v. Bradshaw, 665 F. Supp. 2d 1361 (N.D. Ga. 2009) (finding state managing director for insurance agency properly classified as exempt where he regularly met with clients and offered individualized recommendations regarding purchase of life insurance and other financial products and had independent authority to certify agents, handle minor disputes, and place agents on probation for failing to meet production goals); Hein v. PNC Fin. Servs. Grp., Inc., 511 F. Supp. 2d 563 (E.D. Pa. 2007) (holding that securities broker responsible for advising clients regarding investment opportunities who supervised other employees and earned in excess of $100,000 annually was properly classified as exempt administrative employee notwithstanding that his duties included sales-related functions).</w:t>
      </w:r>
    </w:p>
  </w:footnote>
  <w:footnote w:id="591">
    <w:p w14:paraId="3E3DE491" w14:textId="77777777" w:rsidR="00201F3F" w:rsidRPr="00CD0FEB" w:rsidRDefault="00201F3F" w:rsidP="00C2067F">
      <w:pPr>
        <w:pStyle w:val="14Footnote"/>
      </w:pPr>
      <w:r w:rsidRPr="00CD0FEB">
        <w:rPr>
          <w:vertAlign w:val="superscript"/>
        </w:rPr>
        <w:footnoteRef/>
      </w:r>
      <w:r w:rsidRPr="00CD0FEB">
        <w:t xml:space="preserve">69 Fed. Reg. at 22,146. </w:t>
      </w:r>
      <w:r w:rsidRPr="00CD0FEB">
        <w:rPr>
          <w:i/>
          <w:iCs/>
        </w:rPr>
        <w:t>See, e</w:t>
      </w:r>
      <w:r w:rsidRPr="00CD0FEB">
        <w:t>.</w:t>
      </w:r>
      <w:r w:rsidRPr="00CD0FEB">
        <w:rPr>
          <w:i/>
          <w:iCs/>
        </w:rPr>
        <w:t>g</w:t>
      </w:r>
      <w:r w:rsidRPr="00CD0FEB">
        <w:t>., Lewis v. Huntington Nat’l Bank, 838 F. Supp. 2d 703 (S.D. Ohio 2012) (finding mortgage loan officers were misclassified as exempt where primary duty was sales).</w:t>
      </w:r>
    </w:p>
  </w:footnote>
  <w:footnote w:id="592">
    <w:p w14:paraId="6776564E" w14:textId="77777777" w:rsidR="00201F3F" w:rsidRPr="00CD0FEB" w:rsidRDefault="00201F3F" w:rsidP="00C2067F">
      <w:pPr>
        <w:pStyle w:val="14Footnote"/>
      </w:pPr>
      <w:r w:rsidRPr="00CD0FEB">
        <w:rPr>
          <w:vertAlign w:val="superscript"/>
        </w:rPr>
        <w:footnoteRef/>
      </w:r>
      <w:r w:rsidRPr="00CD0FEB">
        <w:t xml:space="preserve">WH Op. FLSA2006-43, 2006 WL 3832994 (Nov. 27, 2006); </w:t>
      </w:r>
      <w:r w:rsidRPr="00CD0FEB">
        <w:rPr>
          <w:i/>
          <w:iCs/>
        </w:rPr>
        <w:t xml:space="preserve">see also </w:t>
      </w:r>
      <w:r w:rsidRPr="00CD0FEB">
        <w:t xml:space="preserve">Hein v. PNC Fin. Servs. Grp., Inc., 511 F. Supp. 2d 563 (E.D. Pa. 2007) (holding that securities broker responsible for advising clients regarding investment opportunities who supervised other employees and earned in excess of $100,000 annually was properly classified as exempt administrative employee notwithstanding that his duties included sales-related functions). </w:t>
      </w:r>
      <w:r w:rsidRPr="00CD0FEB">
        <w:rPr>
          <w:i/>
          <w:iCs/>
        </w:rPr>
        <w:t xml:space="preserve">But see </w:t>
      </w:r>
      <w:r w:rsidRPr="00CD0FEB">
        <w:t>DiFilippo v. Barclays Capital, Inc., 552 F. Supp. 2d 417, 13 WH Cases2d 1133 (S.D.N.Y. 2008) (holding that employer failed to establish as a matter of law that government clearance analysts responsible for, inter alia, cross-checking trading records, monitoring the settlement of trades originated and designed by others, and investigating and resolving underlying causes of discrepancies in trading records qualified for administrative exemption).</w:t>
      </w:r>
    </w:p>
  </w:footnote>
  <w:footnote w:id="593">
    <w:p w14:paraId="41D9E10D" w14:textId="77777777" w:rsidR="00201F3F" w:rsidRPr="00CD0FEB" w:rsidRDefault="00201F3F" w:rsidP="00C2067F">
      <w:pPr>
        <w:pStyle w:val="14Footnote"/>
      </w:pPr>
      <w:r w:rsidRPr="00CD0FEB">
        <w:rPr>
          <w:vertAlign w:val="superscript"/>
        </w:rPr>
        <w:footnoteRef/>
      </w:r>
      <w:r w:rsidRPr="00CD0FEB">
        <w:t>WH Op. FLSA2009-28, 2009 WL 649036 (Jan. 16, 2009).</w:t>
      </w:r>
    </w:p>
  </w:footnote>
  <w:footnote w:id="594">
    <w:p w14:paraId="5E9B8D1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(citing Hogan v. Allstate Ins. Co., 361 F.3d 621, 626–28 </w:t>
      </w:r>
      <w:r w:rsidRPr="006F4C5E">
        <w:t>(1</w:t>
      </w:r>
      <w:r w:rsidRPr="00CD0FEB">
        <w:t>1th Cir. 2004); Reich v. John Alden Life Ins. Co., 126 F.3d 1, 8–14</w:t>
      </w:r>
      <w:r w:rsidRPr="00105650">
        <w:t xml:space="preserve"> </w:t>
      </w:r>
      <w:r w:rsidRPr="006F4C5E">
        <w:t>(</w:t>
      </w:r>
      <w:r w:rsidRPr="00CD0FEB">
        <w:t xml:space="preserve">1st Cir. 1997); Wilshin v. Allstate Ins. Co., 212 F. Supp. 2d 1360, 1376–79 (M.D. Ga. 2002)); </w:t>
      </w:r>
      <w:r w:rsidRPr="00CD0FEB">
        <w:rPr>
          <w:i/>
          <w:iCs/>
        </w:rPr>
        <w:t>see also</w:t>
      </w:r>
      <w:r w:rsidRPr="00CD0FEB">
        <w:t xml:space="preserve"> Coppage v. Bradshaw, 665 F. Supp. 2d 1361 (N.D. Ga. 2009) (finding state managing director for insurance agency properly classified as exempt where he regularly met with clients and offered individualized recommendations regarding purchase of life insurance and other financial products and had independent authority to certify agents, handle minor disputes, and place agents on probation for failing to meet production goals); Hein v. PNC Fin. Servs. Grp., Inc., 511 F. Supp. 2d 563 (E.D. Pa. 2007) (holding “Senior Financial Consultant” responsible for selling various financial instruments based on assessment of clients’ resources and goals properly classified as exempt); WH Op. FLSA2018-8, 2018 WL 2348788 (Jan. 5, 2018) (opining that insurance company’s client service managers responsible for helping clients select proper insurance packages and with authority to execute insurance and finance contracts were properly classified as exempt administrative employees).</w:t>
      </w:r>
    </w:p>
  </w:footnote>
  <w:footnote w:id="595">
    <w:p w14:paraId="108044E9" w14:textId="77777777" w:rsidR="00201F3F" w:rsidRPr="00CD0FEB" w:rsidRDefault="00201F3F" w:rsidP="00C2067F">
      <w:pPr>
        <w:pStyle w:val="14Footnote"/>
      </w:pPr>
      <w:r w:rsidRPr="00CD0FEB">
        <w:rPr>
          <w:rStyle w:val="FootnoteReference"/>
        </w:rPr>
        <w:footnoteRef/>
      </w:r>
      <w:r w:rsidRPr="00CD0FEB">
        <w:t>981 F.3d 428</w:t>
      </w:r>
      <w:r w:rsidRPr="00105650">
        <w:t xml:space="preserve"> (</w:t>
      </w:r>
      <w:r w:rsidRPr="00CD0FEB">
        <w:t>5th Cir. 2020).</w:t>
      </w:r>
    </w:p>
  </w:footnote>
  <w:footnote w:id="596">
    <w:p w14:paraId="23E04FCD" w14:textId="77777777" w:rsidR="00201F3F" w:rsidRPr="00CD0FEB" w:rsidRDefault="00201F3F" w:rsidP="00C2067F">
      <w:pPr>
        <w:pStyle w:val="14Footnote"/>
      </w:pPr>
      <w:r w:rsidRPr="00CD0FEB">
        <w:rPr>
          <w:rStyle w:val="FootnoteReference"/>
        </w:rPr>
        <w:footnoteRef/>
      </w:r>
      <w:r w:rsidRPr="00CD0FEB">
        <w:rPr>
          <w:i/>
          <w:iCs/>
        </w:rPr>
        <w:t>Id.</w:t>
      </w:r>
      <w:r w:rsidRPr="00CD0FEB">
        <w:t xml:space="preserve"> at 434.</w:t>
      </w:r>
    </w:p>
  </w:footnote>
  <w:footnote w:id="597">
    <w:p w14:paraId="6F6224F1" w14:textId="77777777" w:rsidR="00201F3F" w:rsidRPr="00CD0FEB" w:rsidRDefault="00201F3F" w:rsidP="00C2067F">
      <w:pPr>
        <w:pStyle w:val="14Footnote"/>
      </w:pPr>
      <w:r w:rsidRPr="00CD0FEB">
        <w:rPr>
          <w:rStyle w:val="FootnoteReference"/>
        </w:rPr>
        <w:footnoteRef/>
      </w:r>
      <w:r w:rsidRPr="00CD0FEB">
        <w:rPr>
          <w:i/>
          <w:iCs/>
        </w:rPr>
        <w:t>Id.</w:t>
      </w:r>
      <w:r w:rsidRPr="00CD0FEB">
        <w:t xml:space="preserve"> at 435.</w:t>
      </w:r>
    </w:p>
  </w:footnote>
  <w:footnote w:id="598">
    <w:p w14:paraId="2330179B" w14:textId="77777777" w:rsidR="00201F3F" w:rsidRPr="00CD0FEB" w:rsidRDefault="00201F3F" w:rsidP="00C2067F">
      <w:pPr>
        <w:pStyle w:val="14Footnote"/>
      </w:pPr>
      <w:r w:rsidRPr="00CD0FEB">
        <w:rPr>
          <w:rStyle w:val="FootnoteReference"/>
        </w:rPr>
        <w:footnoteRef/>
      </w:r>
      <w:r w:rsidRPr="00CD0FEB">
        <w:rPr>
          <w:i/>
          <w:iCs/>
        </w:rPr>
        <w:t>Id.</w:t>
      </w:r>
      <w:r w:rsidRPr="00CD0FEB">
        <w:t xml:space="preserve"> </w:t>
      </w:r>
    </w:p>
  </w:footnote>
  <w:footnote w:id="599">
    <w:p w14:paraId="07065813" w14:textId="77777777" w:rsidR="00201F3F" w:rsidRPr="00CD0FEB" w:rsidRDefault="00201F3F" w:rsidP="00C2067F">
      <w:pPr>
        <w:pStyle w:val="14Footnote"/>
      </w:pPr>
      <w:r w:rsidRPr="00CD0FEB">
        <w:rPr>
          <w:vertAlign w:val="superscript"/>
        </w:rPr>
        <w:footnoteRef/>
      </w:r>
      <w:r w:rsidRPr="00CD0FEB">
        <w:t xml:space="preserve">587 F.3d 529, 15 WH Cases2d 932 (2d Cir. 2009). </w:t>
      </w:r>
    </w:p>
  </w:footnote>
  <w:footnote w:id="600">
    <w:p w14:paraId="196D7E50"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534. </w:t>
      </w:r>
    </w:p>
  </w:footnote>
  <w:footnote w:id="601">
    <w:p w14:paraId="18937963" w14:textId="77777777" w:rsidR="00201F3F" w:rsidRPr="00CD0FEB" w:rsidRDefault="00201F3F" w:rsidP="00C2067F">
      <w:pPr>
        <w:pStyle w:val="14Footnote"/>
      </w:pPr>
      <w:r w:rsidRPr="00CD0FEB">
        <w:rPr>
          <w:vertAlign w:val="superscript"/>
        </w:rPr>
        <w:footnoteRef/>
      </w:r>
      <w:r w:rsidRPr="00CD0FEB">
        <w:t>815 F.3d 988, 26 WH Cases2d 160</w:t>
      </w:r>
      <w:r w:rsidRPr="006F4C5E">
        <w:t xml:space="preserve"> (</w:t>
      </w:r>
      <w:r w:rsidRPr="00CD0FEB">
        <w:t xml:space="preserve">6th Cir. 2016). </w:t>
      </w:r>
    </w:p>
  </w:footnote>
  <w:footnote w:id="602">
    <w:p w14:paraId="6CA498E3"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997. </w:t>
      </w:r>
      <w:r w:rsidRPr="00CD0FEB">
        <w:rPr>
          <w:i/>
          <w:iCs/>
        </w:rPr>
        <w:t>See also</w:t>
      </w:r>
      <w:r w:rsidRPr="00CD0FEB">
        <w:t xml:space="preserve"> Hanis v. Metropolitan Life Ins. Co., 2016 WL 5660344 (W.D. Mo. Sept. 29, 2016) (holding that despite reliance on software program, home loan underwriter exercised discretion and independent judgment in making decisions about plan designs and assigning weight to various factors); Tsyn</w:t>
      </w:r>
      <w:r w:rsidRPr="00CD0FEB">
        <w:rPr>
          <w:b/>
          <w:bCs/>
        </w:rPr>
        <w:t xml:space="preserve"> </w:t>
      </w:r>
      <w:r w:rsidRPr="00CD0FEB">
        <w:t>v. Wells Fargo Advisors, LLC, 2016 WL 612926, at *9 (N.D. Cal. Feb. 16, 2016) (finding loan underwriters</w:t>
      </w:r>
      <w:r w:rsidRPr="00CD0FEB">
        <w:rPr>
          <w:b/>
          <w:bCs/>
        </w:rPr>
        <w:t xml:space="preserve"> </w:t>
      </w:r>
      <w:r w:rsidRPr="00CD0FEB">
        <w:t xml:space="preserve">were properly classified as exempt where their duties included researching, analyzing, and providing financial investment advice to clients, and recognizing that “generating suitable advice for particular clients was their core work. … Selling––though not unimportant––was ‘incidental’ to that primary work.”). </w:t>
      </w:r>
    </w:p>
  </w:footnote>
  <w:footnote w:id="603">
    <w:p w14:paraId="018A3913" w14:textId="77777777" w:rsidR="00201F3F" w:rsidRPr="00CD0FEB" w:rsidRDefault="00201F3F" w:rsidP="00C2067F">
      <w:pPr>
        <w:pStyle w:val="14Footnote"/>
      </w:pPr>
      <w:r w:rsidRPr="00CD0FEB">
        <w:rPr>
          <w:vertAlign w:val="superscript"/>
        </w:rPr>
        <w:footnoteRef/>
      </w:r>
      <w:r w:rsidRPr="00CD0FEB">
        <w:t>862 F.3d 847</w:t>
      </w:r>
      <w:r w:rsidRPr="00105650">
        <w:t xml:space="preserve"> (</w:t>
      </w:r>
      <w:r w:rsidRPr="00CD0FEB">
        <w:t>9th Cir. 2017).</w:t>
      </w:r>
    </w:p>
  </w:footnote>
  <w:footnote w:id="604">
    <w:p w14:paraId="2EBC4414"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854. </w:t>
      </w:r>
    </w:p>
  </w:footnote>
  <w:footnote w:id="605">
    <w:p w14:paraId="078C7342" w14:textId="77777777" w:rsidR="00201F3F" w:rsidRPr="00CD0FEB" w:rsidRDefault="00201F3F" w:rsidP="00C2067F">
      <w:pPr>
        <w:pStyle w:val="14Footnote"/>
      </w:pPr>
      <w:r w:rsidRPr="00CD0FEB">
        <w:rPr>
          <w:vertAlign w:val="superscript"/>
        </w:rPr>
        <w:footnoteRef/>
      </w:r>
      <w:r w:rsidRPr="00CD0FEB">
        <w:t xml:space="preserve">WH Op. FLSA2006-31, 2006 WL 2792445 (Sept. 8, 2006). </w:t>
      </w:r>
    </w:p>
  </w:footnote>
  <w:footnote w:id="606">
    <w:p w14:paraId="322E6E9A" w14:textId="77777777" w:rsidR="00201F3F" w:rsidRPr="00CD0FEB" w:rsidRDefault="00201F3F" w:rsidP="00C2067F">
      <w:pPr>
        <w:pStyle w:val="14Footnote"/>
      </w:pPr>
      <w:r w:rsidRPr="00CD0FEB">
        <w:rPr>
          <w:vertAlign w:val="superscript"/>
        </w:rPr>
        <w:footnoteRef/>
      </w:r>
      <w:r w:rsidRPr="00CD0FEB">
        <w:t xml:space="preserve">WH Admin. Interpretation No. 2010-1 (Mar. 24, 2010), </w:t>
      </w:r>
      <w:r w:rsidRPr="00CD0FEB">
        <w:rPr>
          <w:i/>
          <w:iCs/>
        </w:rPr>
        <w:t>withdrawing</w:t>
      </w:r>
      <w:r w:rsidRPr="00CD0FEB">
        <w:t xml:space="preserve"> WH Op. FLSA2006-31 (Sept. 8, 2006) </w:t>
      </w:r>
      <w:r w:rsidRPr="00CD0FEB">
        <w:rPr>
          <w:i/>
          <w:iCs/>
        </w:rPr>
        <w:t>and</w:t>
      </w:r>
      <w:r w:rsidRPr="00CD0FEB">
        <w:t xml:space="preserve"> WH Op. 2001 WL 1558764 (Feb. 16, 2001) (“[W]e agree that the primary duty of the loan officer consists of the performance of office or nonmanual work directly related to the management policies or general business operations of the employer or the employer’s customers.”).</w:t>
      </w:r>
    </w:p>
  </w:footnote>
  <w:footnote w:id="607">
    <w:p w14:paraId="3A55CDF2" w14:textId="77777777" w:rsidR="00201F3F" w:rsidRPr="00CD0FEB" w:rsidRDefault="00201F3F" w:rsidP="00C2067F">
      <w:pPr>
        <w:pStyle w:val="14Footnote"/>
      </w:pPr>
      <w:r w:rsidRPr="00CD0FEB">
        <w:rPr>
          <w:vertAlign w:val="superscript"/>
        </w:rPr>
        <w:footnoteRef/>
      </w:r>
      <w:r w:rsidRPr="00CD0FEB">
        <w:rPr>
          <w:i/>
          <w:iCs/>
        </w:rPr>
        <w:t>Id</w:t>
      </w:r>
      <w:r w:rsidRPr="00CD0FEB">
        <w:t>. (quoting 69 Fed. Reg. at 22,141).</w:t>
      </w:r>
    </w:p>
  </w:footnote>
  <w:footnote w:id="608">
    <w:p w14:paraId="08CA7D65"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609">
    <w:p w14:paraId="5B39379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In </w:t>
      </w:r>
      <w:r w:rsidRPr="00CD0FEB">
        <w:rPr>
          <w:i/>
          <w:iCs/>
        </w:rPr>
        <w:t>Perez v. Mortgage Bankers Ass’n, Inc</w:t>
      </w:r>
      <w:r w:rsidRPr="00CD0FEB">
        <w:t xml:space="preserve">., 575 U.S. 92 (2015), the U.S. Supreme Court rejected a procedural challenge to the Administrator’s Interpretation predicated on the DOL’s failure to follow notice and comment protocols, concluding that the Administrative Procedure Act (APA) expressly exempts federal agencies, including the DOL, from the APA’s mandatory notice-and-comment rulemaking process when that agency seeks to make changes to its own interpretive rules. </w:t>
      </w:r>
      <w:r w:rsidRPr="00CD0FEB">
        <w:rPr>
          <w:i/>
          <w:iCs/>
        </w:rPr>
        <w:t>Id.</w:t>
      </w:r>
      <w:r w:rsidRPr="00CD0FEB">
        <w:t xml:space="preserve"> at 100–01.</w:t>
      </w:r>
    </w:p>
  </w:footnote>
  <w:footnote w:id="610">
    <w:p w14:paraId="3D16D35B" w14:textId="77777777" w:rsidR="00201F3F" w:rsidRPr="00CD0FEB" w:rsidRDefault="00201F3F" w:rsidP="00C2067F">
      <w:pPr>
        <w:pStyle w:val="14Footnote"/>
      </w:pPr>
      <w:r w:rsidRPr="00CD0FEB">
        <w:rPr>
          <w:vertAlign w:val="superscript"/>
        </w:rPr>
        <w:footnoteRef/>
      </w:r>
      <w:r w:rsidRPr="00CD0FEB">
        <w:t>698 F.3d 897, 19 WH Cases2d 1457</w:t>
      </w:r>
      <w:r w:rsidRPr="006F4C5E">
        <w:t xml:space="preserve"> (</w:t>
      </w:r>
      <w:r w:rsidRPr="00CD0FEB">
        <w:t>6th Cir. 2012).</w:t>
      </w:r>
    </w:p>
  </w:footnote>
  <w:footnote w:id="611">
    <w:p w14:paraId="2FB71DAE"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901. </w:t>
      </w:r>
      <w:r w:rsidRPr="00CD0FEB">
        <w:rPr>
          <w:i/>
          <w:iCs/>
        </w:rPr>
        <w:t>See also</w:t>
      </w:r>
      <w:r w:rsidRPr="00CD0FEB">
        <w:t xml:space="preserve"> Pontius v. Delta Fin. Corp., 2007 WL 4322350, at *2–3 (W.D. Pa. Dec. 7, 2007) (concluding there was a factual dispute as to whether loan officers and mortgage analysts qualified for the administrative exemption). </w:t>
      </w:r>
      <w:r w:rsidRPr="00CD0FEB">
        <w:rPr>
          <w:i/>
          <w:iCs/>
        </w:rPr>
        <w:t>But see</w:t>
      </w:r>
      <w:r w:rsidRPr="00CD0FEB">
        <w:t xml:space="preserve"> Lewis v. Huntington Nat’l Bank, 838 F. Supp. 2d 703 (S.D. Ohio 2012) (finding mortgage loan officers were misclassified as exempt where primary duty was sales); Wong v. HSBC Mortg. Corp. (USA), 2008 WL 753889 (N.D. Cal. Mar. 19, 2008) (holding that loan officers were improperly classified as exempt).</w:t>
      </w:r>
    </w:p>
  </w:footnote>
  <w:footnote w:id="612">
    <w:p w14:paraId="1EFA6AF7" w14:textId="77777777" w:rsidR="00201F3F" w:rsidRPr="00CD0FEB" w:rsidRDefault="00201F3F" w:rsidP="00C2067F">
      <w:pPr>
        <w:pStyle w:val="14Footnote"/>
      </w:pPr>
      <w:r w:rsidRPr="00CD0FEB">
        <w:rPr>
          <w:vertAlign w:val="superscript"/>
        </w:rPr>
        <w:footnoteRef/>
      </w:r>
      <w:r w:rsidRPr="00CD0FEB">
        <w:t>29 C.F.R. §541.203(c).</w:t>
      </w:r>
    </w:p>
  </w:footnote>
  <w:footnote w:id="613">
    <w:p w14:paraId="07E6358A"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69 Fed. Reg. at 22,135 (“Also, an employee whose primary duty is management and who customarily and regularly leads other employees, alone or with another, may qualify for an exemption under the administrative exemption.”).</w:t>
      </w:r>
    </w:p>
  </w:footnote>
  <w:footnote w:id="614">
    <w:p w14:paraId="25A09E44" w14:textId="77777777" w:rsidR="00201F3F" w:rsidRPr="00CD0FEB" w:rsidRDefault="00201F3F" w:rsidP="00C2067F">
      <w:pPr>
        <w:pStyle w:val="14Footnote"/>
      </w:pPr>
      <w:r w:rsidRPr="00CD0FEB">
        <w:rPr>
          <w:vertAlign w:val="superscript"/>
        </w:rPr>
        <w:footnoteRef/>
      </w:r>
      <w:r w:rsidRPr="00CD0FEB">
        <w:t xml:space="preserve">WH Op. FLSA2018-10, 2018 WL 2348790 (Jan. 5, 2018). </w:t>
      </w:r>
    </w:p>
  </w:footnote>
  <w:footnote w:id="615">
    <w:p w14:paraId="1DE453D9" w14:textId="77777777" w:rsidR="00201F3F" w:rsidRPr="00CD0FEB" w:rsidRDefault="00201F3F" w:rsidP="00C2067F">
      <w:pPr>
        <w:pStyle w:val="14Footnote"/>
      </w:pPr>
      <w:r w:rsidRPr="00CD0FEB">
        <w:rPr>
          <w:vertAlign w:val="superscript"/>
        </w:rPr>
        <w:footnoteRef/>
      </w:r>
      <w:r w:rsidRPr="00CD0FEB">
        <w:t xml:space="preserve">WH Op. FLSA2018-4, 2018 WL 2348784 (Jan. 5, 2018). </w:t>
      </w:r>
    </w:p>
  </w:footnote>
  <w:footnote w:id="616">
    <w:p w14:paraId="5B7167B3" w14:textId="77777777" w:rsidR="00201F3F" w:rsidRPr="00CD0FEB" w:rsidRDefault="00201F3F" w:rsidP="00C2067F">
      <w:pPr>
        <w:pStyle w:val="14Footnote"/>
      </w:pPr>
      <w:r w:rsidRPr="00CD0FEB">
        <w:rPr>
          <w:vertAlign w:val="superscript"/>
        </w:rPr>
        <w:footnoteRef/>
      </w:r>
      <w:r w:rsidRPr="00CD0FEB">
        <w:t>WH Op. FLSA2005-8, 2005 WL 330607 (Jan. 7, 2005) (finding administrative exemption unavailable to employee whose duties included “1. data entry for accounts payable &amp; accounts receivable … ; 2. modify account names/attributes in Quickbooks for improved job costing/profit accounting at year end; 3. word processing for job contracts, lien waivers, letters, labels; 4. send notices to subcontractors regarding updating their workers’ comp/liability insurance; maintain notebook of paper file for each subcontractor; 5. receptionist duties—answering phones, taking messages, sign for package deliveries; 6. order routine office supplies … .”).</w:t>
      </w:r>
    </w:p>
  </w:footnote>
  <w:footnote w:id="617">
    <w:p w14:paraId="28A41CE3" w14:textId="77777777" w:rsidR="00201F3F" w:rsidRPr="00CD0FEB" w:rsidRDefault="00201F3F" w:rsidP="00C2067F">
      <w:pPr>
        <w:pStyle w:val="14Footnote"/>
      </w:pPr>
      <w:r w:rsidRPr="00CD0FEB">
        <w:rPr>
          <w:vertAlign w:val="superscript"/>
        </w:rPr>
        <w:footnoteRef/>
      </w:r>
      <w:r w:rsidRPr="00CD0FEB">
        <w:t>29 C.F.R. §541.203(d).</w:t>
      </w:r>
    </w:p>
  </w:footnote>
  <w:footnote w:id="618">
    <w:p w14:paraId="3AF508A8" w14:textId="77777777" w:rsidR="00201F3F" w:rsidRPr="00CD0FEB" w:rsidRDefault="00201F3F" w:rsidP="00C2067F">
      <w:pPr>
        <w:pStyle w:val="14Footnote"/>
      </w:pPr>
      <w:r w:rsidRPr="00CD0FEB">
        <w:rPr>
          <w:vertAlign w:val="superscript"/>
        </w:rPr>
        <w:footnoteRef/>
      </w:r>
      <w:r w:rsidRPr="00CD0FEB">
        <w:t>356 F. Supp. 2d 288, 10 WH Cases2d 785 (S.D.N.Y. 2005).</w:t>
      </w:r>
    </w:p>
  </w:footnote>
  <w:footnote w:id="619">
    <w:p w14:paraId="6559E6DA"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301–02. </w:t>
      </w:r>
      <w:r w:rsidRPr="00CD0FEB">
        <w:rPr>
          <w:i/>
          <w:iCs/>
        </w:rPr>
        <w:t>See also</w:t>
      </w:r>
      <w:r w:rsidRPr="00CD0FEB">
        <w:t xml:space="preserve"> Altemus v. Federal Realty Inv. Tr., 490 F. App’x 532</w:t>
      </w:r>
      <w:r w:rsidRPr="00105650">
        <w:t xml:space="preserve"> </w:t>
      </w:r>
      <w:r w:rsidRPr="006F4C5E">
        <w:t>(</w:t>
      </w:r>
      <w:r w:rsidRPr="00CD0FEB">
        <w:t>4th Cir. 2012) (holding that sole administrative assistant to CEO and general counsel was properly classified as exempt where she was responsible for making all travel arrangements, screening phone calls, coordinating and preparing slides and handouts for trustees meeting, and filing corporate records, and her compensation far exceeded other executive assistants); Lane v. Systems Application &amp; Techs., Inc., 2015 WL 1013449 (D. Md. Mar. 6, 2015) (finding executive administrative assistant to employer’s president and CEO exempt where she supervised several employees, served as administrator for board of advisors, and oversaw human resources and facilities management, among other responsibilities).</w:t>
      </w:r>
    </w:p>
  </w:footnote>
  <w:footnote w:id="620">
    <w:p w14:paraId="44FA2085" w14:textId="77777777" w:rsidR="00201F3F" w:rsidRPr="00CD0FEB" w:rsidRDefault="00201F3F" w:rsidP="00C2067F">
      <w:pPr>
        <w:pStyle w:val="14Footnote"/>
      </w:pPr>
      <w:r w:rsidRPr="00CD0FEB">
        <w:rPr>
          <w:vertAlign w:val="superscript"/>
        </w:rPr>
        <w:footnoteRef/>
      </w:r>
      <w:r w:rsidRPr="00CD0FEB">
        <w:t>2006 WL 870369, 11 WH Cases2d 1714 (N.D. Ga. Mar. 31, 2006).</w:t>
      </w:r>
    </w:p>
  </w:footnote>
  <w:footnote w:id="621">
    <w:p w14:paraId="4ABE7AAA" w14:textId="77777777" w:rsidR="00201F3F" w:rsidRPr="00CD0FEB" w:rsidRDefault="00201F3F" w:rsidP="00C2067F">
      <w:pPr>
        <w:pStyle w:val="14Footnote"/>
      </w:pPr>
      <w:r w:rsidRPr="00CD0FEB">
        <w:rPr>
          <w:vertAlign w:val="superscript"/>
        </w:rPr>
        <w:footnoteRef/>
      </w:r>
      <w:r w:rsidRPr="00CD0FEB">
        <w:t>29 C.F.R. §541.203(e).</w:t>
      </w:r>
    </w:p>
  </w:footnote>
  <w:footnote w:id="622">
    <w:p w14:paraId="08749843"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compare</w:t>
      </w:r>
      <w:r w:rsidRPr="00CD0FEB">
        <w:t xml:space="preserve"> Andrade v. Aerotek, Inc., 700 F. Supp. 2d 738, 16 WH Cases2d 19 (D. Md. 2010) (finding that recruiter for staffing agency exercised sufficient discretion and independent judgment to qualify for administrative exemption where she selected candidates for submission to clients, developed her own recruiting strategies, compared candidates’ skills to applicable job descriptions, interviewed candidates, and sent “personally matched” candidates to her manager), </w:t>
      </w:r>
      <w:r w:rsidRPr="00CD0FEB">
        <w:rPr>
          <w:i/>
          <w:iCs/>
        </w:rPr>
        <w:t>with</w:t>
      </w:r>
      <w:r w:rsidRPr="00CD0FEB">
        <w:t xml:space="preserve"> Ogden v. CDI Corp., 2010 WL 2662274, 16 WH Cases2d 867 (D. Ariz. July 1, 2010) (denying staffing firm’s motion for summary judgment where recruiters, as distinguished from recruiters in </w:t>
      </w:r>
      <w:r w:rsidRPr="00CD0FEB">
        <w:rPr>
          <w:i/>
          <w:iCs/>
        </w:rPr>
        <w:t>Andrade</w:t>
      </w:r>
      <w:r w:rsidRPr="00CD0FEB">
        <w:t xml:space="preserve">, were not shown to have responsibility for managing employees on assignment, administering performance reviews or disciplinary measures, or communicating with clients regarding candidates’ ongoing performance). </w:t>
      </w:r>
      <w:r w:rsidRPr="00CD0FEB">
        <w:rPr>
          <w:i/>
          <w:iCs/>
        </w:rPr>
        <w:t>See also</w:t>
      </w:r>
      <w:r w:rsidRPr="00CD0FEB">
        <w:t xml:space="preserve"> Furlong v. Johnson Controls World Servs., Inc., 97 F. Supp. 2d 1312 (S.D. Fla. 2000) (holding senior benefits analyst properly classified as exempt administrative employee); WH Op. FLSA2018-15, 2018 WL 2348794 (Jan. 5, 2018) (opining that coordinators employed by product demonstration company qualified for administrative exemption where their “primary duties of developing and implementing strategies for recruiting and maintaining relationships with demonstrators, deciding how much effort to devote to expanding the pool of demonstrators, ensuring that a demonstrator executes a contract before conducting an event, and receiving and resolving demonstrator complaints, all directly relate to the functional areas of personnel management and human resources”).</w:t>
      </w:r>
    </w:p>
  </w:footnote>
  <w:footnote w:id="623">
    <w:p w14:paraId="7C020745" w14:textId="77777777" w:rsidR="00201F3F" w:rsidRPr="00CD0FEB" w:rsidRDefault="00201F3F" w:rsidP="00C2067F">
      <w:pPr>
        <w:pStyle w:val="14Footnote"/>
      </w:pPr>
      <w:r w:rsidRPr="00CD0FEB">
        <w:rPr>
          <w:vertAlign w:val="superscript"/>
        </w:rPr>
        <w:footnoteRef/>
      </w:r>
      <w:r w:rsidRPr="00CD0FEB">
        <w:t>876 F.3d 191, 27 WH Cases2d 918</w:t>
      </w:r>
      <w:r w:rsidRPr="00105650">
        <w:t xml:space="preserve"> </w:t>
      </w:r>
      <w:r w:rsidRPr="006F4C5E">
        <w:t>(</w:t>
      </w:r>
      <w:r w:rsidRPr="00CD0FEB">
        <w:t xml:space="preserve">6th Cir. 2017). </w:t>
      </w:r>
    </w:p>
  </w:footnote>
  <w:footnote w:id="624">
    <w:p w14:paraId="74DDE676" w14:textId="77777777" w:rsidR="00201F3F" w:rsidRPr="00CD0FEB" w:rsidRDefault="00201F3F" w:rsidP="00C2067F">
      <w:pPr>
        <w:pStyle w:val="14Footnote"/>
      </w:pPr>
      <w:r w:rsidRPr="00CD0FEB">
        <w:rPr>
          <w:vertAlign w:val="superscript"/>
        </w:rPr>
        <w:footnoteRef/>
      </w:r>
      <w:r w:rsidRPr="00CD0FEB">
        <w:rPr>
          <w:i/>
          <w:iCs/>
        </w:rPr>
        <w:t>Id</w:t>
      </w:r>
      <w:r w:rsidRPr="00CD0FEB">
        <w:t>., 876 F.3d at 208. On remand, the district court concluded that the staffing consultants met the tests for the outside sales exemption and for the combination exemption. Perry v. Randstad Gen. Partner (US) LLC, 2018 WL 2363979, at *5–6 (E.D. Mich. May 24, 2018).</w:t>
      </w:r>
    </w:p>
  </w:footnote>
  <w:footnote w:id="625">
    <w:p w14:paraId="7FDF3B91" w14:textId="77777777" w:rsidR="00201F3F" w:rsidRPr="00CD0FEB" w:rsidRDefault="00201F3F" w:rsidP="00C2067F">
      <w:pPr>
        <w:pStyle w:val="14Footnote"/>
      </w:pPr>
      <w:r w:rsidRPr="00CD0FEB">
        <w:rPr>
          <w:vertAlign w:val="superscript"/>
        </w:rPr>
        <w:footnoteRef/>
      </w:r>
      <w:r w:rsidRPr="00CD0FEB">
        <w:rPr>
          <w:i/>
          <w:iCs/>
        </w:rPr>
        <w:t>Perry</w:t>
      </w:r>
      <w:r w:rsidRPr="00CD0FEB">
        <w:t xml:space="preserve">, 876 F.3d at 212. </w:t>
      </w:r>
      <w:r w:rsidRPr="00CD0FEB">
        <w:rPr>
          <w:i/>
          <w:iCs/>
        </w:rPr>
        <w:t>See also</w:t>
      </w:r>
      <w:r w:rsidRPr="00CD0FEB">
        <w:t xml:space="preserve"> WH Op. FLSA2017-12, 2017 WL 8792797 (Dec. 18, 2017) (opining that consultants employed by company providing temporary medical professionals (TMPs), primarily registered nurses, to hospitals were properly classified as exempt administrative employees because their primary duties of “screening, interviewing, and recommending candidates for hiring; supervising and counseling TMPs to resolve such issues as housing complaints and timeliness of payroll; and addressing client facility concerns regarding the TMPs’ attendance problems directly relate to the functional areas of personnel management and human resources”). </w:t>
      </w:r>
    </w:p>
  </w:footnote>
  <w:footnote w:id="626">
    <w:p w14:paraId="31FD2FE0" w14:textId="77777777" w:rsidR="00201F3F" w:rsidRPr="00CD0FEB" w:rsidRDefault="00201F3F" w:rsidP="00C2067F">
      <w:pPr>
        <w:pStyle w:val="14Footnote"/>
      </w:pPr>
      <w:r w:rsidRPr="00CD0FEB">
        <w:rPr>
          <w:vertAlign w:val="superscript"/>
        </w:rPr>
        <w:footnoteRef/>
      </w:r>
      <w:r w:rsidRPr="00CD0FEB">
        <w:t xml:space="preserve">29 C.F.R. §541.203(f); </w:t>
      </w:r>
      <w:r w:rsidRPr="00CD0FEB">
        <w:rPr>
          <w:i/>
          <w:iCs/>
        </w:rPr>
        <w:t>see also</w:t>
      </w:r>
      <w:r w:rsidRPr="00CD0FEB">
        <w:t xml:space="preserve"> Bailey v. Alpha Techs. Inc., 2017 WL 4167929 (W.D. Wash. Sept. 19, 2017) (holding that purchaser responsible for negotiating pricing of parts qualified for administrative exemption where she had authority to bind employer to purchase up to $10,000 in materials); WH Op. FLSA2008-1, 2008 WL 833151 (Mar. 6, 2008) (concluding purchasing agent properly classified as exempt). </w:t>
      </w:r>
      <w:r w:rsidRPr="00CD0FEB">
        <w:rPr>
          <w:i/>
          <w:iCs/>
        </w:rPr>
        <w:t xml:space="preserve">But see </w:t>
      </w:r>
      <w:r w:rsidRPr="00CD0FEB">
        <w:t xml:space="preserve">Christenberry v. Rental Tools, 655 F. Supp. 374, 377, 28 WH Cases 265 (E.D. La. 1987) (holding purchasing agent who had no choice as to which vendors to use and did not negotiate prices was not exempt), </w:t>
      </w:r>
      <w:r w:rsidRPr="00CD0FEB">
        <w:rPr>
          <w:i/>
          <w:iCs/>
        </w:rPr>
        <w:t>aff’d mem</w:t>
      </w:r>
      <w:r w:rsidRPr="00CD0FEB">
        <w:t>., 851 F.2d 1419, 29 WH Cases 936</w:t>
      </w:r>
      <w:r w:rsidRPr="00105650">
        <w:t xml:space="preserve"> (</w:t>
      </w:r>
      <w:r w:rsidRPr="00CD0FEB">
        <w:t>5th Cir. 1988).</w:t>
      </w:r>
    </w:p>
  </w:footnote>
  <w:footnote w:id="627">
    <w:p w14:paraId="59226423" w14:textId="77777777" w:rsidR="00201F3F" w:rsidRPr="00CD0FEB" w:rsidRDefault="00201F3F" w:rsidP="00C2067F">
      <w:pPr>
        <w:pStyle w:val="14Footnote"/>
      </w:pPr>
      <w:r w:rsidRPr="00CD0FEB">
        <w:rPr>
          <w:vertAlign w:val="superscript"/>
        </w:rPr>
        <w:footnoteRef/>
      </w:r>
      <w:r w:rsidRPr="00CD0FEB">
        <w:t>29 C.F.R. §541.203(g).</w:t>
      </w:r>
    </w:p>
  </w:footnote>
  <w:footnote w:id="628">
    <w:p w14:paraId="176882A9"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629">
    <w:p w14:paraId="1F694F1C" w14:textId="77777777" w:rsidR="00201F3F" w:rsidRPr="00CD0FEB" w:rsidRDefault="00201F3F" w:rsidP="00C2067F">
      <w:pPr>
        <w:pStyle w:val="14Footnote"/>
      </w:pPr>
      <w:r w:rsidRPr="00CD0FEB">
        <w:rPr>
          <w:vertAlign w:val="superscript"/>
        </w:rPr>
        <w:footnoteRef/>
      </w:r>
      <w:r w:rsidRPr="00CD0FEB">
        <w:t>O’Dell v. Aleyska Pipeline Serv. Co., 856 F.2d 1452, 1454, 28 WH Cases 1617</w:t>
      </w:r>
      <w:r w:rsidRPr="006F4C5E">
        <w:t xml:space="preserve"> (</w:t>
      </w:r>
      <w:r w:rsidRPr="00CD0FEB">
        <w:t>9th Cir. 1988) (deeming exempt a field inspector who observed work to ensure compliance with regulations and standards, attempted to negotiate resolution, rejected unacceptable work, and made recommendations for waiver of specifications); Hoyt v. General Ins. Co., 249 F.2d 589, 590, 13 WH Cases 503</w:t>
      </w:r>
      <w:r w:rsidRPr="00105650">
        <w:t xml:space="preserve"> (</w:t>
      </w:r>
      <w:r w:rsidRPr="00CD0FEB">
        <w:t>9th Cir. 1957) (holding inspector of equipment who made recommendations relative to limiting and controlling risk was exempt).</w:t>
      </w:r>
    </w:p>
  </w:footnote>
  <w:footnote w:id="630">
    <w:p w14:paraId="260CA41D" w14:textId="77777777" w:rsidR="00201F3F" w:rsidRPr="00CD0FEB" w:rsidRDefault="00201F3F" w:rsidP="00C2067F">
      <w:pPr>
        <w:pStyle w:val="14Footnote"/>
      </w:pPr>
      <w:r w:rsidRPr="00CD0FEB">
        <w:rPr>
          <w:vertAlign w:val="superscript"/>
        </w:rPr>
        <w:footnoteRef/>
      </w:r>
      <w:r w:rsidRPr="00CD0FEB">
        <w:t>Dewan v. M-I, L.L.C., 858 F.3d 331, 340, 27 WH Cases2d 541</w:t>
      </w:r>
      <w:r w:rsidRPr="00105650">
        <w:t xml:space="preserve"> </w:t>
      </w:r>
      <w:r w:rsidRPr="006F4C5E">
        <w:t>(</w:t>
      </w:r>
      <w:r w:rsidRPr="00CD0FEB">
        <w:t>5th Cir. 2017) (finding that jury must determine exempt status of mud engineers who claimed to be primarily engaged in “inspector-type duties” applying well-established techniques described in manuals or other sources); United States Cartridge Co. v. Powell, 185 F.2d 67, 72, 9 WH Cases 611</w:t>
      </w:r>
      <w:r w:rsidRPr="00105650">
        <w:t xml:space="preserve"> (</w:t>
      </w:r>
      <w:r w:rsidRPr="00CD0FEB">
        <w:t xml:space="preserve">8th Cir. 1950), </w:t>
      </w:r>
      <w:r w:rsidRPr="00CD0FEB">
        <w:rPr>
          <w:i/>
          <w:iCs/>
        </w:rPr>
        <w:t>modified</w:t>
      </w:r>
      <w:r w:rsidRPr="00CD0FEB">
        <w:t>, 186 F.2d 611</w:t>
      </w:r>
      <w:r w:rsidRPr="00105650">
        <w:t xml:space="preserve"> </w:t>
      </w:r>
      <w:r w:rsidRPr="006F4C5E">
        <w:t>(</w:t>
      </w:r>
      <w:r w:rsidRPr="00CD0FEB">
        <w:t xml:space="preserve">8th Cir. 1951) (determining safety engineers with limited ability to stop work and no authority to recommend how work should be performed not exempt); McComb v. Robert W. Hunt Co., 172 F.2d 751, 754, 8 WH Cases 553 (7th Cir. 1949) (deeming highly skilled field inspectors who only made reports not exempt); </w:t>
      </w:r>
      <w:r w:rsidRPr="00CD0FEB">
        <w:rPr>
          <w:i/>
          <w:iCs/>
        </w:rPr>
        <w:t>cf.</w:t>
      </w:r>
      <w:r w:rsidRPr="00CD0FEB">
        <w:t xml:space="preserve"> Donovan v. United Video, 725 F.2d 577, 582–83, 26 WH Cases 938 </w:t>
      </w:r>
      <w:r w:rsidRPr="006F4C5E">
        <w:t>(1</w:t>
      </w:r>
      <w:r w:rsidRPr="00CD0FEB">
        <w:t>0th Cir. 1984) (determining microwave engineers who checked equipment in accordance with prescribed procedures, conducted preventive maintenance, and had limited contact with customers not exempt); Blotzer v. L-3 Commc’ns Corp., 2012 WL 6086931, at *5–7 (D. Ariz. Dec. 6, 2012) (determining field inspectors with inability to “evaluate possible courses of conduct” and limited ability to reject work nonexempt).</w:t>
      </w:r>
    </w:p>
  </w:footnote>
  <w:footnote w:id="631">
    <w:p w14:paraId="4E00B630" w14:textId="77777777" w:rsidR="00201F3F" w:rsidRPr="00CD0FEB" w:rsidRDefault="00201F3F" w:rsidP="00C2067F">
      <w:pPr>
        <w:pStyle w:val="14Footnote"/>
      </w:pPr>
      <w:r w:rsidRPr="00CD0FEB">
        <w:rPr>
          <w:vertAlign w:val="superscript"/>
        </w:rPr>
        <w:footnoteRef/>
      </w:r>
      <w:r w:rsidRPr="00CD0FEB">
        <w:t>29 C.F.R. §541.203(h).</w:t>
      </w:r>
    </w:p>
  </w:footnote>
  <w:footnote w:id="632">
    <w:p w14:paraId="0C5A3E7C"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w:t>
      </w:r>
      <w:r w:rsidRPr="00CD0FEB">
        <w:t xml:space="preserve">, </w:t>
      </w:r>
      <w:r w:rsidRPr="00CD0FEB">
        <w:rPr>
          <w:i/>
          <w:iCs/>
        </w:rPr>
        <w:t>e.g.</w:t>
      </w:r>
      <w:r w:rsidRPr="00CD0FEB">
        <w:t>, Zannikos v. Oil Inspections (U.S.A.), Inc., 605 F. App’x 349, 355, 24 WH Cases2d 833</w:t>
      </w:r>
      <w:r w:rsidRPr="00105650">
        <w:t xml:space="preserve"> </w:t>
      </w:r>
      <w:r w:rsidRPr="006F4C5E">
        <w:t>(</w:t>
      </w:r>
      <w:r w:rsidRPr="00CD0FEB">
        <w:t>5th Cir. 2015) (holding that marine superintendents employed by company specializing in loss-control operations in connection with oil cargo transfers did not qualify for administrative exemption where “there are striking similarities between the plaintiffs’ work and that of inspectors, examiners, and graders, who are generally non-exempt employees”).</w:t>
      </w:r>
    </w:p>
  </w:footnote>
  <w:footnote w:id="633">
    <w:p w14:paraId="7D1BD5DD" w14:textId="77777777" w:rsidR="00201F3F" w:rsidRPr="00CD0FEB" w:rsidRDefault="00201F3F" w:rsidP="00C2067F">
      <w:pPr>
        <w:pStyle w:val="14Footnote"/>
      </w:pPr>
      <w:r w:rsidRPr="00CD0FEB">
        <w:rPr>
          <w:vertAlign w:val="superscript"/>
        </w:rPr>
        <w:footnoteRef/>
      </w:r>
      <w:r w:rsidRPr="00CD0FEB">
        <w:t>29 C.F.R. §541.203(i).</w:t>
      </w:r>
    </w:p>
  </w:footnote>
  <w:footnote w:id="634">
    <w:p w14:paraId="2FE86FAE"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Rhule v. Pope &amp; Talbot Co., 1981 WL 2257, 26 WH Cases 5 (D. Or. Nov. 24, 1981) (concluding log buyer who traveled extensively while purchasing logs so as to keep proper balance in employer’s inventory was exempt even though many purchases reviewed), </w:t>
      </w:r>
      <w:r w:rsidRPr="00CD0FEB">
        <w:rPr>
          <w:i/>
          <w:iCs/>
        </w:rPr>
        <w:t>aff’d mem</w:t>
      </w:r>
      <w:r w:rsidRPr="00CD0FEB">
        <w:t>., 26 WH Cases 28</w:t>
      </w:r>
      <w:r w:rsidRPr="00105650">
        <w:t xml:space="preserve"> </w:t>
      </w:r>
      <w:r w:rsidRPr="006F4C5E">
        <w:t>(</w:t>
      </w:r>
      <w:r w:rsidRPr="00CD0FEB">
        <w:t>9th Cir. 1982).</w:t>
      </w:r>
    </w:p>
  </w:footnote>
  <w:footnote w:id="635">
    <w:p w14:paraId="03112B60" w14:textId="77777777" w:rsidR="00201F3F" w:rsidRPr="00CD0FEB" w:rsidRDefault="00201F3F" w:rsidP="00C2067F">
      <w:pPr>
        <w:pStyle w:val="14Footnote"/>
      </w:pPr>
      <w:r w:rsidRPr="00CD0FEB">
        <w:rPr>
          <w:vertAlign w:val="superscript"/>
        </w:rPr>
        <w:footnoteRef/>
      </w:r>
      <w:r w:rsidRPr="00CD0FEB">
        <w:t>29 C.F.R. §541.203(j).</w:t>
      </w:r>
    </w:p>
  </w:footnote>
  <w:footnote w:id="636">
    <w:p w14:paraId="44B9A817" w14:textId="77777777" w:rsidR="00201F3F" w:rsidRPr="00CD0FEB" w:rsidRDefault="00201F3F" w:rsidP="00C2067F">
      <w:pPr>
        <w:pStyle w:val="14Footnote"/>
      </w:pPr>
      <w:r w:rsidRPr="00CD0FEB">
        <w:rPr>
          <w:vertAlign w:val="superscript"/>
        </w:rPr>
        <w:footnoteRef/>
      </w:r>
      <w:r w:rsidRPr="00CD0FEB">
        <w:t>WH Op. FLSA2005-21, 2005 WL 3308592 (Aug. 19, 2005).</w:t>
      </w:r>
    </w:p>
  </w:footnote>
  <w:footnote w:id="637">
    <w:p w14:paraId="21724643" w14:textId="77777777" w:rsidR="00201F3F" w:rsidRPr="00CD0FEB" w:rsidRDefault="00201F3F" w:rsidP="00C2067F">
      <w:pPr>
        <w:pStyle w:val="14Footnote"/>
      </w:pPr>
      <w:r w:rsidRPr="00CD0FEB">
        <w:rPr>
          <w:vertAlign w:val="superscript"/>
        </w:rPr>
        <w:footnoteRef/>
      </w:r>
      <w:r w:rsidRPr="00CD0FEB">
        <w:rPr>
          <w:i/>
          <w:iCs/>
        </w:rPr>
        <w:t xml:space="preserve">Compare </w:t>
      </w:r>
      <w:r w:rsidRPr="00CD0FEB">
        <w:t xml:space="preserve">Mullins v. Target Corp., 2011 WL 1399262 (N.D. Ill. Apr. 13, 2011) (finding asset protection investigator who exercised independent judgment in analyzing data and investigating thefts was properly classified as an exempt administrative employee), </w:t>
      </w:r>
      <w:r w:rsidRPr="00CD0FEB">
        <w:rPr>
          <w:i/>
          <w:iCs/>
        </w:rPr>
        <w:t>with</w:t>
      </w:r>
      <w:r w:rsidRPr="00CD0FEB">
        <w:t xml:space="preserve"> Fenton v. Farmers Ins. Exch., 663 F. Supp. 2d 718, 15 WH Cases2d 668 (D. Minn. 2009) (holding that insurance fraud investigators were misclassified as exempt administrative employees where they relied on extensive quality assurance review guidelines to resolve issues and therefore did not exercise sufficient discretion and independent judgment to qualify for exemption).</w:t>
      </w:r>
    </w:p>
  </w:footnote>
  <w:footnote w:id="638">
    <w:p w14:paraId="37FE42E5" w14:textId="77777777" w:rsidR="00201F3F" w:rsidRPr="00CD0FEB" w:rsidRDefault="00201F3F" w:rsidP="00C2067F">
      <w:pPr>
        <w:pStyle w:val="14Footnote"/>
      </w:pPr>
      <w:r w:rsidRPr="00CD0FEB">
        <w:rPr>
          <w:vertAlign w:val="superscript"/>
        </w:rPr>
        <w:footnoteRef/>
      </w:r>
      <w:r w:rsidRPr="00CD0FEB">
        <w:t xml:space="preserve">The Fourth Circuit cited this opinion letter approvingly in </w:t>
      </w:r>
      <w:r w:rsidRPr="00CD0FEB">
        <w:rPr>
          <w:i/>
          <w:iCs/>
        </w:rPr>
        <w:t>Calderon v</w:t>
      </w:r>
      <w:r w:rsidRPr="00CD0FEB">
        <w:t>.</w:t>
      </w:r>
      <w:r w:rsidRPr="00CD0FEB">
        <w:rPr>
          <w:i/>
          <w:iCs/>
        </w:rPr>
        <w:t xml:space="preserve"> GEICO General Insurance Co</w:t>
      </w:r>
      <w:r w:rsidRPr="00CD0FEB">
        <w:t>., 809 F.3d 112, 127, 25 WH Cases2d 1526</w:t>
      </w:r>
      <w:r w:rsidRPr="006F4C5E">
        <w:t xml:space="preserve"> (</w:t>
      </w:r>
      <w:r w:rsidRPr="00CD0FEB">
        <w:t>4th Cir. 2015), as support for the court’s determination that fraud investigators responsible for investigating potentially fraudulent insurance claims are not subject to the administrative exemption.</w:t>
      </w:r>
    </w:p>
  </w:footnote>
  <w:footnote w:id="639">
    <w:p w14:paraId="30591AC4" w14:textId="77777777" w:rsidR="00201F3F" w:rsidRPr="00CD0FEB" w:rsidRDefault="00201F3F" w:rsidP="00C2067F">
      <w:pPr>
        <w:pStyle w:val="14Footnote"/>
      </w:pPr>
      <w:r w:rsidRPr="00CD0FEB">
        <w:rPr>
          <w:vertAlign w:val="superscript"/>
        </w:rPr>
        <w:footnoteRef/>
      </w:r>
      <w:r w:rsidRPr="00CD0FEB">
        <w:t xml:space="preserve">WH Op. FLSA2018-13, 2018 WL 2348792 (Jan 5, 2018). </w:t>
      </w:r>
    </w:p>
  </w:footnote>
  <w:footnote w:id="640">
    <w:p w14:paraId="6564A74B"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5. </w:t>
      </w:r>
    </w:p>
  </w:footnote>
  <w:footnote w:id="641">
    <w:p w14:paraId="6172DD22" w14:textId="77777777" w:rsidR="00201F3F" w:rsidRPr="00CD0FEB" w:rsidRDefault="00201F3F" w:rsidP="00C2067F">
      <w:pPr>
        <w:pStyle w:val="14Footnote"/>
      </w:pPr>
      <w:r w:rsidRPr="00CD0FEB">
        <w:rPr>
          <w:vertAlign w:val="superscript"/>
        </w:rPr>
        <w:footnoteRef/>
      </w:r>
      <w:r w:rsidRPr="00CD0FEB">
        <w:t xml:space="preserve">2017 WL 3597508 (N.D. Ga. 2017). </w:t>
      </w:r>
    </w:p>
  </w:footnote>
  <w:footnote w:id="642">
    <w:p w14:paraId="0E9A48FB"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*8.</w:t>
      </w:r>
    </w:p>
  </w:footnote>
  <w:footnote w:id="643">
    <w:p w14:paraId="4FEE80AD" w14:textId="77777777" w:rsidR="00201F3F" w:rsidRPr="00CD0FEB" w:rsidRDefault="00201F3F" w:rsidP="00C2067F">
      <w:pPr>
        <w:pStyle w:val="14Footnote"/>
      </w:pPr>
      <w:r w:rsidRPr="00CD0FEB">
        <w:rPr>
          <w:vertAlign w:val="superscript"/>
        </w:rPr>
        <w:footnoteRef/>
      </w:r>
      <w:r w:rsidRPr="00CD0FEB">
        <w:rPr>
          <w:i/>
          <w:iCs/>
        </w:rPr>
        <w:t>Id.</w:t>
      </w:r>
    </w:p>
  </w:footnote>
  <w:footnote w:id="644">
    <w:p w14:paraId="0BCB4F3B" w14:textId="77777777" w:rsidR="00201F3F" w:rsidRPr="00CD0FEB" w:rsidRDefault="00201F3F" w:rsidP="00C2067F">
      <w:pPr>
        <w:pStyle w:val="14Footnote"/>
      </w:pPr>
      <w:r w:rsidRPr="00CD0FEB">
        <w:rPr>
          <w:vertAlign w:val="superscript"/>
        </w:rPr>
        <w:footnoteRef/>
      </w:r>
      <w:r w:rsidRPr="00CD0FEB">
        <w:t>29 C.F.R. §541.204(a)(2).</w:t>
      </w:r>
    </w:p>
  </w:footnote>
  <w:footnote w:id="645">
    <w:p w14:paraId="11AB50DF" w14:textId="77777777" w:rsidR="00201F3F" w:rsidRPr="00CD0FEB" w:rsidRDefault="00201F3F" w:rsidP="00C2067F">
      <w:pPr>
        <w:pStyle w:val="14Footnote"/>
      </w:pPr>
      <w:r w:rsidRPr="00CD0FEB">
        <w:rPr>
          <w:vertAlign w:val="superscript"/>
        </w:rPr>
        <w:footnoteRef/>
      </w:r>
      <w:r w:rsidRPr="00CD0FEB">
        <w:rPr>
          <w:i/>
          <w:iCs/>
        </w:rPr>
        <w:t>Id</w:t>
      </w:r>
      <w:r w:rsidRPr="00CD0FEB">
        <w:t>. §541.204(a)(1).</w:t>
      </w:r>
    </w:p>
  </w:footnote>
  <w:footnote w:id="646">
    <w:p w14:paraId="744A2498" w14:textId="77777777" w:rsidR="00201F3F" w:rsidRPr="00CD0FEB" w:rsidRDefault="00201F3F" w:rsidP="00C2067F">
      <w:pPr>
        <w:pStyle w:val="14Footnote"/>
      </w:pPr>
      <w:r w:rsidRPr="00CD0FEB">
        <w:rPr>
          <w:vertAlign w:val="superscript"/>
        </w:rPr>
        <w:footnoteRef/>
      </w:r>
      <w:r w:rsidRPr="00CD0FEB">
        <w:rPr>
          <w:i/>
          <w:iCs/>
        </w:rPr>
        <w:t>Id</w:t>
      </w:r>
      <w:r w:rsidRPr="00CD0FEB">
        <w:t>. §541.204(b).</w:t>
      </w:r>
    </w:p>
  </w:footnote>
  <w:footnote w:id="647">
    <w:p w14:paraId="5B6AD427"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§541.204(c)(1). </w:t>
      </w:r>
      <w:r w:rsidRPr="00CD0FEB">
        <w:rPr>
          <w:i/>
          <w:iCs/>
        </w:rPr>
        <w:t>See, e.g.</w:t>
      </w:r>
      <w:r w:rsidRPr="00CD0FEB">
        <w:t>, Coleman-Edwards v. Simpson, 330 F. App’x 218, 220, 2009 WL 1298525 (2d Cir. May 12, 2009) (holding that administrative exemption applied to school principal who “spent a significant amount of time supervising the school’s teaching staff and providing teaching evaluations … called staff development meetings, chose to implement a different standardized testing system than had previously been used in the school, interviewed candidates for teaching positions and made hiring recommendations to the Senior Pastor, recruited new students, prepared proposed budgets, taught classes in the core subjects, and made decisions related to student discipline”).</w:t>
      </w:r>
    </w:p>
  </w:footnote>
  <w:footnote w:id="648">
    <w:p w14:paraId="2C59BC9A" w14:textId="77777777" w:rsidR="00201F3F" w:rsidRPr="00CD0FEB" w:rsidRDefault="00201F3F" w:rsidP="00C2067F">
      <w:pPr>
        <w:pStyle w:val="14Footnote"/>
      </w:pPr>
      <w:r w:rsidRPr="00CD0FEB">
        <w:rPr>
          <w:vertAlign w:val="superscript"/>
        </w:rPr>
        <w:footnoteRef/>
      </w:r>
      <w:r w:rsidRPr="00CD0FEB">
        <w:t>29 C.F.R. §541.204(c).</w:t>
      </w:r>
    </w:p>
  </w:footnote>
  <w:footnote w:id="649">
    <w:p w14:paraId="09A53105"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650">
    <w:p w14:paraId="215654D3"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651">
    <w:p w14:paraId="0800EB7D" w14:textId="77777777" w:rsidR="00201F3F" w:rsidRPr="00CD0FEB" w:rsidRDefault="00201F3F" w:rsidP="00C2067F">
      <w:pPr>
        <w:pStyle w:val="14Footnote"/>
      </w:pPr>
      <w:r w:rsidRPr="00CD0FEB">
        <w:rPr>
          <w:vertAlign w:val="superscript"/>
        </w:rPr>
        <w:footnoteRef/>
      </w:r>
      <w:r w:rsidRPr="00CD0FEB">
        <w:rPr>
          <w:i/>
          <w:iCs/>
        </w:rPr>
        <w:t>Id</w:t>
      </w:r>
      <w:r w:rsidRPr="00CD0FEB">
        <w:t>. §541.204(c)(2).</w:t>
      </w:r>
    </w:p>
  </w:footnote>
  <w:footnote w:id="652">
    <w:p w14:paraId="2656BCCE" w14:textId="77777777" w:rsidR="00201F3F" w:rsidRPr="00CD0FEB" w:rsidRDefault="00201F3F" w:rsidP="00C2067F">
      <w:pPr>
        <w:pStyle w:val="14Footnote"/>
      </w:pPr>
      <w:r w:rsidRPr="00CD0FEB">
        <w:rPr>
          <w:vertAlign w:val="superscript"/>
        </w:rPr>
        <w:footnoteRef/>
      </w:r>
      <w:r w:rsidRPr="00CD0FEB">
        <w:t>WH Op. 1999 WL 1002391 (Apr. 20, 1999).</w:t>
      </w:r>
    </w:p>
  </w:footnote>
  <w:footnote w:id="653">
    <w:p w14:paraId="6895EC9F" w14:textId="77777777" w:rsidR="00201F3F" w:rsidRPr="00CD0FEB" w:rsidRDefault="00201F3F" w:rsidP="00C2067F">
      <w:pPr>
        <w:pStyle w:val="14Footnote"/>
      </w:pPr>
      <w:r w:rsidRPr="00CD0FEB">
        <w:rPr>
          <w:vertAlign w:val="superscript"/>
        </w:rPr>
        <w:footnoteRef/>
      </w:r>
      <w:r w:rsidRPr="00CD0FEB">
        <w:t>WH Op. FLSA2005-42, 2005 WL 3308613 (Oct. 24, 2005).</w:t>
      </w:r>
    </w:p>
  </w:footnote>
  <w:footnote w:id="654">
    <w:p w14:paraId="5AA37C08"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655">
    <w:p w14:paraId="4CDA2ACD" w14:textId="77777777" w:rsidR="00201F3F" w:rsidRPr="00CD0FEB" w:rsidRDefault="00201F3F" w:rsidP="00C2067F">
      <w:pPr>
        <w:pStyle w:val="14Footnote"/>
      </w:pPr>
      <w:r w:rsidRPr="00CD0FEB">
        <w:rPr>
          <w:vertAlign w:val="superscript"/>
        </w:rPr>
        <w:footnoteRef/>
      </w:r>
      <w:r w:rsidRPr="00CD0FEB">
        <w:t>29 C.F.R. §541.301(a).</w:t>
      </w:r>
    </w:p>
  </w:footnote>
  <w:footnote w:id="656">
    <w:p w14:paraId="68A8E9E4" w14:textId="77777777" w:rsidR="00201F3F" w:rsidRPr="00CD0FEB" w:rsidRDefault="00201F3F" w:rsidP="00C2067F">
      <w:pPr>
        <w:pStyle w:val="14Footnote"/>
      </w:pPr>
      <w:r w:rsidRPr="00CD0FEB">
        <w:rPr>
          <w:vertAlign w:val="superscript"/>
        </w:rPr>
        <w:footnoteRef/>
      </w:r>
      <w:r w:rsidRPr="00CD0FEB">
        <w:rPr>
          <w:i/>
          <w:iCs/>
        </w:rPr>
        <w:t>Id</w:t>
      </w:r>
      <w:r w:rsidRPr="00CD0FEB">
        <w:t>. §541.302.</w:t>
      </w:r>
    </w:p>
  </w:footnote>
  <w:footnote w:id="657">
    <w:p w14:paraId="3321AD7D" w14:textId="77777777" w:rsidR="00201F3F" w:rsidRPr="00CD0FEB" w:rsidRDefault="00201F3F" w:rsidP="00C2067F">
      <w:pPr>
        <w:pStyle w:val="14Footnote"/>
      </w:pPr>
      <w:r w:rsidRPr="00CD0FEB">
        <w:rPr>
          <w:vertAlign w:val="superscript"/>
        </w:rPr>
        <w:footnoteRef/>
      </w:r>
      <w:r w:rsidRPr="00CD0FEB">
        <w:rPr>
          <w:i/>
          <w:iCs/>
        </w:rPr>
        <w:t>Id</w:t>
      </w:r>
      <w:r w:rsidRPr="00CD0FEB">
        <w:t>. §541.303.</w:t>
      </w:r>
    </w:p>
  </w:footnote>
  <w:footnote w:id="658">
    <w:p w14:paraId="2E097033" w14:textId="77777777" w:rsidR="00201F3F" w:rsidRPr="00CD0FEB" w:rsidRDefault="00201F3F" w:rsidP="00C2067F">
      <w:pPr>
        <w:pStyle w:val="14Footnote"/>
      </w:pPr>
      <w:r w:rsidRPr="00CD0FEB">
        <w:rPr>
          <w:vertAlign w:val="superscript"/>
        </w:rPr>
        <w:footnoteRef/>
      </w:r>
      <w:r w:rsidRPr="00CD0FEB">
        <w:rPr>
          <w:i/>
          <w:iCs/>
        </w:rPr>
        <w:t>Id</w:t>
      </w:r>
      <w:r w:rsidRPr="00CD0FEB">
        <w:t>. §541.304. Highly compensated employees performing office or nonmanual work and paid total annual compensation of $107,432 or more (which must include at least $684 per week paid on a salary or fee basis) are exempt from the FLSA if they customarily and regularly perform at least one of the duties of an exempt professional employee identified in the standard tests for exemption.</w:t>
      </w:r>
    </w:p>
  </w:footnote>
  <w:footnote w:id="659">
    <w:p w14:paraId="3B221B8F" w14:textId="77777777" w:rsidR="00201F3F" w:rsidRPr="00CD0FEB" w:rsidRDefault="00201F3F" w:rsidP="00C2067F">
      <w:pPr>
        <w:pStyle w:val="14Footnote"/>
      </w:pPr>
      <w:r w:rsidRPr="00CD0FEB">
        <w:rPr>
          <w:vertAlign w:val="superscript"/>
        </w:rPr>
        <w:footnoteRef/>
      </w:r>
      <w:r w:rsidRPr="00CD0FEB">
        <w:rPr>
          <w:i/>
          <w:iCs/>
        </w:rPr>
        <w:t>Id</w:t>
      </w:r>
      <w:r w:rsidRPr="00CD0FEB">
        <w:t>. §§541.400–.402. See §IX [Computer-Related Occupations] of this chapter.</w:t>
      </w:r>
    </w:p>
  </w:footnote>
  <w:footnote w:id="660">
    <w:p w14:paraId="26881E48" w14:textId="77777777" w:rsidR="00201F3F" w:rsidRPr="00CD0FEB" w:rsidRDefault="00201F3F" w:rsidP="00C2067F">
      <w:pPr>
        <w:pStyle w:val="14Footnote"/>
      </w:pPr>
      <w:r w:rsidRPr="00CD0FEB">
        <w:rPr>
          <w:vertAlign w:val="superscript"/>
        </w:rPr>
        <w:footnoteRef/>
      </w:r>
      <w:r w:rsidRPr="00CD0FEB">
        <w:t>The salary and salary basis requirements do not apply to bona fide teachers or practitioners of law or medicine.</w:t>
      </w:r>
    </w:p>
  </w:footnote>
  <w:footnote w:id="661">
    <w:p w14:paraId="4EFE881F" w14:textId="77777777" w:rsidR="00201F3F" w:rsidRPr="00105650" w:rsidRDefault="00201F3F" w:rsidP="00C2067F">
      <w:pPr>
        <w:pStyle w:val="14Footnote"/>
      </w:pPr>
      <w:r w:rsidRPr="00CD0FEB">
        <w:rPr>
          <w:vertAlign w:val="superscript"/>
        </w:rPr>
        <w:footnoteRef/>
      </w:r>
      <w:r w:rsidRPr="00105650">
        <w:t>29 C.F.R. §541.3(b)(4).</w:t>
      </w:r>
    </w:p>
  </w:footnote>
  <w:footnote w:id="662">
    <w:p w14:paraId="15B8F08B" w14:textId="77777777" w:rsidR="00201F3F" w:rsidRPr="00105650" w:rsidRDefault="00201F3F" w:rsidP="00C2067F">
      <w:pPr>
        <w:pStyle w:val="14Footnote"/>
      </w:pPr>
      <w:r w:rsidRPr="00CD0FEB">
        <w:rPr>
          <w:vertAlign w:val="superscript"/>
        </w:rPr>
        <w:footnoteRef/>
      </w:r>
      <w:r w:rsidRPr="00105650">
        <w:rPr>
          <w:i/>
          <w:iCs/>
        </w:rPr>
        <w:t xml:space="preserve">Id. </w:t>
      </w:r>
      <w:r w:rsidRPr="00105650">
        <w:t>§541.301(a)(1).</w:t>
      </w:r>
    </w:p>
  </w:footnote>
  <w:footnote w:id="663">
    <w:p w14:paraId="72F0D1D2" w14:textId="77777777" w:rsidR="00201F3F" w:rsidRPr="00105650" w:rsidRDefault="00201F3F" w:rsidP="00C2067F">
      <w:pPr>
        <w:pStyle w:val="14Footnote"/>
      </w:pPr>
      <w:r w:rsidRPr="00CD0FEB">
        <w:rPr>
          <w:vertAlign w:val="superscript"/>
        </w:rPr>
        <w:footnoteRef/>
      </w:r>
      <w:r w:rsidRPr="00105650">
        <w:rPr>
          <w:i/>
          <w:iCs/>
        </w:rPr>
        <w:t>Id</w:t>
      </w:r>
      <w:r w:rsidRPr="00105650">
        <w:t>. §541.301(a)(2).</w:t>
      </w:r>
    </w:p>
  </w:footnote>
  <w:footnote w:id="664">
    <w:p w14:paraId="1BAE5084" w14:textId="77777777" w:rsidR="00201F3F" w:rsidRPr="00105650" w:rsidRDefault="00201F3F" w:rsidP="00C2067F">
      <w:pPr>
        <w:pStyle w:val="14Footnote"/>
      </w:pPr>
      <w:r w:rsidRPr="00CD0FEB">
        <w:rPr>
          <w:vertAlign w:val="superscript"/>
        </w:rPr>
        <w:footnoteRef/>
      </w:r>
      <w:r w:rsidRPr="00105650">
        <w:rPr>
          <w:i/>
          <w:iCs/>
        </w:rPr>
        <w:t>Id</w:t>
      </w:r>
      <w:r w:rsidRPr="00105650">
        <w:t>. §541.301(a)(3).</w:t>
      </w:r>
    </w:p>
  </w:footnote>
  <w:footnote w:id="665">
    <w:p w14:paraId="095388BC" w14:textId="77777777" w:rsidR="00201F3F" w:rsidRPr="00105650" w:rsidRDefault="00201F3F" w:rsidP="00C2067F">
      <w:pPr>
        <w:pStyle w:val="14Footnote"/>
      </w:pPr>
      <w:r w:rsidRPr="00CD0FEB">
        <w:rPr>
          <w:vertAlign w:val="superscript"/>
        </w:rPr>
        <w:footnoteRef/>
      </w:r>
      <w:r w:rsidRPr="00105650">
        <w:rPr>
          <w:i/>
          <w:iCs/>
        </w:rPr>
        <w:t xml:space="preserve">Id. </w:t>
      </w:r>
      <w:r w:rsidRPr="00105650">
        <w:t>§541.700.</w:t>
      </w:r>
    </w:p>
  </w:footnote>
  <w:footnote w:id="666">
    <w:p w14:paraId="64B15149" w14:textId="77777777" w:rsidR="00201F3F" w:rsidRPr="00CD0FEB" w:rsidRDefault="00201F3F" w:rsidP="00C2067F">
      <w:pPr>
        <w:pStyle w:val="14Footnote"/>
      </w:pPr>
      <w:r w:rsidRPr="00CD0FEB">
        <w:rPr>
          <w:vertAlign w:val="superscript"/>
        </w:rPr>
        <w:footnoteRef/>
      </w:r>
      <w:r w:rsidRPr="00CD0FEB">
        <w:t>29 C.F.R. §541.301(b).</w:t>
      </w:r>
    </w:p>
  </w:footnote>
  <w:footnote w:id="667">
    <w:p w14:paraId="0188582E"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668">
    <w:p w14:paraId="66AB9D72" w14:textId="77777777" w:rsidR="00201F3F" w:rsidRPr="00CD0FEB" w:rsidRDefault="00201F3F" w:rsidP="00C2067F">
      <w:pPr>
        <w:pStyle w:val="14Footnote"/>
      </w:pPr>
      <w:r w:rsidRPr="00CD0FEB">
        <w:rPr>
          <w:vertAlign w:val="superscript"/>
        </w:rPr>
        <w:footnoteRef/>
      </w:r>
      <w:r w:rsidRPr="00CD0FEB">
        <w:rPr>
          <w:i/>
          <w:iCs/>
        </w:rPr>
        <w:t>Id.</w:t>
      </w:r>
    </w:p>
  </w:footnote>
  <w:footnote w:id="669">
    <w:p w14:paraId="60C41C38" w14:textId="77777777" w:rsidR="00201F3F" w:rsidRPr="00CD0FEB" w:rsidRDefault="00201F3F" w:rsidP="00C2067F">
      <w:pPr>
        <w:pStyle w:val="14Footnote"/>
      </w:pPr>
      <w:r w:rsidRPr="00CD0FEB">
        <w:rPr>
          <w:vertAlign w:val="superscript"/>
        </w:rPr>
        <w:footnoteRef/>
      </w:r>
      <w:r w:rsidRPr="00CD0FEB">
        <w:t>69 Fed. Reg. 22,151 (Apr. 23, 2004).</w:t>
      </w:r>
    </w:p>
  </w:footnote>
  <w:footnote w:id="670">
    <w:p w14:paraId="5E7B74AC" w14:textId="77777777" w:rsidR="00201F3F" w:rsidRPr="00CD0FEB" w:rsidRDefault="00201F3F" w:rsidP="00C2067F">
      <w:pPr>
        <w:pStyle w:val="14Footnote"/>
      </w:pPr>
      <w:r w:rsidRPr="00CD0FEB">
        <w:rPr>
          <w:vertAlign w:val="superscript"/>
        </w:rPr>
        <w:footnoteRef/>
      </w:r>
      <w:r w:rsidRPr="00CD0FEB">
        <w:t>Isett v. Aetna Life Ins. Co., 947 F.3d 122, 131 (2d Cir. 2020).</w:t>
      </w:r>
    </w:p>
  </w:footnote>
  <w:footnote w:id="671">
    <w:p w14:paraId="4137CCA4"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(emphasis in original).</w:t>
      </w:r>
    </w:p>
  </w:footnote>
  <w:footnote w:id="672">
    <w:p w14:paraId="14B28779" w14:textId="77777777" w:rsidR="00201F3F" w:rsidRPr="00CD0FEB" w:rsidRDefault="00201F3F" w:rsidP="00C2067F">
      <w:pPr>
        <w:pStyle w:val="14Footnote"/>
      </w:pPr>
      <w:r w:rsidRPr="00CD0FEB">
        <w:rPr>
          <w:vertAlign w:val="superscript"/>
        </w:rPr>
        <w:footnoteRef/>
      </w:r>
      <w:r w:rsidRPr="00CD0FEB">
        <w:t>136 F. Supp. 3d 16 (D. Mass. 2015).</w:t>
      </w:r>
    </w:p>
  </w:footnote>
  <w:footnote w:id="673">
    <w:p w14:paraId="2003E2E8" w14:textId="77777777" w:rsidR="00201F3F" w:rsidRPr="00105650" w:rsidRDefault="00201F3F" w:rsidP="00C2067F">
      <w:pPr>
        <w:pStyle w:val="14Footnote"/>
      </w:pPr>
      <w:r w:rsidRPr="00CD0FEB">
        <w:rPr>
          <w:vertAlign w:val="superscript"/>
        </w:rPr>
        <w:footnoteRef/>
      </w:r>
      <w:r w:rsidRPr="00105650">
        <w:t xml:space="preserve">841 F. Supp. 2d 972, 975 (S.D. W. Va. 2012). </w:t>
      </w:r>
    </w:p>
  </w:footnote>
  <w:footnote w:id="674">
    <w:p w14:paraId="5024AFBA" w14:textId="77777777" w:rsidR="00201F3F" w:rsidRPr="00CD0FEB" w:rsidRDefault="00201F3F" w:rsidP="00C2067F">
      <w:pPr>
        <w:pStyle w:val="14Footnote"/>
      </w:pPr>
      <w:r w:rsidRPr="00CD0FEB">
        <w:rPr>
          <w:vertAlign w:val="superscript"/>
        </w:rPr>
        <w:footnoteRef/>
      </w:r>
      <w:r w:rsidRPr="00CD0FEB">
        <w:rPr>
          <w:i/>
          <w:iCs/>
        </w:rPr>
        <w:t>Crowe</w:t>
      </w:r>
      <w:r w:rsidRPr="00CD0FEB">
        <w:t>, 136 F. Supp. 3d at 31.</w:t>
      </w:r>
    </w:p>
  </w:footnote>
  <w:footnote w:id="675">
    <w:p w14:paraId="2A765D6B"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34.</w:t>
      </w:r>
    </w:p>
  </w:footnote>
  <w:footnote w:id="676">
    <w:p w14:paraId="19EAAC76" w14:textId="77777777" w:rsidR="00201F3F" w:rsidRDefault="00201F3F" w:rsidP="00C2067F">
      <w:pPr>
        <w:pStyle w:val="14Footnote"/>
        <w:rPr>
          <w:i/>
          <w:iCs/>
        </w:rPr>
      </w:pPr>
      <w:r w:rsidRPr="00CD0FEB">
        <w:rPr>
          <w:vertAlign w:val="superscript"/>
        </w:rPr>
        <w:footnoteRef/>
      </w:r>
      <w:r w:rsidRPr="00CD0FEB">
        <w:t xml:space="preserve">WH Op., FLSA2005-28, 2005 WL 3308599 (Aug. 26, 2005); </w:t>
      </w:r>
      <w:r w:rsidRPr="00CD0FEB">
        <w:rPr>
          <w:i/>
          <w:iCs/>
        </w:rPr>
        <w:t>see also</w:t>
      </w:r>
    </w:p>
    <w:p w14:paraId="5AE6F57F" w14:textId="77777777" w:rsidR="00201F3F" w:rsidRPr="00F961CA" w:rsidRDefault="00201F3F" w:rsidP="00C2067F">
      <w:pPr>
        <w:pStyle w:val="14Footnote"/>
        <w:rPr>
          <w:szCs w:val="20"/>
        </w:rPr>
      </w:pPr>
      <w:r>
        <w:rPr>
          <w:i/>
          <w:iCs/>
        </w:rPr>
        <w:t>Fifth Circuit:</w:t>
      </w:r>
      <w:r w:rsidRPr="00F65087">
        <w:rPr>
          <w:rFonts w:eastAsiaTheme="minorEastAsia"/>
          <w:szCs w:val="20"/>
        </w:rPr>
        <w:t xml:space="preserve"> </w:t>
      </w:r>
      <w:r w:rsidRPr="00212691">
        <w:rPr>
          <w:rFonts w:eastAsiaTheme="minorEastAsia"/>
          <w:szCs w:val="20"/>
        </w:rPr>
        <w:t>Hebert v. FMC Techs</w:t>
      </w:r>
      <w:r>
        <w:rPr>
          <w:rFonts w:eastAsiaTheme="minorEastAsia"/>
          <w:szCs w:val="20"/>
        </w:rPr>
        <w:t>.</w:t>
      </w:r>
      <w:r w:rsidRPr="00212691">
        <w:rPr>
          <w:rFonts w:eastAsiaTheme="minorEastAsia"/>
          <w:szCs w:val="20"/>
        </w:rPr>
        <w:t xml:space="preserve">, Inc., </w:t>
      </w:r>
      <w:r w:rsidRPr="006623C9">
        <w:rPr>
          <w:szCs w:val="20"/>
        </w:rPr>
        <w:t>2023 BL 212011</w:t>
      </w:r>
      <w:r>
        <w:rPr>
          <w:szCs w:val="20"/>
        </w:rPr>
        <w:t xml:space="preserve">, </w:t>
      </w:r>
      <w:r w:rsidRPr="00212691">
        <w:rPr>
          <w:rFonts w:eastAsiaTheme="minorEastAsia"/>
          <w:szCs w:val="20"/>
        </w:rPr>
        <w:t xml:space="preserve">2023 WL 4105427, at *3 (5th Cir. June 21, 2023) (installation engineer responsible for </w:t>
      </w:r>
      <w:r w:rsidRPr="00212691">
        <w:rPr>
          <w:color w:val="000000"/>
          <w:szCs w:val="20"/>
        </w:rPr>
        <w:t>(1) creat</w:t>
      </w:r>
      <w:r>
        <w:rPr>
          <w:color w:val="000000"/>
          <w:szCs w:val="20"/>
        </w:rPr>
        <w:t>ing</w:t>
      </w:r>
      <w:r w:rsidRPr="00212691">
        <w:rPr>
          <w:color w:val="000000"/>
          <w:szCs w:val="20"/>
        </w:rPr>
        <w:t xml:space="preserve"> technical procedures for installation projects, (2) analyz</w:t>
      </w:r>
      <w:r>
        <w:rPr>
          <w:color w:val="000000"/>
          <w:szCs w:val="20"/>
        </w:rPr>
        <w:t>ing</w:t>
      </w:r>
      <w:r w:rsidRPr="00212691">
        <w:rPr>
          <w:color w:val="000000"/>
          <w:szCs w:val="20"/>
        </w:rPr>
        <w:t xml:space="preserve"> and interpret</w:t>
      </w:r>
      <w:r>
        <w:rPr>
          <w:color w:val="000000"/>
          <w:szCs w:val="20"/>
        </w:rPr>
        <w:t>ing</w:t>
      </w:r>
      <w:r w:rsidRPr="00212691">
        <w:rPr>
          <w:color w:val="000000"/>
          <w:szCs w:val="20"/>
        </w:rPr>
        <w:t xml:space="preserve"> information, (3) review</w:t>
      </w:r>
      <w:r>
        <w:rPr>
          <w:color w:val="000000"/>
          <w:szCs w:val="20"/>
        </w:rPr>
        <w:t>ing</w:t>
      </w:r>
      <w:r w:rsidRPr="00212691">
        <w:rPr>
          <w:color w:val="000000"/>
          <w:szCs w:val="20"/>
        </w:rPr>
        <w:t xml:space="preserve"> engineering designs and documents, and (4) consult</w:t>
      </w:r>
      <w:r>
        <w:rPr>
          <w:color w:val="000000"/>
          <w:szCs w:val="20"/>
        </w:rPr>
        <w:t>ing</w:t>
      </w:r>
      <w:r w:rsidRPr="00212691">
        <w:rPr>
          <w:color w:val="000000"/>
          <w:szCs w:val="20"/>
        </w:rPr>
        <w:t xml:space="preserve"> with other departments on designs</w:t>
      </w:r>
      <w:r>
        <w:rPr>
          <w:color w:val="000000"/>
          <w:szCs w:val="20"/>
        </w:rPr>
        <w:t xml:space="preserve"> performed work requiring advanced knowledge and was properly classified as an exempt professional</w:t>
      </w:r>
      <w:r w:rsidRPr="00212691">
        <w:rPr>
          <w:rFonts w:eastAsiaTheme="minorEastAsia"/>
          <w:szCs w:val="20"/>
        </w:rPr>
        <w:t>)</w:t>
      </w:r>
      <w:r>
        <w:rPr>
          <w:rFonts w:eastAsiaTheme="minorEastAsia"/>
          <w:szCs w:val="20"/>
        </w:rPr>
        <w:t>.</w:t>
      </w:r>
    </w:p>
    <w:p w14:paraId="6964DFAD" w14:textId="77777777" w:rsidR="00201F3F" w:rsidRPr="00CC6935" w:rsidRDefault="00201F3F" w:rsidP="00F65087">
      <w:pPr>
        <w:pStyle w:val="14Footnote"/>
        <w:rPr>
          <w:szCs w:val="20"/>
        </w:rPr>
      </w:pPr>
      <w:r>
        <w:rPr>
          <w:i/>
          <w:iCs/>
        </w:rPr>
        <w:t>Sixth Circuit:</w:t>
      </w:r>
      <w:r w:rsidRPr="00CD0FEB">
        <w:rPr>
          <w:i/>
          <w:iCs/>
        </w:rPr>
        <w:t xml:space="preserve"> </w:t>
      </w:r>
      <w:r w:rsidRPr="00CD0FEB">
        <w:t>Mosquera v. MTI Retreading Co.,</w:t>
      </w:r>
      <w:r w:rsidRPr="00CD0FEB">
        <w:rPr>
          <w:i/>
          <w:iCs/>
        </w:rPr>
        <w:t xml:space="preserve"> </w:t>
      </w:r>
      <w:r w:rsidRPr="00CD0FEB">
        <w:t>745 F. App’x. 568</w:t>
      </w:r>
      <w:r w:rsidRPr="003F7F38">
        <w:t xml:space="preserve"> (</w:t>
      </w:r>
      <w:r w:rsidRPr="00CD0FEB">
        <w:t>6th Cir. 2018)</w:t>
      </w:r>
      <w:r w:rsidRPr="00CD0FEB">
        <w:rPr>
          <w:i/>
          <w:iCs/>
        </w:rPr>
        <w:t xml:space="preserve"> </w:t>
      </w:r>
      <w:r w:rsidRPr="00CD0FEB">
        <w:t xml:space="preserve">(holding night shift supervisor properly classified as exempt learned professional, crediting deposition testimony that plaintiff used his engineering background to resolve production bottlenecks and equipment issues and monitor production quotas, and in quality control); </w:t>
      </w:r>
      <w:r w:rsidRPr="00212691">
        <w:rPr>
          <w:rFonts w:eastAsiaTheme="minorEastAsia"/>
          <w:szCs w:val="20"/>
        </w:rPr>
        <w:t xml:space="preserve">Crockett v. General Motors LLC, </w:t>
      </w:r>
      <w:r w:rsidRPr="00CC6935">
        <w:rPr>
          <w:szCs w:val="20"/>
        </w:rPr>
        <w:t>2023 BL 9264</w:t>
      </w:r>
      <w:r>
        <w:rPr>
          <w:rFonts w:eastAsiaTheme="minorEastAsia"/>
          <w:szCs w:val="20"/>
        </w:rPr>
        <w:t xml:space="preserve">, </w:t>
      </w:r>
      <w:r w:rsidRPr="00212691">
        <w:rPr>
          <w:rFonts w:eastAsiaTheme="minorEastAsia"/>
          <w:szCs w:val="20"/>
        </w:rPr>
        <w:t>2023 WL 158882, at *5 (E.D. Mich. Jan. 11, 2023) (design release engineer with a B.S. in mechanical engineering qualified for professional exemption where her primary duty was to provide high-quality engineering work focused on problem-solving, including identifying the root cause of the issue)</w:t>
      </w:r>
      <w:r>
        <w:rPr>
          <w:rFonts w:eastAsiaTheme="minorEastAsia"/>
          <w:szCs w:val="20"/>
        </w:rPr>
        <w:t xml:space="preserve">; </w:t>
      </w:r>
      <w:r w:rsidRPr="00CD0FEB">
        <w:t>Birkemose-Hansen v. Zwanenberg Food Grp.</w:t>
      </w:r>
      <w:r w:rsidRPr="00CD0FEB">
        <w:rPr>
          <w:i/>
          <w:iCs/>
        </w:rPr>
        <w:t xml:space="preserve"> </w:t>
      </w:r>
      <w:r w:rsidRPr="00CD0FEB">
        <w:t>(USA), Inc., 2010 WL 2854128, at *7, 17 WH Cases2d 826 (S.D. Ohio July 19, 2010) (finding professional exemption applied to employee of canned meat manufacturing and packaging company who used his engineering skills to “establish protocols for efficient, safe and productive operation of … highly sophisticated and specialized machinery, and train … employees with respect to the above”)</w:t>
      </w:r>
      <w:r>
        <w:t>.</w:t>
      </w:r>
    </w:p>
    <w:p w14:paraId="5DE5E82E" w14:textId="77777777" w:rsidR="00201F3F" w:rsidRPr="00F961CA" w:rsidRDefault="00201F3F" w:rsidP="00F65087">
      <w:pPr>
        <w:pStyle w:val="14Footnote"/>
        <w:rPr>
          <w:i/>
          <w:iCs/>
        </w:rPr>
      </w:pPr>
      <w:r w:rsidRPr="00F961CA">
        <w:rPr>
          <w:i/>
          <w:iCs/>
        </w:rPr>
        <w:t>Eleventh Circuit</w:t>
      </w:r>
      <w:r>
        <w:t xml:space="preserve">: </w:t>
      </w:r>
      <w:r w:rsidRPr="00CD0FEB">
        <w:t>Pinillia v. Northwings Accessories Corp</w:t>
      </w:r>
      <w:r w:rsidRPr="00CD0FEB">
        <w:rPr>
          <w:i/>
          <w:iCs/>
        </w:rPr>
        <w:t>.</w:t>
      </w:r>
      <w:r w:rsidRPr="00CD0FEB">
        <w:t>, 2007 WL 3378532, at *10 (S.D. Fla. Nov. 13, 2007) (finding “no genuine issue that Plaintiff’s engineering work … required advanced knowledge in a field of science or learning customarily acquired by a prolonged course of specialized intellectual instruction” where he designed tools to test repaired airplane parts and related mechanical engineering functions).</w:t>
      </w:r>
    </w:p>
  </w:footnote>
  <w:footnote w:id="677">
    <w:p w14:paraId="580921F9" w14:textId="77777777" w:rsidR="00201F3F" w:rsidRPr="00CD0FEB" w:rsidRDefault="00201F3F" w:rsidP="00C2067F">
      <w:pPr>
        <w:pStyle w:val="14Footnote"/>
      </w:pPr>
      <w:r w:rsidRPr="00CD0FEB">
        <w:rPr>
          <w:vertAlign w:val="superscript"/>
        </w:rPr>
        <w:footnoteRef/>
      </w:r>
      <w:r w:rsidRPr="00CD0FEB">
        <w:t xml:space="preserve">137 F. App’x 198 </w:t>
      </w:r>
      <w:r w:rsidRPr="00105650">
        <w:t>(1</w:t>
      </w:r>
      <w:r w:rsidRPr="00CD0FEB">
        <w:t xml:space="preserve">1th Cir. 2005). </w:t>
      </w:r>
    </w:p>
  </w:footnote>
  <w:footnote w:id="678">
    <w:p w14:paraId="7169318F" w14:textId="77777777" w:rsidR="00201F3F" w:rsidRPr="002A7787" w:rsidRDefault="00201F3F" w:rsidP="00F961CA">
      <w:pPr>
        <w:shd w:val="clear" w:color="auto" w:fill="FFFFFF"/>
        <w:ind w:firstLine="720"/>
        <w:rPr>
          <w:szCs w:val="20"/>
        </w:rPr>
      </w:pPr>
      <w:r w:rsidRPr="00F961CA">
        <w:rPr>
          <w:sz w:val="20"/>
          <w:szCs w:val="20"/>
          <w:vertAlign w:val="superscript"/>
        </w:rPr>
        <w:footnoteRef/>
      </w:r>
      <w:r w:rsidRPr="00F961CA">
        <w:rPr>
          <w:i/>
          <w:iCs/>
          <w:sz w:val="20"/>
          <w:szCs w:val="20"/>
        </w:rPr>
        <w:t>Id.</w:t>
      </w:r>
      <w:r w:rsidRPr="00F961CA">
        <w:rPr>
          <w:sz w:val="20"/>
          <w:szCs w:val="20"/>
        </w:rPr>
        <w:t xml:space="preserve"> at 200.  </w:t>
      </w:r>
    </w:p>
  </w:footnote>
  <w:footnote w:id="679">
    <w:p w14:paraId="6B9F2E90" w14:textId="77777777" w:rsidR="00201F3F" w:rsidRPr="00CD0FEB" w:rsidRDefault="00201F3F" w:rsidP="00C2067F">
      <w:pPr>
        <w:pStyle w:val="14Footnote"/>
      </w:pPr>
      <w:r w:rsidRPr="00CD0FEB">
        <w:rPr>
          <w:vertAlign w:val="superscript"/>
        </w:rPr>
        <w:footnoteRef/>
      </w:r>
      <w:r w:rsidRPr="00CD0FEB">
        <w:rPr>
          <w:i/>
          <w:iCs/>
        </w:rPr>
        <w:t xml:space="preserve">See </w:t>
      </w:r>
      <w:r w:rsidRPr="00CD0FEB">
        <w:t>Kadden v. VisuaLex, LLC, 910 F. Supp. 2d 523, 539–40 (S.D.N.Y. 2012) (holding graphic consultant for litigation support company did not meet advanced knowledge element because her role did not require use of her law degree).</w:t>
      </w:r>
    </w:p>
  </w:footnote>
  <w:footnote w:id="680">
    <w:p w14:paraId="54CA2EA4" w14:textId="77777777" w:rsidR="00201F3F" w:rsidRPr="00CD0FEB" w:rsidRDefault="00201F3F" w:rsidP="00C2067F">
      <w:pPr>
        <w:pStyle w:val="14Footnote"/>
      </w:pPr>
      <w:r w:rsidRPr="00CD0FEB">
        <w:rPr>
          <w:vertAlign w:val="superscript"/>
        </w:rPr>
        <w:footnoteRef/>
      </w:r>
      <w:r w:rsidRPr="00CD0FEB">
        <w:rPr>
          <w:i/>
          <w:iCs/>
        </w:rPr>
        <w:t>See</w:t>
      </w:r>
      <w:r w:rsidRPr="00CD0FEB">
        <w:t xml:space="preserve"> Dybach v. Florida Dep’t of Corr., 942 F.2d 1562, 1564, 30 WH Cases 934 (11th Cir. 1991) (holding work of adult probation officer whose duties entailed investigating defendants in criminal cases, making recommendations to judges concerning sentencing, and supervising probationers did not require knowledge of advanced type); Mills v. Maine, 839 F. Supp. 3, 4, 1 WH Cases2d 1365 (D. Me. 1993) (concluding probation officers’ work did not require knowledge of advanced type in field of science or learning); Gusdonovich v. Business Info. Co., 705 F. Supp. 262, 263, 28 WH Cases 1372 (W.D. Pa. 1985) (holding insurance claims investigator whose duties included searching public records, serving subpoenas and orders, and interrogating witnesses needed no specialized education to perform job).</w:t>
      </w:r>
    </w:p>
  </w:footnote>
  <w:footnote w:id="681">
    <w:p w14:paraId="6B6C2BCF" w14:textId="77777777" w:rsidR="00201F3F" w:rsidRPr="00CD0FEB" w:rsidRDefault="00201F3F" w:rsidP="00C2067F">
      <w:pPr>
        <w:pStyle w:val="14Footnote"/>
      </w:pPr>
      <w:r w:rsidRPr="00CD0FEB">
        <w:rPr>
          <w:vertAlign w:val="superscript"/>
        </w:rPr>
        <w:footnoteRef/>
      </w:r>
      <w:r w:rsidRPr="00CD0FEB">
        <w:t>29 C.F.R. §541.301(b); Shultz v. Apex Mach. Co., 19 WH Cases 222, 224–25 (S.D. Fla. 1969) (concluding detail draftsmen’s work requires skill but not judgment or discretion).</w:t>
      </w:r>
    </w:p>
  </w:footnote>
  <w:footnote w:id="682">
    <w:p w14:paraId="2FD9830F" w14:textId="77777777" w:rsidR="00201F3F" w:rsidRPr="00CD0FEB" w:rsidRDefault="00201F3F" w:rsidP="00C2067F">
      <w:pPr>
        <w:pStyle w:val="14Footnote"/>
      </w:pPr>
      <w:r w:rsidRPr="00CD0FEB">
        <w:rPr>
          <w:vertAlign w:val="superscript"/>
        </w:rPr>
        <w:footnoteRef/>
      </w:r>
      <w:r w:rsidRPr="00CD0FEB">
        <w:t>Rosenberg v. Renal Advantage, Inc</w:t>
      </w:r>
      <w:r w:rsidRPr="00CD0FEB">
        <w:rPr>
          <w:i/>
          <w:iCs/>
        </w:rPr>
        <w:t>.</w:t>
      </w:r>
      <w:r w:rsidRPr="00CD0FEB">
        <w:t xml:space="preserve">, 2014 WL 1652580 (S.D. Cal. Apr. 2, 2014); </w:t>
      </w:r>
      <w:r w:rsidRPr="00CD0FEB">
        <w:rPr>
          <w:i/>
          <w:iCs/>
        </w:rPr>
        <w:t>see also</w:t>
      </w:r>
      <w:r w:rsidRPr="00CD0FEB">
        <w:t xml:space="preserve"> Crowe v. ExamWorks, Inc., 136 F. Supp. 3d 16 (D. Mass. 2015) (observing that initial utilization review conducted by Utilization Review Nurse Auditors required advanced knowledge and involved exercise of discretion).</w:t>
      </w:r>
    </w:p>
  </w:footnote>
  <w:footnote w:id="683">
    <w:p w14:paraId="4685AECA" w14:textId="77777777" w:rsidR="00201F3F" w:rsidRPr="00CD0FEB" w:rsidRDefault="00201F3F" w:rsidP="00C2067F">
      <w:pPr>
        <w:pStyle w:val="14Footnote"/>
      </w:pPr>
      <w:r w:rsidRPr="00CD0FEB">
        <w:rPr>
          <w:vertAlign w:val="superscript"/>
        </w:rPr>
        <w:footnoteRef/>
      </w:r>
      <w:r w:rsidRPr="00CD0FEB">
        <w:t>400 F.3d 72, 10 WH Cases2d 686 (1st Cir. 2005).</w:t>
      </w:r>
    </w:p>
  </w:footnote>
  <w:footnote w:id="684">
    <w:p w14:paraId="118F5B2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75; </w:t>
      </w:r>
      <w:r w:rsidRPr="00CD0FEB">
        <w:rPr>
          <w:i/>
          <w:iCs/>
        </w:rPr>
        <w:t>see also</w:t>
      </w:r>
      <w:r w:rsidRPr="00CD0FEB">
        <w:t xml:space="preserve"> Mahran v. Advocate Health &amp; Hosps. Corp., 2019 WL 952131, at *17 (N.D. Ill. Feb. 26, 2019) (holding that pharmacist was properly classified as exempt professional where he was responsible for “verifying prescriptions to ensure they were appropriate for each patient and filled correctly,” reasoning that “the act of evaluating the safety and appropriateness of each prescription itself involves judgment and requires the use of advanced training”); Anunobi v. Eckerd Corp</w:t>
      </w:r>
      <w:r w:rsidRPr="00CD0FEB">
        <w:rPr>
          <w:i/>
          <w:iCs/>
        </w:rPr>
        <w:t>.</w:t>
      </w:r>
      <w:r w:rsidRPr="00CD0FEB">
        <w:t>, 2003 WL 22368153, 9 WH Cases2d 163 (W.D. Tex. Oct. 17, 2003) (deeming pharmacists exempt professionals).</w:t>
      </w:r>
    </w:p>
  </w:footnote>
  <w:footnote w:id="685">
    <w:p w14:paraId="43A8532A" w14:textId="77777777" w:rsidR="00201F3F" w:rsidRPr="00CD0FEB" w:rsidRDefault="00201F3F" w:rsidP="00C2067F">
      <w:pPr>
        <w:pStyle w:val="14Footnote"/>
      </w:pPr>
      <w:r w:rsidRPr="00CD0FEB">
        <w:rPr>
          <w:vertAlign w:val="superscript"/>
        </w:rPr>
        <w:footnoteRef/>
      </w:r>
      <w:r w:rsidRPr="00CD0FEB">
        <w:t xml:space="preserve">Evans v. Holmes &amp; Narver, Inc., 17 WH Cases 454, 455 (D. Nev. 1966); </w:t>
      </w:r>
      <w:r w:rsidRPr="00CD0FEB">
        <w:rPr>
          <w:i/>
          <w:iCs/>
        </w:rPr>
        <w:t>see also</w:t>
      </w:r>
      <w:r w:rsidRPr="00CD0FEB">
        <w:t xml:space="preserve"> Allen v. Coil Tubing Servs., L.L.C., 846 F. Supp. 2d 678, 711–12 (S.D. Tex. 2012) (denying summary judgment on professional exemption for field engineer where record unclear that data gathering and computer input tasks entail intellectual functions that require the consistent exercise of discretion and judgment); Hashop v. Rockwell Space Operations Co</w:t>
      </w:r>
      <w:r w:rsidRPr="00CD0FEB">
        <w:rPr>
          <w:i/>
          <w:iCs/>
        </w:rPr>
        <w:t>.</w:t>
      </w:r>
      <w:r w:rsidRPr="00CD0FEB">
        <w:t>, 2 WH Cases2d 707 (S.D. Tex. 1994) (finding that although knowledge acquired by aerospace company’s network communication instructors was advanced and in field of learning or science, on-the-job actions did not display independent judgment or discretion).</w:t>
      </w:r>
    </w:p>
  </w:footnote>
  <w:footnote w:id="686">
    <w:p w14:paraId="2B8B38FE" w14:textId="77777777" w:rsidR="00201F3F" w:rsidRPr="00CD0FEB" w:rsidRDefault="00201F3F" w:rsidP="00C2067F">
      <w:pPr>
        <w:pStyle w:val="14Footnote"/>
      </w:pPr>
      <w:r w:rsidRPr="00CD0FEB">
        <w:rPr>
          <w:vertAlign w:val="superscript"/>
        </w:rPr>
        <w:footnoteRef/>
      </w:r>
      <w:r w:rsidRPr="00CD0FEB">
        <w:t xml:space="preserve">29 C.F.R. §541.301(c). </w:t>
      </w:r>
      <w:r w:rsidRPr="00CD0FEB">
        <w:rPr>
          <w:i/>
          <w:iCs/>
        </w:rPr>
        <w:t xml:space="preserve">See </w:t>
      </w:r>
      <w:r w:rsidRPr="00CD0FEB">
        <w:t>Weng v. Washington Univ</w:t>
      </w:r>
      <w:r w:rsidRPr="00CD0FEB">
        <w:rPr>
          <w:i/>
          <w:iCs/>
        </w:rPr>
        <w:t>.</w:t>
      </w:r>
      <w:r w:rsidRPr="00CD0FEB">
        <w:t>, 480 S.W.3d 334, 24 WH Cases2d 1203 (Mo. App. E.D. 2015) (research biologist qualifies for professional exemption, analyzing and applying DOL regulations); Henkin v. Forest Labs., Inc., 2003 WL 749236 (S.D.N.Y. Mar. 5, 2003) (chemist is professional, citing regulation).</w:t>
      </w:r>
    </w:p>
  </w:footnote>
  <w:footnote w:id="687">
    <w:p w14:paraId="17162DBC" w14:textId="77777777" w:rsidR="00201F3F" w:rsidRPr="00CD0FEB" w:rsidRDefault="00201F3F" w:rsidP="00C2067F">
      <w:pPr>
        <w:pStyle w:val="14Footnote"/>
      </w:pPr>
      <w:r w:rsidRPr="00CD0FEB">
        <w:rPr>
          <w:vertAlign w:val="superscript"/>
        </w:rPr>
        <w:footnoteRef/>
      </w:r>
      <w:r w:rsidRPr="00CD0FEB">
        <w:t>69 Fed. Reg. 22,121, 22,149 (Apr. 23, 2004).</w:t>
      </w:r>
    </w:p>
  </w:footnote>
  <w:footnote w:id="688">
    <w:p w14:paraId="48E54762" w14:textId="77777777" w:rsidR="00201F3F" w:rsidRPr="00CD0FEB" w:rsidRDefault="00201F3F" w:rsidP="00C2067F">
      <w:pPr>
        <w:pStyle w:val="14Footnote"/>
      </w:pPr>
      <w:r w:rsidRPr="00CD0FEB">
        <w:rPr>
          <w:vertAlign w:val="superscript"/>
        </w:rPr>
        <w:footnoteRef/>
      </w:r>
      <w:r w:rsidRPr="00CD0FEB">
        <w:t xml:space="preserve">WH Op., 2001 WL 1592789 (May 2, 2001). </w:t>
      </w:r>
    </w:p>
  </w:footnote>
  <w:footnote w:id="689">
    <w:p w14:paraId="1EF05C63" w14:textId="77777777" w:rsidR="00201F3F" w:rsidRPr="00CD0FEB" w:rsidRDefault="00201F3F" w:rsidP="00C2067F">
      <w:pPr>
        <w:pStyle w:val="14Footnote"/>
      </w:pPr>
      <w:r w:rsidRPr="00CD0FEB">
        <w:rPr>
          <w:vertAlign w:val="superscript"/>
        </w:rPr>
        <w:footnoteRef/>
      </w:r>
      <w:r w:rsidRPr="00CD0FEB">
        <w:rPr>
          <w:i/>
          <w:iCs/>
        </w:rPr>
        <w:t>See</w:t>
      </w:r>
      <w:r w:rsidRPr="00CD0FEB">
        <w:t xml:space="preserve"> 69 Fed. Reg. 22,122, 22,156 (April 23, 2004); Wage and Hour Opinion Letter FLSA-565 (Jan. 20, 1975). </w:t>
      </w:r>
      <w:r w:rsidRPr="00CD0FEB">
        <w:rPr>
          <w:i/>
          <w:iCs/>
        </w:rPr>
        <w:t>See</w:t>
      </w:r>
      <w:r w:rsidRPr="00CD0FEB">
        <w:t xml:space="preserve"> </w:t>
      </w:r>
      <w:r w:rsidRPr="00CD0FEB">
        <w:rPr>
          <w:i/>
          <w:iCs/>
        </w:rPr>
        <w:t>also</w:t>
      </w:r>
      <w:r w:rsidRPr="00CD0FEB">
        <w:t xml:space="preserve"> WH Op. FLSA2018-3, 2018 WL 2348783 (Jan. 5, 2018); WH Op. FLSA2009-6 (Jan. 14, 2009).</w:t>
      </w:r>
    </w:p>
  </w:footnote>
  <w:footnote w:id="690">
    <w:p w14:paraId="0614F705" w14:textId="77777777" w:rsidR="00201F3F" w:rsidRPr="00CD0FEB" w:rsidRDefault="00201F3F" w:rsidP="00C2067F">
      <w:pPr>
        <w:pStyle w:val="14Footnote"/>
      </w:pPr>
      <w:r w:rsidRPr="00CD0FEB">
        <w:rPr>
          <w:vertAlign w:val="superscript"/>
        </w:rPr>
        <w:footnoteRef/>
      </w:r>
      <w:r w:rsidRPr="00CD0FEB">
        <w:t>WH Op. FLSA2018-3, 2018 WL 2348783 (Jan. 5, 2018).</w:t>
      </w:r>
    </w:p>
  </w:footnote>
  <w:footnote w:id="691">
    <w:p w14:paraId="6D551F01" w14:textId="77777777" w:rsidR="00201F3F" w:rsidRPr="00CD0FEB" w:rsidRDefault="00201F3F" w:rsidP="00C2067F">
      <w:pPr>
        <w:pStyle w:val="14Footnote"/>
      </w:pPr>
      <w:r w:rsidRPr="00CD0FEB">
        <w:rPr>
          <w:vertAlign w:val="superscript"/>
        </w:rPr>
        <w:footnoteRef/>
      </w:r>
      <w:r w:rsidRPr="00CD0FEB">
        <w:t>WH Op. FLSA2009-6 (Jan. 14, 2009).</w:t>
      </w:r>
    </w:p>
  </w:footnote>
  <w:footnote w:id="692">
    <w:p w14:paraId="75935F4C" w14:textId="77777777" w:rsidR="00201F3F" w:rsidRPr="00CD0FEB" w:rsidRDefault="00201F3F" w:rsidP="00C2067F">
      <w:pPr>
        <w:pStyle w:val="14Footnote"/>
      </w:pPr>
      <w:r w:rsidRPr="00CD0FEB">
        <w:rPr>
          <w:vertAlign w:val="superscript"/>
        </w:rPr>
        <w:footnoteRef/>
      </w:r>
      <w:r w:rsidRPr="00CD0FEB">
        <w:t>708 F.2d 168, 171, 26 WH Cases 390 (5th Cir. 1983).</w:t>
      </w:r>
    </w:p>
  </w:footnote>
  <w:footnote w:id="693">
    <w:p w14:paraId="31BBE337" w14:textId="77777777" w:rsidR="00201F3F" w:rsidRPr="00CD0FEB" w:rsidRDefault="00201F3F" w:rsidP="00C2067F">
      <w:pPr>
        <w:pStyle w:val="14Footnote"/>
      </w:pPr>
      <w:r w:rsidRPr="00CD0FEB">
        <w:rPr>
          <w:vertAlign w:val="superscript"/>
        </w:rPr>
        <w:footnoteRef/>
      </w:r>
      <w:r w:rsidRPr="00CD0FEB">
        <w:rPr>
          <w:i/>
          <w:iCs/>
          <w:spacing w:val="3"/>
        </w:rPr>
        <w:t xml:space="preserve">Id. </w:t>
      </w:r>
      <w:r w:rsidRPr="00CD0FEB">
        <w:rPr>
          <w:spacing w:val="3"/>
        </w:rPr>
        <w:t>at 172.</w:t>
      </w:r>
    </w:p>
  </w:footnote>
  <w:footnote w:id="694">
    <w:p w14:paraId="10089185" w14:textId="77777777" w:rsidR="00201F3F" w:rsidRPr="00CD0FEB" w:rsidRDefault="00201F3F" w:rsidP="00C2067F">
      <w:pPr>
        <w:pStyle w:val="14Footnote"/>
      </w:pPr>
      <w:r w:rsidRPr="00CD0FEB">
        <w:rPr>
          <w:vertAlign w:val="superscript"/>
        </w:rPr>
        <w:footnoteRef/>
      </w:r>
      <w:r w:rsidRPr="00CD0FEB">
        <w:rPr>
          <w:i/>
          <w:iCs/>
        </w:rPr>
        <w:t>Id.</w:t>
      </w:r>
    </w:p>
  </w:footnote>
  <w:footnote w:id="695">
    <w:p w14:paraId="33C35B4E"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173.</w:t>
      </w:r>
    </w:p>
  </w:footnote>
  <w:footnote w:id="696">
    <w:p w14:paraId="68929DD2"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171.</w:t>
      </w:r>
    </w:p>
  </w:footnote>
  <w:footnote w:id="697">
    <w:p w14:paraId="5BBD5D00" w14:textId="77777777" w:rsidR="00201F3F" w:rsidRPr="00CD0FEB" w:rsidRDefault="00201F3F" w:rsidP="00C2067F">
      <w:pPr>
        <w:pStyle w:val="14Footnote"/>
      </w:pPr>
      <w:r w:rsidRPr="00CD0FEB">
        <w:rPr>
          <w:vertAlign w:val="superscript"/>
        </w:rPr>
        <w:footnoteRef/>
      </w:r>
      <w:r w:rsidRPr="00CD0FEB">
        <w:t>Pignataro v. Port Auth. of N.Y. &amp; N.J., 593 F.3d 265, 273, 15 WH Cases2d 1357 (3d Cir. 2010).</w:t>
      </w:r>
    </w:p>
  </w:footnote>
  <w:footnote w:id="698">
    <w:p w14:paraId="0AA5AF6E"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270. </w:t>
      </w:r>
      <w:r w:rsidRPr="00CD0FEB">
        <w:rPr>
          <w:i/>
          <w:iCs/>
        </w:rPr>
        <w:t xml:space="preserve">See also </w:t>
      </w:r>
      <w:r w:rsidRPr="00CD0FEB">
        <w:t>McCoy v. North Slope Borough, 2013 WL 4510780 (D. Alaska Aug. 26, 2013) (finding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p>
  </w:footnote>
  <w:footnote w:id="699">
    <w:p w14:paraId="1147CE0E" w14:textId="77777777" w:rsidR="00201F3F" w:rsidRPr="00CD0FEB" w:rsidRDefault="00201F3F" w:rsidP="00C2067F">
      <w:pPr>
        <w:pStyle w:val="14Footnote"/>
      </w:pPr>
      <w:r w:rsidRPr="00CD0FEB">
        <w:rPr>
          <w:vertAlign w:val="superscript"/>
        </w:rPr>
        <w:footnoteRef/>
      </w:r>
      <w:r w:rsidRPr="00CD0FEB">
        <w:rPr>
          <w:i/>
          <w:iCs/>
        </w:rPr>
        <w:t>Pignataro</w:t>
      </w:r>
      <w:r w:rsidRPr="00CD0FEB">
        <w:t>,</w:t>
      </w:r>
      <w:r w:rsidRPr="00CD0FEB">
        <w:rPr>
          <w:i/>
          <w:iCs/>
        </w:rPr>
        <w:t xml:space="preserve"> </w:t>
      </w:r>
      <w:r w:rsidRPr="00CD0FEB">
        <w:t>593 F.3d</w:t>
      </w:r>
      <w:r w:rsidRPr="00CD0FEB">
        <w:rPr>
          <w:i/>
          <w:iCs/>
        </w:rPr>
        <w:t xml:space="preserve"> </w:t>
      </w:r>
      <w:r w:rsidRPr="00CD0FEB">
        <w:t>at 270 (citing Martin v. Penn Line Servs., Inc., 416 F. Supp. 1387 (W.D. Pa. 1976)).</w:t>
      </w:r>
    </w:p>
  </w:footnote>
  <w:footnote w:id="700">
    <w:p w14:paraId="0AB8A051" w14:textId="77777777" w:rsidR="00201F3F" w:rsidRPr="00CD0FEB" w:rsidRDefault="00201F3F" w:rsidP="00C2067F">
      <w:pPr>
        <w:pStyle w:val="14Footnote"/>
      </w:pPr>
      <w:r w:rsidRPr="00CD0FEB">
        <w:rPr>
          <w:vertAlign w:val="superscript"/>
        </w:rPr>
        <w:footnoteRef/>
      </w:r>
      <w:r w:rsidRPr="00CD0FEB">
        <w:t xml:space="preserve">WH Op. FLSA2018-3, 2018 WL 2348783 (Jan. 5, 2018). </w:t>
      </w:r>
    </w:p>
  </w:footnote>
  <w:footnote w:id="701">
    <w:p w14:paraId="67EB03DD"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The WHD further acknowledged that its nonenforcement position did not apply:</w:t>
      </w:r>
    </w:p>
    <w:p w14:paraId="3E001738" w14:textId="77777777" w:rsidR="00201F3F" w:rsidRPr="00CD0FEB" w:rsidRDefault="00201F3F" w:rsidP="00C2067F">
      <w:pPr>
        <w:pStyle w:val="15BFootnoteBlockQuoteWithoutIndent"/>
      </w:pPr>
      <w:r w:rsidRPr="00CD0FEB">
        <w:t>to airplane and helicopter pilots engaged in agricultural crop-dusting operations. This policy also does not relieve an employer from compliance with the minimum wage and overtime pay standards for support and maintenance personnel covered by the FLSA. In addition, this non-enforcement position does not apply to employees, including pilots and copilots, subject to the provisions of the McNamara-O’Hara Service Contract Act, the Davis-Bacon Act, and the Contract Work Hours and Safety Standards Act, nor relieve any employer from any obligation incurred under a collective bargaining agreement or any liability incurred in a private suit under section 16(b) of the FLSA.</w:t>
      </w:r>
    </w:p>
    <w:p w14:paraId="24878255" w14:textId="77777777" w:rsidR="00201F3F" w:rsidRPr="00CD0FEB" w:rsidRDefault="00201F3F" w:rsidP="00C2067F">
      <w:pPr>
        <w:pStyle w:val="14Footnote"/>
        <w:ind w:firstLine="0"/>
        <w:rPr>
          <w:i/>
          <w:iCs/>
        </w:rPr>
      </w:pPr>
      <w:r w:rsidRPr="00CD0FEB">
        <w:rPr>
          <w:i/>
          <w:iCs/>
        </w:rPr>
        <w:t>Id.</w:t>
      </w:r>
    </w:p>
  </w:footnote>
  <w:footnote w:id="702">
    <w:p w14:paraId="7D9FB930" w14:textId="77777777" w:rsidR="00201F3F" w:rsidRPr="00CD0FEB" w:rsidRDefault="00201F3F" w:rsidP="00C2067F">
      <w:pPr>
        <w:pStyle w:val="14Footnote"/>
      </w:pPr>
      <w:r w:rsidRPr="00CD0FEB">
        <w:rPr>
          <w:vertAlign w:val="superscript"/>
        </w:rPr>
        <w:footnoteRef/>
      </w:r>
      <w:r w:rsidRPr="00CD0FEB">
        <w:t>2013 WL 4510780 (D. Alaska Aug. 26, 2013).</w:t>
      </w:r>
    </w:p>
  </w:footnote>
  <w:footnote w:id="703">
    <w:p w14:paraId="73905D1F"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*5–6.</w:t>
      </w:r>
      <w:r w:rsidRPr="00CD0FEB">
        <w:rPr>
          <w:i/>
          <w:iCs/>
        </w:rPr>
        <w:t xml:space="preserve"> </w:t>
      </w:r>
      <w:r w:rsidRPr="00CD0FEB">
        <w:t xml:space="preserve">Although the court found that the pilots did not meet the learned professional exemption, it did find that those who made $100,000 per year were entitled to the “highly compensated” administrative exemption because even though there were manuals, the pilots, particularly in emergency situations while flying, would need to carefully exercise independent judgment without supervision. </w:t>
      </w:r>
      <w:r w:rsidRPr="00CD0FEB">
        <w:rPr>
          <w:i/>
          <w:iCs/>
        </w:rPr>
        <w:t>Id.</w:t>
      </w:r>
      <w:r w:rsidRPr="00CD0FEB">
        <w:t xml:space="preserve"> at *8. The court also found that flying a search and rescue plane was a matter of significance. </w:t>
      </w:r>
      <w:r w:rsidRPr="00CD0FEB">
        <w:rPr>
          <w:i/>
          <w:iCs/>
        </w:rPr>
        <w:t>Id.</w:t>
      </w:r>
      <w:r w:rsidRPr="00CD0FEB">
        <w:t xml:space="preserve"> at *11. </w:t>
      </w:r>
    </w:p>
  </w:footnote>
  <w:footnote w:id="704">
    <w:p w14:paraId="045163AE"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 xml:space="preserve">See also </w:t>
      </w:r>
      <w:r w:rsidRPr="00CD0FEB">
        <w:t>Karali v. Branch Banking &amp; Tr. Co., 2018 WL 4676073, at *9 (D.N.J. Sept. 28, 2018) (holding real estate appraisers did not qualify for professional exemption because while they were required to obtain real estate certifications, they were not required to “complete any specific, intellectual or academic instruction”); Boyd v. Bank of Am. Corp., 109 F. Supp. 3d 1273 (C.D. Cal. 2015) (holding appraisers’ work, requiring 200 hours of “core curriculum” in addition to continuing education requirements and supervised training, not “field of science of learning” requiring “specialized course of study”).</w:t>
      </w:r>
    </w:p>
  </w:footnote>
  <w:footnote w:id="705">
    <w:p w14:paraId="4169AF9A" w14:textId="77777777" w:rsidR="00201F3F" w:rsidRPr="00CD0FEB" w:rsidRDefault="00201F3F" w:rsidP="00C2067F">
      <w:pPr>
        <w:pStyle w:val="14Footnote"/>
      </w:pPr>
      <w:r w:rsidRPr="00CD0FEB">
        <w:rPr>
          <w:vertAlign w:val="superscript"/>
        </w:rPr>
        <w:footnoteRef/>
      </w:r>
      <w:r w:rsidRPr="00CD0FEB">
        <w:t>2014 WL 1652580 (S.D. Cal. Apr. 24, 2014).</w:t>
      </w:r>
    </w:p>
  </w:footnote>
  <w:footnote w:id="706">
    <w:p w14:paraId="0E8272ED" w14:textId="77777777" w:rsidR="00201F3F" w:rsidRPr="00CD0FEB" w:rsidRDefault="00201F3F" w:rsidP="00C2067F">
      <w:pPr>
        <w:pStyle w:val="14Footnote"/>
      </w:pPr>
      <w:r w:rsidRPr="00CD0FEB">
        <w:rPr>
          <w:vertAlign w:val="superscript"/>
        </w:rPr>
        <w:footnoteRef/>
      </w:r>
      <w:r w:rsidRPr="00CD0FEB">
        <w:t>WH Op. 1973 WL 36854 (Nov. 30, 1973).</w:t>
      </w:r>
    </w:p>
  </w:footnote>
  <w:footnote w:id="707">
    <w:p w14:paraId="3D7FA89E" w14:textId="77777777" w:rsidR="00201F3F" w:rsidRPr="00CD0FEB" w:rsidRDefault="00201F3F" w:rsidP="00C2067F">
      <w:pPr>
        <w:pStyle w:val="14Footnote"/>
      </w:pPr>
      <w:r w:rsidRPr="00CD0FEB">
        <w:rPr>
          <w:vertAlign w:val="superscript"/>
        </w:rPr>
        <w:footnoteRef/>
      </w:r>
      <w:r w:rsidRPr="00CD0FEB">
        <w:t>West v. Anne Arundel Cnty., 3 WH Cases2d 234 (D. Md. 1996).</w:t>
      </w:r>
    </w:p>
  </w:footnote>
  <w:footnote w:id="708">
    <w:p w14:paraId="657489EA" w14:textId="77777777" w:rsidR="00201F3F" w:rsidRPr="00CD0FEB" w:rsidRDefault="00201F3F" w:rsidP="00C2067F">
      <w:pPr>
        <w:pStyle w:val="14Footnote"/>
      </w:pPr>
      <w:r w:rsidRPr="00CD0FEB">
        <w:rPr>
          <w:vertAlign w:val="superscript"/>
        </w:rPr>
        <w:footnoteRef/>
      </w:r>
      <w:r w:rsidRPr="00CD0FEB">
        <w:t>WH Op. FLSA2005-35, 2005 WL 3308606 (Oct. 3, 2005).</w:t>
      </w:r>
    </w:p>
  </w:footnote>
  <w:footnote w:id="709">
    <w:p w14:paraId="42DBD204" w14:textId="77777777" w:rsidR="00201F3F" w:rsidRPr="00CD0FEB" w:rsidRDefault="00201F3F" w:rsidP="00C2067F">
      <w:pPr>
        <w:pStyle w:val="14Footnote"/>
      </w:pPr>
      <w:r w:rsidRPr="00CD0FEB">
        <w:rPr>
          <w:vertAlign w:val="superscript"/>
        </w:rPr>
        <w:footnoteRef/>
      </w:r>
      <w:r w:rsidRPr="00CD0FEB">
        <w:t>795 F.3d 159, 25 WH Cases2d 18 (D.C. Cir. 2015).</w:t>
      </w:r>
    </w:p>
  </w:footnote>
  <w:footnote w:id="710">
    <w:p w14:paraId="0614AE8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165–66.</w:t>
      </w:r>
    </w:p>
  </w:footnote>
  <w:footnote w:id="711">
    <w:p w14:paraId="62787165" w14:textId="77777777" w:rsidR="00201F3F" w:rsidRPr="00CD0FEB" w:rsidRDefault="00201F3F" w:rsidP="00C2067F">
      <w:pPr>
        <w:pStyle w:val="14Footnote"/>
      </w:pPr>
      <w:r w:rsidRPr="00CD0FEB">
        <w:rPr>
          <w:vertAlign w:val="superscript"/>
        </w:rPr>
        <w:footnoteRef/>
      </w:r>
      <w:r w:rsidRPr="00CD0FEB">
        <w:t>29 C.F.R. §541.301(d) (“intellectual instruction and study”).</w:t>
      </w:r>
    </w:p>
  </w:footnote>
  <w:footnote w:id="712">
    <w:p w14:paraId="41A30F4D"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 xml:space="preserve">see </w:t>
      </w:r>
      <w:r w:rsidRPr="00CD0FEB">
        <w:t xml:space="preserve">Carpenter v. Mohawk Valley Cmty. Coll., 2020 WL 1915144, at *5 (N.D.N.Y. Apr. 20, 2020) (finding that college basketball coach with a master’s degree in sports science did not qualify for the professional exemption because “[l]ogically speaking, coaching a college basketball team does not appear to be the kind of job that requires knowledge customarily acquired by an advanced education degree”); Sethi v. Narod, 974 F. Supp. 2d 162 (E.D.N.Y. 2013) (although job description stated that a degree in computer science was required, court found that no degree was actually mandated; moreover court held that the plaintiff’s job did not require knowledge customarily acquired by an advanced educational degree). </w:t>
      </w:r>
      <w:r w:rsidRPr="00CD0FEB">
        <w:rPr>
          <w:i/>
          <w:iCs/>
        </w:rPr>
        <w:t>See</w:t>
      </w:r>
      <w:r w:rsidRPr="00CD0FEB">
        <w:t xml:space="preserve"> </w:t>
      </w:r>
      <w:r w:rsidRPr="00CD0FEB">
        <w:rPr>
          <w:i/>
          <w:iCs/>
        </w:rPr>
        <w:t>also</w:t>
      </w:r>
      <w:r w:rsidRPr="00CD0FEB">
        <w:t xml:space="preserve"> Strauch v. Computer Scis. Corp., 2018 WL 4539660, at *9 (D. Conn. Sept. 21, 2018) (upholding jury verdict in favor of plaintiffs where reasonable factfinder could find system administrators were not “engaged in a profession where specialized academic training is a standard prerequisite for entrance into the profession”); Adkins v. Phoenix Rising Behavioral Healthcare &amp; Recovery, Inc., 2016 WL 5661617 (N.D. Ohio Sept. 30, 2016) (finding factual dispute as to whether job of case manager for mental health patients required type of “prolonged course of specialized intellectual instruction or study” contemplated by regulations).</w:t>
      </w:r>
    </w:p>
  </w:footnote>
  <w:footnote w:id="713">
    <w:p w14:paraId="278ECE1F" w14:textId="77777777" w:rsidR="00201F3F" w:rsidRPr="00CD0FEB" w:rsidRDefault="00201F3F" w:rsidP="00C2067F">
      <w:pPr>
        <w:pStyle w:val="14Footnote"/>
      </w:pPr>
      <w:r w:rsidRPr="00CD0FEB">
        <w:rPr>
          <w:vertAlign w:val="superscript"/>
        </w:rPr>
        <w:footnoteRef/>
      </w:r>
      <w:r w:rsidRPr="00CD0FEB">
        <w:t xml:space="preserve">29 C.F.R. §541.301(d); </w:t>
      </w:r>
      <w:r w:rsidRPr="00CD0FEB">
        <w:rPr>
          <w:i/>
          <w:iCs/>
        </w:rPr>
        <w:t xml:space="preserve">see </w:t>
      </w:r>
      <w:r w:rsidRPr="00CD0FEB">
        <w:t xml:space="preserve">Rosenberg v. Renal Advantage, 2014 WL 1652580 (S.D. Cal. Apr. 24, 2014) (court rejected the plaintiff’s arguments that the professional exemption does not apply to occupations where employees acquire their skill by experience rather than by advanced specialized instruction, noting that the regulations expressly contemplate that an employee may acquire the requisite “advanced knowledge” via a combination of sources); </w:t>
      </w:r>
      <w:r w:rsidRPr="00CD0FEB">
        <w:rPr>
          <w:i/>
          <w:iCs/>
        </w:rPr>
        <w:t xml:space="preserve">see also </w:t>
      </w:r>
      <w:r w:rsidRPr="00CD0FEB">
        <w:t>Boyd v. Bank of Am. Corp., 109 F. Supp. 3d 1273 (C.D. Cal. 2015) (holding appraisers’ work, requiring 200 hours of “core curriculum” in addition to continuing education requirements and supervised training, not “field of science or learning” requiring “specialized course of study”).</w:t>
      </w:r>
    </w:p>
  </w:footnote>
  <w:footnote w:id="714">
    <w:p w14:paraId="2C864A3D" w14:textId="77777777" w:rsidR="00201F3F" w:rsidRPr="00CD0FEB" w:rsidRDefault="00201F3F" w:rsidP="00C2067F">
      <w:pPr>
        <w:pStyle w:val="14Footnote"/>
      </w:pPr>
      <w:r w:rsidRPr="00CD0FEB">
        <w:rPr>
          <w:vertAlign w:val="superscript"/>
        </w:rPr>
        <w:footnoteRef/>
      </w:r>
      <w:r w:rsidRPr="00CD0FEB">
        <w:t>947 F.3d 122 (2d. Cir. 2020).</w:t>
      </w:r>
    </w:p>
  </w:footnote>
  <w:footnote w:id="715">
    <w:p w14:paraId="36DACADF"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122.</w:t>
      </w:r>
    </w:p>
  </w:footnote>
  <w:footnote w:id="716">
    <w:p w14:paraId="02A5962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136 (footnotes omitted; emphasis in original). </w:t>
      </w:r>
    </w:p>
  </w:footnote>
  <w:footnote w:id="717">
    <w:p w14:paraId="257DC7B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136–37.</w:t>
      </w:r>
    </w:p>
  </w:footnote>
  <w:footnote w:id="718">
    <w:p w14:paraId="6563426C" w14:textId="77777777" w:rsidR="00201F3F" w:rsidRPr="00CD0FEB" w:rsidRDefault="00201F3F" w:rsidP="00C2067F">
      <w:pPr>
        <w:pStyle w:val="14Footnote"/>
      </w:pPr>
      <w:r w:rsidRPr="00CD0FEB">
        <w:rPr>
          <w:vertAlign w:val="superscript"/>
        </w:rPr>
        <w:footnoteRef/>
      </w:r>
      <w:r w:rsidRPr="00CD0FEB">
        <w:rPr>
          <w:i/>
          <w:iCs/>
        </w:rPr>
        <w:t>Id</w:t>
      </w:r>
      <w:r w:rsidRPr="00CD0FEB">
        <w:t>. at 139.</w:t>
      </w:r>
    </w:p>
  </w:footnote>
  <w:footnote w:id="719">
    <w:p w14:paraId="2BF807A5" w14:textId="77777777" w:rsidR="00201F3F" w:rsidRPr="00CD0FEB" w:rsidRDefault="00201F3F" w:rsidP="00C2067F">
      <w:pPr>
        <w:pStyle w:val="14Footnote"/>
      </w:pPr>
      <w:r w:rsidRPr="00CD0FEB">
        <w:rPr>
          <w:vertAlign w:val="superscript"/>
        </w:rPr>
        <w:footnoteRef/>
      </w:r>
      <w:r w:rsidRPr="00CD0FEB">
        <w:t>29 C.F.R. §541.301(d).</w:t>
      </w:r>
    </w:p>
  </w:footnote>
  <w:footnote w:id="720">
    <w:p w14:paraId="654A19AF" w14:textId="77777777" w:rsidR="00201F3F" w:rsidRPr="00CD0FEB" w:rsidRDefault="00201F3F" w:rsidP="00C2067F">
      <w:pPr>
        <w:pStyle w:val="14Footnote"/>
      </w:pPr>
      <w:r w:rsidRPr="00CD0FEB">
        <w:rPr>
          <w:vertAlign w:val="superscript"/>
        </w:rPr>
        <w:footnoteRef/>
      </w:r>
      <w:r w:rsidRPr="00CD0FEB">
        <w:t>586 F.3d 201, 15 WH Cases2d 941 (2d Cir. 2009).</w:t>
      </w:r>
    </w:p>
  </w:footnote>
  <w:footnote w:id="721">
    <w:p w14:paraId="66C8391F" w14:textId="77777777" w:rsidR="00201F3F" w:rsidRPr="00CD0FEB" w:rsidRDefault="00201F3F" w:rsidP="00C2067F">
      <w:pPr>
        <w:pStyle w:val="14Footnote"/>
      </w:pPr>
      <w:r w:rsidRPr="00CD0FEB">
        <w:rPr>
          <w:vertAlign w:val="superscript"/>
        </w:rPr>
        <w:footnoteRef/>
      </w:r>
      <w:r w:rsidRPr="00CD0FEB">
        <w:t>Solis v. Washington, 656 F.3d 1079, 1088, 18 WH Cases2d 97 (9th Cir. 2011).</w:t>
      </w:r>
    </w:p>
  </w:footnote>
  <w:footnote w:id="722">
    <w:p w14:paraId="2A443F57"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723">
    <w:p w14:paraId="173EC7B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 xml:space="preserve">cf. </w:t>
      </w:r>
      <w:r w:rsidRPr="00CD0FEB">
        <w:t>Levine v. Unity Health Sys., 847 F. Supp. 2d 507, 512 (W.D.N.Y. 2012) (holding that Primary Therapists working in the mental health field qualified for the professional exemption in “that the master’s degree and [Licensed Mental Health Counselor] prerequisites, and their prescribed areas of study, are both narrowly tailored to the field of mental health counseling and therapy, and more specifically to the type of mental health assessments and therapies that comprise plaintiffs’ primary duties as PTs”).</w:t>
      </w:r>
    </w:p>
  </w:footnote>
  <w:footnote w:id="724">
    <w:p w14:paraId="5E80B2E3" w14:textId="77777777" w:rsidR="00201F3F" w:rsidRPr="00CD0FEB" w:rsidRDefault="00201F3F" w:rsidP="00C2067F">
      <w:pPr>
        <w:pStyle w:val="14Footnote"/>
      </w:pPr>
      <w:r w:rsidRPr="00CD0FEB">
        <w:rPr>
          <w:vertAlign w:val="superscript"/>
        </w:rPr>
        <w:footnoteRef/>
      </w:r>
      <w:r w:rsidRPr="00CD0FEB">
        <w:t>Solis v. Washington, 656 F.3d at 1085 (citing WH Op., 2001 WL 1558756 (Jan. 24, 2001)).</w:t>
      </w:r>
    </w:p>
  </w:footnote>
  <w:footnote w:id="725">
    <w:p w14:paraId="0A5B8E87"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1086 (citing WH Op. FLSA2005-50, 2005 WL 3308621 (Nov. 4, 2005)).</w:t>
      </w:r>
    </w:p>
  </w:footnote>
  <w:footnote w:id="726">
    <w:p w14:paraId="75777F45" w14:textId="77777777" w:rsidR="00201F3F" w:rsidRPr="00CD0FEB" w:rsidRDefault="00201F3F" w:rsidP="00C2067F">
      <w:pPr>
        <w:pStyle w:val="14Footnote"/>
      </w:pPr>
      <w:r w:rsidRPr="00CD0FEB">
        <w:rPr>
          <w:vertAlign w:val="superscript"/>
        </w:rPr>
        <w:footnoteRef/>
      </w:r>
      <w:r w:rsidRPr="00CD0FEB">
        <w:t xml:space="preserve">942 F.2d 1562 (11th Cir. 1991); </w:t>
      </w:r>
      <w:r w:rsidRPr="00CD0FEB">
        <w:rPr>
          <w:i/>
          <w:iCs/>
        </w:rPr>
        <w:t>see</w:t>
      </w:r>
      <w:r w:rsidRPr="00CD0FEB">
        <w:t xml:space="preserve"> </w:t>
      </w:r>
      <w:r w:rsidRPr="00CD0FEB">
        <w:rPr>
          <w:i/>
          <w:iCs/>
        </w:rPr>
        <w:t>also</w:t>
      </w:r>
      <w:r w:rsidRPr="00CD0FEB">
        <w:t xml:space="preserve"> Adkins v. Phoenix Rising Behavioral Healthcare &amp; Recovery, Inc., 2016 WL 5661617 (N.D. Ohio Sept. 30, 2016) (finding factual dispute as to whether job of case manager for mental health patients required type of “prolonged course of specialized intellectual instruction or study” contemplated by regulations).</w:t>
      </w:r>
    </w:p>
  </w:footnote>
  <w:footnote w:id="727">
    <w:p w14:paraId="045A7D0C" w14:textId="77777777" w:rsidR="00201F3F" w:rsidRPr="00CD0FEB" w:rsidRDefault="00201F3F" w:rsidP="00C2067F">
      <w:pPr>
        <w:pStyle w:val="14Footnote"/>
      </w:pPr>
      <w:r w:rsidRPr="00CD0FEB">
        <w:rPr>
          <w:vertAlign w:val="superscript"/>
        </w:rPr>
        <w:footnoteRef/>
      </w:r>
      <w:r w:rsidRPr="00CD0FEB">
        <w:t>276 F.3d 659 (5th Cir. 2001).</w:t>
      </w:r>
    </w:p>
  </w:footnote>
  <w:footnote w:id="728">
    <w:p w14:paraId="1E7BD5F5" w14:textId="77777777" w:rsidR="00201F3F" w:rsidRPr="00CD0FEB" w:rsidRDefault="00201F3F" w:rsidP="00C2067F">
      <w:pPr>
        <w:pStyle w:val="14Footnote"/>
      </w:pPr>
      <w:r w:rsidRPr="00CD0FEB">
        <w:rPr>
          <w:vertAlign w:val="superscript"/>
        </w:rPr>
        <w:footnoteRef/>
      </w:r>
      <w:r w:rsidRPr="00CD0FEB">
        <w:t>993 F.2d 739 (10th Cir. 1993).</w:t>
      </w:r>
    </w:p>
  </w:footnote>
  <w:footnote w:id="729">
    <w:p w14:paraId="0FCBCC02" w14:textId="77777777" w:rsidR="00201F3F" w:rsidRPr="00CD0FEB" w:rsidRDefault="00201F3F" w:rsidP="00C2067F">
      <w:pPr>
        <w:pStyle w:val="14Footnote"/>
      </w:pPr>
      <w:r w:rsidRPr="00CD0FEB">
        <w:rPr>
          <w:vertAlign w:val="superscript"/>
        </w:rPr>
        <w:footnoteRef/>
      </w:r>
      <w:r w:rsidRPr="00CD0FEB">
        <w:t xml:space="preserve">Pignataro v. Port Auth. of N.Y. &amp; N.J., 593 F.3d 265, 270, 15 WH Cases2d 1357 (3d Cir. 2010); </w:t>
      </w:r>
      <w:r w:rsidRPr="00CD0FEB">
        <w:rPr>
          <w:i/>
          <w:iCs/>
        </w:rPr>
        <w:t xml:space="preserve">see also </w:t>
      </w:r>
      <w:r w:rsidRPr="00CD0FEB">
        <w:t>McCoy v. North Slope Borough, 2013 WL 4510780 (D. Alaska Aug. 26, 2013) (finding that a group of former and current pilots, lead pilots, and coordinators in the defendant’s Department of Search and Rescue, did not meet the “learned professional” exemption; while the pilots may have received prolonged, specialized training to obtain the certificate, the training was not intellectual in nature, such as that required for an academic degree).</w:t>
      </w:r>
    </w:p>
  </w:footnote>
  <w:footnote w:id="730">
    <w:p w14:paraId="185E1E74" w14:textId="77777777" w:rsidR="00201F3F" w:rsidRPr="00CD0FEB" w:rsidRDefault="00201F3F" w:rsidP="00C2067F">
      <w:pPr>
        <w:pStyle w:val="14Footnote"/>
      </w:pPr>
      <w:r w:rsidRPr="00CD0FEB">
        <w:rPr>
          <w:vertAlign w:val="superscript"/>
        </w:rPr>
        <w:footnoteRef/>
      </w:r>
      <w:r w:rsidRPr="00CD0FEB">
        <w:rPr>
          <w:i/>
          <w:iCs/>
        </w:rPr>
        <w:t>Pignataro</w:t>
      </w:r>
      <w:r w:rsidRPr="00CD0FEB">
        <w:t>,</w:t>
      </w:r>
      <w:r w:rsidRPr="00CD0FEB">
        <w:rPr>
          <w:i/>
          <w:iCs/>
        </w:rPr>
        <w:t xml:space="preserve"> </w:t>
      </w:r>
      <w:r w:rsidRPr="00CD0FEB">
        <w:t>593 F.3d</w:t>
      </w:r>
      <w:r w:rsidRPr="00CD0FEB">
        <w:rPr>
          <w:i/>
          <w:iCs/>
        </w:rPr>
        <w:t xml:space="preserve"> </w:t>
      </w:r>
      <w:r w:rsidRPr="00CD0FEB">
        <w:t>at 270 (citing Martin v. Penn Line Servs., Inc</w:t>
      </w:r>
      <w:r w:rsidRPr="00CD0FEB">
        <w:rPr>
          <w:i/>
          <w:iCs/>
        </w:rPr>
        <w:t>.</w:t>
      </w:r>
      <w:r w:rsidRPr="00CD0FEB">
        <w:t xml:space="preserve">, 416 F. Supp. 1387 (W.D. Pa. 1976)). </w:t>
      </w:r>
      <w:r w:rsidRPr="00CD0FEB">
        <w:rPr>
          <w:i/>
          <w:iCs/>
        </w:rPr>
        <w:t>But</w:t>
      </w:r>
      <w:r w:rsidRPr="00CD0FEB">
        <w:t xml:space="preserve"> </w:t>
      </w:r>
      <w:r w:rsidRPr="00CD0FEB">
        <w:rPr>
          <w:i/>
          <w:iCs/>
        </w:rPr>
        <w:t xml:space="preserve">see </w:t>
      </w:r>
      <w:r w:rsidRPr="00CD0FEB">
        <w:t>Paul v. Petroleum Equip. Tools Co</w:t>
      </w:r>
      <w:r w:rsidRPr="00CD0FEB">
        <w:rPr>
          <w:i/>
          <w:iCs/>
        </w:rPr>
        <w:t>.</w:t>
      </w:r>
      <w:r w:rsidRPr="00CD0FEB">
        <w:t>, 708 F.2d 168, 172, 26 WH Cases 390 (5th Cir. 1983).</w:t>
      </w:r>
    </w:p>
  </w:footnote>
  <w:footnote w:id="731">
    <w:p w14:paraId="6DC304AE" w14:textId="77777777" w:rsidR="00201F3F" w:rsidRPr="00CD0FEB" w:rsidRDefault="00201F3F" w:rsidP="00C2067F">
      <w:pPr>
        <w:pStyle w:val="14Footnote"/>
      </w:pPr>
      <w:r w:rsidRPr="00CD0FEB">
        <w:rPr>
          <w:vertAlign w:val="superscript"/>
        </w:rPr>
        <w:footnoteRef/>
      </w:r>
      <w:r w:rsidRPr="00CD0FEB">
        <w:t xml:space="preserve">WH Op. FLSA2018-3 (Jan. 5, 2018); </w:t>
      </w:r>
      <w:r w:rsidRPr="00CD0FEB">
        <w:rPr>
          <w:i/>
          <w:iCs/>
        </w:rPr>
        <w:t>see also</w:t>
      </w:r>
      <w:r w:rsidRPr="00CD0FEB">
        <w:t xml:space="preserve"> WH Op. FLSA2009-6, 2009 WL 648998 (Jan. 14, 2009) (noting that, although in the WHD’s view pilots are not exempt as learned professionals because aviation is not “a field of science or learning” and the knowledge required to be a pilot is not “customarily acquired by a prolonged course of specialized intellectual instruction,” the WHD takes a nonenforcement position with regard to pilots and co-pilots who hold an FAA Airline Transport Certificate or Commercial Certificate or engage in other specifically enumerated activities).</w:t>
      </w:r>
    </w:p>
  </w:footnote>
  <w:footnote w:id="732">
    <w:p w14:paraId="6D977E6B" w14:textId="77777777" w:rsidR="00201F3F" w:rsidRPr="00CD0FEB" w:rsidRDefault="00201F3F" w:rsidP="00C2067F">
      <w:pPr>
        <w:pStyle w:val="14Footnote"/>
      </w:pPr>
      <w:r w:rsidRPr="00CD0FEB">
        <w:rPr>
          <w:vertAlign w:val="superscript"/>
        </w:rPr>
        <w:footnoteRef/>
      </w:r>
      <w:r w:rsidRPr="00CD0FEB">
        <w:t>29 C.F.R. §541.301(e).</w:t>
      </w:r>
    </w:p>
  </w:footnote>
  <w:footnote w:id="733">
    <w:p w14:paraId="67D9CEC6" w14:textId="77777777" w:rsidR="00201F3F" w:rsidRPr="00CD0FEB" w:rsidRDefault="00201F3F" w:rsidP="00C2067F">
      <w:pPr>
        <w:pStyle w:val="14Footnote"/>
      </w:pPr>
      <w:r w:rsidRPr="00CD0FEB">
        <w:rPr>
          <w:vertAlign w:val="superscript"/>
        </w:rPr>
        <w:footnoteRef/>
      </w:r>
      <w:r w:rsidRPr="00CD0FEB">
        <w:rPr>
          <w:smallCaps/>
        </w:rPr>
        <w:t>U.S. Dep’t of Labor, Wage &amp; Hour Div., Field Operations Handbook</w:t>
      </w:r>
      <w:r w:rsidRPr="00CD0FEB">
        <w:t xml:space="preserve"> §§22d00–22d13, https://www.dol.gov/agencies/whd/field-operations-handbook [hereinafter FOH].</w:t>
      </w:r>
    </w:p>
  </w:footnote>
  <w:footnote w:id="734">
    <w:p w14:paraId="29DE5E2B" w14:textId="77777777" w:rsidR="00201F3F" w:rsidRPr="00CD0FEB" w:rsidRDefault="00201F3F" w:rsidP="00C2067F">
      <w:pPr>
        <w:pStyle w:val="14Footnote"/>
      </w:pPr>
      <w:r w:rsidRPr="00CD0FEB">
        <w:rPr>
          <w:vertAlign w:val="superscript"/>
        </w:rPr>
        <w:footnoteRef/>
      </w:r>
      <w:r w:rsidRPr="00CD0FEB">
        <w:t>29 C.F.R. §541.301(f).</w:t>
      </w:r>
    </w:p>
  </w:footnote>
  <w:footnote w:id="735">
    <w:p w14:paraId="52CF621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§541.301(e)(1).</w:t>
      </w:r>
    </w:p>
  </w:footnote>
  <w:footnote w:id="736">
    <w:p w14:paraId="78F3480C" w14:textId="77777777" w:rsidR="00201F3F" w:rsidRPr="00CD0FEB" w:rsidRDefault="00201F3F" w:rsidP="00C2067F">
      <w:pPr>
        <w:pStyle w:val="14Footnote"/>
      </w:pPr>
      <w:r w:rsidRPr="00CD0FEB">
        <w:rPr>
          <w:vertAlign w:val="superscript"/>
        </w:rPr>
        <w:footnoteRef/>
      </w:r>
      <w:r w:rsidRPr="00CD0FEB">
        <w:t>Brennan v. South Davis Cmty. Hosp., 538 F.2d 859, 865 (10th Cir. 1976).</w:t>
      </w:r>
    </w:p>
  </w:footnote>
  <w:footnote w:id="737">
    <w:p w14:paraId="281FF4F0" w14:textId="77777777" w:rsidR="00201F3F" w:rsidRPr="00CD0FEB" w:rsidRDefault="00201F3F" w:rsidP="00C2067F">
      <w:pPr>
        <w:pStyle w:val="14Footnote"/>
      </w:pPr>
      <w:r w:rsidRPr="00CD0FEB">
        <w:rPr>
          <w:vertAlign w:val="superscript"/>
        </w:rPr>
        <w:footnoteRef/>
      </w:r>
      <w:r w:rsidRPr="00CD0FEB">
        <w:t>WH Op. FLSA2008-17, 2008 WL 5483057 (Dec. 19, 2008).</w:t>
      </w:r>
    </w:p>
  </w:footnote>
  <w:footnote w:id="738">
    <w:p w14:paraId="6D046956" w14:textId="77777777" w:rsidR="00201F3F" w:rsidRPr="00CD0FEB" w:rsidRDefault="00201F3F" w:rsidP="00C2067F">
      <w:pPr>
        <w:pStyle w:val="14Footnote"/>
      </w:pPr>
      <w:r w:rsidRPr="00CD0FEB">
        <w:rPr>
          <w:vertAlign w:val="superscript"/>
        </w:rPr>
        <w:footnoteRef/>
      </w:r>
      <w:r w:rsidRPr="00CD0FEB">
        <w:t>WH Op. FLSA2007-5, 2007 WL 506578 (Feb. 1, 2007) (determining radiology technologist not exempt as learned professional).</w:t>
      </w:r>
    </w:p>
  </w:footnote>
  <w:footnote w:id="739">
    <w:p w14:paraId="5D49F363" w14:textId="77777777" w:rsidR="00201F3F" w:rsidRPr="00CD0FEB" w:rsidRDefault="00201F3F" w:rsidP="00C2067F">
      <w:pPr>
        <w:pStyle w:val="14Footnote"/>
      </w:pPr>
      <w:r w:rsidRPr="00CD0FEB">
        <w:rPr>
          <w:vertAlign w:val="superscript"/>
        </w:rPr>
        <w:footnoteRef/>
      </w:r>
      <w:r w:rsidRPr="00CD0FEB">
        <w:t>WH Op., 2000 WL 34401337 (Nov. 21, 2000).</w:t>
      </w:r>
    </w:p>
  </w:footnote>
  <w:footnote w:id="740">
    <w:p w14:paraId="790B1393" w14:textId="77777777" w:rsidR="00201F3F" w:rsidRPr="00CD0FEB" w:rsidRDefault="00201F3F" w:rsidP="00C2067F">
      <w:pPr>
        <w:pStyle w:val="14Footnote"/>
      </w:pPr>
      <w:r w:rsidRPr="00CD0FEB">
        <w:rPr>
          <w:vertAlign w:val="superscript"/>
        </w:rPr>
        <w:footnoteRef/>
      </w:r>
      <w:r w:rsidRPr="00CD0FEB">
        <w:t>29 C.F.R. §541.301(e)(2).</w:t>
      </w:r>
    </w:p>
  </w:footnote>
  <w:footnote w:id="741">
    <w:p w14:paraId="38FADCD9" w14:textId="77777777" w:rsidR="00201F3F" w:rsidRPr="00CD0FEB" w:rsidRDefault="00201F3F" w:rsidP="00C2067F">
      <w:pPr>
        <w:pStyle w:val="14Footnote"/>
      </w:pPr>
      <w:r w:rsidRPr="00CD0FEB">
        <w:rPr>
          <w:vertAlign w:val="superscript"/>
        </w:rPr>
        <w:footnoteRef/>
      </w:r>
      <w:r w:rsidRPr="00CD0FEB">
        <w:t xml:space="preserve">29 C.F.R. §541.301(e)(2); 69 Fed. Reg. at 22,153. </w:t>
      </w:r>
      <w:r w:rsidRPr="00CD0FEB">
        <w:rPr>
          <w:i/>
          <w:iCs/>
        </w:rPr>
        <w:t>See also</w:t>
      </w:r>
      <w:r w:rsidRPr="00CD0FEB">
        <w:t xml:space="preserve"> Elwell v. University Hosps. Home Care Servs., 276 F.3d 832, 835–36 (6th Cir. 2002) (dispute regarding salary or fee basis test, but no issue as to duties test)</w:t>
      </w:r>
      <w:r>
        <w:t>; Rowe v. Reynolds, 624 F. Supp. 3d 1036, 1044–45 (S.D. Iowa 2022) (same)</w:t>
      </w:r>
      <w:r w:rsidRPr="00CD0FEB">
        <w:t>.</w:t>
      </w:r>
    </w:p>
  </w:footnote>
  <w:footnote w:id="742">
    <w:p w14:paraId="0AF740C9" w14:textId="77777777" w:rsidR="00201F3F" w:rsidRPr="00CD0FEB" w:rsidRDefault="00201F3F" w:rsidP="00C2067F">
      <w:pPr>
        <w:pStyle w:val="14Footnote"/>
      </w:pPr>
      <w:r w:rsidRPr="00CD0FEB">
        <w:rPr>
          <w:vertAlign w:val="superscript"/>
        </w:rPr>
        <w:footnoteRef/>
      </w:r>
      <w:r w:rsidRPr="00CD0FEB">
        <w:t>947 F.3d 122 (2d Cir. 2020).</w:t>
      </w:r>
    </w:p>
  </w:footnote>
  <w:footnote w:id="743">
    <w:p w14:paraId="4A7D0B3A"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133 (footnotes omitted).</w:t>
      </w:r>
    </w:p>
  </w:footnote>
  <w:footnote w:id="744">
    <w:p w14:paraId="3A24905B"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132.</w:t>
      </w:r>
    </w:p>
  </w:footnote>
  <w:footnote w:id="745">
    <w:p w14:paraId="27C2B63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126.</w:t>
      </w:r>
    </w:p>
  </w:footnote>
  <w:footnote w:id="746">
    <w:p w14:paraId="73D46C6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138.</w:t>
      </w:r>
    </w:p>
  </w:footnote>
  <w:footnote w:id="747">
    <w:p w14:paraId="374FE697" w14:textId="77777777" w:rsidR="00201F3F" w:rsidRPr="00CD0FEB" w:rsidRDefault="00201F3F" w:rsidP="00C2067F">
      <w:pPr>
        <w:pStyle w:val="14Footnote"/>
      </w:pPr>
      <w:r w:rsidRPr="00CD0FEB">
        <w:rPr>
          <w:vertAlign w:val="superscript"/>
        </w:rPr>
        <w:footnoteRef/>
      </w:r>
      <w:r w:rsidRPr="00CD0FEB">
        <w:t xml:space="preserve">367 F. Supp. 3d 849 (E.D. Wis. 2019). </w:t>
      </w:r>
      <w:r w:rsidRPr="00CD0FEB">
        <w:rPr>
          <w:i/>
          <w:iCs/>
        </w:rPr>
        <w:t>See also</w:t>
      </w:r>
      <w:r w:rsidRPr="00CD0FEB">
        <w:t xml:space="preserve"> Clark v. Centene Co. of Tex., L.P., 656 F. App’x 688, 26 WH Cases2d 1266 (5th Cir. 2016) (ruling that case managers responsible for coordinating health care coverage did not qualify for professional exemption as a specialized advanced academic degree was not standard prerequisite for position);</w:t>
      </w:r>
      <w:r w:rsidRPr="00CD0FEB">
        <w:rPr>
          <w:b/>
          <w:bCs/>
        </w:rPr>
        <w:t xml:space="preserve"> </w:t>
      </w:r>
      <w:r w:rsidRPr="00CD0FEB">
        <w:t>Crowe v. ExamWorks, Inc., 136 F. Supp. 3d 16 (D. Mass. 2015) (holding that Utilization Review Nurse Auditors did not satisfy advanced knowledge requirement where position was open to LPNs unless accredited nursing program required for position entailed formal academic experience akin to bachelor’s degree).</w:t>
      </w:r>
    </w:p>
  </w:footnote>
  <w:footnote w:id="748">
    <w:p w14:paraId="0F4DFECF" w14:textId="77777777" w:rsidR="00201F3F" w:rsidRPr="00CD0FEB" w:rsidRDefault="00201F3F" w:rsidP="00C2067F">
      <w:pPr>
        <w:pStyle w:val="14Footnote"/>
      </w:pPr>
      <w:r w:rsidRPr="00CD0FEB">
        <w:rPr>
          <w:vertAlign w:val="superscript"/>
        </w:rPr>
        <w:footnoteRef/>
      </w:r>
      <w:r w:rsidRPr="00CD0FEB">
        <w:t>Isett v. Aetna Life Ins. Co., 947 F.3d 122, 135 (2d Cir. 2020).</w:t>
      </w:r>
    </w:p>
  </w:footnote>
  <w:footnote w:id="749">
    <w:p w14:paraId="3E34F768" w14:textId="77777777" w:rsidR="00201F3F" w:rsidRPr="00CD0FEB" w:rsidRDefault="00201F3F" w:rsidP="00C2067F">
      <w:pPr>
        <w:pStyle w:val="14Footnote"/>
      </w:pPr>
      <w:r w:rsidRPr="00CD0FEB">
        <w:rPr>
          <w:vertAlign w:val="superscript"/>
        </w:rPr>
        <w:footnoteRef/>
      </w:r>
      <w:r w:rsidRPr="00CD0FEB">
        <w:t xml:space="preserve">809 F.3d 103, 25 WH Cases2d 1542 (4th Cir. 2015). </w:t>
      </w:r>
    </w:p>
  </w:footnote>
  <w:footnote w:id="750">
    <w:p w14:paraId="11043111" w14:textId="77777777" w:rsidR="00201F3F" w:rsidRPr="00CD0FEB" w:rsidRDefault="00201F3F" w:rsidP="00C2067F">
      <w:pPr>
        <w:pStyle w:val="14Footnote"/>
      </w:pPr>
      <w:r w:rsidRPr="00CD0FEB">
        <w:rPr>
          <w:vertAlign w:val="superscript"/>
        </w:rPr>
        <w:footnoteRef/>
      </w:r>
      <w:r w:rsidRPr="00CD0FEB">
        <w:t xml:space="preserve">29 C.F.R. §541.301(e)(3). </w:t>
      </w:r>
      <w:r w:rsidRPr="00CD0FEB">
        <w:rPr>
          <w:i/>
          <w:iCs/>
        </w:rPr>
        <w:t>But see</w:t>
      </w:r>
      <w:r w:rsidRPr="00CD0FEB">
        <w:t xml:space="preserve"> McNeely v. Metropolitan Life Ins. Co., 376 F. Supp. 3d 225 (S.D.N.Y. 2019) (holding dentists and dental hygienists were not exempt where they were licensed but did not engage in the practice of dentistry and instead reviewed claims for payable benefits).</w:t>
      </w:r>
    </w:p>
  </w:footnote>
  <w:footnote w:id="751">
    <w:p w14:paraId="68DB1C4F" w14:textId="77777777" w:rsidR="00201F3F" w:rsidRPr="00CD0FEB" w:rsidRDefault="00201F3F" w:rsidP="00C2067F">
      <w:pPr>
        <w:pStyle w:val="14Footnote"/>
      </w:pPr>
      <w:r w:rsidRPr="00CD0FEB">
        <w:rPr>
          <w:vertAlign w:val="superscript"/>
        </w:rPr>
        <w:footnoteRef/>
      </w:r>
      <w:r w:rsidRPr="00CD0FEB">
        <w:t>29 C.F.R. §541.301(e)(4).</w:t>
      </w:r>
    </w:p>
  </w:footnote>
  <w:footnote w:id="752">
    <w:p w14:paraId="38D9F950"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§541.301(e)(5).</w:t>
      </w:r>
    </w:p>
  </w:footnote>
  <w:footnote w:id="753">
    <w:p w14:paraId="1D3E3A25"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754">
    <w:p w14:paraId="77496D3D" w14:textId="77777777" w:rsidR="00201F3F" w:rsidRPr="00CD0FEB" w:rsidRDefault="00201F3F" w:rsidP="00C2067F">
      <w:pPr>
        <w:pStyle w:val="14Footnote"/>
      </w:pPr>
      <w:r w:rsidRPr="00CD0FEB">
        <w:rPr>
          <w:vertAlign w:val="superscript"/>
        </w:rPr>
        <w:footnoteRef/>
      </w:r>
      <w:r w:rsidRPr="00CD0FEB">
        <w:t>171 F.3d 527, 5 WH Cases2d 361 (7th Cir. 1999).</w:t>
      </w:r>
    </w:p>
  </w:footnote>
  <w:footnote w:id="755">
    <w:p w14:paraId="56F0A828" w14:textId="77777777" w:rsidR="00201F3F" w:rsidRPr="00105650" w:rsidRDefault="00201F3F" w:rsidP="00C2067F">
      <w:pPr>
        <w:pStyle w:val="14Footnote"/>
      </w:pPr>
      <w:r w:rsidRPr="00CD0FEB">
        <w:rPr>
          <w:vertAlign w:val="superscript"/>
        </w:rPr>
        <w:footnoteRef/>
      </w:r>
      <w:r w:rsidRPr="00105650">
        <w:t>29 C.F.R. §541.301(e)(5).</w:t>
      </w:r>
    </w:p>
  </w:footnote>
  <w:footnote w:id="756">
    <w:p w14:paraId="696FEF0E" w14:textId="77777777" w:rsidR="00201F3F" w:rsidRPr="00105650" w:rsidRDefault="00201F3F" w:rsidP="00C2067F">
      <w:pPr>
        <w:pStyle w:val="14Footnote"/>
      </w:pPr>
      <w:r w:rsidRPr="00CD0FEB">
        <w:rPr>
          <w:vertAlign w:val="superscript"/>
        </w:rPr>
        <w:footnoteRef/>
      </w:r>
      <w:r w:rsidRPr="00105650">
        <w:t>759 F.3d 235 (2d Cir. 2014).</w:t>
      </w:r>
    </w:p>
  </w:footnote>
  <w:footnote w:id="757">
    <w:p w14:paraId="0632D4D7"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In re KPMG Wage &amp; Hour Litig., 2012 WL 5416939, at *7–9 (C.D. Cal. Oct. 19, 2012) (finding senior associate was exempt learned professional because duties required advanced knowledge, critical thinking, and weighing of audit evidence where senior associate performed substantive testing in higher-risk, more complex audit areas, prepared work papers, supervised and trained associates, reviewed associates’ work papers, tracked staff time, interacted with clients, coordinated manager and partner reviews, ensured timeliness of work, anticipated and resolved issues, and researched firm guidance and technical issues).</w:t>
      </w:r>
    </w:p>
  </w:footnote>
  <w:footnote w:id="758">
    <w:p w14:paraId="671BED08" w14:textId="77777777" w:rsidR="00201F3F" w:rsidRPr="00CD0FEB" w:rsidRDefault="00201F3F" w:rsidP="00C2067F">
      <w:pPr>
        <w:pStyle w:val="14Footnote"/>
      </w:pPr>
      <w:r w:rsidRPr="00CD0FEB">
        <w:rPr>
          <w:vertAlign w:val="superscript"/>
        </w:rPr>
        <w:footnoteRef/>
      </w:r>
      <w:r w:rsidRPr="00CD0FEB">
        <w:rPr>
          <w:i/>
          <w:iCs/>
        </w:rPr>
        <w:t>Id</w:t>
      </w:r>
      <w:r w:rsidRPr="00CD0FEB">
        <w:t>. at 243 (citing</w:t>
      </w:r>
      <w:r w:rsidRPr="00CD0FEB">
        <w:rPr>
          <w:i/>
          <w:iCs/>
        </w:rPr>
        <w:t xml:space="preserve"> </w:t>
      </w:r>
      <w:r w:rsidRPr="00CD0FEB">
        <w:t>Christopher v. SmithKline Beecham Corp</w:t>
      </w:r>
      <w:r w:rsidRPr="00CD0FEB">
        <w:rPr>
          <w:i/>
          <w:iCs/>
        </w:rPr>
        <w:t>.</w:t>
      </w:r>
      <w:r w:rsidRPr="00CD0FEB">
        <w:t>, 567 U.S. 142, 161, 132 S. Ct. 2156, 2170 (2012)).</w:t>
      </w:r>
    </w:p>
  </w:footnote>
  <w:footnote w:id="759">
    <w:p w14:paraId="35613D33" w14:textId="77777777" w:rsidR="00201F3F" w:rsidRPr="00CD0FEB" w:rsidRDefault="00201F3F" w:rsidP="00C2067F">
      <w:pPr>
        <w:pStyle w:val="14Footnote"/>
      </w:pPr>
      <w:r w:rsidRPr="00CD0FEB">
        <w:rPr>
          <w:vertAlign w:val="superscript"/>
        </w:rPr>
        <w:footnoteRef/>
      </w:r>
      <w:r w:rsidRPr="00CD0FEB">
        <w:t>29 C.F.R. §541.301(e)(6); Solis v. Suroc, Inc., 49 F. Supp. 3d 502 (N.D. Ohio 2014) (holding that experience and training do not substitute for four-year culinary degree).</w:t>
      </w:r>
    </w:p>
  </w:footnote>
  <w:footnote w:id="760">
    <w:p w14:paraId="6E759994" w14:textId="77777777" w:rsidR="00201F3F" w:rsidRPr="00CD0FEB" w:rsidRDefault="00201F3F" w:rsidP="00C2067F">
      <w:pPr>
        <w:pStyle w:val="14Footnote"/>
      </w:pPr>
      <w:r w:rsidRPr="00CD0FEB">
        <w:rPr>
          <w:vertAlign w:val="superscript"/>
        </w:rPr>
        <w:footnoteRef/>
      </w:r>
      <w:r w:rsidRPr="00CD0FEB">
        <w:t>29 C.F.R. §541.301(e)(6).</w:t>
      </w:r>
    </w:p>
  </w:footnote>
  <w:footnote w:id="761">
    <w:p w14:paraId="3091AA9E"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§541.301(e)(7).</w:t>
      </w:r>
    </w:p>
  </w:footnote>
  <w:footnote w:id="762">
    <w:p w14:paraId="5F4B3FF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Blackmore v. Vaughn &amp; Bowden, P.A., 2012 WL 2064534, at *6, 19 WH Cases2d 587 (S.D. Miss. June 7, 2012) (while denying summary judgment on the issue of whether paralegal was an exempt professional, the court observed that a question of fact existed as to whether a paralegal with a four-year degree in paralegal studies and psychology and an advanced degree in public relations who worked exclusively in the mass torts unit could meet the requisites of §541.301(e)(7)); WH Op. FLSA2005-9, 2005 WL 330608 (Jan. 7, 2005) (concluding in response to inquiry from paralegal as to eligibility for overtime compensation that “unless you possess an advanced specialized degree in another professional field, that degree is a standard prerequisite for entry into that field, and you apply advanced knowledge in that field in the performance of your paralegal duties, your position as a paralegal cannot qualify for the professional exemption … .”); WH Admin. Op. FLSA2006-27, 2006 WL 2792441 (July 24, 2006) (paralegal work does not require advanced knowledge).</w:t>
      </w:r>
    </w:p>
  </w:footnote>
  <w:footnote w:id="763">
    <w:p w14:paraId="64E10ADE" w14:textId="77777777" w:rsidR="00201F3F" w:rsidRPr="00CD0FEB" w:rsidRDefault="00201F3F" w:rsidP="00C2067F">
      <w:pPr>
        <w:pStyle w:val="14Footnote"/>
      </w:pPr>
      <w:r w:rsidRPr="00CD0FEB">
        <w:rPr>
          <w:vertAlign w:val="superscript"/>
        </w:rPr>
        <w:footnoteRef/>
      </w:r>
      <w:r w:rsidRPr="00CD0FEB">
        <w:t>187 F.3d 521, 5 WH Cases2d 1025 (5th Cir. 1999).</w:t>
      </w:r>
    </w:p>
  </w:footnote>
  <w:footnote w:id="764">
    <w:p w14:paraId="286ACC54" w14:textId="77777777" w:rsidR="00201F3F" w:rsidRPr="00CD0FEB" w:rsidRDefault="00201F3F" w:rsidP="00C2067F">
      <w:pPr>
        <w:pStyle w:val="14Footnote"/>
      </w:pPr>
      <w:r w:rsidRPr="00CD0FEB">
        <w:rPr>
          <w:vertAlign w:val="superscript"/>
        </w:rPr>
        <w:footnoteRef/>
      </w:r>
      <w:r w:rsidRPr="00CD0FEB">
        <w:t>29 C.F.R. §541.301(e)(8).</w:t>
      </w:r>
    </w:p>
  </w:footnote>
  <w:footnote w:id="765">
    <w:p w14:paraId="242D78A7" w14:textId="77777777" w:rsidR="00201F3F" w:rsidRPr="00CD0FEB" w:rsidRDefault="00201F3F" w:rsidP="00C2067F">
      <w:pPr>
        <w:pStyle w:val="14Footnote"/>
      </w:pPr>
      <w:r w:rsidRPr="00CD0FEB">
        <w:rPr>
          <w:vertAlign w:val="superscript"/>
        </w:rPr>
        <w:footnoteRef/>
      </w:r>
      <w:r w:rsidRPr="00CD0FEB">
        <w:rPr>
          <w:i/>
          <w:iCs/>
        </w:rPr>
        <w:t>Owsley</w:t>
      </w:r>
      <w:r w:rsidRPr="00CD0FEB">
        <w:t xml:space="preserve">, 187 F.3d at 526. </w:t>
      </w:r>
    </w:p>
  </w:footnote>
  <w:footnote w:id="766">
    <w:p w14:paraId="7F7A52BD" w14:textId="77777777" w:rsidR="00201F3F" w:rsidRPr="00CD0FEB" w:rsidRDefault="00201F3F" w:rsidP="00C2067F">
      <w:pPr>
        <w:pStyle w:val="14Footnote"/>
      </w:pPr>
      <w:r w:rsidRPr="00CD0FEB">
        <w:rPr>
          <w:vertAlign w:val="superscript"/>
        </w:rPr>
        <w:footnoteRef/>
      </w:r>
      <w:r w:rsidRPr="00CD0FEB">
        <w:rPr>
          <w:i/>
          <w:iCs/>
        </w:rPr>
        <w:t>Id.</w:t>
      </w:r>
    </w:p>
  </w:footnote>
  <w:footnote w:id="767">
    <w:p w14:paraId="12C52615" w14:textId="77777777" w:rsidR="00201F3F" w:rsidRPr="00CD0FEB" w:rsidRDefault="00201F3F" w:rsidP="00C2067F">
      <w:pPr>
        <w:pStyle w:val="14Footnote"/>
      </w:pPr>
      <w:r w:rsidRPr="00CD0FEB">
        <w:rPr>
          <w:vertAlign w:val="superscript"/>
        </w:rPr>
        <w:footnoteRef/>
      </w:r>
      <w:r w:rsidRPr="00CD0FEB">
        <w:t>29 C.F.R. §541.301(e)(8).</w:t>
      </w:r>
    </w:p>
  </w:footnote>
  <w:footnote w:id="768">
    <w:p w14:paraId="3052AC33" w14:textId="77777777" w:rsidR="00201F3F" w:rsidRPr="00CD0FEB" w:rsidRDefault="00201F3F" w:rsidP="00C2067F">
      <w:pPr>
        <w:pStyle w:val="14Footnote"/>
      </w:pPr>
      <w:r w:rsidRPr="00CD0FEB">
        <w:rPr>
          <w:vertAlign w:val="superscript"/>
        </w:rPr>
        <w:footnoteRef/>
      </w:r>
      <w:r w:rsidRPr="00CD0FEB">
        <w:t>Rowe v. Olthof Funeral Home, Inc., 2011 WL 4899970, at *4, 18 WH Cases2d 522 (W.D.N.Y. Oct. 13, 2011).</w:t>
      </w:r>
    </w:p>
  </w:footnote>
  <w:footnote w:id="769">
    <w:p w14:paraId="6EA4FFAF" w14:textId="77777777" w:rsidR="00201F3F" w:rsidRPr="00CD0FEB" w:rsidRDefault="00201F3F" w:rsidP="00C2067F">
      <w:pPr>
        <w:pStyle w:val="14Footnote"/>
      </w:pPr>
      <w:r w:rsidRPr="00CD0FEB">
        <w:rPr>
          <w:vertAlign w:val="superscript"/>
        </w:rPr>
        <w:footnoteRef/>
      </w:r>
      <w:r w:rsidRPr="00CD0FEB">
        <w:t>29 C.F.R. §541.301(f).</w:t>
      </w:r>
    </w:p>
  </w:footnote>
  <w:footnote w:id="770">
    <w:p w14:paraId="4AF1D0A3"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§541.302(a).</w:t>
      </w:r>
    </w:p>
  </w:footnote>
  <w:footnote w:id="771">
    <w:p w14:paraId="39DDE4FE" w14:textId="77777777" w:rsidR="00201F3F" w:rsidRPr="00CD0FEB" w:rsidRDefault="00201F3F" w:rsidP="00C2067F">
      <w:pPr>
        <w:pStyle w:val="14Footnote"/>
      </w:pPr>
      <w:r w:rsidRPr="00CD0FEB">
        <w:rPr>
          <w:vertAlign w:val="superscript"/>
        </w:rPr>
        <w:footnoteRef/>
      </w:r>
      <w:r w:rsidRPr="00CD0FEB">
        <w:rPr>
          <w:i/>
          <w:iCs/>
        </w:rPr>
        <w:t>Id</w:t>
      </w:r>
      <w:r w:rsidRPr="00CD0FEB">
        <w:t>. §541.302(b).</w:t>
      </w:r>
    </w:p>
  </w:footnote>
  <w:footnote w:id="772">
    <w:p w14:paraId="10A6ADB5" w14:textId="77777777" w:rsidR="00201F3F" w:rsidRPr="00CD0FEB" w:rsidRDefault="00201F3F" w:rsidP="002834A9">
      <w:pPr>
        <w:pStyle w:val="14Footnote"/>
      </w:pPr>
      <w:r w:rsidRPr="00CD0FEB">
        <w:rPr>
          <w:rStyle w:val="FootnoteReference"/>
        </w:rPr>
        <w:footnoteRef/>
      </w:r>
      <w:r w:rsidRPr="00CD0FEB">
        <w:t>Senne v. Kansas City Royals Baseball Corp., 591 F. Supp. 3d 453, 541–42 (N.D. Cal. 2022).</w:t>
      </w:r>
    </w:p>
  </w:footnote>
  <w:footnote w:id="773">
    <w:p w14:paraId="6562AC87" w14:textId="77777777" w:rsidR="00201F3F" w:rsidRPr="00CD0FEB" w:rsidRDefault="00201F3F" w:rsidP="00C2067F">
      <w:pPr>
        <w:pStyle w:val="14Footnote"/>
      </w:pPr>
      <w:r w:rsidRPr="00CD0FEB">
        <w:rPr>
          <w:vertAlign w:val="superscript"/>
        </w:rPr>
        <w:footnoteRef/>
      </w:r>
      <w:r w:rsidRPr="00CD0FEB">
        <w:t xml:space="preserve">29 C.F.R. §541.302(b); </w:t>
      </w:r>
      <w:r w:rsidRPr="00CD0FEB">
        <w:rPr>
          <w:i/>
          <w:iCs/>
        </w:rPr>
        <w:t>see, e</w:t>
      </w:r>
      <w:r w:rsidRPr="00CD0FEB">
        <w:t>.</w:t>
      </w:r>
      <w:r w:rsidRPr="00CD0FEB">
        <w:rPr>
          <w:i/>
          <w:iCs/>
        </w:rPr>
        <w:t>g</w:t>
      </w:r>
      <w:r w:rsidRPr="00CD0FEB">
        <w:t>., Seok Hwi Cha v. YP’s Kani, Inc., 317 F. Supp. 3d 1215 (N.D. Ga. 2018) (holding sushi chef did not meet creative professional standard where his job duties did not require creative contributions); Henderson v. 1400 Northside Drive, Inc., 110 F. Supp. 3d 1318, 1321–22 (N.D. Ga. 2015) (holding that male strippers did not qualify for creative professional exemption where evidence showed that “little creativity” was required for position and “the job may be performed by anybody with general ability and training”).</w:t>
      </w:r>
    </w:p>
  </w:footnote>
  <w:footnote w:id="774">
    <w:p w14:paraId="1581A497" w14:textId="77777777" w:rsidR="00201F3F" w:rsidRPr="00CD0FEB" w:rsidRDefault="00201F3F" w:rsidP="00C2067F">
      <w:pPr>
        <w:pStyle w:val="14Footnote"/>
      </w:pPr>
      <w:r w:rsidRPr="00CD0FEB">
        <w:rPr>
          <w:vertAlign w:val="superscript"/>
        </w:rPr>
        <w:footnoteRef/>
      </w:r>
      <w:r w:rsidRPr="00CD0FEB">
        <w:t xml:space="preserve">29 C.F.R. §541.302(c); </w:t>
      </w:r>
      <w:r w:rsidRPr="00CD0FEB">
        <w:rPr>
          <w:i/>
          <w:iCs/>
        </w:rPr>
        <w:t>see, e.g</w:t>
      </w:r>
      <w:r w:rsidRPr="00CD0FEB">
        <w:t>., Dobrosmylov v. DeSales Media Grp., Inc., 2021 WL 1224376, at *3 (E.D.N.Y. Apr. 1, 2021) (concluding that lead video editor and graphic artist did not qualify as creative professional where his “</w:t>
      </w:r>
      <w:r w:rsidRPr="00CD0FEB">
        <w:rPr>
          <w:szCs w:val="20"/>
          <w:shd w:val="clear" w:color="auto" w:fill="FFFFFF"/>
        </w:rPr>
        <w:t>primary duties were editing videos, creating graphics, and ensuring that the finished products met [his employer’s] production standards</w:t>
      </w:r>
      <w:r w:rsidRPr="00CD0FEB">
        <w:t>”); Kadden v. VisuaLex, LLC, 910 F. Supp. 2d 523, 538–39 (S.D.N.Y. 2012) (finding work of graphic consultant did not meet the creative professional standard where the majority of her time was spent proofing and revising graphics created by others); WH Admin. Op. FLSA2005-26, 2005 WL 3308597 (Aug. 26, 2005) (determining employees whose primary duty was to install graphic art “wraps”—advertisements printed on large sheets of vinyl with an adhesive back—were not exempt creative professionals because they did not create the designs on the wraps, but performed physical or manual work to install an artistic product created by someone else).</w:t>
      </w:r>
    </w:p>
  </w:footnote>
  <w:footnote w:id="775">
    <w:p w14:paraId="2993FDC3" w14:textId="77777777" w:rsidR="00201F3F" w:rsidRPr="00CD0FEB" w:rsidRDefault="00201F3F" w:rsidP="00C2067F">
      <w:pPr>
        <w:pStyle w:val="14Footnote"/>
      </w:pPr>
      <w:r w:rsidRPr="00CD0FEB">
        <w:rPr>
          <w:vertAlign w:val="superscript"/>
        </w:rPr>
        <w:footnoteRef/>
      </w:r>
      <w:r w:rsidRPr="00CD0FEB">
        <w:t xml:space="preserve">977 F. Supp. 909 (S.D. Ind. 1997), </w:t>
      </w:r>
      <w:r w:rsidRPr="00CD0FEB">
        <w:rPr>
          <w:i/>
          <w:iCs/>
        </w:rPr>
        <w:t>aff’d on other grounds</w:t>
      </w:r>
      <w:r w:rsidRPr="00CD0FEB">
        <w:t>, 151 F.3d 640, 4 WH Cases2d 1412 (7th Cir. 1998).</w:t>
      </w:r>
    </w:p>
  </w:footnote>
  <w:footnote w:id="776">
    <w:p w14:paraId="2D7AF191"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914. </w:t>
      </w:r>
      <w:r w:rsidRPr="00CD0FEB">
        <w:rPr>
          <w:i/>
          <w:iCs/>
        </w:rPr>
        <w:t>See also</w:t>
      </w:r>
      <w:r w:rsidRPr="00CD0FEB">
        <w:t xml:space="preserve"> Eren v. Gulluoglu LLC, 2017 WL 4351516, at *3 (E.D.N.Y. Sept. 30, 2017) (finding professional exemption inapplicable where “the record demonstrates that Plaintiffs’ responsibilities in preparing baklava, breads, and cakes ‘required consistency and precision, not innovation and imagination,’” citing to DOL guidance at 69 Fed. Reg. 22,122-01, 22,154 (2004), which provides “the Department intends that the creative professional exemption extend only to truly ‘original’ chefs, such as those who work at five-star or gourmet establishments, whose primary duty requires ‘invention, imagination, originality, or talent’”).</w:t>
      </w:r>
    </w:p>
  </w:footnote>
  <w:footnote w:id="777">
    <w:p w14:paraId="60920557" w14:textId="77777777" w:rsidR="00201F3F" w:rsidRPr="00CD0FEB" w:rsidRDefault="00201F3F" w:rsidP="00C2067F">
      <w:pPr>
        <w:pStyle w:val="14Footnote"/>
      </w:pPr>
      <w:r w:rsidRPr="00CD0FEB">
        <w:rPr>
          <w:vertAlign w:val="superscript"/>
        </w:rPr>
        <w:footnoteRef/>
      </w:r>
      <w:r w:rsidRPr="00CD0FEB">
        <w:t>29 C.F.R. §541.302(d).</w:t>
      </w:r>
    </w:p>
  </w:footnote>
  <w:footnote w:id="778">
    <w:p w14:paraId="5CE3C740" w14:textId="77777777" w:rsidR="00201F3F" w:rsidRPr="00CD0FEB" w:rsidRDefault="00201F3F" w:rsidP="00C2067F">
      <w:pPr>
        <w:pStyle w:val="14Footnote"/>
      </w:pPr>
      <w:r w:rsidRPr="00CD0FEB">
        <w:rPr>
          <w:vertAlign w:val="superscript"/>
        </w:rPr>
        <w:footnoteRef/>
      </w:r>
      <w:r w:rsidRPr="00CD0FEB">
        <w:t>69 Fed. Reg. 22,121, 22,158 (Apr. 23, 2004).</w:t>
      </w:r>
    </w:p>
  </w:footnote>
  <w:footnote w:id="779">
    <w:p w14:paraId="295FCAA0" w14:textId="77777777" w:rsidR="00201F3F" w:rsidRPr="00CD0FEB" w:rsidRDefault="00201F3F" w:rsidP="00C2067F">
      <w:pPr>
        <w:pStyle w:val="14Footnote"/>
      </w:pPr>
      <w:r w:rsidRPr="00CD0FEB">
        <w:rPr>
          <w:vertAlign w:val="superscript"/>
        </w:rPr>
        <w:footnoteRef/>
      </w:r>
      <w:r w:rsidRPr="00CD0FEB">
        <w:t>29 C.F.R. §541.302(d).</w:t>
      </w:r>
    </w:p>
  </w:footnote>
  <w:footnote w:id="780">
    <w:p w14:paraId="5AED36F0" w14:textId="77777777" w:rsidR="00201F3F" w:rsidRPr="00CD0FEB" w:rsidRDefault="00201F3F" w:rsidP="00C2067F">
      <w:pPr>
        <w:pStyle w:val="14Footnote"/>
      </w:pPr>
      <w:r w:rsidRPr="00CD0FEB">
        <w:rPr>
          <w:vertAlign w:val="superscript"/>
        </w:rPr>
        <w:footnoteRef/>
      </w:r>
      <w:r w:rsidRPr="00CD0FEB">
        <w:t>13 F.3d 685, 1 WH Cases2d 1313 (3d Cir. 1994).</w:t>
      </w:r>
    </w:p>
  </w:footnote>
  <w:footnote w:id="781">
    <w:p w14:paraId="596174B8" w14:textId="77777777" w:rsidR="00201F3F" w:rsidRPr="00CD0FEB" w:rsidRDefault="00201F3F" w:rsidP="00C2067F">
      <w:pPr>
        <w:pStyle w:val="14Footnote"/>
      </w:pPr>
      <w:r w:rsidRPr="00CD0FEB">
        <w:rPr>
          <w:vertAlign w:val="superscript"/>
        </w:rPr>
        <w:footnoteRef/>
      </w:r>
      <w:r w:rsidRPr="00CD0FEB">
        <w:rPr>
          <w:i/>
          <w:iCs/>
        </w:rPr>
        <w:t>Id</w:t>
      </w:r>
      <w:r w:rsidRPr="00CD0FEB">
        <w:t>. at 689.</w:t>
      </w:r>
    </w:p>
  </w:footnote>
  <w:footnote w:id="782">
    <w:p w14:paraId="0AC7A764"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700; </w:t>
      </w:r>
      <w:r w:rsidRPr="00CD0FEB">
        <w:rPr>
          <w:i/>
          <w:iCs/>
        </w:rPr>
        <w:t>see also</w:t>
      </w:r>
      <w:r w:rsidRPr="00CD0FEB">
        <w:t xml:space="preserve"> Reich v. Newspapers of New Eng., 44 F.3d 1060, 1075, 2 WH Cases2d 897 (1st Cir. 1995) (concluding newspaper reporters whose day-to-day duties primarily consisted of general reporting assignments and who rarely wrote editorials or interpretive articles did not qualify as exempt professionals).</w:t>
      </w:r>
    </w:p>
  </w:footnote>
  <w:footnote w:id="783">
    <w:p w14:paraId="286D5410" w14:textId="77777777" w:rsidR="00201F3F" w:rsidRPr="00CD0FEB" w:rsidRDefault="00201F3F" w:rsidP="00C2067F">
      <w:pPr>
        <w:pStyle w:val="14Footnote"/>
      </w:pPr>
      <w:r w:rsidRPr="00CD0FEB">
        <w:rPr>
          <w:vertAlign w:val="superscript"/>
        </w:rPr>
        <w:footnoteRef/>
      </w:r>
      <w:r w:rsidRPr="00CD0FEB">
        <w:t xml:space="preserve">623 F.3d 743, 16 WH Cases2d 1337 (9th Cir. 2010), </w:t>
      </w:r>
      <w:r w:rsidRPr="00CD0FEB">
        <w:rPr>
          <w:i/>
          <w:iCs/>
        </w:rPr>
        <w:t>judgment vacated on other grounds</w:t>
      </w:r>
      <w:r w:rsidRPr="00CD0FEB">
        <w:t>, 132 S. Ct. 74 (2011).</w:t>
      </w:r>
    </w:p>
  </w:footnote>
  <w:footnote w:id="784">
    <w:p w14:paraId="053EAE27" w14:textId="77777777" w:rsidR="00201F3F" w:rsidRPr="00CD0FEB" w:rsidRDefault="00201F3F" w:rsidP="00C2067F">
      <w:pPr>
        <w:pStyle w:val="14Footnote"/>
      </w:pPr>
      <w:r w:rsidRPr="00CD0FEB">
        <w:rPr>
          <w:vertAlign w:val="superscript"/>
        </w:rPr>
        <w:footnoteRef/>
      </w:r>
      <w:r w:rsidRPr="00CD0FEB">
        <w:t>623 F.3d at 753.</w:t>
      </w:r>
    </w:p>
  </w:footnote>
  <w:footnote w:id="785">
    <w:p w14:paraId="50ABB475"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786">
    <w:p w14:paraId="6636BF5F" w14:textId="77777777" w:rsidR="00201F3F" w:rsidRPr="00CD0FEB" w:rsidRDefault="00201F3F" w:rsidP="00C2067F">
      <w:pPr>
        <w:pStyle w:val="14Footnote"/>
      </w:pPr>
      <w:r w:rsidRPr="00CD0FEB">
        <w:rPr>
          <w:vertAlign w:val="superscript"/>
        </w:rPr>
        <w:footnoteRef/>
      </w:r>
      <w:r w:rsidRPr="00CD0FEB">
        <w:t xml:space="preserve">Sherwood v. Washington Post, 871 F. Supp. 1471, 1481, 2 WH Cases2d 804 (D.D.C. 1994); </w:t>
      </w:r>
      <w:r w:rsidRPr="00CD0FEB">
        <w:rPr>
          <w:i/>
          <w:iCs/>
        </w:rPr>
        <w:t>see also</w:t>
      </w:r>
      <w:r w:rsidRPr="00CD0FEB">
        <w:t xml:space="preserve"> Freeman v. National Broad. Co., 80 F.3d 78, 85, 3 WH Cases2d 289, 293–94 (2d Cir. 1996) (rejecting DOL interpretive regulation severely restricting application of artistic professional exemption to journalists in light of significant changes in news industry).</w:t>
      </w:r>
    </w:p>
  </w:footnote>
  <w:footnote w:id="787">
    <w:p w14:paraId="5D589BAB" w14:textId="77777777" w:rsidR="00201F3F" w:rsidRPr="00CD0FEB" w:rsidRDefault="00201F3F" w:rsidP="00C2067F">
      <w:pPr>
        <w:pStyle w:val="14Footnote"/>
      </w:pPr>
      <w:r w:rsidRPr="00CD0FEB">
        <w:rPr>
          <w:vertAlign w:val="superscript"/>
        </w:rPr>
        <w:footnoteRef/>
      </w:r>
      <w:r w:rsidRPr="00CD0FEB">
        <w:rPr>
          <w:i/>
          <w:iCs/>
        </w:rPr>
        <w:t>Sherwood</w:t>
      </w:r>
      <w:r w:rsidRPr="00CD0FEB">
        <w:t xml:space="preserve">, 871 F. Supp. at 1481; </w:t>
      </w:r>
      <w:r w:rsidRPr="00CD0FEB">
        <w:rPr>
          <w:i/>
          <w:iCs/>
        </w:rPr>
        <w:t>see also</w:t>
      </w:r>
      <w:r w:rsidRPr="00CD0FEB">
        <w:t xml:space="preserve"> Lewis v. New World Commc’ns, 28 WH Cases 473, 476 (D.D.C. 1987) (holding employee who wrote highly individualized and critical evaluations of broadcast programs intended to influence public was exempt).</w:t>
      </w:r>
    </w:p>
  </w:footnote>
  <w:footnote w:id="788">
    <w:p w14:paraId="2B58C823" w14:textId="77777777" w:rsidR="00201F3F" w:rsidRPr="00CD0FEB" w:rsidRDefault="00201F3F" w:rsidP="00C2067F">
      <w:pPr>
        <w:pStyle w:val="14Footnote"/>
      </w:pPr>
      <w:r w:rsidRPr="00CD0FEB">
        <w:rPr>
          <w:vertAlign w:val="superscript"/>
        </w:rPr>
        <w:footnoteRef/>
      </w:r>
      <w:r w:rsidRPr="00CD0FEB">
        <w:t>29 C.F.R. §541.302(d).</w:t>
      </w:r>
    </w:p>
  </w:footnote>
  <w:footnote w:id="789">
    <w:p w14:paraId="0802B877" w14:textId="77777777" w:rsidR="00201F3F" w:rsidRPr="00CD0FEB" w:rsidRDefault="00201F3F" w:rsidP="00C2067F">
      <w:pPr>
        <w:pStyle w:val="14Footnote"/>
      </w:pPr>
      <w:r w:rsidRPr="00CD0FEB">
        <w:rPr>
          <w:vertAlign w:val="superscript"/>
        </w:rPr>
        <w:footnoteRef/>
      </w:r>
      <w:r w:rsidRPr="00CD0FEB">
        <w:t>Dalheim v. KDFW-TV, 918 F.2d 1220, 1228–29, 30 WH Cases 113 (5th Cir. 1990) (deeming television news reporters and producers who worked “within a well-defined framework of management policies and editorial convention” not exempt artistic professionals).</w:t>
      </w:r>
    </w:p>
  </w:footnote>
  <w:footnote w:id="790">
    <w:p w14:paraId="6B6B673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(deeming general assignment reporters not exempt). The </w:t>
      </w:r>
      <w:r w:rsidRPr="00CD0FEB">
        <w:rPr>
          <w:i/>
          <w:iCs/>
        </w:rPr>
        <w:t>Dalheim</w:t>
      </w:r>
      <w:r w:rsidRPr="00CD0FEB">
        <w:t xml:space="preserve"> decision was criticized for its consideration of original and creative work as a requirement of the since-abandoned short test when it was only required by the long test. </w:t>
      </w:r>
      <w:r w:rsidRPr="00CD0FEB">
        <w:rPr>
          <w:i/>
          <w:iCs/>
        </w:rPr>
        <w:t>See Freeman</w:t>
      </w:r>
      <w:r w:rsidRPr="00CD0FEB">
        <w:t>, 80 F.3d at 85, 3 WH Cases2d at 292–93.</w:t>
      </w:r>
    </w:p>
  </w:footnote>
  <w:footnote w:id="791">
    <w:p w14:paraId="1263E62D" w14:textId="77777777" w:rsidR="00201F3F" w:rsidRPr="00CD0FEB" w:rsidRDefault="00201F3F" w:rsidP="00C2067F">
      <w:pPr>
        <w:pStyle w:val="14Footnote"/>
      </w:pPr>
      <w:r w:rsidRPr="00CD0FEB">
        <w:rPr>
          <w:vertAlign w:val="superscript"/>
        </w:rPr>
        <w:footnoteRef/>
      </w:r>
      <w:r w:rsidRPr="00CD0FEB">
        <w:t>Dalheim v. KDFW-TV, 706 F. Supp. 493, 506, 29 WH Cases 1 (N.D. Tex. 1988).</w:t>
      </w:r>
    </w:p>
  </w:footnote>
  <w:footnote w:id="792">
    <w:p w14:paraId="1D82188D" w14:textId="77777777" w:rsidR="00201F3F" w:rsidRPr="00CD0FEB" w:rsidRDefault="00201F3F" w:rsidP="00C2067F">
      <w:pPr>
        <w:pStyle w:val="14Footnote"/>
      </w:pPr>
      <w:r w:rsidRPr="00CD0FEB">
        <w:rPr>
          <w:vertAlign w:val="superscript"/>
        </w:rPr>
        <w:footnoteRef/>
      </w:r>
      <w:r w:rsidRPr="00CD0FEB">
        <w:rPr>
          <w:i/>
          <w:iCs/>
        </w:rPr>
        <w:t>Dalheim</w:t>
      </w:r>
      <w:r w:rsidRPr="00CD0FEB">
        <w:t>, 918 F.2d at 1229.</w:t>
      </w:r>
    </w:p>
  </w:footnote>
  <w:footnote w:id="793">
    <w:p w14:paraId="22F4A8A6" w14:textId="77777777" w:rsidR="00201F3F" w:rsidRPr="00CD0FEB" w:rsidRDefault="00201F3F" w:rsidP="00C2067F">
      <w:pPr>
        <w:pStyle w:val="14Footnote"/>
      </w:pPr>
      <w:r w:rsidRPr="00CD0FEB">
        <w:rPr>
          <w:vertAlign w:val="superscript"/>
        </w:rPr>
        <w:footnoteRef/>
      </w:r>
      <w:r w:rsidRPr="00CD0FEB">
        <w:t>80 F.3d 78, 3 WH Cases2d 289 (2d Cir. 1996).</w:t>
      </w:r>
    </w:p>
  </w:footnote>
  <w:footnote w:id="794">
    <w:p w14:paraId="1EF6B077"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795">
    <w:p w14:paraId="78DC75A2" w14:textId="77777777" w:rsidR="00201F3F" w:rsidRPr="00CD0FEB" w:rsidRDefault="00201F3F" w:rsidP="00C2067F">
      <w:pPr>
        <w:pStyle w:val="14Footnote"/>
      </w:pPr>
      <w:r w:rsidRPr="00CD0FEB">
        <w:rPr>
          <w:vertAlign w:val="superscript"/>
        </w:rPr>
        <w:footnoteRef/>
      </w:r>
      <w:r w:rsidRPr="00CD0FEB">
        <w:t xml:space="preserve">29 C.F.R. §541.303(a). “The term ‘educational establishment’ means an elementary or secondary school system, an institution of higher education or other educational institution.” </w:t>
      </w:r>
      <w:r w:rsidRPr="00CD0FEB">
        <w:rPr>
          <w:i/>
          <w:iCs/>
        </w:rPr>
        <w:t>Id.</w:t>
      </w:r>
      <w:r w:rsidRPr="00CD0FEB">
        <w:t xml:space="preserve"> §541.204(b).</w:t>
      </w:r>
    </w:p>
  </w:footnote>
  <w:footnote w:id="796">
    <w:p w14:paraId="3C99AEBB"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§541.303(d). </w:t>
      </w:r>
      <w:r w:rsidRPr="00CD0FEB">
        <w:rPr>
          <w:i/>
          <w:iCs/>
        </w:rPr>
        <w:t>See</w:t>
      </w:r>
      <w:r w:rsidRPr="00CD0FEB">
        <w:t xml:space="preserve"> Tongring v. Bronx Cmty. Coll. of the City Univ. of N.Y. Sys., 2014 WL 463616, at *2 (S.D.N.Y. Feb. 4, 2014) (adjunct professor at Bronx Community College contended that he was not compensated on a salary basis in an amount greater than $455/week; court granted motion to dismiss since salary threshold did not apply to those employees “with a primary duty of teaching, tutoring, instructing or lecturing in the activity of imparting knowledge” while employed at an education establishment).</w:t>
      </w:r>
    </w:p>
  </w:footnote>
  <w:footnote w:id="797">
    <w:p w14:paraId="6ED0FE8B" w14:textId="77777777" w:rsidR="00201F3F" w:rsidRPr="00CD0FEB" w:rsidRDefault="00201F3F" w:rsidP="00C2067F">
      <w:pPr>
        <w:pStyle w:val="14Footnote"/>
      </w:pPr>
      <w:r w:rsidRPr="00CD0FEB">
        <w:rPr>
          <w:vertAlign w:val="superscript"/>
        </w:rPr>
        <w:footnoteRef/>
      </w:r>
      <w:r w:rsidRPr="00CD0FEB">
        <w:t>Wilks v. District of Columbia, 721 F. Supp. 1383, 1386, 29 WH Cases 777 (D.D.C. 1989) (concluding correctional facility that employed teachers certified by District of Columbia public schools to teach classes in English, reading, math, social sciences, natural sciences, art, home economics, and physical education constituted educational institution for purposes of exemption).</w:t>
      </w:r>
    </w:p>
  </w:footnote>
  <w:footnote w:id="798">
    <w:p w14:paraId="62C206B1" w14:textId="77777777" w:rsidR="00201F3F" w:rsidRPr="00CD0FEB" w:rsidRDefault="00201F3F" w:rsidP="00C2067F">
      <w:pPr>
        <w:pStyle w:val="14Footnote"/>
      </w:pPr>
      <w:r w:rsidRPr="00CD0FEB">
        <w:rPr>
          <w:vertAlign w:val="superscript"/>
        </w:rPr>
        <w:footnoteRef/>
      </w:r>
      <w:r w:rsidRPr="00CD0FEB">
        <w:t>Reich v. Miss Paula’s Day Care Ctr., 37 F.3d 1191, 2 WH Cases2d 609, 612 (6th Cir. 1994) (determining day-care center that offered preschool education qualified as educational institution).</w:t>
      </w:r>
    </w:p>
  </w:footnote>
  <w:footnote w:id="799">
    <w:p w14:paraId="4887993B" w14:textId="77777777" w:rsidR="00201F3F" w:rsidRPr="00CD0FEB" w:rsidRDefault="00201F3F" w:rsidP="00C2067F">
      <w:pPr>
        <w:pStyle w:val="14Footnote"/>
      </w:pPr>
      <w:r w:rsidRPr="00CD0FEB">
        <w:rPr>
          <w:vertAlign w:val="superscript"/>
        </w:rPr>
        <w:footnoteRef/>
      </w:r>
      <w:r w:rsidRPr="00CD0FEB">
        <w:t>Dole v. Shenandoah Baptist Church, 899 F.2d 1389, 1395, 29 WH Cases 1209, 1213 (4th Cir. 1990) (holding FLSA applies to church-operated schools).</w:t>
      </w:r>
    </w:p>
  </w:footnote>
  <w:footnote w:id="800">
    <w:p w14:paraId="150E399D" w14:textId="77777777" w:rsidR="00201F3F" w:rsidRPr="00CD0FEB" w:rsidRDefault="00201F3F" w:rsidP="00C2067F">
      <w:pPr>
        <w:pStyle w:val="14Footnote"/>
      </w:pPr>
      <w:r w:rsidRPr="00CD0FEB">
        <w:rPr>
          <w:vertAlign w:val="superscript"/>
        </w:rPr>
        <w:footnoteRef/>
      </w:r>
      <w:r w:rsidRPr="00CD0FEB">
        <w:t xml:space="preserve">Fernandez v. Zoni Language Ctrs., Inc., 858 F.3d 45, 27 WH Cases2d 547 (2d Cir. 2017) (holding that for-profit provider of English as a second language instruction was “other educational institution”); Marn v. ELS Educ. Servs., 2020 WL 7383193, at *4 (D.N.J. Dec. 15, 2020) (same). </w:t>
      </w:r>
    </w:p>
  </w:footnote>
  <w:footnote w:id="801">
    <w:p w14:paraId="5DC4F2F5" w14:textId="77777777" w:rsidR="00201F3F" w:rsidRPr="00CD0FEB" w:rsidRDefault="00201F3F" w:rsidP="00C2067F">
      <w:pPr>
        <w:pStyle w:val="14Footnote"/>
      </w:pPr>
      <w:r w:rsidRPr="00CD0FEB">
        <w:rPr>
          <w:vertAlign w:val="superscript"/>
        </w:rPr>
        <w:footnoteRef/>
      </w:r>
      <w:r w:rsidRPr="00CD0FEB">
        <w:t>Hashop v. Rockwell Space Operations Co</w:t>
      </w:r>
      <w:r w:rsidRPr="00CD0FEB">
        <w:rPr>
          <w:i/>
          <w:iCs/>
        </w:rPr>
        <w:t>.</w:t>
      </w:r>
      <w:r w:rsidRPr="00CD0FEB">
        <w:t xml:space="preserve">, 867 F. Supp. 1287, 1295, 2 WH Cases2d 707 (S.D. Tex. 1994); </w:t>
      </w:r>
      <w:r w:rsidRPr="00CD0FEB">
        <w:rPr>
          <w:i/>
          <w:iCs/>
        </w:rPr>
        <w:t>see also</w:t>
      </w:r>
      <w:r w:rsidRPr="00CD0FEB">
        <w:t xml:space="preserve"> Astor v. United States, 79 Fed. Cl. 303 (2007) (concluding Federal Law Enforcement Training Center did not qualify as an educational establishment where students were not seeking a degree or license, center did not have education accreditation credentials, and instructors did not possess degrees in education or teaching experience); Stallings v. International Sch. of Driving, 20 WH Cases 1021, 1022 (N.D. Cal. 1972) (holding driving school does not qualify as educational establishment). </w:t>
      </w:r>
      <w:r w:rsidRPr="00CD0FEB">
        <w:rPr>
          <w:i/>
          <w:iCs/>
        </w:rPr>
        <w:t>But see</w:t>
      </w:r>
      <w:r w:rsidRPr="00CD0FEB">
        <w:t xml:space="preserve"> Gonzales v. New Eng. Tractor Trailer Training Sch</w:t>
      </w:r>
      <w:r w:rsidRPr="00CD0FEB">
        <w:rPr>
          <w:i/>
          <w:iCs/>
        </w:rPr>
        <w:t>.</w:t>
      </w:r>
      <w:r w:rsidRPr="00CD0FEB">
        <w:t>, 932 F. Supp. 697, 3 WH Cases2d 758 (D. Md. 1996).</w:t>
      </w:r>
    </w:p>
  </w:footnote>
  <w:footnote w:id="802">
    <w:p w14:paraId="67A98050" w14:textId="77777777" w:rsidR="00201F3F" w:rsidRPr="00CD0FEB" w:rsidRDefault="00201F3F" w:rsidP="00C2067F">
      <w:pPr>
        <w:pStyle w:val="14Footnote"/>
      </w:pPr>
      <w:r w:rsidRPr="00CD0FEB">
        <w:rPr>
          <w:vertAlign w:val="superscript"/>
        </w:rPr>
        <w:footnoteRef/>
      </w:r>
      <w:r w:rsidRPr="00CD0FEB">
        <w:t>29 C.F.R. §541.303(c).</w:t>
      </w:r>
    </w:p>
  </w:footnote>
  <w:footnote w:id="803">
    <w:p w14:paraId="6CAC58B3" w14:textId="77777777" w:rsidR="00201F3F" w:rsidRPr="00CD0FEB" w:rsidRDefault="00201F3F" w:rsidP="00C2067F">
      <w:pPr>
        <w:pStyle w:val="14Footnote"/>
      </w:pPr>
      <w:r w:rsidRPr="00CD0FEB">
        <w:rPr>
          <w:vertAlign w:val="superscript"/>
        </w:rPr>
        <w:footnoteRef/>
      </w:r>
      <w:r w:rsidRPr="00CD0FEB">
        <w:rPr>
          <w:i/>
          <w:iCs/>
        </w:rPr>
        <w:t>Id</w:t>
      </w:r>
      <w:r w:rsidRPr="00CD0FEB">
        <w:t>. §541.303(b).</w:t>
      </w:r>
    </w:p>
  </w:footnote>
  <w:footnote w:id="804">
    <w:p w14:paraId="2AD3AA7D" w14:textId="77777777" w:rsidR="00201F3F" w:rsidRPr="00CD0FEB" w:rsidRDefault="00201F3F" w:rsidP="00C2067F">
      <w:pPr>
        <w:pStyle w:val="14Footnote"/>
      </w:pPr>
      <w:r w:rsidRPr="00CD0FEB">
        <w:rPr>
          <w:vertAlign w:val="superscript"/>
        </w:rPr>
        <w:footnoteRef/>
      </w:r>
      <w:r w:rsidRPr="00CD0FEB">
        <w:rPr>
          <w:i/>
          <w:iCs/>
        </w:rPr>
        <w:t>Id.</w:t>
      </w:r>
      <w:r w:rsidRPr="00CD0FEB">
        <w:t>; FOH §22d06(c); Ramos v. Lee Cnty. Sch. Bd., 2005 WL 2405832 (M.D. Fla. Sept. 29, 2005) (finding HeadStart instructors exempt under regulation).</w:t>
      </w:r>
    </w:p>
  </w:footnote>
  <w:footnote w:id="805">
    <w:p w14:paraId="154040C6" w14:textId="77777777" w:rsidR="00201F3F" w:rsidRPr="00CD0FEB" w:rsidRDefault="00201F3F" w:rsidP="00C2067F">
      <w:pPr>
        <w:pStyle w:val="14Footnote"/>
      </w:pPr>
      <w:r w:rsidRPr="00CD0FEB">
        <w:rPr>
          <w:vertAlign w:val="superscript"/>
        </w:rPr>
        <w:footnoteRef/>
      </w:r>
      <w:r w:rsidRPr="00CD0FEB">
        <w:t>WH Op. FLSA2019-4 (Apr. 2, 2019).</w:t>
      </w:r>
      <w:r w:rsidRPr="00CD0FEB">
        <w:tab/>
      </w:r>
    </w:p>
  </w:footnote>
  <w:footnote w:id="806">
    <w:p w14:paraId="5D01AAB8" w14:textId="77777777" w:rsidR="00201F3F" w:rsidRPr="00CD0FEB" w:rsidRDefault="00201F3F" w:rsidP="00C2067F">
      <w:pPr>
        <w:pStyle w:val="14Footnote"/>
      </w:pPr>
      <w:r w:rsidRPr="00CD0FEB">
        <w:rPr>
          <w:vertAlign w:val="superscript"/>
        </w:rPr>
        <w:footnoteRef/>
      </w:r>
      <w:r w:rsidRPr="00CD0FEB">
        <w:t xml:space="preserve">WH Op. FLSA2018-6, 2018 WL 2348786 (Jan 5. 2018). </w:t>
      </w:r>
    </w:p>
  </w:footnote>
  <w:footnote w:id="807">
    <w:p w14:paraId="23FF36ED" w14:textId="77777777" w:rsidR="00201F3F" w:rsidRPr="00CD0FEB" w:rsidRDefault="00201F3F" w:rsidP="00C2067F">
      <w:pPr>
        <w:pStyle w:val="14Footnote"/>
      </w:pPr>
      <w:r w:rsidRPr="00CD0FEB">
        <w:rPr>
          <w:vertAlign w:val="superscript"/>
        </w:rPr>
        <w:footnoteRef/>
      </w:r>
      <w:r w:rsidRPr="00CD0FEB">
        <w:t>WH Op., 2000 WL 34444349 (Sept. 25, 2000).</w:t>
      </w:r>
    </w:p>
  </w:footnote>
  <w:footnote w:id="808">
    <w:p w14:paraId="10EAF306" w14:textId="77777777" w:rsidR="00201F3F" w:rsidRPr="00CD0FEB" w:rsidRDefault="00201F3F" w:rsidP="00C2067F">
      <w:pPr>
        <w:pStyle w:val="14Footnote"/>
      </w:pPr>
      <w:r w:rsidRPr="00CD0FEB">
        <w:rPr>
          <w:vertAlign w:val="superscript"/>
        </w:rPr>
        <w:footnoteRef/>
      </w:r>
      <w:r w:rsidRPr="00CD0FEB">
        <w:t>WH Op. FLSA2001-8, 2001 WL 1558957 (Mar. 5, 2001).</w:t>
      </w:r>
    </w:p>
  </w:footnote>
  <w:footnote w:id="809">
    <w:p w14:paraId="2079E740" w14:textId="77777777" w:rsidR="00201F3F" w:rsidRPr="00CD0FEB" w:rsidRDefault="00201F3F" w:rsidP="00C2067F">
      <w:pPr>
        <w:pStyle w:val="14Footnote"/>
      </w:pPr>
      <w:r w:rsidRPr="00CD0FEB">
        <w:rPr>
          <w:vertAlign w:val="superscript"/>
        </w:rPr>
        <w:footnoteRef/>
      </w:r>
      <w:r w:rsidRPr="00CD0FEB">
        <w:t>WH Op., 2004 WL 2146934 (June 2, 2004).</w:t>
      </w:r>
    </w:p>
  </w:footnote>
  <w:footnote w:id="810">
    <w:p w14:paraId="7FA95352" w14:textId="77777777" w:rsidR="00201F3F" w:rsidRPr="00CD0FEB" w:rsidRDefault="00201F3F" w:rsidP="00C2067F">
      <w:pPr>
        <w:pStyle w:val="14Footnote"/>
      </w:pPr>
      <w:r w:rsidRPr="00CD0FEB">
        <w:rPr>
          <w:vertAlign w:val="superscript"/>
        </w:rPr>
        <w:footnoteRef/>
      </w:r>
      <w:r w:rsidRPr="00CD0FEB">
        <w:t>WH Op. FLSA2005-39, 2005 WL 3308610 (Oct. 13, 2005).</w:t>
      </w:r>
    </w:p>
  </w:footnote>
  <w:footnote w:id="811">
    <w:p w14:paraId="1DEE5F29" w14:textId="77777777" w:rsidR="00201F3F" w:rsidRPr="00CD0FEB" w:rsidRDefault="00201F3F" w:rsidP="00C2067F">
      <w:pPr>
        <w:pStyle w:val="14Footnote"/>
      </w:pPr>
      <w:r w:rsidRPr="00CD0FEB">
        <w:rPr>
          <w:vertAlign w:val="superscript"/>
        </w:rPr>
        <w:footnoteRef/>
      </w:r>
      <w:r w:rsidRPr="00CD0FEB">
        <w:t xml:space="preserve">WH Op. FLSA2006-41, 2006 WL 3406601 (Oct. 26, 2006). </w:t>
      </w:r>
      <w:r w:rsidRPr="00CD0FEB">
        <w:rPr>
          <w:i/>
          <w:iCs/>
        </w:rPr>
        <w:t>See also</w:t>
      </w:r>
      <w:r w:rsidRPr="00CD0FEB">
        <w:t xml:space="preserve"> Escobedo v. Construction Laborers’ Educ., Training &amp; Apprenticeship Fund of Minn. &amp; N.D</w:t>
      </w:r>
      <w:r w:rsidRPr="00CD0FEB">
        <w:rPr>
          <w:i/>
          <w:iCs/>
        </w:rPr>
        <w:t>.</w:t>
      </w:r>
      <w:r w:rsidRPr="00CD0FEB">
        <w:t>, 2012 WL 4838880, 19 WH Cases2d 1354 (D. Minn. Oct. 11, 2012) (concluding vocational facility that trained students in industrial and safety courses and held license from appropriate state agency was educational institution).</w:t>
      </w:r>
    </w:p>
  </w:footnote>
  <w:footnote w:id="812">
    <w:p w14:paraId="5CC570CC" w14:textId="77777777" w:rsidR="00201F3F" w:rsidRPr="00CD0FEB" w:rsidRDefault="00201F3F" w:rsidP="00C2067F">
      <w:pPr>
        <w:pStyle w:val="14Footnote"/>
      </w:pPr>
      <w:r w:rsidRPr="00CD0FEB">
        <w:rPr>
          <w:vertAlign w:val="superscript"/>
        </w:rPr>
        <w:footnoteRef/>
      </w:r>
      <w:r w:rsidRPr="00CD0FEB">
        <w:t>WH Op. FLSA2003-4NA, 2003 WL 25530786 (Oct. 15, 2003).</w:t>
      </w:r>
    </w:p>
  </w:footnote>
  <w:footnote w:id="813">
    <w:p w14:paraId="1D853833"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814">
    <w:p w14:paraId="1AC9BA32" w14:textId="77777777" w:rsidR="00201F3F" w:rsidRPr="00CD0FEB" w:rsidRDefault="00201F3F" w:rsidP="00C2067F">
      <w:pPr>
        <w:pStyle w:val="14Footnote"/>
      </w:pPr>
      <w:r w:rsidRPr="00CD0FEB">
        <w:rPr>
          <w:vertAlign w:val="superscript"/>
        </w:rPr>
        <w:footnoteRef/>
      </w:r>
      <w:r w:rsidRPr="00CD0FEB">
        <w:t>Astor v. United States, 79 Fed. Cl. 303, 312–13 (2007) (decided under the Office of Personnel Management regulations).</w:t>
      </w:r>
    </w:p>
  </w:footnote>
  <w:footnote w:id="815">
    <w:p w14:paraId="47F8D672" w14:textId="77777777" w:rsidR="00201F3F" w:rsidRPr="00CD0FEB" w:rsidRDefault="00201F3F" w:rsidP="00C2067F">
      <w:pPr>
        <w:pStyle w:val="14Footnote"/>
      </w:pPr>
      <w:r w:rsidRPr="00CD0FEB">
        <w:rPr>
          <w:vertAlign w:val="superscript"/>
        </w:rPr>
        <w:footnoteRef/>
      </w:r>
      <w:r w:rsidRPr="00CD0FEB">
        <w:t>29 C.F.R. §541.304(a). The exemption does not apply to attorneys whose license to practice law is under suspension. Faludi v. US Shale Sols. LLC, 2017 WL 5969261, at *10 (S.D. Tex. Nov. 30, 2017).</w:t>
      </w:r>
    </w:p>
  </w:footnote>
  <w:footnote w:id="816">
    <w:p w14:paraId="3047BBCA"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§541.304(b).</w:t>
      </w:r>
    </w:p>
  </w:footnote>
  <w:footnote w:id="817">
    <w:p w14:paraId="4AFC0F3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p>
  </w:footnote>
  <w:footnote w:id="818">
    <w:p w14:paraId="42DFD0B3" w14:textId="77777777" w:rsidR="00201F3F" w:rsidRPr="00CD0FEB" w:rsidRDefault="00201F3F" w:rsidP="00C2067F">
      <w:pPr>
        <w:pStyle w:val="14Footnote"/>
      </w:pPr>
      <w:r w:rsidRPr="00CD0FEB">
        <w:rPr>
          <w:vertAlign w:val="superscript"/>
        </w:rPr>
        <w:footnoteRef/>
      </w:r>
      <w:r w:rsidRPr="00CD0FEB">
        <w:t>Hui Luo v. L&amp;S Acupuncture PC, 2015 WL 1055084 (E.D.N.Y. Jan. 23, 2015).</w:t>
      </w:r>
    </w:p>
  </w:footnote>
  <w:footnote w:id="819">
    <w:p w14:paraId="1F562D3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§541.304(c).</w:t>
      </w:r>
    </w:p>
  </w:footnote>
  <w:footnote w:id="820">
    <w:p w14:paraId="48111D5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§541.304(d); FOH §22d03(d). </w:t>
      </w:r>
    </w:p>
  </w:footnote>
  <w:footnote w:id="821">
    <w:p w14:paraId="539FCA07" w14:textId="77777777" w:rsidR="00201F3F" w:rsidRPr="00CD0FEB" w:rsidRDefault="00201F3F" w:rsidP="00C2067F">
      <w:pPr>
        <w:pStyle w:val="14Footnote"/>
      </w:pPr>
      <w:r w:rsidRPr="00CD0FEB">
        <w:rPr>
          <w:vertAlign w:val="superscript"/>
        </w:rPr>
        <w:footnoteRef/>
      </w:r>
      <w:r w:rsidRPr="00CD0FEB">
        <w:t>Okonkwo v. Callins Law Firm, LLC, 668 F. App’x 875, 876 (11th Cir. 2016) (observing that “licensed attorneys are exempt from the FLSA’s overtime compensation requirements irrespective of their pay structure” and rejecting associate attorney’s contention that she was misclassified as exempt because firm paid her hourly wage).</w:t>
      </w:r>
    </w:p>
  </w:footnote>
  <w:footnote w:id="822">
    <w:p w14:paraId="3416618F" w14:textId="77777777" w:rsidR="00201F3F" w:rsidRPr="00CD0FEB" w:rsidRDefault="00201F3F" w:rsidP="002834A9">
      <w:pPr>
        <w:pStyle w:val="14Footnote"/>
      </w:pPr>
      <w:r w:rsidRPr="00CD0FEB">
        <w:rPr>
          <w:rStyle w:val="FootnoteReference"/>
        </w:rPr>
        <w:footnoteRef/>
      </w:r>
      <w:r w:rsidRPr="00CD0FEB">
        <w:rPr>
          <w:i/>
          <w:iCs/>
        </w:rPr>
        <w:t>See, e.g.</w:t>
      </w:r>
      <w:r w:rsidRPr="00CD0FEB">
        <w:t>, Sebren v. Harrison, 552 F. Supp. 3d 249, 258 (D.R.I. 2021) (finding factual dispute as to exempt status of former paralegal employed by law firm as attorney after passing the bar where substantial portion of her work continued to be the administrative/secretarial/paralegal tasks she had been doing previously).</w:t>
      </w:r>
    </w:p>
  </w:footnote>
  <w:footnote w:id="823">
    <w:p w14:paraId="59A97DD2" w14:textId="77777777" w:rsidR="00201F3F" w:rsidRPr="00CD0FEB" w:rsidRDefault="00201F3F" w:rsidP="00C2067F">
      <w:pPr>
        <w:pStyle w:val="14Footnote"/>
      </w:pPr>
      <w:r w:rsidRPr="00CD0FEB">
        <w:rPr>
          <w:vertAlign w:val="superscript"/>
        </w:rPr>
        <w:footnoteRef/>
      </w:r>
      <w:r w:rsidRPr="00105650">
        <w:t xml:space="preserve">620 F. App’x 37, 2015 WL 4476828 (2d Cir. </w:t>
      </w:r>
      <w:r w:rsidRPr="00CD0FEB">
        <w:t>July 23, 2015).</w:t>
      </w:r>
    </w:p>
  </w:footnote>
  <w:footnote w:id="824">
    <w:p w14:paraId="564CB715" w14:textId="77777777" w:rsidR="00201F3F" w:rsidRPr="00CD0FEB" w:rsidRDefault="00201F3F" w:rsidP="00C2067F">
      <w:pPr>
        <w:pStyle w:val="14Footnote"/>
      </w:pPr>
      <w:r w:rsidRPr="00CD0FEB">
        <w:rPr>
          <w:vertAlign w:val="superscript"/>
        </w:rPr>
        <w:footnoteRef/>
      </w:r>
      <w:r w:rsidRPr="00CD0FEB">
        <w:t xml:space="preserve">620 F. App’x at 45. </w:t>
      </w:r>
    </w:p>
  </w:footnote>
  <w:footnote w:id="825">
    <w:p w14:paraId="581879A4" w14:textId="77777777" w:rsidR="00201F3F" w:rsidRPr="00CD0FEB" w:rsidRDefault="00201F3F" w:rsidP="00C2067F">
      <w:pPr>
        <w:pStyle w:val="14Footnote"/>
      </w:pPr>
      <w:r w:rsidRPr="00CD0FEB">
        <w:rPr>
          <w:vertAlign w:val="superscript"/>
        </w:rPr>
        <w:footnoteRef/>
      </w:r>
      <w:r w:rsidRPr="00CD0FEB">
        <w:t>Oberc v. BP PLC, 2013 WL 6007211, at *6 (S.D. Tex. Nov. 13, 2013).</w:t>
      </w:r>
    </w:p>
  </w:footnote>
  <w:footnote w:id="826">
    <w:p w14:paraId="3DFF80B0" w14:textId="77777777" w:rsidR="00201F3F" w:rsidRPr="00CD0FEB" w:rsidRDefault="00201F3F" w:rsidP="00C2067F">
      <w:pPr>
        <w:pStyle w:val="14Footnote"/>
      </w:pPr>
      <w:r w:rsidRPr="00CD0FEB">
        <w:rPr>
          <w:vertAlign w:val="superscript"/>
        </w:rPr>
        <w:footnoteRef/>
      </w:r>
      <w:r w:rsidRPr="00CD0FEB">
        <w:t>29 C.F.R. §541.601.</w:t>
      </w:r>
    </w:p>
  </w:footnote>
  <w:footnote w:id="827">
    <w:p w14:paraId="0DF8C04C"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§541.601(a), (b); </w:t>
      </w:r>
      <w:r w:rsidRPr="00CD0FEB">
        <w:rPr>
          <w:smallCaps/>
        </w:rPr>
        <w:t>U.S. Dep’t of Labor, Wage &amp; Hour Div.,</w:t>
      </w:r>
      <w:r w:rsidRPr="00CD0FEB">
        <w:t xml:space="preserve"> </w:t>
      </w:r>
      <w:r w:rsidRPr="00CD0FEB">
        <w:rPr>
          <w:smallCaps/>
        </w:rPr>
        <w:t>Fact Sheet #17H: Highly Compensated Employees and the Part 541 Exemptions Under the Fair Labor Standards Act</w:t>
      </w:r>
      <w:r w:rsidRPr="00CD0FEB">
        <w:t xml:space="preserve"> (FLSA) (Sept. 2019), https://www.dol.gov/sites/dolgov/files/WHD/legacy/files/fs17h_highly_comp.pdf.</w:t>
      </w:r>
      <w:r w:rsidRPr="00CD0FEB">
        <w:rPr>
          <w:i/>
          <w:iCs/>
        </w:rPr>
        <w:t xml:space="preserve"> </w:t>
      </w:r>
    </w:p>
  </w:footnote>
  <w:footnote w:id="828">
    <w:p w14:paraId="1AF5EDB7" w14:textId="77777777" w:rsidR="00201F3F" w:rsidRPr="00CD0FEB" w:rsidRDefault="00201F3F" w:rsidP="00C2067F">
      <w:pPr>
        <w:pStyle w:val="14Footnote"/>
      </w:pPr>
      <w:r w:rsidRPr="00CD0FEB">
        <w:rPr>
          <w:vertAlign w:val="superscript"/>
        </w:rPr>
        <w:footnoteRef/>
      </w:r>
      <w:r w:rsidRPr="00CD0FEB">
        <w:t xml:space="preserve">29 C.F.R. §541.601(b)(1); </w:t>
      </w:r>
      <w:r w:rsidRPr="00CD0FEB">
        <w:rPr>
          <w:smallCaps/>
        </w:rPr>
        <w:t>Fact Sheet</w:t>
      </w:r>
      <w:r w:rsidRPr="00CD0FEB">
        <w:t xml:space="preserve"> #17H.</w:t>
      </w:r>
    </w:p>
  </w:footnote>
  <w:footnote w:id="829">
    <w:p w14:paraId="67AD519B" w14:textId="77777777" w:rsidR="00201F3F" w:rsidRPr="00CD0FEB" w:rsidRDefault="00201F3F" w:rsidP="00C2067F">
      <w:pPr>
        <w:pStyle w:val="14Footnote"/>
      </w:pPr>
      <w:r w:rsidRPr="00CD0FEB">
        <w:rPr>
          <w:vertAlign w:val="superscript"/>
        </w:rPr>
        <w:footnoteRef/>
      </w:r>
      <w:r w:rsidRPr="00CD0FEB">
        <w:rPr>
          <w:smallCaps/>
        </w:rPr>
        <w:t>Fact Sheet</w:t>
      </w:r>
      <w:r w:rsidRPr="00CD0FEB">
        <w:t xml:space="preserve"> #17H.</w:t>
      </w:r>
    </w:p>
  </w:footnote>
  <w:footnote w:id="830">
    <w:p w14:paraId="7F209620" w14:textId="77777777" w:rsidR="00201F3F" w:rsidRPr="00CD0FEB" w:rsidRDefault="00201F3F" w:rsidP="00C2067F">
      <w:pPr>
        <w:pStyle w:val="14Footnote"/>
      </w:pPr>
      <w:r w:rsidRPr="00CD0FEB">
        <w:rPr>
          <w:vertAlign w:val="superscript"/>
        </w:rPr>
        <w:footnoteRef/>
      </w:r>
      <w:r w:rsidRPr="00CD0FEB">
        <w:t>Hicks v. Mercedes-Benz U.S. Int’l Inc., 19 WH Cases2d 349, 2012 WL 1566140, at *4 (N.D. Ala. Apr. 30, 2012).</w:t>
      </w:r>
    </w:p>
  </w:footnote>
  <w:footnote w:id="831">
    <w:p w14:paraId="202C3C44" w14:textId="77777777" w:rsidR="00201F3F" w:rsidRPr="00CD0FEB" w:rsidRDefault="00201F3F" w:rsidP="00C2067F">
      <w:pPr>
        <w:pStyle w:val="14Footnote"/>
      </w:pPr>
      <w:r w:rsidRPr="00CD0FEB">
        <w:rPr>
          <w:vertAlign w:val="superscript"/>
        </w:rPr>
        <w:footnoteRef/>
      </w:r>
      <w:r w:rsidRPr="00CD0FEB">
        <w:t>Hill v. Sandia Nat’l Labs., No. CIV 08-319, slip op. at 8–9 (D.N.M. Mar. 10, 2009).</w:t>
      </w:r>
    </w:p>
  </w:footnote>
  <w:footnote w:id="832">
    <w:p w14:paraId="5C10D33E" w14:textId="77777777" w:rsidR="00201F3F" w:rsidRPr="00CD0FEB" w:rsidRDefault="00201F3F" w:rsidP="00B070C8">
      <w:pPr>
        <w:pStyle w:val="14Footnote"/>
      </w:pPr>
      <w:r w:rsidRPr="00CD0FEB">
        <w:rPr>
          <w:rStyle w:val="FootnoteReference"/>
        </w:rPr>
        <w:footnoteRef/>
      </w:r>
      <w:r w:rsidRPr="00CD0FEB">
        <w:t>730 F.3d 146 (2d Cir. 2013).</w:t>
      </w:r>
    </w:p>
  </w:footnote>
  <w:footnote w:id="833">
    <w:p w14:paraId="0C84E9DD" w14:textId="77777777" w:rsidR="00201F3F" w:rsidRPr="00CD0FEB" w:rsidRDefault="00201F3F" w:rsidP="00C2067F">
      <w:pPr>
        <w:pStyle w:val="14Footnote"/>
      </w:pPr>
      <w:r w:rsidRPr="00CD0FEB">
        <w:rPr>
          <w:vertAlign w:val="superscript"/>
        </w:rPr>
        <w:footnoteRef/>
      </w:r>
      <w:r w:rsidRPr="00CD0FEB">
        <w:rPr>
          <w:i/>
        </w:rPr>
        <w:t>Id.</w:t>
      </w:r>
      <w:r w:rsidRPr="00CD0FEB">
        <w:t xml:space="preserve"> at 149–50.</w:t>
      </w:r>
    </w:p>
  </w:footnote>
  <w:footnote w:id="834">
    <w:p w14:paraId="620C6BD2" w14:textId="77777777" w:rsidR="00201F3F" w:rsidRPr="00CD0FEB" w:rsidRDefault="00201F3F" w:rsidP="00C2067F">
      <w:pPr>
        <w:pStyle w:val="14Footnote"/>
      </w:pPr>
      <w:r w:rsidRPr="00CD0FEB">
        <w:rPr>
          <w:vertAlign w:val="superscript"/>
        </w:rPr>
        <w:footnoteRef/>
      </w:r>
      <w:r w:rsidRPr="00CD0FEB">
        <w:t>772 F.3d 1 (1st Cir. 2014).</w:t>
      </w:r>
    </w:p>
  </w:footnote>
  <w:footnote w:id="835">
    <w:p w14:paraId="11913B65" w14:textId="77777777" w:rsidR="00201F3F" w:rsidRPr="00CD0FEB" w:rsidRDefault="00201F3F" w:rsidP="00C2067F">
      <w:pPr>
        <w:pStyle w:val="14Footnote"/>
      </w:pPr>
      <w:r w:rsidRPr="00CD0FEB">
        <w:rPr>
          <w:vertAlign w:val="superscript"/>
        </w:rPr>
        <w:footnoteRef/>
      </w:r>
      <w:r w:rsidRPr="00CD0FEB">
        <w:rPr>
          <w:i/>
          <w:iCs/>
        </w:rPr>
        <w:t>Id</w:t>
      </w:r>
      <w:r w:rsidRPr="00CD0FEB">
        <w:t>. at 5.</w:t>
      </w:r>
    </w:p>
  </w:footnote>
  <w:footnote w:id="836">
    <w:p w14:paraId="0BA05EF2" w14:textId="77777777" w:rsidR="00201F3F" w:rsidRPr="00CD0FEB" w:rsidRDefault="00201F3F" w:rsidP="002834A9">
      <w:pPr>
        <w:pStyle w:val="14Footnote"/>
      </w:pPr>
      <w:r w:rsidRPr="00CD0FEB">
        <w:rPr>
          <w:rStyle w:val="FootnoteReference"/>
        </w:rPr>
        <w:footnoteRef/>
      </w:r>
      <w:r w:rsidRPr="00CD0FEB">
        <w:t>143 S. Ct. 677 (2023).</w:t>
      </w:r>
    </w:p>
  </w:footnote>
  <w:footnote w:id="837">
    <w:p w14:paraId="226727CF" w14:textId="77777777" w:rsidR="00201F3F" w:rsidRPr="00CD0FEB" w:rsidRDefault="00201F3F" w:rsidP="002834A9">
      <w:pPr>
        <w:pStyle w:val="14Footnote"/>
      </w:pPr>
      <w:r w:rsidRPr="00CD0FEB">
        <w:rPr>
          <w:rStyle w:val="FootnoteReference"/>
        </w:rPr>
        <w:footnoteRef/>
      </w:r>
      <w:r w:rsidRPr="00CD0FEB">
        <w:rPr>
          <w:i/>
          <w:iCs/>
        </w:rPr>
        <w:t>Id.</w:t>
      </w:r>
      <w:r w:rsidRPr="00CD0FEB">
        <w:t xml:space="preserve"> at 690.</w:t>
      </w:r>
    </w:p>
  </w:footnote>
  <w:footnote w:id="838">
    <w:p w14:paraId="6A6EE505" w14:textId="77777777" w:rsidR="00201F3F" w:rsidRPr="00CD0FEB" w:rsidRDefault="00201F3F" w:rsidP="002834A9">
      <w:pPr>
        <w:pStyle w:val="14Footnote"/>
      </w:pPr>
      <w:r w:rsidRPr="00CD0FEB">
        <w:rPr>
          <w:rStyle w:val="FootnoteReference"/>
        </w:rPr>
        <w:footnoteRef/>
      </w:r>
      <w:r w:rsidRPr="00CD0FEB">
        <w:t>Hughes v. Gulf Interstate Field Servs., Inc., 878 F.3d 183 (6th Cir. 2017).</w:t>
      </w:r>
    </w:p>
  </w:footnote>
  <w:footnote w:id="839">
    <w:p w14:paraId="3B54F331" w14:textId="77777777" w:rsidR="00201F3F" w:rsidRPr="00CD0FEB" w:rsidRDefault="00201F3F" w:rsidP="00C2067F">
      <w:pPr>
        <w:pStyle w:val="14Footnote"/>
        <w:rPr>
          <w:i/>
          <w:iCs/>
        </w:rPr>
      </w:pPr>
      <w:r w:rsidRPr="00CD0FEB">
        <w:rPr>
          <w:vertAlign w:val="superscript"/>
        </w:rPr>
        <w:footnoteRef/>
      </w:r>
      <w:r w:rsidRPr="00CD0FEB">
        <w:rPr>
          <w:i/>
          <w:iCs/>
        </w:rPr>
        <w:t>Id.</w:t>
      </w:r>
    </w:p>
  </w:footnote>
  <w:footnote w:id="840">
    <w:p w14:paraId="45027ABD" w14:textId="77777777" w:rsidR="00201F3F" w:rsidRPr="00CD0FEB" w:rsidRDefault="00201F3F" w:rsidP="00B070C8">
      <w:pPr>
        <w:pStyle w:val="14Footnote"/>
      </w:pPr>
      <w:r w:rsidRPr="00CD0FEB">
        <w:rPr>
          <w:rStyle w:val="FootnoteReference"/>
        </w:rPr>
        <w:footnoteRef/>
      </w:r>
      <w:r w:rsidRPr="00CD0FEB">
        <w:rPr>
          <w:i/>
          <w:iCs/>
        </w:rPr>
        <w:t>Id.</w:t>
      </w:r>
      <w:r w:rsidRPr="00CD0FEB">
        <w:t xml:space="preserve"> at 186. </w:t>
      </w:r>
    </w:p>
  </w:footnote>
  <w:footnote w:id="841">
    <w:p w14:paraId="0B2B79A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187. </w:t>
      </w:r>
    </w:p>
  </w:footnote>
  <w:footnote w:id="842">
    <w:p w14:paraId="1DE5EE9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191–93. </w:t>
      </w:r>
    </w:p>
  </w:footnote>
  <w:footnote w:id="843">
    <w:p w14:paraId="18FE7C7C" w14:textId="77777777" w:rsidR="00201F3F" w:rsidRPr="00CD0FEB" w:rsidRDefault="00201F3F" w:rsidP="00C2067F">
      <w:pPr>
        <w:pStyle w:val="14Footnote"/>
      </w:pPr>
      <w:r w:rsidRPr="00CD0FEB">
        <w:rPr>
          <w:vertAlign w:val="superscript"/>
        </w:rPr>
        <w:footnoteRef/>
      </w:r>
      <w:r w:rsidRPr="00CD0FEB">
        <w:t>668 F.3d 843 (6th Cir. 2012).</w:t>
      </w:r>
    </w:p>
  </w:footnote>
  <w:footnote w:id="844">
    <w:p w14:paraId="75FA56EB" w14:textId="77777777" w:rsidR="00201F3F" w:rsidRPr="00CD0FEB" w:rsidRDefault="00201F3F" w:rsidP="00C2067F">
      <w:pPr>
        <w:pStyle w:val="14Footnote"/>
      </w:pPr>
      <w:r w:rsidRPr="00CD0FEB">
        <w:rPr>
          <w:vertAlign w:val="superscript"/>
        </w:rPr>
        <w:footnoteRef/>
      </w:r>
      <w:r w:rsidRPr="00CD0FEB">
        <w:rPr>
          <w:i/>
          <w:iCs/>
        </w:rPr>
        <w:t>Hughes</w:t>
      </w:r>
      <w:r w:rsidRPr="00CD0FEB">
        <w:t xml:space="preserve">, 878 F.3d at 190. </w:t>
      </w:r>
    </w:p>
  </w:footnote>
  <w:footnote w:id="845">
    <w:p w14:paraId="1FE56637" w14:textId="77777777" w:rsidR="00201F3F" w:rsidRPr="00CD0FEB" w:rsidRDefault="00201F3F" w:rsidP="00C2067F">
      <w:pPr>
        <w:pStyle w:val="14Footnote"/>
      </w:pPr>
      <w:r w:rsidRPr="00CD0FEB">
        <w:rPr>
          <w:vertAlign w:val="superscript"/>
        </w:rPr>
        <w:footnoteRef/>
      </w:r>
      <w:r w:rsidRPr="00CD0FEB">
        <w:rPr>
          <w:smallCaps/>
        </w:rPr>
        <w:t>U.S. Dep’t of Labor, Wage &amp; Hour Div.,</w:t>
      </w:r>
      <w:r w:rsidRPr="00CD0FEB">
        <w:t xml:space="preserve"> </w:t>
      </w:r>
      <w:r w:rsidRPr="00CD0FEB">
        <w:rPr>
          <w:smallCaps/>
        </w:rPr>
        <w:t>Fact Sheet #17H: Highly Compensated Employees and the Part 541 Exemptions Under the Fair Labor Standards Act</w:t>
      </w:r>
      <w:r w:rsidRPr="00CD0FEB">
        <w:t xml:space="preserve"> (FLSA) (Sept. 2019), https://www.dol.gov/sites/dolgov/files/WHD/legacy/files/fs17h_highly_comp.pdf.</w:t>
      </w:r>
    </w:p>
  </w:footnote>
  <w:footnote w:id="846">
    <w:p w14:paraId="3E8F14BC" w14:textId="77777777" w:rsidR="00201F3F" w:rsidRPr="00CD0FEB" w:rsidRDefault="00201F3F" w:rsidP="00C2067F">
      <w:pPr>
        <w:pStyle w:val="14Footnote"/>
      </w:pPr>
      <w:r w:rsidRPr="00CD0FEB">
        <w:rPr>
          <w:vertAlign w:val="superscript"/>
        </w:rPr>
        <w:footnoteRef/>
      </w:r>
      <w:r w:rsidRPr="00CD0FEB">
        <w:t>29 C.F.R. §541.601(b)(2).</w:t>
      </w:r>
    </w:p>
  </w:footnote>
  <w:footnote w:id="847">
    <w:p w14:paraId="121B5873" w14:textId="77777777" w:rsidR="00201F3F" w:rsidRPr="00CD0FEB" w:rsidRDefault="00201F3F" w:rsidP="00C2067F">
      <w:pPr>
        <w:pStyle w:val="14Footnote"/>
      </w:pPr>
      <w:r w:rsidRPr="00CD0FEB">
        <w:rPr>
          <w:vertAlign w:val="superscript"/>
        </w:rPr>
        <w:footnoteRef/>
      </w:r>
      <w:r w:rsidRPr="00CD0FEB">
        <w:rPr>
          <w:i/>
          <w:iCs/>
        </w:rPr>
        <w:t>Id</w:t>
      </w:r>
      <w:r w:rsidRPr="00CD0FEB">
        <w:t>. Note: The example has not been updated to reflect the increase in the salary threshold that went into effect on January 1, 2020.</w:t>
      </w:r>
    </w:p>
  </w:footnote>
  <w:footnote w:id="848">
    <w:p w14:paraId="3E1CF9B0" w14:textId="77777777" w:rsidR="00201F3F" w:rsidRPr="00CD0FEB" w:rsidRDefault="00201F3F" w:rsidP="00C2067F">
      <w:pPr>
        <w:pStyle w:val="14Footnote"/>
      </w:pPr>
      <w:r w:rsidRPr="00CD0FEB">
        <w:rPr>
          <w:vertAlign w:val="superscript"/>
        </w:rPr>
        <w:footnoteRef/>
      </w:r>
      <w:r w:rsidRPr="00CD0FEB">
        <w:rPr>
          <w:i/>
          <w:iCs/>
        </w:rPr>
        <w:t>Id</w:t>
      </w:r>
      <w:r w:rsidRPr="00CD0FEB">
        <w:t>. §541.601(b)(3).</w:t>
      </w:r>
    </w:p>
  </w:footnote>
  <w:footnote w:id="849">
    <w:p w14:paraId="78A39A78"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e</w:t>
      </w:r>
      <w:r w:rsidRPr="00CD0FEB">
        <w:t>.</w:t>
      </w:r>
      <w:r w:rsidRPr="00CD0FEB">
        <w:rPr>
          <w:i/>
          <w:iCs/>
        </w:rPr>
        <w:t>g</w:t>
      </w:r>
      <w:r w:rsidRPr="00CD0FEB">
        <w:t>.</w:t>
      </w:r>
      <w:r w:rsidRPr="00CD0FEB">
        <w:rPr>
          <w:i/>
          <w:iCs/>
        </w:rPr>
        <w:t xml:space="preserve">, </w:t>
      </w:r>
      <w:r w:rsidRPr="00CD0FEB">
        <w:t>Allen v. Coil Tubing Servs., L.L.C</w:t>
      </w:r>
      <w:r w:rsidRPr="00CD0FEB">
        <w:rPr>
          <w:i/>
          <w:iCs/>
        </w:rPr>
        <w:t>.</w:t>
      </w:r>
      <w:r w:rsidRPr="00CD0FEB">
        <w:t>, 846 F. Supp. 2d 678, 711 (S.D. Tex. 2012) (holding that exemption for highly compensated employees applied where plaintiff worked 10 months in executive position and “was on track … to earn at least $100,000.00 had he worked a full 52-week period”).</w:t>
      </w:r>
    </w:p>
  </w:footnote>
  <w:footnote w:id="850">
    <w:p w14:paraId="3769DD03" w14:textId="77777777" w:rsidR="00201F3F" w:rsidRPr="00CD0FEB" w:rsidRDefault="00201F3F" w:rsidP="00C2067F">
      <w:pPr>
        <w:pStyle w:val="14Footnote"/>
      </w:pPr>
      <w:r w:rsidRPr="00CD0FEB">
        <w:rPr>
          <w:vertAlign w:val="superscript"/>
        </w:rPr>
        <w:footnoteRef/>
      </w:r>
      <w:r w:rsidRPr="00CD0FEB">
        <w:t xml:space="preserve">29 C.F.R. §541.601(d); </w:t>
      </w:r>
      <w:r w:rsidRPr="00CD0FEB">
        <w:rPr>
          <w:i/>
          <w:iCs/>
        </w:rPr>
        <w:t xml:space="preserve">see, e.g., </w:t>
      </w:r>
      <w:r w:rsidRPr="00CD0FEB">
        <w:t xml:space="preserve">Smith v. Ochsner Health Sys., 956 F.3d 681, 686–87 (5th Cir. 2020) (finding transplant coordinator met the HCE exemption where he regularly was responsible for procurement); Haas v. Verizon N.Y. Inc., 2015 WL 5785023, at *5 (S.D.N.Y. Sept. 30, 2015) (“As there is no dispute that Plaintiffs’ primary duty </w:t>
      </w:r>
      <w:r w:rsidRPr="00CD0FEB">
        <w:rPr>
          <w:i/>
          <w:iCs/>
        </w:rPr>
        <w:t>included</w:t>
      </w:r>
      <w:r w:rsidRPr="00CD0FEB">
        <w:t xml:space="preserve"> answering questions on a checklist and reporting back to the company, whatever else they do, it is difficult to see how their primary duty did not ‘</w:t>
      </w:r>
      <w:r w:rsidRPr="00CD0FEB">
        <w:rPr>
          <w:i/>
          <w:iCs/>
        </w:rPr>
        <w:t>include</w:t>
      </w:r>
      <w:r w:rsidRPr="00CD0FEB">
        <w:t xml:space="preserve"> performing office or non-manual work.’”) (emphasis in original).</w:t>
      </w:r>
    </w:p>
  </w:footnote>
  <w:footnote w:id="851">
    <w:p w14:paraId="735099D3" w14:textId="77777777" w:rsidR="00201F3F" w:rsidRPr="00CD0FEB" w:rsidRDefault="00201F3F" w:rsidP="004B3FA1">
      <w:pPr>
        <w:pStyle w:val="14Footnote"/>
      </w:pPr>
      <w:r w:rsidRPr="00CD0FEB">
        <w:rPr>
          <w:vertAlign w:val="superscript"/>
        </w:rPr>
        <w:footnoteRef/>
      </w:r>
      <w:r w:rsidRPr="00CD0FEB">
        <w:t xml:space="preserve">29 C.F.R. §541.601(d). </w:t>
      </w:r>
      <w:r w:rsidRPr="00CD0FEB">
        <w:rPr>
          <w:i/>
          <w:iCs/>
        </w:rPr>
        <w:t>See, e.g.</w:t>
      </w:r>
      <w:r w:rsidRPr="00CD0FEB">
        <w:t xml:space="preserve">, Hobbs v. EVO Inc., 394 F. Supp. 3d 717, 746 (S.D. Tex. 2019) (holding that engineers whose “work involved repetitive operations with their hands, physical skill, and energy” did not qualify for the highly compensated employee exemption), </w:t>
      </w:r>
      <w:r w:rsidRPr="00CD0FEB">
        <w:rPr>
          <w:i/>
          <w:iCs/>
        </w:rPr>
        <w:t>aff'd,</w:t>
      </w:r>
      <w:r w:rsidRPr="00CD0FEB">
        <w:t xml:space="preserve"> 7 F.4th 241 (5th Cir. 2021).</w:t>
      </w:r>
    </w:p>
  </w:footnote>
  <w:footnote w:id="852">
    <w:p w14:paraId="762A1668" w14:textId="77777777" w:rsidR="00201F3F" w:rsidRPr="00CD0FEB" w:rsidRDefault="00201F3F" w:rsidP="00C2067F">
      <w:pPr>
        <w:pStyle w:val="14Footnote"/>
      </w:pPr>
      <w:r w:rsidRPr="00CD0FEB">
        <w:rPr>
          <w:vertAlign w:val="superscript"/>
        </w:rPr>
        <w:footnoteRef/>
      </w:r>
      <w:r w:rsidRPr="00CD0FEB">
        <w:rPr>
          <w:i/>
          <w:iCs/>
        </w:rPr>
        <w:t>Smith</w:t>
      </w:r>
      <w:r w:rsidRPr="00CD0FEB">
        <w:t>, 956 F.3d at 687–88.</w:t>
      </w:r>
    </w:p>
  </w:footnote>
  <w:footnote w:id="853">
    <w:p w14:paraId="47AA7D35" w14:textId="77777777" w:rsidR="00201F3F" w:rsidRPr="00CD0FEB" w:rsidRDefault="00201F3F" w:rsidP="00C2067F">
      <w:pPr>
        <w:pStyle w:val="14Footnote"/>
      </w:pPr>
      <w:r w:rsidRPr="00CD0FEB">
        <w:rPr>
          <w:vertAlign w:val="superscript"/>
        </w:rPr>
        <w:footnoteRef/>
      </w:r>
      <w:r w:rsidRPr="00CD0FEB">
        <w:t>29 C.F.R.</w:t>
      </w:r>
      <w:r w:rsidRPr="00CD0FEB">
        <w:rPr>
          <w:i/>
          <w:iCs/>
        </w:rPr>
        <w:t xml:space="preserve"> </w:t>
      </w:r>
      <w:r w:rsidRPr="00CD0FEB">
        <w:t xml:space="preserve">§541.601(c). </w:t>
      </w:r>
      <w:r w:rsidRPr="00CD0FEB">
        <w:rPr>
          <w:i/>
          <w:iCs/>
        </w:rPr>
        <w:t>But see</w:t>
      </w:r>
      <w:r w:rsidRPr="00CD0FEB">
        <w:t xml:space="preserve"> Roshon v. Eagle Rsch. Grp., Inc., 314 F. Supp. 3d 852 (S.D. Ohio 2018) (rejecting argument that the duties test for the administrative exemption is less burdensome when applied in the context of a highly compensated employee; holding that employer needed to show both that plaintiff’s primary duty was office or nonmanual work and that it was related to management or general business operations).</w:t>
      </w:r>
    </w:p>
  </w:footnote>
  <w:footnote w:id="854">
    <w:p w14:paraId="7292239B" w14:textId="77777777" w:rsidR="00201F3F" w:rsidRPr="00CD0FEB" w:rsidRDefault="00201F3F" w:rsidP="00C2067F">
      <w:pPr>
        <w:pStyle w:val="14Footnote"/>
      </w:pPr>
      <w:r w:rsidRPr="00CD0FEB">
        <w:rPr>
          <w:vertAlign w:val="superscript"/>
        </w:rPr>
        <w:footnoteRef/>
      </w:r>
      <w:r w:rsidRPr="00CD0FEB">
        <w:t>29 C.F.R.</w:t>
      </w:r>
      <w:r w:rsidRPr="00CD0FEB">
        <w:rPr>
          <w:i/>
          <w:iCs/>
        </w:rPr>
        <w:t xml:space="preserve"> </w:t>
      </w:r>
      <w:r w:rsidRPr="00CD0FEB">
        <w:t xml:space="preserve">§541.601(c). To meet the duties test under Section 541.601, each of the employees’ duties must be viewed as a separate whole; the duties may not be deconstructed into component parts that may align with part of an exempt function. Boyd v. Bank of Am. Corp., 109 F. Supp. 3d 1273 (C.D. Cal. 2015). Consequently, in </w:t>
      </w:r>
      <w:r w:rsidRPr="00CD0FEB">
        <w:rPr>
          <w:i/>
          <w:iCs/>
        </w:rPr>
        <w:t>Boyd</w:t>
      </w:r>
      <w:r w:rsidRPr="00CD0FEB">
        <w:t xml:space="preserve">, the district court determined that appraisers were not covered by the highly compensated employee exemption even if some aspect of the appraisal process, such as conducting research to prepare reports, was of an exempt quality because the plaintiffs’ only duty, appraising real property, was not exempt work. </w:t>
      </w:r>
      <w:r w:rsidRPr="00CD0FEB">
        <w:rPr>
          <w:i/>
          <w:iCs/>
        </w:rPr>
        <w:t>Id</w:t>
      </w:r>
      <w:r w:rsidRPr="00CD0FEB">
        <w:t>. at 1303–04.</w:t>
      </w:r>
    </w:p>
  </w:footnote>
  <w:footnote w:id="855">
    <w:p w14:paraId="6B6CEAD7" w14:textId="77777777" w:rsidR="00201F3F" w:rsidRPr="00CD0FEB" w:rsidRDefault="00201F3F" w:rsidP="00C2067F">
      <w:pPr>
        <w:pStyle w:val="14Footnote"/>
      </w:pPr>
      <w:r w:rsidRPr="00CD0FEB">
        <w:rPr>
          <w:vertAlign w:val="superscript"/>
        </w:rPr>
        <w:footnoteRef/>
      </w:r>
      <w:r w:rsidRPr="00CD0FEB">
        <w:t>29 C.F.R.</w:t>
      </w:r>
      <w:r w:rsidRPr="00CD0FEB">
        <w:rPr>
          <w:i/>
          <w:iCs/>
        </w:rPr>
        <w:t xml:space="preserve"> </w:t>
      </w:r>
      <w:r w:rsidRPr="00CD0FEB">
        <w:t xml:space="preserve">§541.601(c). </w:t>
      </w:r>
      <w:r w:rsidRPr="00CD0FEB">
        <w:rPr>
          <w:i/>
          <w:iCs/>
        </w:rPr>
        <w:t>See</w:t>
      </w:r>
      <w:r w:rsidRPr="00CD0FEB">
        <w:rPr>
          <w:b/>
          <w:bCs/>
        </w:rPr>
        <w:t xml:space="preserve"> </w:t>
      </w:r>
      <w:r w:rsidRPr="00CD0FEB">
        <w:t>Pruneda v. Xtreme Drilling &amp; Coil Services, Inc., 2017 WL 3023214 (W.D. Tex. June 20, 2017) (since service supervisors customarily and regularly directed the work of two or more other employees, this was sufficient to qualify an employee as exempt under the HCE exemption).</w:t>
      </w:r>
    </w:p>
  </w:footnote>
  <w:footnote w:id="856">
    <w:p w14:paraId="4C7A2BEC" w14:textId="77777777" w:rsidR="00201F3F" w:rsidRPr="00CD0FEB" w:rsidRDefault="00201F3F" w:rsidP="00C2067F">
      <w:pPr>
        <w:pStyle w:val="14Footnote"/>
      </w:pPr>
      <w:r w:rsidRPr="00CD0FEB">
        <w:rPr>
          <w:vertAlign w:val="superscript"/>
        </w:rPr>
        <w:footnoteRef/>
      </w:r>
      <w:r w:rsidRPr="00CD0FEB">
        <w:t>Smith v. Ochsner Health Sys., 956 F.3d 681, 685 (5th Cir. 2020) (emphasis in original) (citations omitted).</w:t>
      </w:r>
    </w:p>
  </w:footnote>
  <w:footnote w:id="857">
    <w:p w14:paraId="05F3D348" w14:textId="77777777" w:rsidR="00201F3F" w:rsidRPr="00CD0FEB" w:rsidRDefault="00201F3F" w:rsidP="00C2067F">
      <w:pPr>
        <w:pStyle w:val="14Footnote"/>
      </w:pPr>
      <w:r w:rsidRPr="00CD0FEB">
        <w:rPr>
          <w:vertAlign w:val="superscript"/>
        </w:rPr>
        <w:footnoteRef/>
      </w:r>
      <w:r w:rsidRPr="00CD0FEB">
        <w:t>2013 WL 4510780 (D. Alaska Aug. 26, 2013).</w:t>
      </w:r>
    </w:p>
  </w:footnote>
  <w:footnote w:id="858">
    <w:p w14:paraId="75FD1CC3" w14:textId="77777777" w:rsidR="00201F3F" w:rsidRPr="00CD0FEB" w:rsidRDefault="00201F3F" w:rsidP="00C2067F">
      <w:pPr>
        <w:pStyle w:val="14Footnote"/>
      </w:pPr>
      <w:r w:rsidRPr="00CD0FEB">
        <w:rPr>
          <w:vertAlign w:val="superscript"/>
        </w:rPr>
        <w:footnoteRef/>
      </w:r>
      <w:r>
        <w:rPr>
          <w:i/>
          <w:iCs/>
        </w:rPr>
        <w:t xml:space="preserve">See </w:t>
      </w:r>
      <w:r w:rsidRPr="00FB43FB">
        <w:rPr>
          <w:i/>
          <w:iCs/>
        </w:rPr>
        <w:t>also</w:t>
      </w:r>
      <w:r w:rsidRPr="00FB43FB">
        <w:rPr>
          <w:rFonts w:ascii="Arial" w:eastAsia="Arial" w:hAnsi="Arial" w:cs="Arial"/>
          <w:sz w:val="24"/>
        </w:rPr>
        <w:t xml:space="preserve"> </w:t>
      </w:r>
      <w:r w:rsidRPr="00FB43FB">
        <w:t>Kennedy v. Las Vegas Sands Corp.</w:t>
      </w:r>
      <w:r>
        <w:t xml:space="preserve">, </w:t>
      </w:r>
      <w:r w:rsidRPr="00BC5583">
        <w:t>2023 BL 38925</w:t>
      </w:r>
      <w:r>
        <w:t xml:space="preserve">, </w:t>
      </w:r>
      <w:r w:rsidRPr="00FB43FB">
        <w:t>2023 WL 1795199</w:t>
      </w:r>
      <w:r>
        <w:t>, at *5</w:t>
      </w:r>
      <w:r w:rsidRPr="00FB43FB">
        <w:t xml:space="preserve"> (D. Nev. Feb. 7, 2023)</w:t>
      </w:r>
      <w:r>
        <w:t xml:space="preserve"> (holding corporate jet pilots properly classified as exempt; even though they “performed some physically-demanding tasks in connection with their jobs” that did “not change the fact that their primary duty was to fly the planes safely”). </w:t>
      </w:r>
      <w:r w:rsidRPr="00AC706A">
        <w:rPr>
          <w:i/>
          <w:iCs/>
        </w:rPr>
        <w:t>But</w:t>
      </w:r>
      <w:r w:rsidRPr="00CD0FEB">
        <w:rPr>
          <w:i/>
          <w:iCs/>
        </w:rPr>
        <w:t xml:space="preserve"> see</w:t>
      </w:r>
      <w:r w:rsidRPr="00CD0FEB">
        <w:t xml:space="preserve"> Sarviss v. General Dynamics Info. Tech., Inc</w:t>
      </w:r>
      <w:r w:rsidRPr="00CD0FEB">
        <w:rPr>
          <w:i/>
          <w:iCs/>
        </w:rPr>
        <w:t>.</w:t>
      </w:r>
      <w:r w:rsidRPr="00CD0FEB">
        <w:t xml:space="preserve">, 663 F. Supp. 2d 883 (C.D. Cal. 2009) (finding that, although training of helicopter pilots was exempt function, there existed a genuine issue of material fact as to whether plaintiff’s primary duty involved “office or nonmanual work,” precluding determination on summary judgment that requirements of exemption for highly compensated employees were met); </w:t>
      </w:r>
      <w:r w:rsidRPr="00CD0FEB">
        <w:rPr>
          <w:i/>
          <w:iCs/>
        </w:rPr>
        <w:t>cf</w:t>
      </w:r>
      <w:r w:rsidRPr="00CD0FEB">
        <w:t>. Mohorn v. Tennessee Valley Auth</w:t>
      </w:r>
      <w:r w:rsidRPr="00CD0FEB">
        <w:rPr>
          <w:i/>
          <w:iCs/>
        </w:rPr>
        <w:t>.</w:t>
      </w:r>
      <w:r w:rsidRPr="00CD0FEB">
        <w:t>, 2007 WL 2077549, at *7 (E.D. Tenn. July 17, 2007) (finding supervisors earning in excess of $100,000 per year were not eligible for exemption where employer failed to meet “heavy burden” of proving that employees customarily and regularly performed exempt administrative tasks).</w:t>
      </w:r>
    </w:p>
  </w:footnote>
  <w:footnote w:id="859">
    <w:p w14:paraId="0A455A1B" w14:textId="77777777" w:rsidR="00201F3F" w:rsidRPr="00CD0FEB" w:rsidRDefault="00201F3F" w:rsidP="00C2067F">
      <w:pPr>
        <w:pStyle w:val="14Footnote"/>
      </w:pPr>
      <w:r w:rsidRPr="00CD0FEB">
        <w:rPr>
          <w:vertAlign w:val="superscript"/>
        </w:rPr>
        <w:footnoteRef/>
      </w:r>
      <w:r w:rsidRPr="00CD0FEB">
        <w:t xml:space="preserve">29 U.S.C. §213(a)(17). </w:t>
      </w:r>
    </w:p>
  </w:footnote>
  <w:footnote w:id="860">
    <w:p w14:paraId="219E7BA0" w14:textId="77777777" w:rsidR="00201F3F" w:rsidRPr="00CD0FEB" w:rsidRDefault="00201F3F" w:rsidP="00C2067F">
      <w:pPr>
        <w:pStyle w:val="14Footnote"/>
      </w:pPr>
      <w:r w:rsidRPr="00CD0FEB">
        <w:rPr>
          <w:vertAlign w:val="superscript"/>
        </w:rPr>
        <w:footnoteRef/>
      </w:r>
      <w:r w:rsidRPr="00CD0FEB">
        <w:rPr>
          <w:i/>
          <w:iCs/>
        </w:rPr>
        <w:t>See, e.g.,</w:t>
      </w:r>
      <w:r w:rsidRPr="00CD0FEB">
        <w:t xml:space="preserve"> Friedman v. National Indem. Co., 2018 WL 1954218, at *3 (D. Neb. April 13, 2018) (citing Ortega v. Bel Fuse, Inc., 2016 WL 1588393, at *10 (S.D. Fla. Apr. 20, 2016); Bobadilla v. MDRC, 2005 WL 2044938, at *8 (S.D.N.Y. Aug. 24, 2005)).</w:t>
      </w:r>
    </w:p>
  </w:footnote>
  <w:footnote w:id="861">
    <w:p w14:paraId="57F97D58" w14:textId="77777777" w:rsidR="00201F3F" w:rsidRPr="00CD0FEB" w:rsidRDefault="00201F3F" w:rsidP="00C2067F">
      <w:pPr>
        <w:pStyle w:val="14Footnote"/>
      </w:pPr>
      <w:r w:rsidRPr="00CD0FEB">
        <w:rPr>
          <w:vertAlign w:val="superscript"/>
        </w:rPr>
        <w:footnoteRef/>
      </w:r>
      <w:r w:rsidRPr="00CD0FEB">
        <w:t>69 Fed. Reg. 22,121-01, 22,160 (Apr. 23, 2004).</w:t>
      </w:r>
      <w:r w:rsidRPr="00CD0FEB">
        <w:rPr>
          <w:i/>
          <w:iCs/>
        </w:rPr>
        <w:t xml:space="preserve"> </w:t>
      </w:r>
    </w:p>
  </w:footnote>
  <w:footnote w:id="862">
    <w:p w14:paraId="194A791B" w14:textId="77777777" w:rsidR="00201F3F" w:rsidRPr="00CD0FEB" w:rsidRDefault="00201F3F" w:rsidP="00C2067F">
      <w:pPr>
        <w:pStyle w:val="14Footnote"/>
      </w:pPr>
      <w:r w:rsidRPr="00CD0FEB">
        <w:rPr>
          <w:vertAlign w:val="superscript"/>
        </w:rPr>
        <w:footnoteRef/>
      </w:r>
      <w:r w:rsidRPr="00CD0FEB">
        <w:t xml:space="preserve">29 U.S.C. §213(a)(17); </w:t>
      </w:r>
      <w:r w:rsidRPr="00CD0FEB">
        <w:rPr>
          <w:i/>
          <w:iCs/>
        </w:rPr>
        <w:t>see also</w:t>
      </w:r>
      <w:r w:rsidRPr="00CD0FEB">
        <w:t xml:space="preserve"> </w:t>
      </w:r>
      <w:r w:rsidRPr="00CD0FEB">
        <w:rPr>
          <w:smallCaps/>
        </w:rPr>
        <w:t>U.S. Dep’t of Labor, Wage &amp; Hour Div., Field Assistance Bull.</w:t>
      </w:r>
      <w:r w:rsidRPr="00CD0FEB">
        <w:t xml:space="preserve"> No. 2006-3 (Dec. 14, 2006), http://www.dol.gov/whd/FieldBulletins/FieldAssistanceBulletin2006_3.pdf (reviewing legislative and regulatory history of computer employee exemptions).</w:t>
      </w:r>
    </w:p>
  </w:footnote>
  <w:footnote w:id="863">
    <w:p w14:paraId="5914B602" w14:textId="77777777" w:rsidR="00201F3F" w:rsidRPr="00CD0FEB" w:rsidRDefault="00201F3F" w:rsidP="00C2067F">
      <w:pPr>
        <w:pStyle w:val="14Footnote"/>
      </w:pPr>
      <w:r w:rsidRPr="00CD0FEB">
        <w:rPr>
          <w:vertAlign w:val="superscript"/>
        </w:rPr>
        <w:footnoteRef/>
      </w:r>
      <w:r w:rsidRPr="00CD0FEB">
        <w:t xml:space="preserve">29 C.F.R. §541.400(b). </w:t>
      </w:r>
      <w:r w:rsidRPr="00CD0FEB">
        <w:rPr>
          <w:i/>
          <w:iCs/>
        </w:rPr>
        <w:t>See also</w:t>
      </w:r>
      <w:r w:rsidRPr="00CD0FEB">
        <w:t xml:space="preserve"> </w:t>
      </w:r>
      <w:r w:rsidRPr="00CD0FEB">
        <w:rPr>
          <w:smallCaps/>
        </w:rPr>
        <w:t>U.S. Dep’t of Labor, Wage &amp; Hour Div.,</w:t>
      </w:r>
      <w:r w:rsidRPr="00CD0FEB">
        <w:t xml:space="preserve"> </w:t>
      </w:r>
      <w:r w:rsidRPr="00CD0FEB">
        <w:rPr>
          <w:smallCaps/>
        </w:rPr>
        <w:t>Fact Sheet #17E: Exemption for Employees in Computer-Related Occupations Under the Fair Labor Standards Act (FLSA)</w:t>
      </w:r>
      <w:r w:rsidRPr="00CD0FEB">
        <w:t xml:space="preserve"> (Sept. 2019), https://www.dol.gov/sites/dolgov/files/WHD/legacy/files/fs17e_computer.pdf.</w:t>
      </w:r>
    </w:p>
  </w:footnote>
  <w:footnote w:id="864">
    <w:p w14:paraId="0A974338" w14:textId="77777777" w:rsidR="00201F3F" w:rsidRPr="00CD0FEB" w:rsidRDefault="00201F3F" w:rsidP="00C2067F">
      <w:pPr>
        <w:pStyle w:val="14Footnote"/>
      </w:pPr>
      <w:r w:rsidRPr="00CD0FEB">
        <w:rPr>
          <w:vertAlign w:val="superscript"/>
        </w:rPr>
        <w:footnoteRef/>
      </w:r>
      <w:r w:rsidRPr="00CD0FEB">
        <w:t>2013 WL 5777159 (E.D. Pa. Oct. 25, 2013).</w:t>
      </w:r>
    </w:p>
  </w:footnote>
  <w:footnote w:id="865">
    <w:p w14:paraId="67FA82AC" w14:textId="77777777" w:rsidR="00201F3F" w:rsidRPr="00CD0FEB" w:rsidRDefault="00201F3F" w:rsidP="00C2067F">
      <w:pPr>
        <w:pStyle w:val="14Footnote"/>
      </w:pPr>
      <w:r w:rsidRPr="00CD0FEB">
        <w:rPr>
          <w:vertAlign w:val="superscript"/>
        </w:rPr>
        <w:footnoteRef/>
      </w:r>
      <w:r w:rsidRPr="00CD0FEB">
        <w:rPr>
          <w:i/>
          <w:iCs/>
        </w:rPr>
        <w:t>Id</w:t>
      </w:r>
      <w:r w:rsidRPr="00CD0FEB">
        <w:t>. at *11–12.</w:t>
      </w:r>
    </w:p>
  </w:footnote>
  <w:footnote w:id="866">
    <w:p w14:paraId="1073FDB1" w14:textId="77777777" w:rsidR="00201F3F" w:rsidRPr="00CD0FEB" w:rsidRDefault="00201F3F" w:rsidP="00C2067F">
      <w:pPr>
        <w:pStyle w:val="14Footnote"/>
      </w:pPr>
      <w:r w:rsidRPr="00CD0FEB">
        <w:rPr>
          <w:vertAlign w:val="superscript"/>
        </w:rPr>
        <w:footnoteRef/>
      </w:r>
      <w:r w:rsidRPr="00CD0FEB">
        <w:t>29 C.F.R. §541.400(a).</w:t>
      </w:r>
    </w:p>
  </w:footnote>
  <w:footnote w:id="867">
    <w:p w14:paraId="4CD836C8"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§541.401. </w:t>
      </w:r>
      <w:r w:rsidRPr="00CD0FEB">
        <w:rPr>
          <w:i/>
          <w:iCs/>
        </w:rPr>
        <w:t>See, e.g</w:t>
      </w:r>
      <w:r w:rsidRPr="00CD0FEB">
        <w:t>., Beck v. Access eForms, LP, 2018 WL 4537241, at *4 (E.D. Tex. Aug. 8, 2018) (holding project specialist was not exempt computer employee because his primary duty was “almost entirely dependent upon computer aided design tools” and he was required to follow step-by-step guides rather than designing, developing, or creating software).</w:t>
      </w:r>
    </w:p>
  </w:footnote>
  <w:footnote w:id="868">
    <w:p w14:paraId="1DBA7B70" w14:textId="77777777" w:rsidR="00201F3F" w:rsidRPr="00CD0FEB" w:rsidRDefault="00201F3F" w:rsidP="00C2067F">
      <w:pPr>
        <w:pStyle w:val="14Footnote"/>
      </w:pPr>
      <w:r w:rsidRPr="00CD0FEB">
        <w:rPr>
          <w:vertAlign w:val="superscript"/>
        </w:rPr>
        <w:footnoteRef/>
      </w:r>
      <w:r w:rsidRPr="00CD0FEB">
        <w:t>29 C.F.R. §541.401.</w:t>
      </w:r>
    </w:p>
  </w:footnote>
  <w:footnote w:id="869">
    <w:p w14:paraId="161E36EE" w14:textId="77777777" w:rsidR="00201F3F" w:rsidRPr="00CD0FEB" w:rsidRDefault="00201F3F" w:rsidP="00C2067F">
      <w:pPr>
        <w:pStyle w:val="14Footnote"/>
      </w:pPr>
      <w:r w:rsidRPr="00CD0FEB">
        <w:rPr>
          <w:vertAlign w:val="superscript"/>
        </w:rPr>
        <w:footnoteRef/>
      </w:r>
      <w:r w:rsidRPr="00CD0FEB">
        <w:t xml:space="preserve">Edelmann v. Keuka College, 2019 WL 3816563, at *5 (W.D.N.Y. Aug. 14, 2019) (citations omitted). </w:t>
      </w:r>
      <w:r w:rsidRPr="00CD0FEB">
        <w:rPr>
          <w:i/>
          <w:iCs/>
        </w:rPr>
        <w:t xml:space="preserve">See also </w:t>
      </w:r>
      <w:r w:rsidRPr="00CD0FEB">
        <w:t>Yu v. Knighted, LLC, 2019 WL 2085990, at *8–9 (S.D.N.Y. May 23, 2019) (holding service database administrator was not exempt computer employee where his responsibilities included managing databases, supporting customers using the system, performing installation and troubleshooting services, designing new systems and updating current systems, and designing procedures to improve functioning).</w:t>
      </w:r>
    </w:p>
  </w:footnote>
  <w:footnote w:id="870">
    <w:p w14:paraId="202E07A1" w14:textId="77777777" w:rsidR="00201F3F" w:rsidRPr="00CD0FEB" w:rsidRDefault="00201F3F" w:rsidP="00C2067F">
      <w:pPr>
        <w:pStyle w:val="14Footnote"/>
      </w:pPr>
      <w:r w:rsidRPr="00CD0FEB">
        <w:rPr>
          <w:vertAlign w:val="superscript"/>
        </w:rPr>
        <w:footnoteRef/>
      </w:r>
      <w:r w:rsidRPr="00CD0FEB">
        <w:t>381 F.3d 574, 9 WH Cases2d 1505 (6th Cir. 2004).</w:t>
      </w:r>
    </w:p>
  </w:footnote>
  <w:footnote w:id="871">
    <w:p w14:paraId="20E763B0" w14:textId="77777777" w:rsidR="00201F3F" w:rsidRPr="00CD0FEB" w:rsidRDefault="00201F3F" w:rsidP="00C2067F">
      <w:pPr>
        <w:pStyle w:val="14Footnote"/>
      </w:pPr>
      <w:r w:rsidRPr="00CD0FEB">
        <w:rPr>
          <w:vertAlign w:val="superscript"/>
        </w:rPr>
        <w:footnoteRef/>
      </w:r>
      <w:r w:rsidRPr="00CD0FEB">
        <w:rPr>
          <w:i/>
          <w:iCs/>
        </w:rPr>
        <w:t>Id</w:t>
      </w:r>
      <w:r w:rsidRPr="00CD0FEB">
        <w:t>. at 580 (emphasis in original).</w:t>
      </w:r>
    </w:p>
  </w:footnote>
  <w:footnote w:id="872">
    <w:p w14:paraId="67E81341"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WH Op. FLSA2006-42, 2006 WL 3406603 (Oct. 26, 2006) (declining to apply exemption to IT Support Specialist primarily responsible for troubleshooting). </w:t>
      </w:r>
    </w:p>
  </w:footnote>
  <w:footnote w:id="873">
    <w:p w14:paraId="4D3786EB" w14:textId="77777777" w:rsidR="00201F3F" w:rsidRPr="00CD0FEB" w:rsidRDefault="00201F3F" w:rsidP="00C2067F">
      <w:pPr>
        <w:pStyle w:val="14Footnote"/>
      </w:pPr>
      <w:r w:rsidRPr="00CD0FEB">
        <w:rPr>
          <w:vertAlign w:val="superscript"/>
        </w:rPr>
        <w:footnoteRef/>
      </w:r>
      <w:r w:rsidRPr="00CD0FEB">
        <w:t>2014 WL 1689039 (S.D.N.Y. Apr. 29, 2014).</w:t>
      </w:r>
    </w:p>
  </w:footnote>
  <w:footnote w:id="874">
    <w:p w14:paraId="663FCB3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But see</w:t>
      </w:r>
      <w:r w:rsidRPr="00CD0FEB">
        <w:t xml:space="preserve"> WH Op. Ltr., 2001 WL 1558967 (May 11, 2001) (opining that a “Systems Engineer” whose duties “include[d] support services to local businesses [and] designing computer solutions to fit the client’s need” was not exempt; recognizing that the job “involve[d] analyzing current equipment and software, identifying equipment and software needs, determining a scope of work for implementation and integration of old with the new, and continuing with support of hardware and software after the implementation is complete”). The DOL observed that the employee’s primary duty was to identify computer solutions to fit the needs of a variety of local businesses, not to design, create, or modify systems or programs. </w:t>
      </w:r>
      <w:r w:rsidRPr="00CD0FEB">
        <w:rPr>
          <w:i/>
          <w:iCs/>
        </w:rPr>
        <w:t>Id.</w:t>
      </w:r>
      <w:r w:rsidRPr="00CD0FEB">
        <w:t xml:space="preserve">; </w:t>
      </w:r>
      <w:r w:rsidRPr="00CD0FEB">
        <w:rPr>
          <w:i/>
          <w:iCs/>
        </w:rPr>
        <w:t>see also</w:t>
      </w:r>
      <w:r w:rsidRPr="00CD0FEB">
        <w:t xml:space="preserve"> Bohn v. Park City Grp., 94 F.3d 1457, 3 WH Cases2d 780 (10th Cir. 1996) (finding that issue of fact existed as to whether technical writer/documenter qualified for exemption); Hunter v. Sprint Corp</w:t>
      </w:r>
      <w:r w:rsidRPr="00CD0FEB">
        <w:rPr>
          <w:i/>
          <w:iCs/>
        </w:rPr>
        <w:t>.</w:t>
      </w:r>
      <w:r w:rsidRPr="00CD0FEB">
        <w:t>, 453 F. Supp. 2d 44 (D.D.C. 2006) (deeming help-desk employee primarily responsible for customer service not exempt).</w:t>
      </w:r>
    </w:p>
  </w:footnote>
  <w:footnote w:id="875">
    <w:p w14:paraId="38633799" w14:textId="77777777" w:rsidR="00201F3F" w:rsidRPr="00CD0FEB" w:rsidRDefault="00201F3F" w:rsidP="00C2067F">
      <w:pPr>
        <w:pStyle w:val="14Footnote"/>
      </w:pPr>
      <w:r w:rsidRPr="00CD0FEB">
        <w:rPr>
          <w:vertAlign w:val="superscript"/>
        </w:rPr>
        <w:footnoteRef/>
      </w:r>
      <w:r w:rsidRPr="00CD0FEB">
        <w:t>385 F. Supp. 2d 1316 (S.D. Fla. 2005).</w:t>
      </w:r>
    </w:p>
  </w:footnote>
  <w:footnote w:id="876">
    <w:p w14:paraId="5158BAC7"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1319. </w:t>
      </w:r>
      <w:r w:rsidRPr="00CD0FEB">
        <w:rPr>
          <w:i/>
          <w:iCs/>
        </w:rPr>
        <w:t>See also</w:t>
      </w:r>
      <w:r w:rsidRPr="00CD0FEB">
        <w:t xml:space="preserve"> Robillard v. Opal Labs, Inc., 428 F. Supp. 3d 412, 431 (D. Or. 2019) (finding lead enterprise engineer was properly classified as exempt where he admittedly spent 70% of his time “</w:t>
      </w:r>
      <w:r w:rsidRPr="00CD0FEB">
        <w:rPr>
          <w:szCs w:val="20"/>
          <w:shd w:val="clear" w:color="auto" w:fill="FFFFFF"/>
        </w:rPr>
        <w:t>configuring software (i.e., adding users and managing licenses), assisting the tech support team with customer issues, attending customer sales demos and meetings, and meeting and coordinating with third-party software providers” and thus “was engaged in exempt work by applying analysis techniques and procedures, including consulting with users, to determine software or system functionality”</w:t>
      </w:r>
      <w:r w:rsidRPr="00CD0FEB">
        <w:t>).</w:t>
      </w:r>
    </w:p>
  </w:footnote>
  <w:footnote w:id="877">
    <w:p w14:paraId="54024819" w14:textId="77777777" w:rsidR="00201F3F" w:rsidRPr="00CD0FEB" w:rsidRDefault="00201F3F" w:rsidP="00C2067F">
      <w:pPr>
        <w:pStyle w:val="14Footnote"/>
      </w:pPr>
      <w:r w:rsidRPr="00CD0FEB">
        <w:rPr>
          <w:vertAlign w:val="superscript"/>
        </w:rPr>
        <w:footnoteRef/>
      </w:r>
      <w:r w:rsidRPr="00CD0FEB">
        <w:t>2010 WL 1379778 (S.D.N.Y. Mar. 26, 2010).</w:t>
      </w:r>
    </w:p>
  </w:footnote>
  <w:footnote w:id="878">
    <w:p w14:paraId="7694BED2" w14:textId="77777777" w:rsidR="00201F3F" w:rsidRPr="00CD0FEB" w:rsidRDefault="00201F3F" w:rsidP="00C2067F">
      <w:pPr>
        <w:pStyle w:val="14Footnote"/>
      </w:pPr>
      <w:r w:rsidRPr="00CD0FEB">
        <w:rPr>
          <w:vertAlign w:val="superscript"/>
        </w:rPr>
        <w:footnoteRef/>
      </w:r>
      <w:r w:rsidRPr="00CD0FEB">
        <w:t>2005 WL 2044938 (S.D.N.Y. Aug. 24, 2005).</w:t>
      </w:r>
    </w:p>
  </w:footnote>
  <w:footnote w:id="879">
    <w:p w14:paraId="43697307" w14:textId="77777777" w:rsidR="00201F3F" w:rsidRPr="00CD0FEB" w:rsidRDefault="00201F3F" w:rsidP="00C2067F">
      <w:pPr>
        <w:pStyle w:val="14Footnote"/>
      </w:pPr>
      <w:r w:rsidRPr="00CD0FEB">
        <w:rPr>
          <w:vertAlign w:val="superscript"/>
        </w:rPr>
        <w:footnoteRef/>
      </w:r>
      <w:r w:rsidRPr="00CD0FEB">
        <w:t xml:space="preserve">974 F. Supp. 2d 162 (E.D.N.Y. 2013). </w:t>
      </w:r>
    </w:p>
  </w:footnote>
  <w:footnote w:id="880">
    <w:p w14:paraId="3F6EAD62"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179–80. </w:t>
      </w:r>
    </w:p>
  </w:footnote>
  <w:footnote w:id="881">
    <w:p w14:paraId="13FE5A47" w14:textId="77777777" w:rsidR="00201F3F" w:rsidRPr="00CD0FEB" w:rsidRDefault="00201F3F" w:rsidP="00C2067F">
      <w:pPr>
        <w:pStyle w:val="14Footnote"/>
      </w:pPr>
      <w:r w:rsidRPr="00CD0FEB">
        <w:rPr>
          <w:vertAlign w:val="superscript"/>
        </w:rPr>
        <w:footnoteRef/>
      </w:r>
      <w:r w:rsidRPr="00CD0FEB">
        <w:t xml:space="preserve">2018 WL 1954218 (D. Neb. Apr. 13, 2018). </w:t>
      </w:r>
    </w:p>
  </w:footnote>
  <w:footnote w:id="882">
    <w:p w14:paraId="1FDA08D2"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*4. </w:t>
      </w:r>
    </w:p>
  </w:footnote>
  <w:footnote w:id="883">
    <w:p w14:paraId="0A912E85" w14:textId="77777777" w:rsidR="00201F3F" w:rsidRPr="00CD0FEB" w:rsidRDefault="00201F3F" w:rsidP="00C2067F">
      <w:pPr>
        <w:pStyle w:val="14Footnote"/>
        <w:rPr>
          <w:i/>
          <w:iCs/>
        </w:rPr>
      </w:pPr>
      <w:r w:rsidRPr="00CD0FEB">
        <w:rPr>
          <w:vertAlign w:val="superscript"/>
        </w:rPr>
        <w:footnoteRef/>
      </w:r>
      <w:r w:rsidRPr="00CD0FEB">
        <w:rPr>
          <w:i/>
          <w:iCs/>
        </w:rPr>
        <w:t>Sethi</w:t>
      </w:r>
      <w:r w:rsidRPr="00CD0FEB">
        <w:t xml:space="preserve">, 974 F. Supp. 2d at 180–81; </w:t>
      </w:r>
      <w:r w:rsidRPr="00CD0FEB">
        <w:rPr>
          <w:i/>
          <w:iCs/>
        </w:rPr>
        <w:t>see also</w:t>
      </w:r>
    </w:p>
    <w:p w14:paraId="7EB249B4" w14:textId="77777777" w:rsidR="00201F3F" w:rsidRPr="00CD0FEB" w:rsidRDefault="00201F3F" w:rsidP="00C2067F">
      <w:pPr>
        <w:pStyle w:val="14Footnote"/>
      </w:pPr>
      <w:r w:rsidRPr="00CD0FEB">
        <w:rPr>
          <w:i/>
          <w:iCs/>
        </w:rPr>
        <w:t>Second Circuit:</w:t>
      </w:r>
      <w:r w:rsidRPr="00CD0FEB">
        <w:t xml:space="preserve"> </w:t>
      </w:r>
      <w:r w:rsidRPr="00CD0FEB">
        <w:rPr>
          <w:i/>
          <w:iCs/>
        </w:rPr>
        <w:t>Bobadilla</w:t>
      </w:r>
      <w:r w:rsidRPr="00CD0FEB">
        <w:t>, 2005 WL 2044938 (deeming network administrator exempt); Burke v. County of Monroe, 225 F. Supp. 2d 306, 320 (W.D.N.Y. 2002) (employees’ work included installing and operating computer networks, analyzing hardware and software problems, testing, and problem solving, but did not meet the requirement of discretion and independent judgment).</w:t>
      </w:r>
    </w:p>
    <w:p w14:paraId="18C270BC" w14:textId="77777777" w:rsidR="00201F3F" w:rsidRPr="00CD0FEB" w:rsidRDefault="00201F3F" w:rsidP="00C2067F">
      <w:pPr>
        <w:pStyle w:val="14Footnote"/>
      </w:pPr>
      <w:r w:rsidRPr="00CD0FEB">
        <w:rPr>
          <w:i/>
          <w:iCs/>
        </w:rPr>
        <w:t>Fourth Circuit:</w:t>
      </w:r>
      <w:r w:rsidRPr="00CD0FEB">
        <w:t xml:space="preserve"> Campbell v. Kannapolis City Sch. Bd. of Educ., 55 F. Supp. 3d 821 (M.D.N.C. 2014) (holding exemption applicable to network engineer who focused on development and maintenance of employer’s infrastructure, rejecting plaintiff’s argument that he was lower-skilled employee); Turner v. Human Genome Scis., Inc</w:t>
      </w:r>
      <w:r w:rsidRPr="00CD0FEB">
        <w:rPr>
          <w:i/>
          <w:iCs/>
        </w:rPr>
        <w:t>.</w:t>
      </w:r>
      <w:r w:rsidRPr="00CD0FEB">
        <w:t>, 292 F. Supp. 2d 738 (D. Md. 2003) (employees responsible for troubleshooting and correcting hardware and software problems and network connectivity issues did not exercise sufficient discretion or independent judgment).</w:t>
      </w:r>
    </w:p>
    <w:p w14:paraId="766B96F6" w14:textId="77777777" w:rsidR="00201F3F" w:rsidRPr="00CD0FEB" w:rsidRDefault="00201F3F" w:rsidP="00C2067F">
      <w:pPr>
        <w:pStyle w:val="14Footnote"/>
      </w:pPr>
      <w:r w:rsidRPr="00CD0FEB">
        <w:rPr>
          <w:i/>
          <w:iCs/>
        </w:rPr>
        <w:t>Fifth Circuit:</w:t>
      </w:r>
      <w:r w:rsidRPr="00CD0FEB">
        <w:t xml:space="preserve"> Karna v. BP Corp., N. Am., Inc., 2014 WL1314616 (S.D. Tex. Mar. 31, 2014) (jury verdict in favor of defendant was upheld by the court where the plaintiff’s job as liaison between the defendant and the computer services ­</w:t>
      </w:r>
      <w:r w:rsidRPr="00CD0FEB">
        <w:br/>
        <w:t>provider required possession and application of high levels of technical knowledge, which satisfied the exemption’s duty criteria); Pellerin v. Xspedius Mgmt. Co. of Shreveport LLC, 432 F. Supp. 2d 627 (W.D. La. 2006) (holding exemption applies to employee responsible for maintaining and supporting software applications by adding input fields, correcting bugs, and changing codes).</w:t>
      </w:r>
    </w:p>
    <w:p w14:paraId="188B6430" w14:textId="77777777" w:rsidR="00201F3F" w:rsidRPr="00CD0FEB" w:rsidRDefault="00201F3F" w:rsidP="00C2067F">
      <w:pPr>
        <w:pStyle w:val="14Footnote"/>
      </w:pPr>
      <w:r w:rsidRPr="00CD0FEB">
        <w:rPr>
          <w:i/>
          <w:iCs/>
        </w:rPr>
        <w:t>Sixth Circuit:</w:t>
      </w:r>
      <w:r w:rsidRPr="00CD0FEB">
        <w:t xml:space="preserve"> Grills v. Hewlett-Packard Co., 88 F. Supp. 3d 822 (N.D. Ohio 2015) (holding technical solutions consultant was properly classified as exempt as computer professional where his primary duty involved analyzing, testing, documenting, and modifying computer networking systems, he handled most serious and complex computer issues, and he used his discretion to troubleshoot problems).</w:t>
      </w:r>
    </w:p>
    <w:p w14:paraId="368F52FD" w14:textId="77777777" w:rsidR="00201F3F" w:rsidRPr="00CD0FEB" w:rsidRDefault="00201F3F" w:rsidP="00C2067F">
      <w:pPr>
        <w:pStyle w:val="14Footnote"/>
      </w:pPr>
      <w:r w:rsidRPr="00CD0FEB">
        <w:rPr>
          <w:i/>
          <w:iCs/>
        </w:rPr>
        <w:t>Ninth Circuit:</w:t>
      </w:r>
      <w:r w:rsidRPr="00CD0FEB">
        <w:t xml:space="preserve"> Curry v. Matividad Med. Ctr</w:t>
      </w:r>
      <w:r w:rsidRPr="00CD0FEB">
        <w:rPr>
          <w:i/>
          <w:iCs/>
        </w:rPr>
        <w:t>.</w:t>
      </w:r>
      <w:r w:rsidRPr="00CD0FEB">
        <w:t>, 2013 WL 2338110 (N.D. Cal. May 28, 2013) (holding exemption applies to network and systems engineer responsible for computer and server repair and functionality problems, as well as network analysis, testing, configuration, and modification).</w:t>
      </w:r>
    </w:p>
    <w:p w14:paraId="336F8DAD" w14:textId="77777777" w:rsidR="00201F3F" w:rsidRPr="00CD0FEB" w:rsidRDefault="00201F3F" w:rsidP="00C2067F">
      <w:pPr>
        <w:pStyle w:val="14Footnote"/>
      </w:pPr>
      <w:r w:rsidRPr="00CD0FEB">
        <w:rPr>
          <w:i/>
          <w:iCs/>
        </w:rPr>
        <w:t>Eleventh Circuit:</w:t>
      </w:r>
      <w:r w:rsidRPr="00CD0FEB">
        <w:t xml:space="preserve"> Bergquist v. Fidelity Info. Servs., Inc</w:t>
      </w:r>
      <w:r w:rsidRPr="00CD0FEB">
        <w:rPr>
          <w:i/>
          <w:iCs/>
        </w:rPr>
        <w:t>.</w:t>
      </w:r>
      <w:r w:rsidRPr="00CD0FEB">
        <w:t xml:space="preserve">, 399 F. Supp. 2d 1320, 11 WH Cases2d 80 (M.D. Fla. 2005) (concluding exemption applied to computer programmer responsible for designing programs, assisting the business analyst with technical details of computer programs, and working on a project team to design pieces of programs that would be integrated into the work of other team members), </w:t>
      </w:r>
      <w:r w:rsidRPr="00CD0FEB">
        <w:rPr>
          <w:i/>
          <w:iCs/>
        </w:rPr>
        <w:t>aff’d</w:t>
      </w:r>
      <w:r w:rsidRPr="00CD0FEB">
        <w:t>, 197 F. App’x 813, 11 WH Cases2d 1376 (11th Cir. 2006) (judgment affirmed on waiver issue not reaching exemption analysis); Shillinglaw v. System Works, 1993 WL 603289 (N.D. Ga. Nov. 8, 1993) (senior programmer/analyst who programmed and designed modifications exempt)</w:t>
      </w:r>
    </w:p>
  </w:footnote>
  <w:footnote w:id="884">
    <w:p w14:paraId="599AF08D" w14:textId="77777777" w:rsidR="00201F3F" w:rsidRPr="00CD0FEB" w:rsidRDefault="00201F3F" w:rsidP="00C2067F">
      <w:pPr>
        <w:pStyle w:val="14Footnote"/>
      </w:pPr>
      <w:r w:rsidRPr="00CD0FEB">
        <w:rPr>
          <w:vertAlign w:val="superscript"/>
        </w:rPr>
        <w:footnoteRef/>
      </w:r>
      <w:r w:rsidRPr="00CD0FEB">
        <w:t xml:space="preserve">29 C.F.R. §541.402; </w:t>
      </w:r>
      <w:r w:rsidRPr="00CD0FEB">
        <w:rPr>
          <w:i/>
          <w:iCs/>
        </w:rPr>
        <w:t>see also</w:t>
      </w:r>
      <w:r w:rsidRPr="00CD0FEB">
        <w:t xml:space="preserve"> 69 Fed. Reg. 22,121, 22,160 (Apr. 23, 2004); Berry v. Drive Casa, LLC, 2022 BL 138009, 2022 WL 1190353, at *3–5 (N.D. Tex. Apr. 21, 2022) (holding that Information Technology Director was properly classified as an exempt administrative employee); Koppinger v. American Interiors, Inc</w:t>
      </w:r>
      <w:r w:rsidRPr="00CD0FEB">
        <w:rPr>
          <w:i/>
          <w:iCs/>
        </w:rPr>
        <w:t>.</w:t>
      </w:r>
      <w:r w:rsidRPr="00CD0FEB">
        <w:t>, 295 F. Supp. 2d 797 (N.D. Ohio 2003) (“one-man IT department” who designed, planned, and implemented projects to connect employees to a data network, ordered replacement parts, and installed software with little or no supervision met the requirements of the administrative exemption); McKeever v. J.E. Stowers &amp; Co., 1989 WL 99930 (W.D. Mich. June 2, 1989) (operations manager who was almost exclusively responsible for overseeing the operation and maintenance of all computer hardware and computer software support systems, including the supervision of other employees, ordering supplies, determining what work should be outsourced, and determining the priority of maintenance work was exempt); Massaro v. New York Times, 1988 WL 59637 (S.D.N.Y. June 6, 1988) (staff assistant in an information systems unit met the requirements of the administrative exemption because he participated in the design, development, and implementation of an advanced computerized information system related to the processing and organization of the paper’s advertising information).</w:t>
      </w:r>
    </w:p>
  </w:footnote>
  <w:footnote w:id="885">
    <w:p w14:paraId="280B2EBC" w14:textId="77777777" w:rsidR="00201F3F" w:rsidRPr="00CD0FEB" w:rsidRDefault="00201F3F" w:rsidP="00C2067F">
      <w:pPr>
        <w:pStyle w:val="14Footnote"/>
      </w:pPr>
      <w:r w:rsidRPr="00CD0FEB">
        <w:rPr>
          <w:vertAlign w:val="superscript"/>
        </w:rPr>
        <w:footnoteRef/>
      </w:r>
      <w:r w:rsidRPr="00CD0FEB">
        <w:t xml:space="preserve">29 C.F.R. §541.402; </w:t>
      </w:r>
      <w:r w:rsidRPr="00CD0FEB">
        <w:rPr>
          <w:i/>
          <w:iCs/>
        </w:rPr>
        <w:t>see, e.g</w:t>
      </w:r>
      <w:r w:rsidRPr="00CD0FEB">
        <w:t>.,</w:t>
      </w:r>
    </w:p>
    <w:p w14:paraId="500CB026" w14:textId="77777777" w:rsidR="00201F3F" w:rsidRPr="00CD0FEB" w:rsidRDefault="00201F3F" w:rsidP="00C2067F">
      <w:pPr>
        <w:pStyle w:val="14Footnote"/>
      </w:pPr>
      <w:r w:rsidRPr="00CD0FEB">
        <w:rPr>
          <w:i/>
          <w:iCs/>
        </w:rPr>
        <w:t xml:space="preserve">Fourth Circuit: </w:t>
      </w:r>
      <w:r w:rsidRPr="00CD0FEB">
        <w:t xml:space="preserve">Mock v. Federal Home Loan Mortg. </w:t>
      </w:r>
      <w:r w:rsidRPr="00105650">
        <w:t xml:space="preserve">Corp., 2014 WL 3545096 (E.D. Va. </w:t>
      </w:r>
      <w:r w:rsidRPr="00CD0FEB">
        <w:t>July 15, 2014) (holding that employee who upgraded and modified software met requirements for highly compensated and administrative exemptions).</w:t>
      </w:r>
    </w:p>
    <w:p w14:paraId="11CE7115" w14:textId="77777777" w:rsidR="00201F3F" w:rsidRPr="00CD0FEB" w:rsidRDefault="00201F3F" w:rsidP="00C2067F">
      <w:pPr>
        <w:pStyle w:val="14Footnote"/>
      </w:pPr>
      <w:r w:rsidRPr="00CD0FEB">
        <w:rPr>
          <w:i/>
          <w:iCs/>
        </w:rPr>
        <w:t>Fifth Circuit:</w:t>
      </w:r>
      <w:r w:rsidRPr="00CD0FEB">
        <w:t xml:space="preserve"> Grevemberg v. North Oaks Med. Ctr</w:t>
      </w:r>
      <w:r w:rsidRPr="00CD0FEB">
        <w:rPr>
          <w:i/>
          <w:iCs/>
        </w:rPr>
        <w:t>.</w:t>
      </w:r>
      <w:r w:rsidRPr="00CD0FEB">
        <w:t>, 1996 WL 225018, 3 WH Cases2d 507 (E.D. La. May 2, 1996) (concluding employee serving as a programmer, consultant, and troubleshooter met the requirements of the administrative exemption).</w:t>
      </w:r>
    </w:p>
    <w:p w14:paraId="37D4ECD9" w14:textId="77777777" w:rsidR="00201F3F" w:rsidRPr="00CD0FEB" w:rsidRDefault="00201F3F" w:rsidP="00C2067F">
      <w:pPr>
        <w:pStyle w:val="14Footnote"/>
      </w:pPr>
      <w:r w:rsidRPr="00CD0FEB">
        <w:rPr>
          <w:i/>
          <w:iCs/>
        </w:rPr>
        <w:t>Sixth Circuit:</w:t>
      </w:r>
      <w:r w:rsidRPr="00CD0FEB">
        <w:t xml:space="preserve"> Horne v. Singer Bus. Mach., Inc</w:t>
      </w:r>
      <w:r w:rsidRPr="00CD0FEB">
        <w:rPr>
          <w:i/>
          <w:iCs/>
        </w:rPr>
        <w:t>.</w:t>
      </w:r>
      <w:r w:rsidRPr="00CD0FEB">
        <w:t>, 413 F. Supp. 52 (W.D. Tenn. 1976) (computer programmer and systems analyst who determined the specific needs of customers by consulting with them and modifying and occasionally devising their computer programs to meet those needs, debugged customers’ computers, and trained the customers’ employees met the requirements of the administrative exemption).</w:t>
      </w:r>
    </w:p>
    <w:p w14:paraId="7E8F1FD6" w14:textId="77777777" w:rsidR="00201F3F" w:rsidRPr="00CD0FEB" w:rsidRDefault="00201F3F" w:rsidP="00C2067F">
      <w:pPr>
        <w:pStyle w:val="14Footnote"/>
      </w:pPr>
      <w:r w:rsidRPr="00CD0FEB">
        <w:rPr>
          <w:i/>
          <w:iCs/>
        </w:rPr>
        <w:t>Seventh Circuit:</w:t>
      </w:r>
      <w:r w:rsidRPr="00CD0FEB">
        <w:t xml:space="preserve"> Verkuilen v. Mediabank, LLC, 646 F.3d 979 (7th Cir. 2011) (account manager who acted as bridge between software developers and customers and who provided training on software met the requirements of the administrative exemption).</w:t>
      </w:r>
    </w:p>
    <w:p w14:paraId="53C5613B" w14:textId="77777777" w:rsidR="00201F3F" w:rsidRPr="00CD0FEB" w:rsidRDefault="00201F3F" w:rsidP="00C2067F">
      <w:pPr>
        <w:pStyle w:val="14Footnote"/>
      </w:pPr>
      <w:r w:rsidRPr="00CD0FEB">
        <w:rPr>
          <w:i/>
          <w:iCs/>
        </w:rPr>
        <w:t>Eleventh Circuit:</w:t>
      </w:r>
      <w:r w:rsidRPr="00CD0FEB">
        <w:t xml:space="preserve"> Shillinglaw v. System Works, Inc</w:t>
      </w:r>
      <w:r w:rsidRPr="00CD0FEB">
        <w:rPr>
          <w:i/>
          <w:iCs/>
        </w:rPr>
        <w:t>.</w:t>
      </w:r>
      <w:r w:rsidRPr="00CD0FEB">
        <w:t>, 1993 WL 603289, 1 WH Cases2d 1362 (N.D. Ga. Nov. 8, 1993) (deeming Senior Programmer/Analyst properly classified as exempt administrative employee).</w:t>
      </w:r>
    </w:p>
    <w:p w14:paraId="56300473" w14:textId="77777777" w:rsidR="00201F3F" w:rsidRPr="00CD0FEB" w:rsidRDefault="00201F3F" w:rsidP="00C2067F">
      <w:pPr>
        <w:pStyle w:val="14Footnote"/>
      </w:pPr>
      <w:r w:rsidRPr="00CD0FEB">
        <w:rPr>
          <w:i/>
          <w:iCs/>
        </w:rPr>
        <w:t>Oklahoma:</w:t>
      </w:r>
      <w:r w:rsidRPr="00CD0FEB">
        <w:t xml:space="preserve"> Harber v. HEBCO, Inc., 146 P.3d 876, 880, 14 WH Cases2d 889 (Okla. Ct. App. 2006) (holding employee who designed and built employer’s network and was responsible for “insuring that the information systems were functioning and maintained in an accurate and sufficient manner” qualified for administration exemption).</w:t>
      </w:r>
    </w:p>
    <w:p w14:paraId="0B279ED3" w14:textId="77777777" w:rsidR="00201F3F" w:rsidRPr="00CD0FEB" w:rsidRDefault="00201F3F" w:rsidP="00C2067F">
      <w:pPr>
        <w:pStyle w:val="14Footnote"/>
      </w:pPr>
      <w:r w:rsidRPr="00CD0FEB">
        <w:rPr>
          <w:i/>
          <w:iCs/>
        </w:rPr>
        <w:t>But see</w:t>
      </w:r>
      <w:r w:rsidRPr="00CD0FEB">
        <w:t xml:space="preserve"> WH Op. FLSA2006-42, 2006 WL 3406603 (Oct. 26, 2006) (determining Information Technology—formerly “Help Desk”—Support Specialist did not qualify for administrative or computer professional exemption).</w:t>
      </w:r>
    </w:p>
  </w:footnote>
  <w:footnote w:id="886">
    <w:p w14:paraId="0A04BF7A" w14:textId="77777777" w:rsidR="00201F3F" w:rsidRPr="00CD0FEB" w:rsidRDefault="00201F3F" w:rsidP="00C2067F">
      <w:pPr>
        <w:pStyle w:val="14Footnote"/>
      </w:pPr>
      <w:r w:rsidRPr="00CD0FEB">
        <w:rPr>
          <w:vertAlign w:val="superscript"/>
        </w:rPr>
        <w:footnoteRef/>
      </w:r>
      <w:r w:rsidRPr="00CD0FEB">
        <w:t xml:space="preserve">29 C.F.R. §541.402; </w:t>
      </w:r>
      <w:r w:rsidRPr="00CD0FEB">
        <w:rPr>
          <w:i/>
          <w:iCs/>
        </w:rPr>
        <w:t>see also</w:t>
      </w:r>
      <w:r w:rsidRPr="00CD0FEB">
        <w:t xml:space="preserve"> Medepalli v. Maximus, Inc</w:t>
      </w:r>
      <w:r w:rsidRPr="00CD0FEB">
        <w:rPr>
          <w:i/>
          <w:iCs/>
        </w:rPr>
        <w:t>.</w:t>
      </w:r>
      <w:r w:rsidRPr="00CD0FEB">
        <w:t>, 2008 WL 958045 (E.D. Cal. Apr. 8, 2008) (finding Senior Developer primarily responsible for developing computer code met requirements of professional exemption).</w:t>
      </w:r>
    </w:p>
  </w:footnote>
  <w:footnote w:id="887">
    <w:p w14:paraId="73324EFC" w14:textId="77777777" w:rsidR="00201F3F" w:rsidRPr="00CD0FEB" w:rsidRDefault="00201F3F" w:rsidP="00C2067F">
      <w:pPr>
        <w:pStyle w:val="14Footnote"/>
      </w:pPr>
      <w:r w:rsidRPr="00CD0FEB">
        <w:rPr>
          <w:vertAlign w:val="superscript"/>
        </w:rPr>
        <w:footnoteRef/>
      </w:r>
      <w:r w:rsidRPr="00CD0FEB">
        <w:t>29 C.F.R. §541.500(a), (b).</w:t>
      </w:r>
    </w:p>
  </w:footnote>
  <w:footnote w:id="888">
    <w:p w14:paraId="6C0D0511" w14:textId="77777777" w:rsidR="00201F3F" w:rsidRPr="00CD0FEB" w:rsidRDefault="00201F3F" w:rsidP="00C2067F">
      <w:pPr>
        <w:pStyle w:val="14Footnote"/>
      </w:pPr>
      <w:r w:rsidRPr="00CD0FEB">
        <w:rPr>
          <w:vertAlign w:val="superscript"/>
        </w:rPr>
        <w:footnoteRef/>
      </w:r>
      <w:r w:rsidRPr="00CD0FEB">
        <w:rPr>
          <w:i/>
          <w:iCs/>
        </w:rPr>
        <w:t>Id</w:t>
      </w:r>
      <w:r w:rsidRPr="00CD0FEB">
        <w:t>. §541.500(c).</w:t>
      </w:r>
    </w:p>
  </w:footnote>
  <w:footnote w:id="889">
    <w:p w14:paraId="4A885031"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§§541.500–.502; Christopher v. SmithKline Beecham Corp., 567 U.S. 142, 148 (2012). The 2004 amendments eliminated the 20% limit on nonexempt work in favor of the “relatively simple, understandable” primary duty test. 69 Fed. Reg. at 22,161.</w:t>
      </w:r>
    </w:p>
  </w:footnote>
  <w:footnote w:id="890">
    <w:p w14:paraId="6A793ABE" w14:textId="77777777" w:rsidR="00201F3F" w:rsidRPr="00CD0FEB" w:rsidRDefault="00201F3F" w:rsidP="00C2067F">
      <w:pPr>
        <w:pStyle w:val="14Footnote"/>
      </w:pPr>
      <w:r w:rsidRPr="00CD0FEB">
        <w:rPr>
          <w:vertAlign w:val="superscript"/>
        </w:rPr>
        <w:footnoteRef/>
      </w:r>
      <w:r w:rsidRPr="00CD0FEB">
        <w:t xml:space="preserve">29 C.F.R. §541.500(a)(1)(ii). </w:t>
      </w:r>
    </w:p>
  </w:footnote>
  <w:footnote w:id="891">
    <w:p w14:paraId="47CF8E26"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§541.500(a)(2). </w:t>
      </w:r>
    </w:p>
  </w:footnote>
  <w:footnote w:id="892">
    <w:p w14:paraId="008D1CB4"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§541.501(c).</w:t>
      </w:r>
    </w:p>
  </w:footnote>
  <w:footnote w:id="893">
    <w:p w14:paraId="4092D126" w14:textId="77777777" w:rsidR="00201F3F" w:rsidRPr="00CD0FEB" w:rsidRDefault="00201F3F" w:rsidP="00C2067F">
      <w:pPr>
        <w:pStyle w:val="14Footnote"/>
      </w:pPr>
      <w:r w:rsidRPr="00CD0FEB">
        <w:rPr>
          <w:vertAlign w:val="superscript"/>
        </w:rPr>
        <w:footnoteRef/>
      </w:r>
      <w:r w:rsidRPr="00CD0FEB">
        <w:t>Lederman v. Frontier Fire Prot., Inc., 685 F.3d 1151, 1156, 19 WH Cases2d 678 (10th Cir. 2012).</w:t>
      </w:r>
    </w:p>
  </w:footnote>
  <w:footnote w:id="894">
    <w:p w14:paraId="5B6E7BA4" w14:textId="77777777" w:rsidR="00201F3F" w:rsidRPr="00CD0FEB" w:rsidRDefault="00201F3F" w:rsidP="00C2067F">
      <w:pPr>
        <w:pStyle w:val="14Footnote"/>
      </w:pPr>
      <w:r w:rsidRPr="00CD0FEB">
        <w:rPr>
          <w:vertAlign w:val="superscript"/>
        </w:rPr>
        <w:footnoteRef/>
      </w:r>
      <w:r w:rsidRPr="00CD0FEB">
        <w:t xml:space="preserve">29 C.F.R. §541.500(b). </w:t>
      </w:r>
    </w:p>
  </w:footnote>
  <w:footnote w:id="895">
    <w:p w14:paraId="388A29E8"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Cf.</w:t>
      </w:r>
      <w:r w:rsidRPr="00CD0FEB">
        <w:t xml:space="preserve"> Domenech v. Parts Auth., Inc.,</w:t>
      </w:r>
      <w:r w:rsidRPr="00CD0FEB">
        <w:rPr>
          <w:i/>
          <w:iCs/>
        </w:rPr>
        <w:t xml:space="preserve"> </w:t>
      </w:r>
      <w:r w:rsidRPr="00CD0FEB">
        <w:t>653 F. App’x 26 (2d Cir. 2016) (finding issue of fact as to whether plaintiff was properly classified as outside salesperson where he claimed that sales functions were merely incidental to primary duty of servicing, installing, and inspecting equipment).</w:t>
      </w:r>
    </w:p>
  </w:footnote>
  <w:footnote w:id="896">
    <w:p w14:paraId="27766F44" w14:textId="77777777" w:rsidR="00201F3F" w:rsidRPr="00CD0FEB" w:rsidRDefault="00201F3F" w:rsidP="00C2067F">
      <w:pPr>
        <w:pStyle w:val="14Footnote"/>
      </w:pPr>
      <w:r w:rsidRPr="00CD0FEB">
        <w:rPr>
          <w:vertAlign w:val="superscript"/>
        </w:rPr>
        <w:footnoteRef/>
      </w:r>
      <w:r w:rsidRPr="00CD0FEB">
        <w:t>Jewell Tea Co. v. Williams, 118 F.2d 202 (10th Cir. 1941).</w:t>
      </w:r>
    </w:p>
  </w:footnote>
  <w:footnote w:id="897">
    <w:p w14:paraId="05975035" w14:textId="77777777" w:rsidR="00201F3F" w:rsidRPr="00CD0FEB" w:rsidRDefault="00201F3F" w:rsidP="00C2067F">
      <w:pPr>
        <w:pStyle w:val="14Footnote"/>
      </w:pPr>
      <w:r w:rsidRPr="00CD0FEB">
        <w:rPr>
          <w:vertAlign w:val="superscript"/>
        </w:rPr>
        <w:footnoteRef/>
      </w:r>
      <w:r w:rsidRPr="00CD0FEB">
        <w:t>29 C.F.R. §541.501(a).</w:t>
      </w:r>
    </w:p>
  </w:footnote>
  <w:footnote w:id="898">
    <w:p w14:paraId="18ECC631"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§541.501(b).</w:t>
      </w:r>
    </w:p>
  </w:footnote>
  <w:footnote w:id="899">
    <w:p w14:paraId="4E7BFD79"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§541.501(b) (quoting 29 U.S.C. §203(k)).</w:t>
      </w:r>
    </w:p>
  </w:footnote>
  <w:footnote w:id="900">
    <w:p w14:paraId="05B7E33A" w14:textId="77777777" w:rsidR="00201F3F" w:rsidRPr="00CD0FEB" w:rsidRDefault="00201F3F" w:rsidP="00C2067F">
      <w:pPr>
        <w:pStyle w:val="14Footnote"/>
      </w:pPr>
      <w:r w:rsidRPr="00CD0FEB">
        <w:rPr>
          <w:vertAlign w:val="superscript"/>
        </w:rPr>
        <w:footnoteRef/>
      </w:r>
      <w:r w:rsidRPr="00CD0FEB">
        <w:t>WH Op. FLSA2006-16, 2006 WL 1698305 (May 22, 2006).</w:t>
      </w:r>
    </w:p>
  </w:footnote>
  <w:footnote w:id="901">
    <w:p w14:paraId="7A94DA7E" w14:textId="77777777" w:rsidR="00201F3F" w:rsidRPr="00CD0FEB" w:rsidRDefault="00201F3F" w:rsidP="00C2067F">
      <w:pPr>
        <w:pStyle w:val="14Footnote"/>
      </w:pPr>
      <w:r w:rsidRPr="00CD0FEB">
        <w:rPr>
          <w:vertAlign w:val="superscript"/>
        </w:rPr>
        <w:footnoteRef/>
      </w:r>
      <w:r w:rsidRPr="00CD0FEB">
        <w:t>29 C.F.R. §541.501(c).</w:t>
      </w:r>
    </w:p>
  </w:footnote>
  <w:footnote w:id="902">
    <w:p w14:paraId="3B8F1D58" w14:textId="77777777" w:rsidR="00201F3F" w:rsidRPr="00CD0FEB" w:rsidRDefault="00201F3F" w:rsidP="00C2067F">
      <w:pPr>
        <w:pStyle w:val="14Footnote"/>
      </w:pPr>
      <w:r w:rsidRPr="00CD0FEB">
        <w:rPr>
          <w:vertAlign w:val="superscript"/>
        </w:rPr>
        <w:footnoteRef/>
      </w:r>
      <w:r w:rsidRPr="00CD0FEB">
        <w:rPr>
          <w:i/>
          <w:iCs/>
        </w:rPr>
        <w:t>Id</w:t>
      </w:r>
      <w:r w:rsidRPr="00CD0FEB">
        <w:t>. §541.501(d).</w:t>
      </w:r>
    </w:p>
  </w:footnote>
  <w:footnote w:id="903">
    <w:p w14:paraId="7C657F53" w14:textId="77777777" w:rsidR="00201F3F" w:rsidRPr="00CD0FEB" w:rsidRDefault="00201F3F" w:rsidP="00C2067F">
      <w:pPr>
        <w:pStyle w:val="14Footnote"/>
      </w:pPr>
      <w:r w:rsidRPr="00CD0FEB">
        <w:rPr>
          <w:vertAlign w:val="superscript"/>
        </w:rPr>
        <w:footnoteRef/>
      </w:r>
      <w:r w:rsidRPr="00CD0FEB">
        <w:t>29 U.S.C. §203(k).</w:t>
      </w:r>
    </w:p>
  </w:footnote>
  <w:footnote w:id="904">
    <w:p w14:paraId="5CD2827F" w14:textId="77777777" w:rsidR="00201F3F" w:rsidRPr="00CD0FEB" w:rsidRDefault="00201F3F" w:rsidP="00C2067F">
      <w:pPr>
        <w:pStyle w:val="14Footnote"/>
      </w:pPr>
      <w:r w:rsidRPr="00CD0FEB">
        <w:rPr>
          <w:vertAlign w:val="superscript"/>
        </w:rPr>
        <w:footnoteRef/>
      </w:r>
      <w:r w:rsidRPr="00CD0FEB">
        <w:t>Christopher v. SmithKline Beecham Corp., 635 F.3d 383, 385 (9th Cir. 2012).</w:t>
      </w:r>
    </w:p>
  </w:footnote>
  <w:footnote w:id="905">
    <w:p w14:paraId="12E518FB" w14:textId="77777777" w:rsidR="00201F3F" w:rsidRPr="00CD0FEB" w:rsidRDefault="00201F3F" w:rsidP="00C2067F">
      <w:pPr>
        <w:pStyle w:val="14Footnote"/>
      </w:pPr>
      <w:r w:rsidRPr="00CD0FEB">
        <w:rPr>
          <w:vertAlign w:val="superscript"/>
        </w:rPr>
        <w:footnoteRef/>
      </w:r>
      <w:r w:rsidRPr="00CD0FEB">
        <w:t>567 U.S. 142 (2012).</w:t>
      </w:r>
    </w:p>
  </w:footnote>
  <w:footnote w:id="906">
    <w:p w14:paraId="79FC1CA9" w14:textId="77777777" w:rsidR="00201F3F" w:rsidRPr="00CD0FEB" w:rsidRDefault="00201F3F" w:rsidP="00C2067F">
      <w:pPr>
        <w:pStyle w:val="14Footnote"/>
      </w:pPr>
      <w:r w:rsidRPr="00CD0FEB">
        <w:rPr>
          <w:vertAlign w:val="superscript"/>
        </w:rPr>
        <w:footnoteRef/>
      </w:r>
      <w:r w:rsidRPr="00CD0FEB">
        <w:rPr>
          <w:i/>
          <w:iCs/>
        </w:rPr>
        <w:t>In re</w:t>
      </w:r>
      <w:r w:rsidRPr="00CD0FEB">
        <w:t xml:space="preserve"> Novartis Wage &amp; Hour Litig</w:t>
      </w:r>
      <w:r w:rsidRPr="00CD0FEB">
        <w:rPr>
          <w:i/>
          <w:iCs/>
        </w:rPr>
        <w:t>.</w:t>
      </w:r>
      <w:r w:rsidRPr="00CD0FEB">
        <w:t>, 611 F.3d 141 (2d Cir. 2010) (holding pharmacy sales reps not exempt); Christopher v. SmithKline Beecham Corp., 635 F.3d 383 (9th Cir. 2012) (holding pharmacy sales reps exempt).</w:t>
      </w:r>
    </w:p>
  </w:footnote>
  <w:footnote w:id="907">
    <w:p w14:paraId="57E48A89" w14:textId="77777777" w:rsidR="00201F3F" w:rsidRPr="00CD0FEB" w:rsidRDefault="00201F3F" w:rsidP="00C2067F">
      <w:pPr>
        <w:pStyle w:val="14Footnote"/>
      </w:pPr>
      <w:r w:rsidRPr="00CD0FEB">
        <w:rPr>
          <w:vertAlign w:val="superscript"/>
        </w:rPr>
        <w:footnoteRef/>
      </w:r>
      <w:r w:rsidRPr="00CD0FEB">
        <w:rPr>
          <w:i/>
          <w:iCs/>
        </w:rPr>
        <w:t>Christopher</w:t>
      </w:r>
      <w:r w:rsidRPr="00CD0FEB">
        <w:t>,</w:t>
      </w:r>
      <w:r w:rsidRPr="00CD0FEB">
        <w:rPr>
          <w:i/>
          <w:iCs/>
        </w:rPr>
        <w:t xml:space="preserve"> </w:t>
      </w:r>
      <w:r w:rsidRPr="00CD0FEB">
        <w:t>567 U.S. at 154. The DOL’s definition of “making sales” can be found at 29 C.F.R. §541.501(b).</w:t>
      </w:r>
    </w:p>
  </w:footnote>
  <w:footnote w:id="908">
    <w:p w14:paraId="75A38F72"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155 (citing </w:t>
      </w:r>
      <w:r w:rsidRPr="00CD0FEB">
        <w:rPr>
          <w:i/>
          <w:iCs/>
        </w:rPr>
        <w:t>Auer v. Robbins</w:t>
      </w:r>
      <w:r w:rsidRPr="00CD0FEB">
        <w:t>, 519 U.S. 452 (1997)).</w:t>
      </w:r>
    </w:p>
  </w:footnote>
  <w:footnote w:id="909">
    <w:p w14:paraId="1EC2F4EA" w14:textId="77777777" w:rsidR="00201F3F" w:rsidRPr="00CD0FEB" w:rsidRDefault="00201F3F" w:rsidP="00C2067F">
      <w:pPr>
        <w:pStyle w:val="14Footnote"/>
      </w:pPr>
      <w:r w:rsidRPr="00CD0FEB">
        <w:rPr>
          <w:vertAlign w:val="superscript"/>
        </w:rPr>
        <w:footnoteRef/>
      </w:r>
      <w:r w:rsidRPr="00CD0FEB">
        <w:rPr>
          <w:i/>
          <w:iCs/>
        </w:rPr>
        <w:t>Id</w:t>
      </w:r>
      <w:r w:rsidRPr="00CD0FEB">
        <w:t>. at 162–64.</w:t>
      </w:r>
    </w:p>
  </w:footnote>
  <w:footnote w:id="910">
    <w:p w14:paraId="383A6915" w14:textId="77777777" w:rsidR="00201F3F" w:rsidRPr="00CD0FEB" w:rsidRDefault="00201F3F" w:rsidP="00C2067F">
      <w:pPr>
        <w:pStyle w:val="14Footnote"/>
      </w:pPr>
      <w:r w:rsidRPr="00CD0FEB">
        <w:rPr>
          <w:vertAlign w:val="superscript"/>
        </w:rPr>
        <w:footnoteRef/>
      </w:r>
      <w:r w:rsidRPr="00CD0FEB">
        <w:rPr>
          <w:i/>
          <w:iCs/>
        </w:rPr>
        <w:t>Id</w:t>
      </w:r>
      <w:r w:rsidRPr="00CD0FEB">
        <w:t>. at 165.</w:t>
      </w:r>
    </w:p>
  </w:footnote>
  <w:footnote w:id="911">
    <w:p w14:paraId="33DE2DAF" w14:textId="77777777" w:rsidR="00201F3F" w:rsidRPr="00CD0FEB" w:rsidRDefault="00201F3F" w:rsidP="00C2067F">
      <w:pPr>
        <w:pStyle w:val="14Footnote"/>
      </w:pPr>
      <w:r w:rsidRPr="00CD0FEB">
        <w:rPr>
          <w:vertAlign w:val="superscript"/>
        </w:rPr>
        <w:footnoteRef/>
      </w:r>
      <w:r w:rsidRPr="00CD0FEB">
        <w:rPr>
          <w:i/>
          <w:iCs/>
        </w:rPr>
        <w:t>Id</w:t>
      </w:r>
      <w:r w:rsidRPr="00CD0FEB">
        <w:t>. at 166.</w:t>
      </w:r>
    </w:p>
  </w:footnote>
  <w:footnote w:id="912">
    <w:p w14:paraId="6D8B715B"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r w:rsidRPr="00CD0FEB">
        <w:rPr>
          <w:i/>
          <w:iCs/>
        </w:rPr>
        <w:t>See also</w:t>
      </w:r>
      <w:r w:rsidRPr="00CD0FEB">
        <w:t xml:space="preserve"> Delgado v. Ortho-McNeil, Inc</w:t>
      </w:r>
      <w:r w:rsidRPr="00CD0FEB">
        <w:rPr>
          <w:i/>
          <w:iCs/>
        </w:rPr>
        <w:t>.</w:t>
      </w:r>
      <w:r w:rsidRPr="00CD0FEB">
        <w:t xml:space="preserve">, 476 F. App’x 133 (9th Cir. 2012) (holding pharmaceutical salespersons fell within the outside sales exemption, relying on </w:t>
      </w:r>
      <w:r w:rsidRPr="00CD0FEB">
        <w:rPr>
          <w:i/>
          <w:iCs/>
        </w:rPr>
        <w:t>Christopher v. SmithKline Beecham Corp.</w:t>
      </w:r>
      <w:r w:rsidRPr="00CD0FEB">
        <w:t>).</w:t>
      </w:r>
    </w:p>
  </w:footnote>
  <w:footnote w:id="913">
    <w:p w14:paraId="1988A7A6" w14:textId="77777777" w:rsidR="00201F3F" w:rsidRPr="00CD0FEB" w:rsidRDefault="00201F3F" w:rsidP="00C2067F">
      <w:pPr>
        <w:pStyle w:val="14Footnote"/>
      </w:pPr>
      <w:r w:rsidRPr="00CD0FEB">
        <w:rPr>
          <w:vertAlign w:val="superscript"/>
        </w:rPr>
        <w:footnoteRef/>
      </w:r>
      <w:r w:rsidRPr="00CD0FEB">
        <w:t>555 F.3d 1300, 14 WH Cases2d 818 (11th Cir. 2009).</w:t>
      </w:r>
    </w:p>
  </w:footnote>
  <w:footnote w:id="914">
    <w:p w14:paraId="2A943AE3" w14:textId="77777777" w:rsidR="00201F3F" w:rsidRPr="00CD0FEB" w:rsidRDefault="00201F3F" w:rsidP="00C2067F">
      <w:pPr>
        <w:pStyle w:val="14Footnote"/>
      </w:pPr>
      <w:r w:rsidRPr="00CD0FEB">
        <w:rPr>
          <w:vertAlign w:val="superscript"/>
        </w:rPr>
        <w:footnoteRef/>
      </w:r>
      <w:r w:rsidRPr="00CD0FEB">
        <w:rPr>
          <w:i/>
          <w:iCs/>
        </w:rPr>
        <w:t>Id</w:t>
      </w:r>
      <w:r w:rsidRPr="00CD0FEB">
        <w:t>. at 1303.</w:t>
      </w:r>
    </w:p>
  </w:footnote>
  <w:footnote w:id="915">
    <w:p w14:paraId="13A3D70E" w14:textId="77777777" w:rsidR="00201F3F" w:rsidRPr="00CD0FEB" w:rsidRDefault="00201F3F" w:rsidP="00C2067F">
      <w:pPr>
        <w:pStyle w:val="14Footnote"/>
      </w:pPr>
      <w:r w:rsidRPr="00CD0FEB">
        <w:rPr>
          <w:vertAlign w:val="superscript"/>
        </w:rPr>
        <w:footnoteRef/>
      </w:r>
      <w:r w:rsidRPr="00CD0FEB">
        <w:rPr>
          <w:i/>
          <w:iCs/>
        </w:rPr>
        <w:t>Id</w:t>
      </w:r>
      <w:r w:rsidRPr="00CD0FEB">
        <w:t>. at 1308.</w:t>
      </w:r>
    </w:p>
  </w:footnote>
  <w:footnote w:id="916">
    <w:p w14:paraId="0F7DFD98"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917">
    <w:p w14:paraId="6F766AF6" w14:textId="77777777" w:rsidR="00201F3F" w:rsidRPr="00CD0FEB" w:rsidRDefault="00201F3F" w:rsidP="00C2067F">
      <w:pPr>
        <w:pStyle w:val="14Footnote"/>
      </w:pPr>
      <w:r w:rsidRPr="00CD0FEB">
        <w:rPr>
          <w:vertAlign w:val="superscript"/>
        </w:rPr>
        <w:footnoteRef/>
      </w:r>
      <w:r w:rsidRPr="00CD0FEB">
        <w:rPr>
          <w:i/>
          <w:iCs/>
        </w:rPr>
        <w:t>Id</w:t>
      </w:r>
      <w:r w:rsidRPr="00CD0FEB">
        <w:t>. at 1309.</w:t>
      </w:r>
    </w:p>
  </w:footnote>
  <w:footnote w:id="918">
    <w:p w14:paraId="2CF248CB" w14:textId="77777777" w:rsidR="00201F3F" w:rsidRPr="00CD0FEB" w:rsidRDefault="00201F3F" w:rsidP="00C2067F">
      <w:pPr>
        <w:pStyle w:val="14Footnote"/>
      </w:pPr>
      <w:r w:rsidRPr="00CD0FEB">
        <w:rPr>
          <w:vertAlign w:val="superscript"/>
        </w:rPr>
        <w:footnoteRef/>
      </w:r>
      <w:r w:rsidRPr="00CD0FEB">
        <w:t>302 F. Supp. 2d 747 (W.D. Mich. 2003).</w:t>
      </w:r>
    </w:p>
  </w:footnote>
  <w:footnote w:id="919">
    <w:p w14:paraId="65DF5D19" w14:textId="77777777" w:rsidR="00201F3F" w:rsidRPr="00CD0FEB" w:rsidRDefault="00201F3F" w:rsidP="00C2067F">
      <w:pPr>
        <w:pStyle w:val="14Footnote"/>
      </w:pPr>
      <w:r w:rsidRPr="00CD0FEB">
        <w:rPr>
          <w:vertAlign w:val="superscript"/>
        </w:rPr>
        <w:footnoteRef/>
      </w:r>
      <w:r w:rsidRPr="00CD0FEB">
        <w:rPr>
          <w:i/>
          <w:iCs/>
        </w:rPr>
        <w:t>See also</w:t>
      </w:r>
      <w:r w:rsidRPr="00CD0FEB">
        <w:rPr>
          <w:b/>
          <w:bCs/>
        </w:rPr>
        <w:t xml:space="preserve"> </w:t>
      </w:r>
      <w:r w:rsidRPr="00CD0FEB">
        <w:t>Freeman v. Kaplan, Inc., 132 F. Supp. 3d 1002 (N.D. Ill. 2015) (holding that law student qualified for outside sales exemption while working as “sales rep” responsible for closing sales of bar review course, but not while employed as “head rep” performing various promotional tasks); Burke v. Alta Colls., Inc., 2015 WL 1399675 (D. Colo. Mar. 23, 2015) (holding, after bench trial, that Field Admissions Representatives’ primary duty was “sales” where all of plaintiffs’ activities were aimed at getting students to enroll, attend, and pay tuition).</w:t>
      </w:r>
    </w:p>
  </w:footnote>
  <w:footnote w:id="920">
    <w:p w14:paraId="4503819E" w14:textId="77777777" w:rsidR="00201F3F" w:rsidRPr="00CD0FEB" w:rsidRDefault="00201F3F" w:rsidP="00C2067F">
      <w:pPr>
        <w:pStyle w:val="14Footnote"/>
      </w:pPr>
      <w:r w:rsidRPr="00CD0FEB">
        <w:rPr>
          <w:vertAlign w:val="superscript"/>
        </w:rPr>
        <w:footnoteRef/>
      </w:r>
      <w:r w:rsidRPr="00CD0FEB">
        <w:t>761 F.3d 574, 23 WH Cases2d 16 (6th Cir. 2014).</w:t>
      </w:r>
    </w:p>
  </w:footnote>
  <w:footnote w:id="921">
    <w:p w14:paraId="329055B4"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583.</w:t>
      </w:r>
    </w:p>
  </w:footnote>
  <w:footnote w:id="922">
    <w:p w14:paraId="6634A2EB"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584.</w:t>
      </w:r>
    </w:p>
  </w:footnote>
  <w:footnote w:id="923">
    <w:p w14:paraId="0C5B0AFC"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585–86; </w:t>
      </w:r>
      <w:r w:rsidRPr="00CD0FEB">
        <w:rPr>
          <w:i/>
          <w:iCs/>
        </w:rPr>
        <w:t>see also</w:t>
      </w:r>
      <w:r w:rsidRPr="00CD0FEB">
        <w:t xml:space="preserve"> Medrano v. Flowers Foods, Inc., 2021 BL 303122, 2021 WL 3544745 (D.N.M. Aug. 11, 2021) (finding factual dispute as to whether distributors were engaged in making sales where they were responsible for maintaining adequate and fresh supply of product on store shelves and were not compensated until the product was purchased by a consumer); Carrera v. EMD Sales, Inc., 2021 WL 1060258, at *7 (D. Md. Mar. 19, 2021) (holding that sales representatives primarily responsible for “</w:t>
      </w:r>
      <w:r w:rsidRPr="00CD0FEB">
        <w:rPr>
          <w:szCs w:val="20"/>
          <w:shd w:val="clear" w:color="auto" w:fill="FFFFFF"/>
        </w:rPr>
        <w:t>keeping shelves full, keeping shelves clean, and placing orders promptly</w:t>
      </w:r>
      <w:r w:rsidRPr="00CD0FEB">
        <w:t>” did not qualify for the outside sales exemption); McCartt v. Kellogg USA, Inc., 139 F. Supp. 3d 843, 858 (E.D. Ky. 2015) (granting summary judgment for employer where sales representative’s job duties included merchandising orders, making incremental sales, building displays, and managing merchandisers; finding plaintiff had to “focus” on sales because “mak[ing] sales was of utmost importance”); King v. Stevenson Beer Distrib. Co</w:t>
      </w:r>
      <w:r w:rsidRPr="00CD0FEB">
        <w:rPr>
          <w:i/>
          <w:iCs/>
        </w:rPr>
        <w:t>.</w:t>
      </w:r>
      <w:r w:rsidRPr="00CD0FEB">
        <w:t>, 11 F. Supp. 3d 772 (S.D. Tex. Mar. 27, 2014) (“team leader” who was out in the field, mostly performing supervisorial role in “ride along” with other sales personnel, was not responsible for sales).</w:t>
      </w:r>
    </w:p>
  </w:footnote>
  <w:footnote w:id="924">
    <w:p w14:paraId="1BC11175" w14:textId="77777777" w:rsidR="00201F3F" w:rsidRPr="00CD0FEB" w:rsidRDefault="00201F3F" w:rsidP="00C2067F">
      <w:pPr>
        <w:pStyle w:val="14Footnote"/>
      </w:pPr>
      <w:r w:rsidRPr="00CD0FEB">
        <w:rPr>
          <w:vertAlign w:val="superscript"/>
        </w:rPr>
        <w:footnoteRef/>
      </w:r>
      <w:r w:rsidRPr="00CD0FEB">
        <w:t>904 F.3d 219, 27 WH Cases2d 1611 (2d Cir. 2018).</w:t>
      </w:r>
    </w:p>
  </w:footnote>
  <w:footnote w:id="925">
    <w:p w14:paraId="58C779EA"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223.</w:t>
      </w:r>
    </w:p>
  </w:footnote>
  <w:footnote w:id="926">
    <w:p w14:paraId="779CD9A0"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at 229.</w:t>
      </w:r>
    </w:p>
  </w:footnote>
  <w:footnote w:id="927">
    <w:p w14:paraId="5755C43D"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229–30. </w:t>
      </w:r>
    </w:p>
  </w:footnote>
  <w:footnote w:id="928">
    <w:p w14:paraId="10562E68"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230–31. </w:t>
      </w:r>
    </w:p>
  </w:footnote>
  <w:footnote w:id="929">
    <w:p w14:paraId="553F01E1" w14:textId="77777777" w:rsidR="00201F3F" w:rsidRPr="00CD0FEB" w:rsidRDefault="00201F3F" w:rsidP="00C2067F">
      <w:pPr>
        <w:pStyle w:val="14Footnote"/>
      </w:pPr>
      <w:r w:rsidRPr="00CD0FEB">
        <w:rPr>
          <w:vertAlign w:val="superscript"/>
        </w:rPr>
        <w:footnoteRef/>
      </w:r>
      <w:r w:rsidRPr="00CD0FEB">
        <w:rPr>
          <w:i/>
          <w:iCs/>
        </w:rPr>
        <w:t xml:space="preserve">Id. </w:t>
      </w:r>
      <w:r w:rsidRPr="00CD0FEB">
        <w:t xml:space="preserve">at 231; </w:t>
      </w:r>
      <w:r w:rsidRPr="00CD0FEB">
        <w:rPr>
          <w:i/>
          <w:iCs/>
        </w:rPr>
        <w:t>see also</w:t>
      </w:r>
      <w:r w:rsidRPr="00CD0FEB">
        <w:t xml:space="preserve"> Martin v. Sprint United Mgmt</w:t>
      </w:r>
      <w:r>
        <w:t>.</w:t>
      </w:r>
      <w:r w:rsidRPr="00CD0FEB">
        <w:t xml:space="preserve"> Co., 273 F. Supp. 3d 404, 441 (S.D.N.Y. 2017) (holding that field agents responsible for soliciting and collecting applications from low-income consumers eligible for subsidized wireless phones and services offered by the federal Lifeline Program qualified for the outside sales exemption, because (1) although they did not obtain a binding commitment from a potential consumer they “directed efforts toward the consummation of a sale” and (2) although the qualified applicants with whom plaintiffs interacted did not pay money for the phones and services, rather the federal government paid for the phones under the Lifeline Program, finding “there is no requirement that payment to outside salespeople come directly from the customer,” citing </w:t>
      </w:r>
      <w:r w:rsidRPr="00CD0FEB">
        <w:rPr>
          <w:i/>
          <w:iCs/>
        </w:rPr>
        <w:t>Christopher</w:t>
      </w:r>
      <w:r w:rsidRPr="00CD0FEB">
        <w:t xml:space="preserve">). </w:t>
      </w:r>
      <w:r w:rsidRPr="00CD0FEB">
        <w:rPr>
          <w:i/>
          <w:iCs/>
        </w:rPr>
        <w:t>Accord</w:t>
      </w:r>
      <w:r w:rsidRPr="00CD0FEB">
        <w:t xml:space="preserve"> Vasto v. Credico (USA) LLC, 767 F. App’x 54 (2d Cir. 2019) (also rejecting contention that outside sales exemption did not apply because plaintiffs were subject to strict supervision and poorly paid as these are not pertinent considerations).</w:t>
      </w:r>
    </w:p>
  </w:footnote>
  <w:footnote w:id="930">
    <w:p w14:paraId="6D37F41F" w14:textId="77777777" w:rsidR="00201F3F" w:rsidRPr="00CD0FEB" w:rsidRDefault="00201F3F" w:rsidP="00C2067F">
      <w:pPr>
        <w:pStyle w:val="14Footnote"/>
      </w:pPr>
      <w:r w:rsidRPr="00CD0FEB">
        <w:rPr>
          <w:rStyle w:val="FootnoteReference"/>
        </w:rPr>
        <w:footnoteRef/>
      </w:r>
      <w:r w:rsidRPr="00CD0FEB">
        <w:t>973 F.3d 509 (6th Cir. 2020).</w:t>
      </w:r>
    </w:p>
  </w:footnote>
  <w:footnote w:id="931">
    <w:p w14:paraId="169D2BDF" w14:textId="77777777" w:rsidR="00201F3F" w:rsidRPr="00CD0FEB" w:rsidRDefault="00201F3F" w:rsidP="00C2067F">
      <w:pPr>
        <w:pStyle w:val="14Footnote"/>
      </w:pPr>
      <w:r w:rsidRPr="00CD0FEB">
        <w:rPr>
          <w:rStyle w:val="FootnoteReference"/>
        </w:rPr>
        <w:footnoteRef/>
      </w:r>
      <w:r w:rsidRPr="00CD0FEB">
        <w:rPr>
          <w:i/>
          <w:iCs/>
        </w:rPr>
        <w:t>Id.</w:t>
      </w:r>
      <w:r w:rsidRPr="00CD0FEB">
        <w:t xml:space="preserve"> at 520–21.</w:t>
      </w:r>
    </w:p>
  </w:footnote>
  <w:footnote w:id="932">
    <w:p w14:paraId="26A8BEFD" w14:textId="77777777" w:rsidR="00201F3F" w:rsidRPr="00CD0FEB" w:rsidRDefault="00201F3F" w:rsidP="00FE1E16">
      <w:pPr>
        <w:pStyle w:val="FootnoteText"/>
      </w:pPr>
      <w:r w:rsidRPr="00CD0FEB">
        <w:rPr>
          <w:rStyle w:val="FootnoteReference"/>
        </w:rPr>
        <w:footnoteRef/>
      </w:r>
      <w:r w:rsidRPr="00CD0FEB">
        <w:t>27 F.4th 53 (1st Cir. 2022).</w:t>
      </w:r>
    </w:p>
  </w:footnote>
  <w:footnote w:id="933">
    <w:p w14:paraId="32B3B37F" w14:textId="77777777" w:rsidR="00201F3F" w:rsidRPr="00CD0FEB" w:rsidRDefault="00201F3F" w:rsidP="00FE1E16">
      <w:pPr>
        <w:pStyle w:val="FootnoteText"/>
      </w:pPr>
      <w:r w:rsidRPr="00CD0FEB">
        <w:rPr>
          <w:rStyle w:val="FootnoteReference"/>
        </w:rPr>
        <w:footnoteRef/>
      </w:r>
      <w:r w:rsidRPr="00CD0FEB">
        <w:rPr>
          <w:i/>
          <w:iCs/>
        </w:rPr>
        <w:t>Id.</w:t>
      </w:r>
      <w:r w:rsidRPr="00CD0FEB">
        <w:t xml:space="preserve"> at 57.</w:t>
      </w:r>
    </w:p>
  </w:footnote>
  <w:footnote w:id="934">
    <w:p w14:paraId="32F9E2D5" w14:textId="77777777" w:rsidR="00201F3F" w:rsidRPr="00CD0FEB" w:rsidRDefault="00201F3F" w:rsidP="00FE1E16">
      <w:pPr>
        <w:pStyle w:val="FootnoteText"/>
      </w:pPr>
      <w:r w:rsidRPr="00CD0FEB">
        <w:rPr>
          <w:rStyle w:val="FootnoteReference"/>
        </w:rPr>
        <w:footnoteRef/>
      </w:r>
      <w:r w:rsidRPr="00CD0FEB">
        <w:rPr>
          <w:i/>
          <w:iCs/>
        </w:rPr>
        <w:t>Id.</w:t>
      </w:r>
      <w:r w:rsidRPr="00CD0FEB">
        <w:t xml:space="preserve"> at 60.</w:t>
      </w:r>
    </w:p>
  </w:footnote>
  <w:footnote w:id="935">
    <w:p w14:paraId="377FDB19" w14:textId="77777777" w:rsidR="00201F3F" w:rsidRPr="00CD0FEB" w:rsidRDefault="00201F3F" w:rsidP="00C2067F">
      <w:pPr>
        <w:pStyle w:val="14Footnote"/>
      </w:pPr>
      <w:r w:rsidRPr="00CD0FEB">
        <w:rPr>
          <w:vertAlign w:val="superscript"/>
        </w:rPr>
        <w:footnoteRef/>
      </w:r>
      <w:r w:rsidRPr="00CD0FEB">
        <w:t xml:space="preserve">29 C.F.R. §§541.500(a)(2) and .502. </w:t>
      </w:r>
      <w:r w:rsidRPr="00CD0FEB">
        <w:rPr>
          <w:i/>
          <w:iCs/>
        </w:rPr>
        <w:t>Compare</w:t>
      </w:r>
      <w:r w:rsidRPr="00CD0FEB">
        <w:t xml:space="preserve"> Freeman v. Kaplan, Inc., 132 F. Supp. 3d 1002 (N.D. Ill. 2015) (holding that law school was “place of business” for provider of bar review courses because provider rented space to sell materials and conducted other activities at law school), </w:t>
      </w:r>
      <w:r w:rsidRPr="00CD0FEB">
        <w:rPr>
          <w:i/>
          <w:iCs/>
        </w:rPr>
        <w:t>with</w:t>
      </w:r>
      <w:r w:rsidRPr="00CD0FEB">
        <w:t xml:space="preserve"> Evans v. Distance Learning Sys. Indiana, Inc., 2018 WL 6308818 (S.D. Ind. Aug. 15, 2018) (holding program administrators were exempt, finding plaintiffs engaged in outside sales based on their primary duty selling defendant’s product through in-person travel seminars); Burke v. Alta Colls., Inc., 2015 WL 1399675 (D. Colo. Mar. 23, 2015) (finding field admissions representatives who spent majority of their time recruiting at homes of potential students or on high school campuses, did not have office at employer’s place of business, and were minimally supervised were exempt outside sales employees).</w:t>
      </w:r>
    </w:p>
  </w:footnote>
  <w:footnote w:id="936">
    <w:p w14:paraId="3F052021" w14:textId="77777777" w:rsidR="00201F3F" w:rsidRPr="00CD0FEB" w:rsidRDefault="00201F3F" w:rsidP="00C2067F">
      <w:pPr>
        <w:pStyle w:val="14Footnote"/>
      </w:pPr>
      <w:r w:rsidRPr="00CD0FEB">
        <w:rPr>
          <w:vertAlign w:val="superscript"/>
        </w:rPr>
        <w:footnoteRef/>
      </w:r>
      <w:r w:rsidRPr="00CD0FEB">
        <w:t>29 C.F.R. §541.502.</w:t>
      </w:r>
    </w:p>
  </w:footnote>
  <w:footnote w:id="937">
    <w:p w14:paraId="42AE67DB" w14:textId="77777777" w:rsidR="00201F3F" w:rsidRPr="00CD0FEB" w:rsidRDefault="00201F3F" w:rsidP="00C2067F">
      <w:pPr>
        <w:pStyle w:val="14Footnote"/>
      </w:pPr>
      <w:r w:rsidRPr="00CD0FEB">
        <w:rPr>
          <w:vertAlign w:val="superscript"/>
        </w:rPr>
        <w:footnoteRef/>
      </w:r>
      <w:r w:rsidRPr="00CD0FEB">
        <w:rPr>
          <w:i/>
          <w:iCs/>
        </w:rPr>
        <w:t>See, e.g</w:t>
      </w:r>
      <w:r w:rsidRPr="00CD0FEB">
        <w:t>., Taylor v. Waddell &amp; Reed, Inc</w:t>
      </w:r>
      <w:r w:rsidRPr="00CD0FEB">
        <w:rPr>
          <w:i/>
          <w:iCs/>
        </w:rPr>
        <w:t>.</w:t>
      </w:r>
      <w:r w:rsidRPr="00CD0FEB">
        <w:t xml:space="preserve">, 2012 U.S. Dist. LEXIS 212, at *13–14 (S.D. Cal. Jan. 3, 2012) (“the exemption includes not only the sales work itself, but also ‘work performed incidental to and in conjunction with the employee’s own outside sales </w:t>
      </w:r>
      <w:r w:rsidRPr="00CD0FEB">
        <w:rPr>
          <w:i/>
          <w:iCs/>
        </w:rPr>
        <w:t>or solicitations</w:t>
      </w:r>
      <w:r w:rsidRPr="00CD0FEB">
        <w:t>’”; where a sales employee “conducted substantial incidental work and solicitations outside of the office, it does not matter that the actual moment of sale occurred inside the office”) (emphasis in original).</w:t>
      </w:r>
    </w:p>
  </w:footnote>
  <w:footnote w:id="938">
    <w:p w14:paraId="37D31C8B" w14:textId="77777777" w:rsidR="00201F3F" w:rsidRPr="00CD0FEB" w:rsidRDefault="00201F3F" w:rsidP="00C2067F">
      <w:pPr>
        <w:pStyle w:val="14Footnote"/>
      </w:pPr>
      <w:r w:rsidRPr="00CD0FEB">
        <w:rPr>
          <w:vertAlign w:val="superscript"/>
        </w:rPr>
        <w:footnoteRef/>
      </w:r>
      <w:r w:rsidRPr="00CD0FEB">
        <w:t>Williams v. Gold Car Lending, Inc</w:t>
      </w:r>
      <w:r w:rsidRPr="00CD0FEB">
        <w:rPr>
          <w:i/>
          <w:iCs/>
        </w:rPr>
        <w:t>.</w:t>
      </w:r>
      <w:r w:rsidRPr="00CD0FEB">
        <w:t>, 2010 WL 5173195, 17 WH Cases2d 65 (M.D. Ga. Dec. 13, 2010).</w:t>
      </w:r>
    </w:p>
  </w:footnote>
  <w:footnote w:id="939">
    <w:p w14:paraId="38FACE1F" w14:textId="77777777" w:rsidR="00201F3F" w:rsidRPr="00CD0FEB" w:rsidRDefault="00201F3F" w:rsidP="00C2067F">
      <w:pPr>
        <w:pStyle w:val="14Footnote"/>
      </w:pPr>
      <w:r w:rsidRPr="00CD0FEB">
        <w:rPr>
          <w:vertAlign w:val="superscript"/>
        </w:rPr>
        <w:footnoteRef/>
      </w:r>
      <w:r w:rsidRPr="00CD0FEB">
        <w:t>29 C.F.R. §541.502.</w:t>
      </w:r>
    </w:p>
  </w:footnote>
  <w:footnote w:id="940">
    <w:p w14:paraId="08C25BFF" w14:textId="77777777" w:rsidR="00201F3F" w:rsidRPr="00CD0FEB" w:rsidRDefault="00201F3F" w:rsidP="00C2067F">
      <w:pPr>
        <w:pStyle w:val="14Footnote"/>
      </w:pPr>
      <w:r w:rsidRPr="00CD0FEB">
        <w:rPr>
          <w:vertAlign w:val="superscript"/>
        </w:rPr>
        <w:footnoteRef/>
      </w:r>
      <w:r w:rsidRPr="00CD0FEB">
        <w:t>Lane v. Humana Marketpoint, Inc</w:t>
      </w:r>
      <w:r w:rsidRPr="00CD0FEB">
        <w:rPr>
          <w:i/>
          <w:iCs/>
        </w:rPr>
        <w:t>.</w:t>
      </w:r>
      <w:r w:rsidRPr="00CD0FEB">
        <w:t>, 2011 WL 2181736, at *9 (D. Idaho June 3, 2011).</w:t>
      </w:r>
    </w:p>
  </w:footnote>
  <w:footnote w:id="941">
    <w:p w14:paraId="23500C39" w14:textId="77777777" w:rsidR="00201F3F" w:rsidRPr="00CD0FEB" w:rsidRDefault="00201F3F" w:rsidP="00C2067F">
      <w:pPr>
        <w:pStyle w:val="14Footnote"/>
      </w:pPr>
      <w:r w:rsidRPr="00CD0FEB">
        <w:rPr>
          <w:vertAlign w:val="superscript"/>
        </w:rPr>
        <w:footnoteRef/>
      </w:r>
      <w:r w:rsidRPr="00CD0FEB">
        <w:t>599 F.3d 626, 15 WH Cases2d 1776 (7th Cir. 2010).</w:t>
      </w:r>
    </w:p>
  </w:footnote>
  <w:footnote w:id="942">
    <w:p w14:paraId="50F19E3A" w14:textId="77777777" w:rsidR="00201F3F" w:rsidRPr="00CD0FEB" w:rsidRDefault="00201F3F" w:rsidP="00C2067F">
      <w:pPr>
        <w:pStyle w:val="14Footnote"/>
      </w:pPr>
      <w:r w:rsidRPr="00CD0FEB">
        <w:rPr>
          <w:vertAlign w:val="superscript"/>
        </w:rPr>
        <w:footnoteRef/>
      </w:r>
      <w:r w:rsidRPr="00CD0FEB">
        <w:t>WH Op. FLSA2007-1, 2007 WL 506574 (Jan. 25, 2007); WH Op. FLSA2007-2, 2007 WL 506575 (Jan. 25, 2007).</w:t>
      </w:r>
    </w:p>
  </w:footnote>
  <w:footnote w:id="943">
    <w:p w14:paraId="605007C3" w14:textId="77777777" w:rsidR="00201F3F" w:rsidRPr="00CD0FEB" w:rsidRDefault="00201F3F" w:rsidP="00C2067F">
      <w:pPr>
        <w:pStyle w:val="14Footnote"/>
        <w:rPr>
          <w:i/>
          <w:iCs/>
        </w:rPr>
      </w:pPr>
      <w:r w:rsidRPr="00CD0FEB">
        <w:rPr>
          <w:vertAlign w:val="superscript"/>
        </w:rPr>
        <w:footnoteRef/>
      </w:r>
      <w:r w:rsidRPr="00CD0FEB">
        <w:rPr>
          <w:i/>
          <w:iCs/>
        </w:rPr>
        <w:t>See also</w:t>
      </w:r>
    </w:p>
    <w:p w14:paraId="7946A4DE" w14:textId="77777777" w:rsidR="00201F3F" w:rsidRPr="00CD0FEB" w:rsidRDefault="00201F3F" w:rsidP="00C2067F">
      <w:pPr>
        <w:pStyle w:val="14Footnote"/>
      </w:pPr>
      <w:r w:rsidRPr="00CD0FEB">
        <w:rPr>
          <w:i/>
          <w:iCs/>
        </w:rPr>
        <w:t>Fourth Circuit:</w:t>
      </w:r>
      <w:r w:rsidRPr="00CD0FEB">
        <w:t xml:space="preserve"> Hantz v. Prospect Mortg., LLC, 11 F. Supp. 3d 612 (E.D. Va. 2014) (exemption properly invoked where outside sales work included distributing flyers to realtors, attending open houses, and giving seminars).</w:t>
      </w:r>
    </w:p>
    <w:p w14:paraId="262FE178" w14:textId="77777777" w:rsidR="00201F3F" w:rsidRPr="00CD0FEB" w:rsidRDefault="00201F3F" w:rsidP="00C2067F">
      <w:pPr>
        <w:pStyle w:val="14Footnote"/>
      </w:pPr>
      <w:r w:rsidRPr="00CD0FEB">
        <w:rPr>
          <w:i/>
          <w:iCs/>
        </w:rPr>
        <w:t xml:space="preserve">Fifth Circuit: </w:t>
      </w:r>
      <w:r w:rsidRPr="00CD0FEB">
        <w:t>Lipnicki v. Meritgage Homes Corp</w:t>
      </w:r>
      <w:r w:rsidRPr="00CD0FEB">
        <w:rPr>
          <w:i/>
          <w:iCs/>
        </w:rPr>
        <w:t>.</w:t>
      </w:r>
      <w:r w:rsidRPr="00CD0FEB">
        <w:t>, 2014 WL 923524 (S.D. Tex. Feb. 13, 2014) (relying on DOL’s two opinion letters but denying parties’ cross summary judgments for determination at trial as to where key home sales efforts took place, either in the sales offices or out in model homes).</w:t>
      </w:r>
    </w:p>
    <w:p w14:paraId="15E98626" w14:textId="77777777" w:rsidR="00201F3F" w:rsidRPr="00CD0FEB" w:rsidRDefault="00201F3F" w:rsidP="00C2067F">
      <w:pPr>
        <w:pStyle w:val="14Footnote"/>
      </w:pPr>
      <w:r w:rsidRPr="00CD0FEB">
        <w:rPr>
          <w:i/>
          <w:iCs/>
        </w:rPr>
        <w:t>Eleventh Circuit:</w:t>
      </w:r>
      <w:r w:rsidRPr="00CD0FEB">
        <w:t xml:space="preserve"> Billingsley v. Brayson Homes, Inc</w:t>
      </w:r>
      <w:r w:rsidRPr="00CD0FEB">
        <w:rPr>
          <w:i/>
          <w:iCs/>
        </w:rPr>
        <w:t>.</w:t>
      </w:r>
      <w:r w:rsidRPr="00CD0FEB">
        <w:t>, 2007 WL 2118990 (N.D. Ga. July 20, 2007) (deferring to opinion letters and finding real estate developer’s sales employees properly classified as exempt)</w:t>
      </w:r>
    </w:p>
  </w:footnote>
  <w:footnote w:id="944">
    <w:p w14:paraId="3ACC1335" w14:textId="77777777" w:rsidR="00201F3F" w:rsidRPr="00CD0FEB" w:rsidRDefault="00201F3F" w:rsidP="00C2067F">
      <w:pPr>
        <w:pStyle w:val="14Footnote"/>
      </w:pPr>
      <w:r w:rsidRPr="00CD0FEB">
        <w:rPr>
          <w:vertAlign w:val="superscript"/>
        </w:rPr>
        <w:footnoteRef/>
      </w:r>
      <w:r w:rsidRPr="00CD0FEB">
        <w:t>WH Op. FLSA2007-4, 2007 WL 506577 (Jan. 25, 2007).</w:t>
      </w:r>
    </w:p>
  </w:footnote>
  <w:footnote w:id="945">
    <w:p w14:paraId="4209A2F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w:t>
      </w:r>
    </w:p>
  </w:footnote>
  <w:footnote w:id="946">
    <w:p w14:paraId="06BD6E85"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947">
    <w:p w14:paraId="2C458BCE" w14:textId="77777777" w:rsidR="00201F3F" w:rsidRPr="00CD0FEB" w:rsidRDefault="00201F3F" w:rsidP="00C2067F">
      <w:pPr>
        <w:pStyle w:val="14Footnote"/>
      </w:pPr>
      <w:r w:rsidRPr="00CD0FEB">
        <w:rPr>
          <w:vertAlign w:val="superscript"/>
        </w:rPr>
        <w:footnoteRef/>
      </w:r>
      <w:r w:rsidRPr="00CD0FEB">
        <w:rPr>
          <w:i/>
          <w:iCs/>
        </w:rPr>
        <w:t xml:space="preserve">Fourth Circuit: Compare </w:t>
      </w:r>
      <w:r w:rsidRPr="00CD0FEB">
        <w:t xml:space="preserve">Cougill v. Prospect Mortg., LLC, 2014 WL 130940, at *4 (E.D. Va. Jan. 14, 2014) (summary judgment denied where district court found that “[t]he degree to which Plaintiff was away from the office conducting sales activities … is not sufficiently clear”), </w:t>
      </w:r>
      <w:r w:rsidRPr="00CD0FEB">
        <w:rPr>
          <w:i/>
          <w:iCs/>
        </w:rPr>
        <w:t>with</w:t>
      </w:r>
      <w:r w:rsidRPr="00CD0FEB">
        <w:t xml:space="preserve"> Hartman v. Prospect Mortg., LLC, 11 F. Supp. 3d 597 (E.D. Va. 2014) (exemption applied to loan officer where outside sales work accounted for 25 to 30% of her work time attending open houses, auctions, closings, settlements, and chamber of commerce meetings); Dixon v. Prospect Mortg., LLC, 11 F. Supp. 3d 605 (E.D. Va. 2014) (granting summary judgment for employer where mortgage loan officer spent approximately half her time outside the office contacting referrals at seminars and trade shows, and at meetings with realtors and financial planners); Hantz v. Prospect Mortg., LLC, 11 F. Supp. 3d 612 (E.D. Va. 2014) (exemption properly invoked where outside sales work included distributing flyers to realtors, attending open houses, and giving seminars).</w:t>
      </w:r>
    </w:p>
    <w:p w14:paraId="03112D1D" w14:textId="77777777" w:rsidR="00201F3F" w:rsidRPr="00CD0FEB" w:rsidRDefault="00201F3F" w:rsidP="00C2067F">
      <w:pPr>
        <w:pStyle w:val="14Footnote"/>
      </w:pPr>
      <w:r w:rsidRPr="00CD0FEB">
        <w:rPr>
          <w:i/>
          <w:iCs/>
        </w:rPr>
        <w:t xml:space="preserve">Sixth Circuit: </w:t>
      </w:r>
      <w:r w:rsidRPr="00CD0FEB">
        <w:t>Wolfram v. PHH Corp., 2014 WL 2737990 (S.D. Ohio June 17, 2014) (denying summary judgment where evidence inconclusive as to nature of activities loan officers performed outside office and amount of time spent on each activity).</w:t>
      </w:r>
    </w:p>
    <w:p w14:paraId="44FC6BC1" w14:textId="77777777" w:rsidR="00201F3F" w:rsidRPr="00CD0FEB" w:rsidRDefault="00201F3F" w:rsidP="00C2067F">
      <w:pPr>
        <w:pStyle w:val="14Footnote"/>
      </w:pPr>
      <w:r w:rsidRPr="00CD0FEB">
        <w:rPr>
          <w:i/>
          <w:iCs/>
        </w:rPr>
        <w:t>Eighth Circuit:</w:t>
      </w:r>
      <w:r w:rsidRPr="00CD0FEB">
        <w:t xml:space="preserve"> Belton v. Premium Mortg., Inc., 2006 WL 561489, at *3, 11 WH Cases2d 503 (W.D. Mo. Mar. 6, 2006) (holding that mortgage salespersons were not exempt where substantial majority of their time was spent in office performing sales-related work and that “time in the employer’s office cannot be treated as ‘outside’ sales work, on a theory … that it is merely ‘incidental’ to solicitation and closing of sales outside the office”)</w:t>
      </w:r>
    </w:p>
  </w:footnote>
  <w:footnote w:id="948">
    <w:p w14:paraId="22BEAA20" w14:textId="77777777" w:rsidR="00201F3F" w:rsidRPr="00CD0FEB" w:rsidRDefault="00201F3F" w:rsidP="00C2067F">
      <w:pPr>
        <w:pStyle w:val="14Footnote"/>
      </w:pPr>
      <w:r w:rsidRPr="00CD0FEB">
        <w:rPr>
          <w:vertAlign w:val="superscript"/>
        </w:rPr>
        <w:footnoteRef/>
      </w:r>
      <w:r w:rsidRPr="00CD0FEB">
        <w:t>29 C.F.R. §541.503(a).</w:t>
      </w:r>
    </w:p>
  </w:footnote>
  <w:footnote w:id="949">
    <w:p w14:paraId="07916465"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§541.503(b), (c); </w:t>
      </w:r>
      <w:r w:rsidRPr="00CD0FEB">
        <w:rPr>
          <w:i/>
          <w:iCs/>
        </w:rPr>
        <w:t xml:space="preserve">see, e.g., </w:t>
      </w:r>
      <w:r w:rsidRPr="00CD0FEB">
        <w:t>Beauford v. ActionLink, LLC, 781 F.3d 396 (8th Cir. 2015) (holding “brand advocates” that travelled to retail stores and educated sales staff about products engaged in work more akin to “promotional work” and therefore outside sales exemption did not apply).</w:t>
      </w:r>
    </w:p>
  </w:footnote>
  <w:footnote w:id="950">
    <w:p w14:paraId="6FC53734" w14:textId="77777777" w:rsidR="00201F3F" w:rsidRPr="00CD0FEB" w:rsidRDefault="00201F3F" w:rsidP="00C2067F">
      <w:pPr>
        <w:pStyle w:val="14Footnote"/>
      </w:pPr>
      <w:r w:rsidRPr="00CD0FEB">
        <w:rPr>
          <w:vertAlign w:val="superscript"/>
        </w:rPr>
        <w:footnoteRef/>
      </w:r>
      <w:r w:rsidRPr="00CD0FEB">
        <w:t xml:space="preserve">29 C.F.R. §541.503(a); </w:t>
      </w:r>
      <w:r w:rsidRPr="00CD0FEB">
        <w:rPr>
          <w:i/>
          <w:iCs/>
        </w:rPr>
        <w:t xml:space="preserve">see also </w:t>
      </w:r>
      <w:r w:rsidRPr="00CD0FEB">
        <w:t>Hazelbaker v. Metropolitan Prop. &amp; Cas. Ins. Co., 2014 WL 5304911 (D. Ariz. Oct. 16, 2014) (rejecting plaintiff’s argument that promotional work constitutes outside sales activity only if it leads to sales conducted outside of office).</w:t>
      </w:r>
    </w:p>
  </w:footnote>
  <w:footnote w:id="951">
    <w:p w14:paraId="7BE3AEC9" w14:textId="77777777" w:rsidR="00201F3F" w:rsidRPr="00CD0FEB" w:rsidRDefault="00201F3F" w:rsidP="00C2067F">
      <w:pPr>
        <w:pStyle w:val="14Footnote"/>
      </w:pPr>
      <w:r w:rsidRPr="00CD0FEB">
        <w:rPr>
          <w:vertAlign w:val="superscript"/>
        </w:rPr>
        <w:footnoteRef/>
      </w:r>
      <w:r w:rsidRPr="00CD0FEB">
        <w:t>179 F.3d 1260, 5 WH Cases2d 651 (10th Cir. 2000).</w:t>
      </w:r>
    </w:p>
  </w:footnote>
  <w:footnote w:id="952">
    <w:p w14:paraId="68B5609C" w14:textId="77777777" w:rsidR="00201F3F" w:rsidRPr="00CD0FEB" w:rsidRDefault="00201F3F" w:rsidP="00C2067F">
      <w:pPr>
        <w:pStyle w:val="14Footnote"/>
      </w:pPr>
      <w:r w:rsidRPr="00CD0FEB">
        <w:rPr>
          <w:vertAlign w:val="superscript"/>
        </w:rPr>
        <w:footnoteRef/>
      </w:r>
      <w:r w:rsidRPr="00CD0FEB">
        <w:rPr>
          <w:i/>
          <w:iCs/>
        </w:rPr>
        <w:t>Id</w:t>
      </w:r>
      <w:r w:rsidRPr="00CD0FEB">
        <w:t>. at 1267.</w:t>
      </w:r>
    </w:p>
  </w:footnote>
  <w:footnote w:id="953">
    <w:p w14:paraId="114829CD"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1265; </w:t>
      </w:r>
      <w:r w:rsidRPr="00CD0FEB">
        <w:rPr>
          <w:i/>
          <w:iCs/>
        </w:rPr>
        <w:t xml:space="preserve">see also </w:t>
      </w:r>
      <w:r w:rsidRPr="00CD0FEB">
        <w:t>Killion v. KeHE Distribs., LLC, 761 F.3d 574, 586, 23 WH Cases2d 16 (6th Cir. 2014) (district court erred in concluding that promotional work performed by health food sales representatives was in furtherance of their own sales as a matter of law); Palmieri v. Nynex Long Distance Co</w:t>
      </w:r>
      <w:r w:rsidRPr="00CD0FEB">
        <w:rPr>
          <w:i/>
          <w:iCs/>
        </w:rPr>
        <w:t>.</w:t>
      </w:r>
      <w:r w:rsidRPr="00CD0FEB">
        <w:t>, 2005 WL 767170, 11 WH Cases2d 299 (D. Me. Mar. 28, 2005) (finding that corporate account manager responsible for sale of high-speed digital carrier services to a limited number of large customers was covered by outside sales exemption because, inter alia, customer support functions were part of cultivating relationship and hence incidental to making sales).</w:t>
      </w:r>
    </w:p>
  </w:footnote>
  <w:footnote w:id="954">
    <w:p w14:paraId="18784AE2" w14:textId="77777777" w:rsidR="00201F3F" w:rsidRPr="00CD0FEB" w:rsidRDefault="00201F3F" w:rsidP="00C2067F">
      <w:pPr>
        <w:pStyle w:val="14Footnote"/>
      </w:pPr>
      <w:r w:rsidRPr="00CD0FEB">
        <w:rPr>
          <w:vertAlign w:val="superscript"/>
        </w:rPr>
        <w:footnoteRef/>
      </w:r>
      <w:r w:rsidRPr="00CD0FEB">
        <w:t>69 Fed. Reg. 22,121, 22,162 (Apr. 23, 2004).</w:t>
      </w:r>
    </w:p>
  </w:footnote>
  <w:footnote w:id="955">
    <w:p w14:paraId="59DD766C"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956">
    <w:p w14:paraId="20150186"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at 22,163.</w:t>
      </w:r>
    </w:p>
  </w:footnote>
  <w:footnote w:id="957">
    <w:p w14:paraId="60E847EC" w14:textId="77777777" w:rsidR="00201F3F" w:rsidRPr="00CD0FEB" w:rsidRDefault="00201F3F" w:rsidP="00C2067F">
      <w:pPr>
        <w:pStyle w:val="14Footnote"/>
      </w:pPr>
      <w:r w:rsidRPr="00CD0FEB">
        <w:rPr>
          <w:vertAlign w:val="superscript"/>
        </w:rPr>
        <w:footnoteRef/>
      </w:r>
      <w:r w:rsidRPr="00CD0FEB">
        <w:rPr>
          <w:i/>
          <w:iCs/>
        </w:rPr>
        <w:t>Id</w:t>
      </w:r>
      <w:r w:rsidRPr="00CD0FEB">
        <w:t>. at 22,161.</w:t>
      </w:r>
    </w:p>
  </w:footnote>
  <w:footnote w:id="958">
    <w:p w14:paraId="4A1C0532" w14:textId="77777777" w:rsidR="00201F3F" w:rsidRPr="00CD0FEB" w:rsidRDefault="00201F3F" w:rsidP="00C2067F">
      <w:pPr>
        <w:pStyle w:val="14Footnote"/>
      </w:pPr>
      <w:r w:rsidRPr="00CD0FEB">
        <w:rPr>
          <w:vertAlign w:val="superscript"/>
        </w:rPr>
        <w:footnoteRef/>
      </w:r>
      <w:r w:rsidRPr="00CD0FEB">
        <w:t>29 C.F.R. §541.504(a).</w:t>
      </w:r>
    </w:p>
  </w:footnote>
  <w:footnote w:id="959">
    <w:p w14:paraId="30002E8D" w14:textId="77777777" w:rsidR="00201F3F" w:rsidRPr="00CD0FEB" w:rsidRDefault="00201F3F" w:rsidP="00C2067F">
      <w:pPr>
        <w:pStyle w:val="14Footnote"/>
      </w:pPr>
      <w:r w:rsidRPr="00CD0FEB">
        <w:rPr>
          <w:vertAlign w:val="superscript"/>
        </w:rPr>
        <w:footnoteRef/>
      </w:r>
      <w:r w:rsidRPr="00CD0FEB">
        <w:t>Jewel Tea Co. v. Williams, 118 F.2d. 202, 207–08 (10th Cir. 1941).</w:t>
      </w:r>
    </w:p>
  </w:footnote>
  <w:footnote w:id="960">
    <w:p w14:paraId="12069378"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961">
    <w:p w14:paraId="21541792" w14:textId="77777777" w:rsidR="00201F3F" w:rsidRPr="00CD0FEB" w:rsidRDefault="00201F3F" w:rsidP="00C2067F">
      <w:pPr>
        <w:pStyle w:val="14Footnote"/>
      </w:pPr>
      <w:r w:rsidRPr="00CD0FEB">
        <w:rPr>
          <w:vertAlign w:val="superscript"/>
        </w:rPr>
        <w:footnoteRef/>
      </w:r>
      <w:r w:rsidRPr="00CD0FEB">
        <w:t xml:space="preserve">29 C.F.R. §541.504(b); </w:t>
      </w:r>
      <w:r w:rsidRPr="00CD0FEB">
        <w:rPr>
          <w:i/>
          <w:iCs/>
        </w:rPr>
        <w:t>see also</w:t>
      </w:r>
      <w:r w:rsidRPr="00CD0FEB">
        <w:t xml:space="preserve"> Miranda-Albino v. Ferrero, Inc</w:t>
      </w:r>
      <w:r w:rsidRPr="00CD0FEB">
        <w:rPr>
          <w:i/>
          <w:iCs/>
        </w:rPr>
        <w:t>.</w:t>
      </w:r>
      <w:r w:rsidRPr="00CD0FEB">
        <w:t>, 455 F. Supp. 2d 66, 73 (D.P.R. 2006) (identifying six factors to consider in determining whether driver’s purpose is making sales: “(1) whether the position was advertised as a sales job; (2) whether the employee received commission-based compensation; (3) whether the employee was hired and denominated as a salesperson; (4) whether the employee received specialized sales training; (5) whether the employer required the employee to solicit new business; and (6) whether the employment arrangement was characterized by a lack of direct or constant supervision”).</w:t>
      </w:r>
    </w:p>
  </w:footnote>
  <w:footnote w:id="962">
    <w:p w14:paraId="3218FFA0" w14:textId="77777777" w:rsidR="00201F3F" w:rsidRPr="00CD0FEB" w:rsidRDefault="00201F3F" w:rsidP="00C2067F">
      <w:pPr>
        <w:pStyle w:val="14Footnote"/>
      </w:pPr>
      <w:r w:rsidRPr="00CD0FEB">
        <w:rPr>
          <w:vertAlign w:val="superscript"/>
        </w:rPr>
        <w:footnoteRef/>
      </w:r>
      <w:r w:rsidRPr="00CD0FEB">
        <w:t>29 C.F.R. §541.504(c).</w:t>
      </w:r>
    </w:p>
  </w:footnote>
  <w:footnote w:id="963">
    <w:p w14:paraId="041370D3" w14:textId="77777777" w:rsidR="00201F3F" w:rsidRPr="00CD0FEB" w:rsidRDefault="00201F3F" w:rsidP="00C2067F">
      <w:pPr>
        <w:pStyle w:val="14Footnote"/>
      </w:pPr>
      <w:r w:rsidRPr="00CD0FEB">
        <w:rPr>
          <w:vertAlign w:val="superscript"/>
        </w:rPr>
        <w:footnoteRef/>
      </w:r>
      <w:r w:rsidRPr="00CD0FEB">
        <w:rPr>
          <w:i/>
          <w:iCs/>
        </w:rPr>
        <w:t>Id</w:t>
      </w:r>
      <w:r w:rsidRPr="00CD0FEB">
        <w:t>. §541.504(d).</w:t>
      </w:r>
    </w:p>
  </w:footnote>
  <w:footnote w:id="964">
    <w:p w14:paraId="78DBFE01" w14:textId="77777777" w:rsidR="00201F3F" w:rsidRPr="00CD0FEB" w:rsidRDefault="00201F3F" w:rsidP="00C2067F">
      <w:pPr>
        <w:pStyle w:val="14Footnote"/>
      </w:pPr>
      <w:r w:rsidRPr="00CD0FEB">
        <w:rPr>
          <w:vertAlign w:val="superscript"/>
        </w:rPr>
        <w:footnoteRef/>
      </w:r>
      <w:r w:rsidRPr="00CD0FEB">
        <w:rPr>
          <w:i/>
          <w:iCs/>
        </w:rPr>
        <w:t>Id</w:t>
      </w:r>
      <w:r w:rsidRPr="00CD0FEB">
        <w:t xml:space="preserve">. §541.504(c); </w:t>
      </w:r>
      <w:r w:rsidRPr="00CD0FEB">
        <w:rPr>
          <w:i/>
          <w:iCs/>
        </w:rPr>
        <w:t>see also</w:t>
      </w:r>
      <w:r w:rsidRPr="00CD0FEB">
        <w:t xml:space="preserve"> Hodgson v. Krispy Kreme Doughnut Co., 346 F. Supp. 1102, 1103, 20 WH Cases 875 (M.D.N.C. 1972) (holding exemption applied to doughnut driver-salespersons who were charged with responsibility to increase sales by underselling competition and obtaining better displays, were obligated to attain 10% annual sales growth, received commissions, and were away from plant except for loading and unloading, ordering and recordkeeping, and sales meetings); Hodgson v. Greene’s Propane Gas Serv</w:t>
      </w:r>
      <w:r w:rsidRPr="00CD0FEB">
        <w:rPr>
          <w:i/>
          <w:iCs/>
        </w:rPr>
        <w:t>.</w:t>
      </w:r>
      <w:r w:rsidRPr="00CD0FEB">
        <w:t xml:space="preserve">, 19 WH Cases 935, 944–45 (M.D. Ga. 1971) (deeming propane gas route persons exempt outside salespersons even though deliveries took up more than 20% of hours worked by nonexempt employees where they were only contacts with customers and competition made ease of delivery all-important to retaining customers), </w:t>
      </w:r>
      <w:r w:rsidRPr="00CD0FEB">
        <w:rPr>
          <w:i/>
          <w:iCs/>
        </w:rPr>
        <w:t>aff’d on other grounds</w:t>
      </w:r>
      <w:r w:rsidRPr="00CD0FEB">
        <w:t>, 479 F.2d 1027, 21 WH Cases 57 (5th Cir. 1973); WH Op. (Oct. 22, 1969) (opining ice cream driver-salespersons may qualify for exemption).</w:t>
      </w:r>
    </w:p>
  </w:footnote>
  <w:footnote w:id="965">
    <w:p w14:paraId="2AAC64C6" w14:textId="77777777" w:rsidR="00201F3F" w:rsidRPr="00CD0FEB" w:rsidRDefault="00201F3F" w:rsidP="00C2067F">
      <w:pPr>
        <w:pStyle w:val="14Footnote"/>
      </w:pPr>
      <w:r w:rsidRPr="00CD0FEB">
        <w:rPr>
          <w:vertAlign w:val="superscript"/>
        </w:rPr>
        <w:footnoteRef/>
      </w:r>
      <w:r w:rsidRPr="00CD0FEB">
        <w:t xml:space="preserve">WH Op., 2001 WL 1558962 (May 22, 2001); </w:t>
      </w:r>
      <w:r w:rsidRPr="00CD0FEB">
        <w:rPr>
          <w:i/>
          <w:iCs/>
        </w:rPr>
        <w:t>see</w:t>
      </w:r>
      <w:r w:rsidRPr="00CD0FEB">
        <w:t xml:space="preserve"> </w:t>
      </w:r>
      <w:r w:rsidRPr="00CD0FEB">
        <w:rPr>
          <w:i/>
          <w:iCs/>
        </w:rPr>
        <w:t>also</w:t>
      </w:r>
      <w:r w:rsidRPr="00CD0FEB">
        <w:t xml:space="preserve"> WH Op., 1998 WL 852813 (June 23, 1998).</w:t>
      </w:r>
    </w:p>
  </w:footnote>
  <w:footnote w:id="966">
    <w:p w14:paraId="32A2D5E0" w14:textId="77777777" w:rsidR="00201F3F" w:rsidRPr="00CD0FEB" w:rsidRDefault="00201F3F" w:rsidP="00C2067F">
      <w:pPr>
        <w:pStyle w:val="14Footnote"/>
      </w:pPr>
      <w:r w:rsidRPr="00CD0FEB">
        <w:rPr>
          <w:vertAlign w:val="superscript"/>
        </w:rPr>
        <w:footnoteRef/>
      </w:r>
      <w:r w:rsidRPr="00CD0FEB">
        <w:t>720 F.3d 577 (5th Cir. 2013).</w:t>
      </w:r>
    </w:p>
  </w:footnote>
  <w:footnote w:id="967">
    <w:p w14:paraId="2BF3B2F7" w14:textId="77777777" w:rsidR="00201F3F" w:rsidRPr="00CD0FEB" w:rsidRDefault="00201F3F" w:rsidP="00C2067F">
      <w:pPr>
        <w:pStyle w:val="14Footnote"/>
      </w:pPr>
      <w:r w:rsidRPr="00CD0FEB">
        <w:rPr>
          <w:vertAlign w:val="superscript"/>
        </w:rPr>
        <w:footnoteRef/>
      </w:r>
      <w:r w:rsidRPr="00CD0FEB">
        <w:rPr>
          <w:i/>
          <w:iCs/>
        </w:rPr>
        <w:t>Id</w:t>
      </w:r>
      <w:r w:rsidRPr="00CD0FEB">
        <w:t>.</w:t>
      </w:r>
    </w:p>
  </w:footnote>
  <w:footnote w:id="968">
    <w:p w14:paraId="3F25773C" w14:textId="77777777" w:rsidR="00201F3F" w:rsidRPr="00CD0FEB" w:rsidRDefault="00201F3F" w:rsidP="00C2067F">
      <w:pPr>
        <w:pStyle w:val="14Footnote"/>
      </w:pPr>
      <w:r w:rsidRPr="00CD0FEB">
        <w:rPr>
          <w:vertAlign w:val="superscript"/>
        </w:rPr>
        <w:footnoteRef/>
      </w:r>
      <w:r w:rsidRPr="00CD0FEB">
        <w:t xml:space="preserve">29 C.F.R. §541.504(d). </w:t>
      </w:r>
      <w:r w:rsidRPr="00CD0FEB">
        <w:rPr>
          <w:i/>
          <w:iCs/>
        </w:rPr>
        <w:t>But see</w:t>
      </w:r>
      <w:r w:rsidRPr="00CD0FEB">
        <w:t xml:space="preserve"> </w:t>
      </w:r>
      <w:r w:rsidRPr="00CD0FEB">
        <w:rPr>
          <w:i/>
          <w:iCs/>
        </w:rPr>
        <w:t>Meza</w:t>
      </w:r>
      <w:r w:rsidRPr="00CD0FEB">
        <w:t>, 720 F.3d 577 (applying regulation and finding that although plaintiff did stock shelves and deliver product, such activities were in furtherance of his own sales efforts).</w:t>
      </w:r>
    </w:p>
  </w:footnote>
  <w:footnote w:id="969">
    <w:p w14:paraId="1B5C19E8" w14:textId="77777777" w:rsidR="00201F3F" w:rsidRPr="00CD0FEB" w:rsidRDefault="00201F3F" w:rsidP="00C2067F">
      <w:pPr>
        <w:pStyle w:val="14Footnote"/>
      </w:pPr>
      <w:r w:rsidRPr="00CD0FEB">
        <w:rPr>
          <w:vertAlign w:val="superscript"/>
        </w:rPr>
        <w:footnoteRef/>
      </w:r>
      <w:r w:rsidRPr="00CD0FEB">
        <w:t>WH Op. (Sept. 11, 1941) (opining prospective salespersons employed for approximately three months inside plant not exempt while so employed, notwithstanding that, at end of period, salespersons would be engaged as outside salespersons).</w:t>
      </w:r>
    </w:p>
  </w:footnote>
  <w:footnote w:id="970">
    <w:p w14:paraId="375A9C58" w14:textId="77777777" w:rsidR="00201F3F" w:rsidRPr="00CD0FEB" w:rsidRDefault="00201F3F" w:rsidP="00C2067F">
      <w:pPr>
        <w:pStyle w:val="14Footnote"/>
      </w:pPr>
      <w:r w:rsidRPr="00CD0FEB">
        <w:rPr>
          <w:vertAlign w:val="superscript"/>
        </w:rPr>
        <w:footnoteRef/>
      </w:r>
      <w:r w:rsidRPr="00CD0FEB">
        <w:t xml:space="preserve">Wirtz v. Edisto Farms Dairy, 242 F. Supp. 1, 8, 16 WH Cases 896 (E.D.S.C. 1965) (deeming retail route helper not exempt as outside salesperson where truck driver exercised full control over route and selling operations, about 60% of helper’s time consisted of delivering standing orders, helper did not attend sales meetings, and selling activities would constitute about 40% of workday); </w:t>
      </w:r>
      <w:r w:rsidRPr="00CD0FEB">
        <w:rPr>
          <w:i/>
          <w:iCs/>
        </w:rPr>
        <w:t>see also</w:t>
      </w:r>
      <w:r w:rsidRPr="00CD0FEB">
        <w:t xml:space="preserve"> Wirtz v. Charleston Coca-Cola Bottling Co</w:t>
      </w:r>
      <w:r w:rsidRPr="00CD0FEB">
        <w:rPr>
          <w:i/>
          <w:iCs/>
        </w:rPr>
        <w:t>.</w:t>
      </w:r>
      <w:r w:rsidRPr="00CD0FEB">
        <w:t xml:space="preserve">, 237 F. Supp. 857, 866–67, 16 WH Cases 857 (E.D.S.C. 1965) (determining drivers and assistants who spent limited time at plant in sales meetings and loading and unloading were exempt), </w:t>
      </w:r>
      <w:r w:rsidRPr="00CD0FEB">
        <w:rPr>
          <w:i/>
          <w:iCs/>
        </w:rPr>
        <w:t>rev’d in part</w:t>
      </w:r>
      <w:r w:rsidRPr="00CD0FEB">
        <w:t>, 365 F.2d 428, 429, 17 WH Cases 230 (4th Cir. 1966) (holding route helpers who loaded and unloaded and only rarely collected monies from sales not exempt where they did not attend sales meetings, were not regarded as salespersons, and had no training as salespersons).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AA015F0"/>
    <w:multiLevelType w:val="multilevel"/>
    <w:tmpl w:val="EA3A561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Courier New" w:hAnsi="Courier New" w:hint="default"/>
      </w:rPr>
    </w:lvl>
    <w:lvl w:ilvl="2">
      <w:start w:val="1"/>
      <w:numFmt w:val="bullet"/>
      <w:lvlText w:val=""/>
      <w:lvlJc w:val="left"/>
      <w:pPr>
        <w:ind w:left="2520" w:hanging="360"/>
      </w:pPr>
      <w:rPr>
        <w:rFonts w:ascii="Symbol" w:hAnsi="Symbol" w:hint="default"/>
        <w:color w:val="auto"/>
      </w:rPr>
    </w:lvl>
    <w:lvl w:ilvl="3">
      <w:start w:val="1"/>
      <w:numFmt w:val="bullet"/>
      <w:lvlText w:val="-"/>
      <w:lvlJc w:val="left"/>
      <w:pPr>
        <w:ind w:left="3240" w:hanging="360"/>
      </w:pPr>
      <w:rPr>
        <w:rFonts w:ascii="Courier New" w:hAnsi="Courier New" w:hint="default"/>
      </w:rPr>
    </w:lvl>
    <w:lvl w:ilvl="4">
      <w:start w:val="1"/>
      <w:numFmt w:val="bullet"/>
      <w:lvlText w:val=""/>
      <w:lvlJc w:val="left"/>
      <w:pPr>
        <w:ind w:left="3960" w:hanging="360"/>
      </w:pPr>
      <w:rPr>
        <w:rFonts w:ascii="Symbol" w:hAnsi="Symbol" w:hint="default"/>
      </w:rPr>
    </w:lvl>
    <w:lvl w:ilvl="5">
      <w:start w:val="1"/>
      <w:numFmt w:val="bullet"/>
      <w:lvlText w:val="-"/>
      <w:lvlJc w:val="left"/>
      <w:pPr>
        <w:ind w:left="4680" w:hanging="360"/>
      </w:pPr>
      <w:rPr>
        <w:rFonts w:ascii="Courier New" w:hAnsi="Courier New" w:hint="default"/>
      </w:rPr>
    </w:lvl>
    <w:lvl w:ilvl="6">
      <w:start w:val="1"/>
      <w:numFmt w:val="bullet"/>
      <w:lvlText w:val=""/>
      <w:lvlJc w:val="left"/>
      <w:pPr>
        <w:ind w:left="5400" w:hanging="360"/>
      </w:pPr>
      <w:rPr>
        <w:rFonts w:ascii="Symbol" w:hAnsi="Symbol" w:hint="default"/>
      </w:rPr>
    </w:lvl>
    <w:lvl w:ilvl="7">
      <w:start w:val="1"/>
      <w:numFmt w:val="bullet"/>
      <w:lvlText w:val="-"/>
      <w:lvlJc w:val="left"/>
      <w:pPr>
        <w:ind w:left="6120" w:hanging="360"/>
      </w:pPr>
      <w:rPr>
        <w:rFonts w:ascii="Courier New" w:hAnsi="Courier New" w:hint="default"/>
      </w:rPr>
    </w:lvl>
    <w:lvl w:ilvl="8">
      <w:start w:val="1"/>
      <w:numFmt w:val="bullet"/>
      <w:lvlText w:val="-"/>
      <w:lvlJc w:val="left"/>
      <w:pPr>
        <w:ind w:left="6840" w:hanging="360"/>
      </w:pPr>
      <w:rPr>
        <w:rFonts w:ascii="Courier New" w:hAnsi="Courier New" w:hint="default"/>
      </w:rPr>
    </w:lvl>
  </w:abstractNum>
  <w:abstractNum w:abstractNumId="17"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3"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8"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3"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970022"/>
    <w:multiLevelType w:val="hybridMultilevel"/>
    <w:tmpl w:val="F08CC8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8"/>
  </w:num>
  <w:num w:numId="2" w16cid:durableId="1796212711">
    <w:abstractNumId w:val="42"/>
  </w:num>
  <w:num w:numId="3" w16cid:durableId="560215516">
    <w:abstractNumId w:val="10"/>
  </w:num>
  <w:num w:numId="4" w16cid:durableId="127167174">
    <w:abstractNumId w:val="15"/>
  </w:num>
  <w:num w:numId="5" w16cid:durableId="530146565">
    <w:abstractNumId w:val="17"/>
  </w:num>
  <w:num w:numId="6" w16cid:durableId="1308701023">
    <w:abstractNumId w:val="14"/>
  </w:num>
  <w:num w:numId="7" w16cid:durableId="1164586576">
    <w:abstractNumId w:val="25"/>
  </w:num>
  <w:num w:numId="8" w16cid:durableId="390078248">
    <w:abstractNumId w:val="40"/>
  </w:num>
  <w:num w:numId="9" w16cid:durableId="1709836850">
    <w:abstractNumId w:val="31"/>
  </w:num>
  <w:num w:numId="10" w16cid:durableId="1514031139">
    <w:abstractNumId w:val="8"/>
  </w:num>
  <w:num w:numId="11" w16cid:durableId="439372092">
    <w:abstractNumId w:val="18"/>
  </w:num>
  <w:num w:numId="12" w16cid:durableId="1176964315">
    <w:abstractNumId w:val="11"/>
  </w:num>
  <w:num w:numId="13" w16cid:durableId="57481982">
    <w:abstractNumId w:val="37"/>
  </w:num>
  <w:num w:numId="14" w16cid:durableId="616182069">
    <w:abstractNumId w:val="34"/>
  </w:num>
  <w:num w:numId="15" w16cid:durableId="1331370395">
    <w:abstractNumId w:val="33"/>
  </w:num>
  <w:num w:numId="16" w16cid:durableId="2048220565">
    <w:abstractNumId w:val="19"/>
  </w:num>
  <w:num w:numId="17" w16cid:durableId="1376926949">
    <w:abstractNumId w:val="41"/>
  </w:num>
  <w:num w:numId="18" w16cid:durableId="353920111">
    <w:abstractNumId w:val="20"/>
  </w:num>
  <w:num w:numId="19" w16cid:durableId="1125343429">
    <w:abstractNumId w:val="28"/>
  </w:num>
  <w:num w:numId="20" w16cid:durableId="72313112">
    <w:abstractNumId w:val="22"/>
  </w:num>
  <w:num w:numId="21" w16cid:durableId="1413089690">
    <w:abstractNumId w:val="24"/>
  </w:num>
  <w:num w:numId="22" w16cid:durableId="1946451628">
    <w:abstractNumId w:val="29"/>
  </w:num>
  <w:num w:numId="23" w16cid:durableId="1714229662">
    <w:abstractNumId w:val="30"/>
  </w:num>
  <w:num w:numId="24" w16cid:durableId="1864049548">
    <w:abstractNumId w:val="42"/>
  </w:num>
  <w:num w:numId="25" w16cid:durableId="1312754695">
    <w:abstractNumId w:val="42"/>
  </w:num>
  <w:num w:numId="26" w16cid:durableId="1166363704">
    <w:abstractNumId w:val="21"/>
  </w:num>
  <w:num w:numId="27" w16cid:durableId="789670048">
    <w:abstractNumId w:val="27"/>
  </w:num>
  <w:num w:numId="28" w16cid:durableId="971784460">
    <w:abstractNumId w:val="32"/>
  </w:num>
  <w:num w:numId="29" w16cid:durableId="1803688727">
    <w:abstractNumId w:val="13"/>
  </w:num>
  <w:num w:numId="30" w16cid:durableId="154415689">
    <w:abstractNumId w:val="36"/>
  </w:num>
  <w:num w:numId="31" w16cid:durableId="109083732">
    <w:abstractNumId w:val="9"/>
  </w:num>
  <w:num w:numId="32" w16cid:durableId="1136098287">
    <w:abstractNumId w:val="26"/>
  </w:num>
  <w:num w:numId="33" w16cid:durableId="329909884">
    <w:abstractNumId w:val="23"/>
  </w:num>
  <w:num w:numId="34" w16cid:durableId="1326783886">
    <w:abstractNumId w:val="39"/>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828985323">
    <w:abstractNumId w:val="16"/>
  </w:num>
  <w:num w:numId="44" w16cid:durableId="1040856163">
    <w:abstractNumId w:val="3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02"/>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5F88"/>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5A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2D3"/>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272"/>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A40"/>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0F1A"/>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4746"/>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1F3F"/>
    <w:rsid w:val="002027C7"/>
    <w:rsid w:val="002028B9"/>
    <w:rsid w:val="00202C31"/>
    <w:rsid w:val="00203269"/>
    <w:rsid w:val="00204388"/>
    <w:rsid w:val="00204D09"/>
    <w:rsid w:val="00206109"/>
    <w:rsid w:val="002063EF"/>
    <w:rsid w:val="00206964"/>
    <w:rsid w:val="0021000D"/>
    <w:rsid w:val="0021003F"/>
    <w:rsid w:val="002113BA"/>
    <w:rsid w:val="0021197D"/>
    <w:rsid w:val="00211FC4"/>
    <w:rsid w:val="002131CA"/>
    <w:rsid w:val="002146A8"/>
    <w:rsid w:val="00214D1E"/>
    <w:rsid w:val="00215565"/>
    <w:rsid w:val="00215BC6"/>
    <w:rsid w:val="00215F56"/>
    <w:rsid w:val="002160C4"/>
    <w:rsid w:val="002160E9"/>
    <w:rsid w:val="002163A7"/>
    <w:rsid w:val="00216459"/>
    <w:rsid w:val="002165D1"/>
    <w:rsid w:val="00217386"/>
    <w:rsid w:val="00220362"/>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3F5"/>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EF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9EA"/>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472A3"/>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41E"/>
    <w:rsid w:val="00365937"/>
    <w:rsid w:val="00365D23"/>
    <w:rsid w:val="00366069"/>
    <w:rsid w:val="003663BF"/>
    <w:rsid w:val="0036661C"/>
    <w:rsid w:val="00366F11"/>
    <w:rsid w:val="00367717"/>
    <w:rsid w:val="003679D5"/>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C9C"/>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586A"/>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0F3A"/>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3F7B7A"/>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6CC5"/>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2D7A"/>
    <w:rsid w:val="00453754"/>
    <w:rsid w:val="00454126"/>
    <w:rsid w:val="00454F90"/>
    <w:rsid w:val="0045520D"/>
    <w:rsid w:val="00455BA7"/>
    <w:rsid w:val="004562A7"/>
    <w:rsid w:val="004562FA"/>
    <w:rsid w:val="004571B2"/>
    <w:rsid w:val="004574C2"/>
    <w:rsid w:val="00457F7F"/>
    <w:rsid w:val="004602D8"/>
    <w:rsid w:val="00460850"/>
    <w:rsid w:val="004611E4"/>
    <w:rsid w:val="00461365"/>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551"/>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4CD"/>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8B6"/>
    <w:rsid w:val="00560E41"/>
    <w:rsid w:val="00560E4A"/>
    <w:rsid w:val="0056152A"/>
    <w:rsid w:val="00561DA9"/>
    <w:rsid w:val="0056201E"/>
    <w:rsid w:val="005625BA"/>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5BAF"/>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5C7B"/>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3E44"/>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2F3"/>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0BF7"/>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322"/>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07CE2"/>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166"/>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B02"/>
    <w:rsid w:val="00824F9E"/>
    <w:rsid w:val="0082522E"/>
    <w:rsid w:val="00825BB9"/>
    <w:rsid w:val="00826560"/>
    <w:rsid w:val="0082658C"/>
    <w:rsid w:val="008267CF"/>
    <w:rsid w:val="00826856"/>
    <w:rsid w:val="00826AE1"/>
    <w:rsid w:val="00827D08"/>
    <w:rsid w:val="00827E45"/>
    <w:rsid w:val="0083048C"/>
    <w:rsid w:val="008307E2"/>
    <w:rsid w:val="00830850"/>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54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69B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237E"/>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B665C"/>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19D"/>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2C5"/>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5B35"/>
    <w:rsid w:val="00B767E9"/>
    <w:rsid w:val="00B76AF2"/>
    <w:rsid w:val="00B77562"/>
    <w:rsid w:val="00B776A9"/>
    <w:rsid w:val="00B77C92"/>
    <w:rsid w:val="00B77DA0"/>
    <w:rsid w:val="00B804E5"/>
    <w:rsid w:val="00B80689"/>
    <w:rsid w:val="00B81332"/>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4FFE"/>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2CD3"/>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1F"/>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5E1"/>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4855"/>
    <w:rsid w:val="00C556AE"/>
    <w:rsid w:val="00C55D3B"/>
    <w:rsid w:val="00C566A3"/>
    <w:rsid w:val="00C57D66"/>
    <w:rsid w:val="00C61025"/>
    <w:rsid w:val="00C63C1E"/>
    <w:rsid w:val="00C63DD4"/>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A55"/>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78A"/>
    <w:rsid w:val="00C97812"/>
    <w:rsid w:val="00CA0029"/>
    <w:rsid w:val="00CA01B2"/>
    <w:rsid w:val="00CA07FE"/>
    <w:rsid w:val="00CA0CDD"/>
    <w:rsid w:val="00CA100D"/>
    <w:rsid w:val="00CA1539"/>
    <w:rsid w:val="00CA1C2C"/>
    <w:rsid w:val="00CA4072"/>
    <w:rsid w:val="00CA4627"/>
    <w:rsid w:val="00CA48D9"/>
    <w:rsid w:val="00CA48DF"/>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6335"/>
    <w:rsid w:val="00CB71CC"/>
    <w:rsid w:val="00CB7337"/>
    <w:rsid w:val="00CB79CA"/>
    <w:rsid w:val="00CB7ECC"/>
    <w:rsid w:val="00CC0C66"/>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CF7E2B"/>
    <w:rsid w:val="00D00B72"/>
    <w:rsid w:val="00D00BE7"/>
    <w:rsid w:val="00D013E2"/>
    <w:rsid w:val="00D01868"/>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AC5"/>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03"/>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17A13"/>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476FD"/>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6FA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18"/>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4223"/>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0C3D"/>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8C3"/>
    <w:rsid w:val="00F119E4"/>
    <w:rsid w:val="00F1222F"/>
    <w:rsid w:val="00F12954"/>
    <w:rsid w:val="00F12ED3"/>
    <w:rsid w:val="00F12F1B"/>
    <w:rsid w:val="00F1402B"/>
    <w:rsid w:val="00F158B2"/>
    <w:rsid w:val="00F15A65"/>
    <w:rsid w:val="00F1754B"/>
    <w:rsid w:val="00F212DE"/>
    <w:rsid w:val="00F2138F"/>
    <w:rsid w:val="00F2161D"/>
    <w:rsid w:val="00F21709"/>
    <w:rsid w:val="00F2236F"/>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6E97"/>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D0B590"/>
  <w15:docId w15:val="{68CF7EAB-2E2E-41E2-9475-9B37D3BF8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rsid w:val="000E1CF7"/>
    <w:rPr>
      <w:rFonts w:eastAsia="Times New Roman"/>
      <w:lang w:bidi="ar-SA"/>
    </w:rPr>
  </w:style>
  <w:style w:type="character" w:styleId="CommentReference">
    <w:name w:val="annotation reference"/>
    <w:basedOn w:val="DefaultParagraphFont"/>
    <w:uiPriority w:val="99"/>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link w:val="DocIDCha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uiPriority w:val="10"/>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uiPriority w:val="10"/>
    <w:semiHidden/>
    <w:rsid w:val="000E1CF7"/>
    <w:rPr>
      <w:rFonts w:eastAsia="Times New Roman" w:cs="Arial"/>
      <w:b/>
      <w:bCs/>
      <w:kern w:val="28"/>
      <w:sz w:val="28"/>
      <w:szCs w:val="32"/>
      <w:lang w:bidi="ar-SA"/>
    </w:rPr>
  </w:style>
  <w:style w:type="paragraph" w:styleId="Subtitle">
    <w:name w:val="Subtitle"/>
    <w:basedOn w:val="Normal"/>
    <w:link w:val="SubtitleChar"/>
    <w:uiPriority w:val="11"/>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uiPriority w:val="11"/>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
    <w:basedOn w:val="text"/>
    <w:autoRedefine/>
    <w:uiPriority w:val="99"/>
    <w:semiHidden/>
    <w:rsid w:val="00201F3F"/>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ext">
    <w:name w:val="text"/>
    <w:basedOn w:val="Normal"/>
    <w:next w:val="Normal"/>
    <w:autoRedefine/>
    <w:uiPriority w:val="99"/>
    <w:semiHidden/>
    <w:qFormat/>
    <w:rsid w:val="00201F3F"/>
    <w:pPr>
      <w:tabs>
        <w:tab w:val="left" w:pos="0"/>
        <w:tab w:val="left" w:pos="720"/>
        <w:tab w:val="left" w:pos="1440"/>
        <w:tab w:val="left" w:pos="2160"/>
        <w:tab w:val="left" w:pos="2880"/>
        <w:tab w:val="left" w:pos="3600"/>
        <w:tab w:val="left" w:pos="4320"/>
        <w:tab w:val="left" w:pos="5040"/>
        <w:tab w:val="left" w:pos="5760"/>
      </w:tabs>
      <w:spacing w:before="0" w:after="0"/>
      <w:ind w:firstLine="720"/>
    </w:pPr>
    <w:rPr>
      <w:rFonts w:eastAsia="Calibri"/>
      <w:kern w:val="0"/>
      <w:lang w:eastAsia="pt-PT" w:bidi="ar-SA"/>
    </w:rPr>
  </w:style>
  <w:style w:type="paragraph" w:customStyle="1" w:styleId="toc5a">
    <w:name w:val="toc 5(a)"/>
    <w:basedOn w:val="Normal"/>
    <w:autoRedefine/>
    <w:uiPriority w:val="99"/>
    <w:semiHidden/>
    <w:rsid w:val="00201F3F"/>
    <w:pPr>
      <w:tabs>
        <w:tab w:val="left" w:pos="2100"/>
        <w:tab w:val="left" w:leader="dot" w:pos="6240"/>
        <w:tab w:val="left" w:pos="6960"/>
      </w:tabs>
      <w:suppressAutoHyphens/>
      <w:autoSpaceDE w:val="0"/>
      <w:autoSpaceDN w:val="0"/>
      <w:adjustRightInd w:val="0"/>
      <w:spacing w:before="0" w:after="0" w:line="240" w:lineRule="atLeast"/>
      <w:ind w:left="2580" w:hanging="480"/>
      <w:textAlignment w:val="center"/>
    </w:pPr>
    <w:rPr>
      <w:rFonts w:eastAsiaTheme="minorEastAsia" w:cs="ITC New Baskerville Std"/>
      <w:color w:val="000000"/>
      <w:kern w:val="0"/>
      <w:sz w:val="22"/>
      <w:szCs w:val="22"/>
      <w:lang w:bidi="ar-SA"/>
    </w:rPr>
  </w:style>
  <w:style w:type="paragraph" w:customStyle="1" w:styleId="1stlevelheadIrb">
    <w:name w:val="1st level head I._rb"/>
    <w:basedOn w:val="Normal"/>
    <w:autoRedefine/>
    <w:uiPriority w:val="99"/>
    <w:semiHidden/>
    <w:rsid w:val="00201F3F"/>
    <w:pPr>
      <w:keepNext/>
      <w:widowControl w:val="0"/>
      <w:suppressAutoHyphens/>
      <w:autoSpaceDE w:val="0"/>
      <w:autoSpaceDN w:val="0"/>
      <w:adjustRightInd w:val="0"/>
      <w:spacing w:before="360" w:after="240"/>
      <w:textAlignment w:val="center"/>
    </w:pPr>
    <w:rPr>
      <w:rFonts w:eastAsiaTheme="minorEastAsia" w:cs="Times LT Std"/>
      <w:b/>
      <w:bCs/>
      <w:color w:val="000000"/>
      <w:kern w:val="0"/>
      <w:lang w:bidi="ar-SA"/>
    </w:rPr>
  </w:style>
  <w:style w:type="paragraph" w:customStyle="1" w:styleId="1stlevehead10ES">
    <w:name w:val="1st leve head 10. ES"/>
    <w:basedOn w:val="1stlevelheadIrb"/>
    <w:autoRedefine/>
    <w:semiHidden/>
    <w:qFormat/>
    <w:rsid w:val="00201F3F"/>
    <w:pPr>
      <w:tabs>
        <w:tab w:val="left" w:pos="960"/>
      </w:tabs>
      <w:ind w:left="960" w:hanging="960"/>
    </w:pPr>
    <w:rPr>
      <w:rFonts w:cs="Times New Roman"/>
    </w:rPr>
  </w:style>
  <w:style w:type="paragraph" w:customStyle="1" w:styleId="1stlevelheadboldcentered">
    <w:name w:val="1st level head / bold centered"/>
    <w:basedOn w:val="Normal"/>
    <w:autoRedefine/>
    <w:uiPriority w:val="99"/>
    <w:semiHidden/>
    <w:rsid w:val="00201F3F"/>
    <w:pPr>
      <w:keepNext/>
      <w:widowControl w:val="0"/>
      <w:suppressAutoHyphens/>
      <w:autoSpaceDE w:val="0"/>
      <w:autoSpaceDN w:val="0"/>
      <w:adjustRightInd w:val="0"/>
      <w:spacing w:after="240"/>
      <w:jc w:val="center"/>
      <w:textAlignment w:val="center"/>
    </w:pPr>
    <w:rPr>
      <w:rFonts w:eastAsiaTheme="minorEastAsia" w:cs="ITC New Baskerville Std"/>
      <w:b/>
      <w:bCs/>
      <w:color w:val="000000"/>
      <w:kern w:val="0"/>
      <w:szCs w:val="22"/>
      <w:lang w:bidi="ar-SA"/>
    </w:rPr>
  </w:style>
  <w:style w:type="paragraph" w:customStyle="1" w:styleId="1stLevelHeadI">
    <w:name w:val="1st Level Head I."/>
    <w:basedOn w:val="Normal"/>
    <w:autoRedefine/>
    <w:uiPriority w:val="99"/>
    <w:semiHidden/>
    <w:rsid w:val="00201F3F"/>
    <w:pPr>
      <w:keepNext/>
      <w:widowControl w:val="0"/>
      <w:suppressAutoHyphens/>
      <w:autoSpaceDE w:val="0"/>
      <w:autoSpaceDN w:val="0"/>
      <w:adjustRightInd w:val="0"/>
      <w:spacing w:before="360" w:after="240"/>
      <w:jc w:val="center"/>
      <w:textAlignment w:val="center"/>
    </w:pPr>
    <w:rPr>
      <w:rFonts w:ascii="Times New Roman Bold" w:eastAsiaTheme="minorEastAsia" w:hAnsi="Times New Roman Bold" w:cs="Times SC"/>
      <w:b/>
      <w:bCs/>
      <w:smallCaps/>
      <w:color w:val="000000"/>
      <w:kern w:val="0"/>
      <w:lang w:bidi="ar-SA"/>
    </w:rPr>
  </w:style>
  <w:style w:type="paragraph" w:customStyle="1" w:styleId="1stlevelheadI0">
    <w:name w:val="1st level head I."/>
    <w:basedOn w:val="Normal"/>
    <w:autoRedefine/>
    <w:uiPriority w:val="99"/>
    <w:semiHidden/>
    <w:rsid w:val="00201F3F"/>
    <w:pPr>
      <w:keepNext/>
      <w:keepLines/>
      <w:widowControl w:val="0"/>
      <w:suppressAutoHyphens/>
      <w:autoSpaceDE w:val="0"/>
      <w:autoSpaceDN w:val="0"/>
      <w:adjustRightInd w:val="0"/>
      <w:spacing w:before="360" w:after="240"/>
      <w:jc w:val="center"/>
      <w:textAlignment w:val="center"/>
    </w:pPr>
    <w:rPr>
      <w:rFonts w:eastAsiaTheme="minorEastAsia" w:cs="ITC New Baskerville Std"/>
      <w:smallCaps/>
      <w:color w:val="000000"/>
      <w:kern w:val="0"/>
      <w:szCs w:val="22"/>
      <w:lang w:bidi="ar-SA"/>
    </w:rPr>
  </w:style>
  <w:style w:type="paragraph" w:customStyle="1" w:styleId="1stlevelheadIb">
    <w:name w:val="1st level head I._b"/>
    <w:basedOn w:val="Normal"/>
    <w:autoRedefine/>
    <w:uiPriority w:val="99"/>
    <w:semiHidden/>
    <w:qFormat/>
    <w:rsid w:val="00201F3F"/>
    <w:pPr>
      <w:tabs>
        <w:tab w:val="left" w:pos="1200"/>
      </w:tabs>
      <w:spacing w:before="360" w:after="240"/>
    </w:pPr>
    <w:rPr>
      <w:rFonts w:ascii="Times New Roman Bold" w:eastAsiaTheme="minorEastAsia" w:hAnsi="Times New Roman Bold" w:cstheme="minorBidi"/>
      <w:b/>
      <w:kern w:val="0"/>
      <w:szCs w:val="22"/>
      <w:lang w:bidi="ar-SA"/>
    </w:rPr>
  </w:style>
  <w:style w:type="paragraph" w:customStyle="1" w:styleId="1stlevelheadIbfl">
    <w:name w:val="1st level head I._b_fl"/>
    <w:basedOn w:val="1stlevelheadIb"/>
    <w:autoRedefine/>
    <w:semiHidden/>
    <w:qFormat/>
    <w:rsid w:val="00201F3F"/>
    <w:rPr>
      <w:rFonts w:cs="Times New Roman"/>
      <w:smallCaps/>
    </w:rPr>
  </w:style>
  <w:style w:type="paragraph" w:customStyle="1" w:styleId="1stlevelheadIr">
    <w:name w:val="1st level head I._r"/>
    <w:basedOn w:val="1stlevelheadIb"/>
    <w:autoRedefine/>
    <w:uiPriority w:val="99"/>
    <w:semiHidden/>
    <w:qFormat/>
    <w:rsid w:val="00201F3F"/>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201F3F"/>
    <w:pPr>
      <w:widowControl w:val="0"/>
      <w:autoSpaceDE w:val="0"/>
      <w:autoSpaceDN w:val="0"/>
      <w:adjustRightInd w:val="0"/>
      <w:spacing w:before="480" w:after="360"/>
      <w:jc w:val="center"/>
      <w:textAlignment w:val="center"/>
    </w:pPr>
    <w:rPr>
      <w:rFonts w:eastAsiaTheme="minorEastAsia" w:cs="ITC New Baskerville Std"/>
      <w:smallCaps/>
      <w:color w:val="000000"/>
      <w:kern w:val="0"/>
      <w:sz w:val="25"/>
      <w:szCs w:val="25"/>
      <w:lang w:bidi="ar-SA"/>
    </w:rPr>
  </w:style>
  <w:style w:type="paragraph" w:customStyle="1" w:styleId="1stlevelRomanhead11pt">
    <w:name w:val="1st level_Roman head 11 pt."/>
    <w:basedOn w:val="Normal"/>
    <w:autoRedefine/>
    <w:uiPriority w:val="99"/>
    <w:semiHidden/>
    <w:rsid w:val="00201F3F"/>
    <w:pPr>
      <w:keepNext/>
      <w:widowControl w:val="0"/>
      <w:suppressAutoHyphens/>
      <w:autoSpaceDE w:val="0"/>
      <w:autoSpaceDN w:val="0"/>
      <w:adjustRightInd w:val="0"/>
      <w:spacing w:after="240"/>
      <w:jc w:val="center"/>
      <w:textAlignment w:val="center"/>
    </w:pPr>
    <w:rPr>
      <w:rFonts w:eastAsiaTheme="minorEastAsia" w:cs="ITC New Baskerville Std"/>
      <w:smallCaps/>
      <w:color w:val="000000"/>
      <w:kern w:val="0"/>
      <w:szCs w:val="22"/>
      <w:lang w:bidi="ar-SA"/>
    </w:rPr>
  </w:style>
  <w:style w:type="paragraph" w:customStyle="1" w:styleId="2ndlevelheadbolditaliccentered">
    <w:name w:val="2nd level head / bold italic centered"/>
    <w:basedOn w:val="Normal"/>
    <w:autoRedefine/>
    <w:uiPriority w:val="99"/>
    <w:semiHidden/>
    <w:rsid w:val="00201F3F"/>
    <w:pPr>
      <w:keepNext/>
      <w:widowControl w:val="0"/>
      <w:suppressAutoHyphens/>
      <w:autoSpaceDE w:val="0"/>
      <w:autoSpaceDN w:val="0"/>
      <w:adjustRightInd w:val="0"/>
      <w:spacing w:after="240"/>
      <w:jc w:val="center"/>
      <w:textAlignment w:val="center"/>
    </w:pPr>
    <w:rPr>
      <w:rFonts w:eastAsiaTheme="minorEastAsia" w:cs="ITC New Baskerville Std"/>
      <w:b/>
      <w:bCs/>
      <w:i/>
      <w:iCs/>
      <w:color w:val="000000"/>
      <w:kern w:val="0"/>
      <w:szCs w:val="22"/>
      <w:lang w:bidi="ar-SA"/>
    </w:rPr>
  </w:style>
  <w:style w:type="paragraph" w:customStyle="1" w:styleId="2ndLevelHeadA">
    <w:name w:val="2nd Level Head A."/>
    <w:basedOn w:val="Normal"/>
    <w:autoRedefine/>
    <w:uiPriority w:val="99"/>
    <w:semiHidden/>
    <w:rsid w:val="00201F3F"/>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2ndlevelheadAb">
    <w:name w:val="2nd level head A._b"/>
    <w:basedOn w:val="Normal"/>
    <w:autoRedefine/>
    <w:uiPriority w:val="99"/>
    <w:semiHidden/>
    <w:qFormat/>
    <w:rsid w:val="00201F3F"/>
    <w:pPr>
      <w:tabs>
        <w:tab w:val="left" w:pos="360"/>
      </w:tabs>
      <w:spacing w:after="240"/>
      <w:ind w:left="360" w:hanging="360"/>
    </w:pPr>
    <w:rPr>
      <w:rFonts w:ascii="Times New Roman Bold" w:eastAsiaTheme="minorEastAsia" w:hAnsi="Times New Roman Bold" w:cstheme="minorBidi"/>
      <w:b/>
      <w:kern w:val="0"/>
      <w:szCs w:val="22"/>
      <w:lang w:bidi="ar-SA"/>
    </w:rPr>
  </w:style>
  <w:style w:type="paragraph" w:customStyle="1" w:styleId="2ndlevelheadAbi">
    <w:name w:val="2nd level head A._bi"/>
    <w:basedOn w:val="2ndlevelheadAb"/>
    <w:semiHidden/>
    <w:qFormat/>
    <w:rsid w:val="00201F3F"/>
    <w:rPr>
      <w:i/>
    </w:rPr>
  </w:style>
  <w:style w:type="paragraph" w:customStyle="1" w:styleId="2ndlevelheadBb">
    <w:name w:val="2nd level head B._b"/>
    <w:basedOn w:val="Normal"/>
    <w:autoRedefine/>
    <w:uiPriority w:val="99"/>
    <w:semiHidden/>
    <w:rsid w:val="00201F3F"/>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2ndlevelheadBbi">
    <w:name w:val="2nd level head B._bi"/>
    <w:basedOn w:val="Normal"/>
    <w:autoRedefine/>
    <w:uiPriority w:val="99"/>
    <w:semiHidden/>
    <w:rsid w:val="00201F3F"/>
    <w:pPr>
      <w:widowControl w:val="0"/>
      <w:tabs>
        <w:tab w:val="left" w:pos="360"/>
      </w:tabs>
      <w:suppressAutoHyphens/>
      <w:autoSpaceDE w:val="0"/>
      <w:autoSpaceDN w:val="0"/>
      <w:adjustRightInd w:val="0"/>
      <w:spacing w:before="480" w:after="360"/>
      <w:ind w:left="360" w:hanging="360"/>
      <w:textAlignment w:val="center"/>
    </w:pPr>
    <w:rPr>
      <w:rFonts w:eastAsiaTheme="minorEastAsia" w:cs="Times LT Std"/>
      <w:b/>
      <w:bCs/>
      <w:i/>
      <w:iCs/>
      <w:color w:val="000000"/>
      <w:kern w:val="0"/>
      <w:szCs w:val="22"/>
      <w:lang w:bidi="ar-SA"/>
    </w:rPr>
  </w:style>
  <w:style w:type="paragraph" w:customStyle="1" w:styleId="2ndlevelheadnospace">
    <w:name w:val="2nd level head no space"/>
    <w:basedOn w:val="2ndlevelheadAb"/>
    <w:autoRedefine/>
    <w:uiPriority w:val="99"/>
    <w:semiHidden/>
    <w:rsid w:val="00201F3F"/>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201F3F"/>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201F3F"/>
    <w:rPr>
      <w:i/>
    </w:rPr>
  </w:style>
  <w:style w:type="paragraph" w:customStyle="1" w:styleId="2ndlevelheadnospacebi">
    <w:name w:val="2nd level head no space_bi"/>
    <w:basedOn w:val="2ndlevelheadAbi0"/>
    <w:semiHidden/>
    <w:qFormat/>
    <w:rsid w:val="00201F3F"/>
  </w:style>
  <w:style w:type="paragraph" w:customStyle="1" w:styleId="2ndlevelheadnospace-b">
    <w:name w:val="2nd level head no space-b"/>
    <w:basedOn w:val="2ndlevelheadBb"/>
    <w:autoRedefine/>
    <w:uiPriority w:val="99"/>
    <w:semiHidden/>
    <w:rsid w:val="00201F3F"/>
    <w:pPr>
      <w:spacing w:before="0"/>
    </w:pPr>
  </w:style>
  <w:style w:type="paragraph" w:customStyle="1" w:styleId="2ndlevelheadAb0">
    <w:name w:val="2nd level head_A._b"/>
    <w:basedOn w:val="Normal"/>
    <w:autoRedefine/>
    <w:uiPriority w:val="99"/>
    <w:semiHidden/>
    <w:rsid w:val="00201F3F"/>
    <w:pPr>
      <w:widowControl w:val="0"/>
      <w:tabs>
        <w:tab w:val="left" w:pos="340"/>
      </w:tabs>
      <w:autoSpaceDE w:val="0"/>
      <w:autoSpaceDN w:val="0"/>
      <w:adjustRightInd w:val="0"/>
      <w:spacing w:before="360" w:after="240"/>
      <w:ind w:left="360" w:hanging="360"/>
      <w:textAlignment w:val="center"/>
    </w:pPr>
    <w:rPr>
      <w:rFonts w:eastAsiaTheme="minorEastAsia" w:cs="ITC New Baskerville Std"/>
      <w:b/>
      <w:bCs/>
      <w:color w:val="000000"/>
      <w:kern w:val="0"/>
      <w:lang w:bidi="ar-SA"/>
    </w:rPr>
  </w:style>
  <w:style w:type="paragraph" w:customStyle="1" w:styleId="2ndlevelheadAbi1">
    <w:name w:val="2nd level head_A._bi"/>
    <w:basedOn w:val="Normal"/>
    <w:autoRedefine/>
    <w:uiPriority w:val="99"/>
    <w:semiHidden/>
    <w:qFormat/>
    <w:rsid w:val="00201F3F"/>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lang w:bidi="ar-SA"/>
    </w:rPr>
  </w:style>
  <w:style w:type="paragraph" w:customStyle="1" w:styleId="3rdLevelHead1">
    <w:name w:val="3rd Level Head 1."/>
    <w:basedOn w:val="Normal"/>
    <w:autoRedefine/>
    <w:uiPriority w:val="99"/>
    <w:semiHidden/>
    <w:rsid w:val="00201F3F"/>
    <w:pPr>
      <w:keepNext/>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i/>
      <w:iCs/>
      <w:color w:val="000000"/>
      <w:kern w:val="0"/>
      <w:szCs w:val="22"/>
      <w:lang w:bidi="ar-SA"/>
    </w:rPr>
  </w:style>
  <w:style w:type="paragraph" w:customStyle="1" w:styleId="3rdlevelhead10">
    <w:name w:val="3rd level head 1."/>
    <w:basedOn w:val="Normal"/>
    <w:autoRedefine/>
    <w:uiPriority w:val="99"/>
    <w:semiHidden/>
    <w:rsid w:val="00201F3F"/>
    <w:pPr>
      <w:keepNext/>
      <w:widowControl w:val="0"/>
      <w:tabs>
        <w:tab w:val="left" w:pos="360"/>
      </w:tabs>
      <w:suppressAutoHyphens/>
      <w:autoSpaceDE w:val="0"/>
      <w:autoSpaceDN w:val="0"/>
      <w:adjustRightInd w:val="0"/>
      <w:spacing w:after="0" w:line="480" w:lineRule="auto"/>
      <w:ind w:left="360" w:hanging="360"/>
      <w:textAlignment w:val="center"/>
    </w:pPr>
    <w:rPr>
      <w:rFonts w:eastAsia="Times New Roman" w:cs="ITC New Baskerville Std"/>
      <w:b/>
      <w:bCs/>
      <w:i/>
      <w:iCs/>
      <w:color w:val="000000"/>
      <w:kern w:val="0"/>
      <w:szCs w:val="22"/>
      <w:lang w:bidi="ar-SA"/>
    </w:rPr>
  </w:style>
  <w:style w:type="paragraph" w:customStyle="1" w:styleId="3rdlevelhead1i">
    <w:name w:val="3rd level head 1._i"/>
    <w:basedOn w:val="Normal"/>
    <w:autoRedefine/>
    <w:uiPriority w:val="99"/>
    <w:semiHidden/>
    <w:qFormat/>
    <w:rsid w:val="00201F3F"/>
    <w:pPr>
      <w:tabs>
        <w:tab w:val="left" w:pos="360"/>
      </w:tabs>
      <w:spacing w:after="240"/>
      <w:ind w:left="360" w:hanging="360"/>
    </w:pPr>
    <w:rPr>
      <w:rFonts w:eastAsiaTheme="minorEastAsia" w:cstheme="minorBidi"/>
      <w:i/>
      <w:kern w:val="0"/>
      <w:szCs w:val="22"/>
      <w:lang w:bidi="ar-SA"/>
    </w:rPr>
  </w:style>
  <w:style w:type="paragraph" w:customStyle="1" w:styleId="3rdlevelhead1bi">
    <w:name w:val="3rd level head 1._bi"/>
    <w:basedOn w:val="3rdlevelhead1i"/>
    <w:semiHidden/>
    <w:qFormat/>
    <w:rsid w:val="00201F3F"/>
    <w:rPr>
      <w:b/>
    </w:rPr>
  </w:style>
  <w:style w:type="paragraph" w:customStyle="1" w:styleId="3rdlevelhead10bi">
    <w:name w:val="3rd level head 10._bi"/>
    <w:basedOn w:val="3rdlevelhead1bi"/>
    <w:autoRedefine/>
    <w:uiPriority w:val="99"/>
    <w:semiHidden/>
    <w:rsid w:val="00201F3F"/>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201F3F"/>
    <w:pPr>
      <w:widowControl w:val="0"/>
      <w:tabs>
        <w:tab w:val="left" w:pos="920"/>
      </w:tabs>
      <w:suppressAutoHyphens/>
      <w:autoSpaceDE w:val="0"/>
      <w:autoSpaceDN w:val="0"/>
      <w:adjustRightInd w:val="0"/>
      <w:ind w:left="919" w:hanging="480"/>
      <w:textAlignment w:val="center"/>
    </w:pPr>
    <w:rPr>
      <w:rFonts w:eastAsiaTheme="minorEastAsia" w:cs="NewCenturySchlbk"/>
      <w:i/>
      <w:iCs/>
      <w:color w:val="000000"/>
      <w:kern w:val="0"/>
      <w:szCs w:val="22"/>
      <w:lang w:bidi="ar-SA"/>
    </w:rPr>
  </w:style>
  <w:style w:type="paragraph" w:customStyle="1" w:styleId="3rdLevelHeadfrom2">
    <w:name w:val="3rd Level Head from 2"/>
    <w:basedOn w:val="3rdLevelHead1"/>
    <w:autoRedefine/>
    <w:uiPriority w:val="99"/>
    <w:semiHidden/>
    <w:rsid w:val="00201F3F"/>
    <w:pPr>
      <w:spacing w:before="0"/>
    </w:pPr>
    <w:rPr>
      <w:rFonts w:cs="Times LT Std"/>
    </w:rPr>
  </w:style>
  <w:style w:type="paragraph" w:customStyle="1" w:styleId="3rdlevelheadheadnospacei">
    <w:name w:val="3rd level head head no space_i"/>
    <w:basedOn w:val="3rdlevelhead1i"/>
    <w:autoRedefine/>
    <w:uiPriority w:val="99"/>
    <w:semiHidden/>
    <w:rsid w:val="00201F3F"/>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201F3F"/>
    <w:pPr>
      <w:keepNext/>
      <w:widowControl w:val="0"/>
      <w:tabs>
        <w:tab w:val="left" w:pos="360"/>
      </w:tabs>
      <w:suppressAutoHyphens/>
      <w:autoSpaceDE w:val="0"/>
      <w:autoSpaceDN w:val="0"/>
      <w:adjustRightInd w:val="0"/>
      <w:spacing w:after="240" w:line="240" w:lineRule="atLeast"/>
      <w:ind w:left="360" w:hanging="360"/>
      <w:textAlignment w:val="center"/>
    </w:pPr>
    <w:rPr>
      <w:rFonts w:eastAsiaTheme="minorEastAsia" w:cs="NewCenturySchlbk"/>
      <w:b/>
      <w:bCs/>
      <w:i/>
      <w:iCs/>
      <w:color w:val="000000"/>
      <w:kern w:val="0"/>
      <w:szCs w:val="22"/>
      <w:lang w:bidi="ar-SA"/>
    </w:rPr>
  </w:style>
  <w:style w:type="paragraph" w:customStyle="1" w:styleId="3rdlevelheadnospace">
    <w:name w:val="3rd level head no space"/>
    <w:basedOn w:val="3rdlevelhead1bi"/>
    <w:autoRedefine/>
    <w:uiPriority w:val="99"/>
    <w:semiHidden/>
    <w:rsid w:val="00201F3F"/>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uiPriority w:val="99"/>
    <w:semiHidden/>
    <w:qFormat/>
    <w:rsid w:val="00201F3F"/>
    <w:pPr>
      <w:spacing w:before="0"/>
    </w:pPr>
  </w:style>
  <w:style w:type="paragraph" w:customStyle="1" w:styleId="3rdlevelheadnospacei">
    <w:name w:val="3rd level head no space_i"/>
    <w:basedOn w:val="3rdlevelhead1i"/>
    <w:autoRedefine/>
    <w:uiPriority w:val="99"/>
    <w:semiHidden/>
    <w:qFormat/>
    <w:rsid w:val="00201F3F"/>
    <w:pPr>
      <w:spacing w:before="0"/>
      <w:ind w:left="799"/>
    </w:pPr>
  </w:style>
  <w:style w:type="paragraph" w:customStyle="1" w:styleId="3rdlevelhead1bi0">
    <w:name w:val="3rd level head_1._bi"/>
    <w:basedOn w:val="Normal"/>
    <w:autoRedefine/>
    <w:uiPriority w:val="99"/>
    <w:semiHidden/>
    <w:rsid w:val="00201F3F"/>
    <w:pPr>
      <w:widowControl w:val="0"/>
      <w:tabs>
        <w:tab w:val="left" w:pos="360"/>
      </w:tabs>
      <w:autoSpaceDE w:val="0"/>
      <w:autoSpaceDN w:val="0"/>
      <w:adjustRightInd w:val="0"/>
      <w:spacing w:after="240" w:line="260" w:lineRule="atLeast"/>
      <w:ind w:left="360" w:hanging="360"/>
      <w:textAlignment w:val="center"/>
    </w:pPr>
    <w:rPr>
      <w:rFonts w:eastAsiaTheme="minorEastAsia" w:cs="ITC New Baskerville Std"/>
      <w:b/>
      <w:bCs/>
      <w:i/>
      <w:iCs/>
      <w:color w:val="000000"/>
      <w:kern w:val="0"/>
      <w:lang w:bidi="ar-SA"/>
    </w:rPr>
  </w:style>
  <w:style w:type="paragraph" w:customStyle="1" w:styleId="3rdlevellevel1bi">
    <w:name w:val="3rd level level 1._bi"/>
    <w:basedOn w:val="Normal"/>
    <w:autoRedefine/>
    <w:uiPriority w:val="99"/>
    <w:semiHidden/>
    <w:qFormat/>
    <w:rsid w:val="00201F3F"/>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lang w:bidi="ar-SA"/>
    </w:rPr>
  </w:style>
  <w:style w:type="paragraph" w:customStyle="1" w:styleId="4thHeadfrom3">
    <w:name w:val="4th Head from 3"/>
    <w:basedOn w:val="Normal"/>
    <w:autoRedefine/>
    <w:uiPriority w:val="99"/>
    <w:semiHidden/>
    <w:rsid w:val="00201F3F"/>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Times LT Std"/>
      <w:i/>
      <w:iCs/>
      <w:color w:val="000000"/>
      <w:kern w:val="0"/>
      <w:szCs w:val="22"/>
      <w:lang w:bidi="ar-SA"/>
    </w:rPr>
  </w:style>
  <w:style w:type="paragraph" w:customStyle="1" w:styleId="4thLevelHead">
    <w:name w:val="4th Level Head"/>
    <w:basedOn w:val="Normal"/>
    <w:autoRedefine/>
    <w:uiPriority w:val="99"/>
    <w:semiHidden/>
    <w:qFormat/>
    <w:rsid w:val="00201F3F"/>
    <w:pPr>
      <w:keepNext/>
      <w:widowControl w:val="0"/>
      <w:tabs>
        <w:tab w:val="left" w:pos="800"/>
      </w:tabs>
      <w:suppressAutoHyphens/>
      <w:autoSpaceDE w:val="0"/>
      <w:autoSpaceDN w:val="0"/>
      <w:adjustRightInd w:val="0"/>
      <w:spacing w:after="240"/>
      <w:ind w:left="799" w:hanging="360"/>
      <w:contextualSpacing/>
      <w:textAlignment w:val="center"/>
    </w:pPr>
    <w:rPr>
      <w:rFonts w:eastAsiaTheme="minorEastAsia" w:cs="Times LT Std"/>
      <w:i/>
      <w:iCs/>
      <w:color w:val="000000"/>
      <w:kern w:val="0"/>
      <w:szCs w:val="22"/>
      <w:lang w:bidi="ar-SA"/>
    </w:rPr>
  </w:style>
  <w:style w:type="paragraph" w:customStyle="1" w:styleId="4thLevelHeada">
    <w:name w:val="4th Level Head a."/>
    <w:basedOn w:val="Normal"/>
    <w:autoRedefine/>
    <w:uiPriority w:val="99"/>
    <w:semiHidden/>
    <w:rsid w:val="00201F3F"/>
    <w:pPr>
      <w:keepNext/>
      <w:widowControl w:val="0"/>
      <w:tabs>
        <w:tab w:val="left" w:pos="800"/>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4thlevelheadai">
    <w:name w:val="4th level head a._i"/>
    <w:basedOn w:val="Normal"/>
    <w:autoRedefine/>
    <w:uiPriority w:val="99"/>
    <w:semiHidden/>
    <w:qFormat/>
    <w:rsid w:val="00201F3F"/>
    <w:pPr>
      <w:tabs>
        <w:tab w:val="left" w:pos="720"/>
      </w:tabs>
      <w:spacing w:after="240"/>
      <w:ind w:left="720" w:hanging="360"/>
    </w:pPr>
    <w:rPr>
      <w:rFonts w:eastAsiaTheme="minorEastAsia" w:cstheme="minorBidi"/>
      <w:i/>
      <w:kern w:val="0"/>
      <w:szCs w:val="22"/>
      <w:lang w:bidi="ar-SA"/>
    </w:rPr>
  </w:style>
  <w:style w:type="paragraph" w:customStyle="1" w:styleId="4thlevelheadab">
    <w:name w:val="4th level head a._b"/>
    <w:basedOn w:val="4thlevelheadai"/>
    <w:autoRedefine/>
    <w:uiPriority w:val="99"/>
    <w:semiHidden/>
    <w:qFormat/>
    <w:rsid w:val="00201F3F"/>
    <w:rPr>
      <w:rFonts w:ascii="Times New Roman Bold" w:hAnsi="Times New Roman Bold"/>
      <w:b/>
      <w:i w:val="0"/>
    </w:rPr>
  </w:style>
  <w:style w:type="paragraph" w:customStyle="1" w:styleId="4thlevelheadascb">
    <w:name w:val="4th level head a._scb"/>
    <w:basedOn w:val="4thlevelheadab"/>
    <w:autoRedefine/>
    <w:semiHidden/>
    <w:qFormat/>
    <w:rsid w:val="00201F3F"/>
    <w:rPr>
      <w:rFonts w:cs="Times New Roman"/>
      <w:smallCaps/>
    </w:rPr>
  </w:style>
  <w:style w:type="paragraph" w:customStyle="1" w:styleId="4thlevelheadabsc">
    <w:name w:val="4th level head a_bsc"/>
    <w:basedOn w:val="4thlevelheadab"/>
    <w:autoRedefine/>
    <w:semiHidden/>
    <w:qFormat/>
    <w:rsid w:val="00201F3F"/>
    <w:rPr>
      <w:rFonts w:cs="Times New Roman"/>
      <w:smallCaps/>
    </w:rPr>
  </w:style>
  <w:style w:type="paragraph" w:customStyle="1" w:styleId="4thlevelheadnospace">
    <w:name w:val="4th level head no space"/>
    <w:basedOn w:val="4thlevelheadai"/>
    <w:autoRedefine/>
    <w:uiPriority w:val="99"/>
    <w:semiHidden/>
    <w:rsid w:val="00201F3F"/>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201F3F"/>
    <w:pPr>
      <w:spacing w:before="0"/>
    </w:pPr>
  </w:style>
  <w:style w:type="paragraph" w:customStyle="1" w:styleId="4thlevelheadnospacei">
    <w:name w:val="4th level head no space_i"/>
    <w:basedOn w:val="4thlevelheadai"/>
    <w:autoRedefine/>
    <w:uiPriority w:val="99"/>
    <w:semiHidden/>
    <w:qFormat/>
    <w:rsid w:val="00201F3F"/>
    <w:pPr>
      <w:spacing w:before="0"/>
    </w:pPr>
  </w:style>
  <w:style w:type="paragraph" w:customStyle="1" w:styleId="4thlevelheadai0">
    <w:name w:val="4th level head_a._i"/>
    <w:basedOn w:val="Normal"/>
    <w:autoRedefine/>
    <w:uiPriority w:val="99"/>
    <w:semiHidden/>
    <w:qFormat/>
    <w:rsid w:val="00201F3F"/>
    <w:pPr>
      <w:widowControl w:val="0"/>
      <w:tabs>
        <w:tab w:val="left" w:pos="780"/>
      </w:tabs>
      <w:autoSpaceDE w:val="0"/>
      <w:autoSpaceDN w:val="0"/>
      <w:adjustRightInd w:val="0"/>
      <w:spacing w:after="240"/>
      <w:ind w:left="780" w:hanging="300"/>
      <w:textAlignment w:val="center"/>
    </w:pPr>
    <w:rPr>
      <w:rFonts w:eastAsiaTheme="minorEastAsia" w:cs="ITC New Baskerville Std"/>
      <w:i/>
      <w:iCs/>
      <w:color w:val="000000"/>
      <w:kern w:val="0"/>
      <w:lang w:bidi="ar-SA"/>
    </w:rPr>
  </w:style>
  <w:style w:type="paragraph" w:customStyle="1" w:styleId="5hlevelhead1i">
    <w:name w:val="5h level head (1)_i"/>
    <w:basedOn w:val="4thlevelheadnospacei"/>
    <w:autoRedefine/>
    <w:uiPriority w:val="99"/>
    <w:semiHidden/>
    <w:rsid w:val="00201F3F"/>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201F3F"/>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5thleveheadnospacer">
    <w:name w:val="5th leve head no space_r"/>
    <w:basedOn w:val="5thlevelheadiir"/>
    <w:autoRedefine/>
    <w:uiPriority w:val="99"/>
    <w:semiHidden/>
    <w:rsid w:val="00201F3F"/>
    <w:pPr>
      <w:spacing w:before="0"/>
    </w:pPr>
    <w:rPr>
      <w:rFonts w:cs="Times New Roman"/>
      <w:caps/>
      <w:spacing w:val="2"/>
    </w:rPr>
  </w:style>
  <w:style w:type="paragraph" w:customStyle="1" w:styleId="5thLevelHead">
    <w:name w:val="5th Level Head"/>
    <w:basedOn w:val="Normal"/>
    <w:autoRedefine/>
    <w:uiPriority w:val="99"/>
    <w:semiHidden/>
    <w:qFormat/>
    <w:rsid w:val="00201F3F"/>
    <w:pPr>
      <w:keepNext/>
      <w:widowControl w:val="0"/>
      <w:tabs>
        <w:tab w:val="left" w:pos="1240"/>
      </w:tabs>
      <w:suppressAutoHyphens/>
      <w:autoSpaceDE w:val="0"/>
      <w:autoSpaceDN w:val="0"/>
      <w:adjustRightInd w:val="0"/>
      <w:spacing w:after="240"/>
      <w:ind w:left="1241" w:hanging="360"/>
      <w:textAlignment w:val="center"/>
    </w:pPr>
    <w:rPr>
      <w:rFonts w:eastAsiaTheme="minorEastAsia" w:cs="Times LT Std"/>
      <w:i/>
      <w:iCs/>
      <w:color w:val="000000"/>
      <w:kern w:val="0"/>
      <w:szCs w:val="22"/>
      <w:lang w:bidi="ar-SA"/>
    </w:rPr>
  </w:style>
  <w:style w:type="paragraph" w:customStyle="1" w:styleId="5thlevelhead1i">
    <w:name w:val="5th level head (1)_i"/>
    <w:basedOn w:val="Normal"/>
    <w:autoRedefine/>
    <w:uiPriority w:val="99"/>
    <w:semiHidden/>
    <w:rsid w:val="00201F3F"/>
    <w:pPr>
      <w:keepNext/>
      <w:widowControl w:val="0"/>
      <w:tabs>
        <w:tab w:val="left" w:pos="80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ai">
    <w:name w:val="5th level head (a)_i"/>
    <w:basedOn w:val="4thlevelheadnospacei"/>
    <w:autoRedefine/>
    <w:uiPriority w:val="99"/>
    <w:semiHidden/>
    <w:rsid w:val="00201F3F"/>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201F3F"/>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201F3F"/>
    <w:pPr>
      <w:widowControl w:val="0"/>
      <w:tabs>
        <w:tab w:val="left" w:pos="1280"/>
      </w:tabs>
      <w:autoSpaceDE w:val="0"/>
      <w:autoSpaceDN w:val="0"/>
      <w:adjustRightInd w:val="0"/>
      <w:spacing w:after="240"/>
      <w:ind w:left="1279" w:hanging="360"/>
      <w:textAlignment w:val="center"/>
    </w:pPr>
    <w:rPr>
      <w:rFonts w:eastAsiaTheme="minorEastAsia" w:cs="Times LT Std"/>
      <w:i/>
      <w:iCs/>
      <w:color w:val="000000"/>
      <w:kern w:val="0"/>
      <w:szCs w:val="23"/>
      <w:lang w:bidi="ar-SA"/>
    </w:rPr>
  </w:style>
  <w:style w:type="paragraph" w:customStyle="1" w:styleId="5thlevelheadii1">
    <w:name w:val="5th level head i._i"/>
    <w:basedOn w:val="Normal"/>
    <w:autoRedefine/>
    <w:uiPriority w:val="99"/>
    <w:semiHidden/>
    <w:qFormat/>
    <w:rsid w:val="00201F3F"/>
    <w:pPr>
      <w:tabs>
        <w:tab w:val="left" w:pos="960"/>
      </w:tabs>
      <w:spacing w:after="240"/>
      <w:ind w:left="960" w:hanging="480"/>
    </w:pPr>
    <w:rPr>
      <w:rFonts w:eastAsiaTheme="minorEastAsia" w:cstheme="minorBidi"/>
      <w:i/>
      <w:kern w:val="0"/>
      <w:szCs w:val="22"/>
      <w:lang w:bidi="ar-SA"/>
    </w:rPr>
  </w:style>
  <w:style w:type="paragraph" w:customStyle="1" w:styleId="5thlevelheadiii">
    <w:name w:val="5th level head ii._i"/>
    <w:basedOn w:val="Normal"/>
    <w:autoRedefine/>
    <w:uiPriority w:val="99"/>
    <w:semiHidden/>
    <w:rsid w:val="00201F3F"/>
    <w:pPr>
      <w:keepNext/>
      <w:widowControl w:val="0"/>
      <w:tabs>
        <w:tab w:val="left" w:pos="1020"/>
      </w:tabs>
      <w:suppressAutoHyphens/>
      <w:autoSpaceDE w:val="0"/>
      <w:autoSpaceDN w:val="0"/>
      <w:adjustRightInd w:val="0"/>
      <w:spacing w:after="240"/>
      <w:ind w:left="1020" w:hanging="360"/>
      <w:textAlignment w:val="center"/>
    </w:pPr>
    <w:rPr>
      <w:rFonts w:eastAsiaTheme="minorEastAsia" w:cs="ITC New Baskerville Std"/>
      <w:i/>
      <w:iCs/>
      <w:color w:val="000000"/>
      <w:kern w:val="0"/>
      <w:szCs w:val="22"/>
      <w:lang w:bidi="ar-SA"/>
    </w:rPr>
  </w:style>
  <w:style w:type="paragraph" w:customStyle="1" w:styleId="5thlevelheadnospace">
    <w:name w:val="5th level head no space"/>
    <w:basedOn w:val="Normal"/>
    <w:autoRedefine/>
    <w:uiPriority w:val="99"/>
    <w:semiHidden/>
    <w:rsid w:val="00201F3F"/>
    <w:pPr>
      <w:keepNext/>
      <w:widowControl w:val="0"/>
      <w:suppressAutoHyphens/>
      <w:autoSpaceDE w:val="0"/>
      <w:autoSpaceDN w:val="0"/>
      <w:adjustRightInd w:val="0"/>
      <w:spacing w:after="240"/>
      <w:ind w:left="821" w:hanging="360"/>
      <w:textAlignment w:val="center"/>
    </w:pPr>
    <w:rPr>
      <w:rFonts w:eastAsiaTheme="minorEastAsia" w:cs="ITC New Baskerville Std"/>
      <w:i/>
      <w:iCs/>
      <w:color w:val="000000"/>
      <w:kern w:val="0"/>
      <w:lang w:bidi="ar-SA"/>
    </w:rPr>
  </w:style>
  <w:style w:type="paragraph" w:customStyle="1" w:styleId="5thlevelheadnospacei">
    <w:name w:val="5th level head no space_i"/>
    <w:basedOn w:val="Normal"/>
    <w:autoRedefine/>
    <w:uiPriority w:val="99"/>
    <w:semiHidden/>
    <w:qFormat/>
    <w:rsid w:val="00201F3F"/>
    <w:pPr>
      <w:keepNext/>
      <w:widowControl w:val="0"/>
      <w:tabs>
        <w:tab w:val="left" w:pos="960"/>
      </w:tabs>
      <w:suppressAutoHyphens/>
      <w:autoSpaceDE w:val="0"/>
      <w:autoSpaceDN w:val="0"/>
      <w:adjustRightInd w:val="0"/>
      <w:spacing w:before="0" w:after="240"/>
      <w:ind w:left="1440" w:hanging="480"/>
      <w:textAlignment w:val="center"/>
    </w:pPr>
    <w:rPr>
      <w:rFonts w:eastAsiaTheme="minorEastAsia" w:cs="Times LT Std"/>
      <w:i/>
      <w:iCs/>
      <w:color w:val="000000"/>
      <w:kern w:val="0"/>
      <w:szCs w:val="22"/>
      <w:lang w:bidi="ar-SA"/>
    </w:rPr>
  </w:style>
  <w:style w:type="paragraph" w:customStyle="1" w:styleId="toc10">
    <w:name w:val="toc1"/>
    <w:basedOn w:val="text"/>
    <w:autoRedefine/>
    <w:uiPriority w:val="99"/>
    <w:semiHidden/>
    <w:qFormat/>
    <w:rsid w:val="00201F3F"/>
    <w:pPr>
      <w:widowControl w:val="0"/>
      <w:tabs>
        <w:tab w:val="clear" w:pos="0"/>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0"/>
    <w:autoRedefine/>
    <w:uiPriority w:val="99"/>
    <w:semiHidden/>
    <w:rsid w:val="00201F3F"/>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201F3F"/>
    <w:pPr>
      <w:widowControl w:val="0"/>
      <w:tabs>
        <w:tab w:val="left" w:pos="1200"/>
      </w:tabs>
      <w:autoSpaceDE w:val="0"/>
      <w:autoSpaceDN w:val="0"/>
      <w:adjustRightInd w:val="0"/>
      <w:spacing w:before="120"/>
      <w:ind w:left="1200" w:hanging="420"/>
      <w:textAlignment w:val="center"/>
    </w:pPr>
    <w:rPr>
      <w:rFonts w:eastAsiaTheme="minorEastAsia" w:cs="ITC New Baskerville Std"/>
      <w:i/>
      <w:iCs/>
      <w:color w:val="000000"/>
      <w:kern w:val="0"/>
      <w:lang w:bidi="ar-SA"/>
    </w:rPr>
  </w:style>
  <w:style w:type="paragraph" w:customStyle="1" w:styleId="6thlevelheadai">
    <w:name w:val="6th level head (a)_i"/>
    <w:basedOn w:val="5thlevelhead1i"/>
    <w:autoRedefine/>
    <w:uiPriority w:val="99"/>
    <w:semiHidden/>
    <w:rsid w:val="00201F3F"/>
    <w:pPr>
      <w:tabs>
        <w:tab w:val="clear" w:pos="800"/>
      </w:tabs>
      <w:ind w:left="1159"/>
    </w:pPr>
  </w:style>
  <w:style w:type="paragraph" w:customStyle="1" w:styleId="6thlevelheadai0">
    <w:name w:val="6th level head (a.)_i"/>
    <w:basedOn w:val="5thlevelheadii"/>
    <w:autoRedefine/>
    <w:uiPriority w:val="99"/>
    <w:semiHidden/>
    <w:rsid w:val="00201F3F"/>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201F3F"/>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6thlevelhead1r">
    <w:name w:val="6th level head 1)_r"/>
    <w:basedOn w:val="Normal"/>
    <w:autoRedefine/>
    <w:uiPriority w:val="99"/>
    <w:semiHidden/>
    <w:rsid w:val="00201F3F"/>
    <w:pPr>
      <w:keepNext/>
      <w:widowControl w:val="0"/>
      <w:tabs>
        <w:tab w:val="left" w:pos="800"/>
      </w:tabs>
      <w:suppressAutoHyphens/>
      <w:autoSpaceDE w:val="0"/>
      <w:autoSpaceDN w:val="0"/>
      <w:adjustRightInd w:val="0"/>
      <w:spacing w:after="240"/>
      <w:ind w:left="799" w:hanging="360"/>
      <w:textAlignment w:val="center"/>
    </w:pPr>
    <w:rPr>
      <w:rFonts w:eastAsiaTheme="minorEastAsia" w:cs="ITC New Baskerville Std"/>
      <w:color w:val="000000"/>
      <w:kern w:val="0"/>
      <w:szCs w:val="22"/>
      <w:lang w:bidi="ar-SA"/>
    </w:rPr>
  </w:style>
  <w:style w:type="paragraph" w:customStyle="1" w:styleId="7thLevelHeada">
    <w:name w:val="7th Level Head a)"/>
    <w:basedOn w:val="6thlevelhead1r"/>
    <w:autoRedefine/>
    <w:uiPriority w:val="99"/>
    <w:semiHidden/>
    <w:rsid w:val="00201F3F"/>
    <w:pPr>
      <w:spacing w:line="240" w:lineRule="atLeast"/>
      <w:ind w:left="800"/>
    </w:pPr>
    <w:rPr>
      <w:i/>
      <w:iCs/>
    </w:rPr>
  </w:style>
  <w:style w:type="paragraph" w:customStyle="1" w:styleId="7thlevelheadnospacei">
    <w:name w:val="7th level head no space_i"/>
    <w:basedOn w:val="Normal"/>
    <w:autoRedefine/>
    <w:uiPriority w:val="99"/>
    <w:semiHidden/>
    <w:qFormat/>
    <w:rsid w:val="00201F3F"/>
    <w:pPr>
      <w:keepNext/>
      <w:widowControl w:val="0"/>
      <w:tabs>
        <w:tab w:val="left" w:pos="800"/>
      </w:tabs>
      <w:suppressAutoHyphens/>
      <w:autoSpaceDE w:val="0"/>
      <w:autoSpaceDN w:val="0"/>
      <w:adjustRightInd w:val="0"/>
      <w:spacing w:before="0" w:after="240"/>
      <w:ind w:left="799" w:hanging="360"/>
      <w:textAlignment w:val="center"/>
    </w:pPr>
    <w:rPr>
      <w:rFonts w:eastAsiaTheme="minorEastAsia" w:cs="ITC New Baskerville Std"/>
      <w:i/>
      <w:iCs/>
      <w:color w:val="000000"/>
      <w:kern w:val="0"/>
      <w:szCs w:val="22"/>
      <w:lang w:bidi="ar-SA"/>
    </w:rPr>
  </w:style>
  <w:style w:type="paragraph" w:customStyle="1" w:styleId="appeboldhead">
    <w:name w:val="app e bold head"/>
    <w:basedOn w:val="Normal"/>
    <w:autoRedefine/>
    <w:uiPriority w:val="99"/>
    <w:semiHidden/>
    <w:rsid w:val="00201F3F"/>
    <w:pPr>
      <w:widowControl w:val="0"/>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appeblditalic">
    <w:name w:val="app e bld italic"/>
    <w:basedOn w:val="appeboldhead"/>
    <w:autoRedefine/>
    <w:uiPriority w:val="99"/>
    <w:semiHidden/>
    <w:rsid w:val="00201F3F"/>
    <w:rPr>
      <w:i/>
      <w:iCs/>
    </w:rPr>
  </w:style>
  <w:style w:type="paragraph" w:customStyle="1" w:styleId="appestate">
    <w:name w:val="app e state"/>
    <w:basedOn w:val="Normal"/>
    <w:autoRedefine/>
    <w:uiPriority w:val="99"/>
    <w:semiHidden/>
    <w:rsid w:val="00201F3F"/>
    <w:pPr>
      <w:widowControl w:val="0"/>
      <w:suppressAutoHyphens/>
      <w:autoSpaceDE w:val="0"/>
      <w:autoSpaceDN w:val="0"/>
      <w:adjustRightInd w:val="0"/>
      <w:spacing w:after="0"/>
      <w:jc w:val="center"/>
      <w:textAlignment w:val="center"/>
    </w:pPr>
    <w:rPr>
      <w:rFonts w:eastAsiaTheme="minorEastAsia" w:cs="ITC New Baskerville Std"/>
      <w:smallCaps/>
      <w:color w:val="000000"/>
      <w:kern w:val="0"/>
      <w:szCs w:val="22"/>
      <w:lang w:bidi="ar-SA"/>
    </w:rPr>
  </w:style>
  <w:style w:type="paragraph" w:customStyle="1" w:styleId="appetext">
    <w:name w:val="app e text"/>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20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201F3F"/>
    <w:pPr>
      <w:widowControl w:val="0"/>
      <w:suppressAutoHyphens/>
      <w:autoSpaceDE w:val="0"/>
      <w:autoSpaceDN w:val="0"/>
      <w:adjustRightInd w:val="0"/>
      <w:spacing w:before="0" w:after="0"/>
      <w:textAlignment w:val="center"/>
    </w:pPr>
    <w:rPr>
      <w:rFonts w:eastAsiaTheme="minorEastAsia" w:cs="ITC New Baskerville Std"/>
      <w:i/>
      <w:iCs/>
      <w:color w:val="000000"/>
      <w:kern w:val="0"/>
      <w:sz w:val="28"/>
      <w:szCs w:val="28"/>
      <w:lang w:bidi="ar-SA"/>
    </w:rPr>
  </w:style>
  <w:style w:type="paragraph" w:customStyle="1" w:styleId="AuthorAffl">
    <w:name w:val="Author Affl"/>
    <w:basedOn w:val="authorname"/>
    <w:autoRedefine/>
    <w:uiPriority w:val="99"/>
    <w:semiHidden/>
    <w:qFormat/>
    <w:rsid w:val="00201F3F"/>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201F3F"/>
    <w:pPr>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201F3F"/>
    <w:pPr>
      <w:spacing w:after="240"/>
      <w:jc w:val="center"/>
    </w:pPr>
    <w:rPr>
      <w:rFonts w:cs="Times New Roman"/>
      <w:i w:val="0"/>
      <w:smallCaps/>
      <w:sz w:val="24"/>
    </w:rPr>
  </w:style>
  <w:style w:type="paragraph" w:customStyle="1" w:styleId="authortitle">
    <w:name w:val="author title"/>
    <w:basedOn w:val="Normal"/>
    <w:autoRedefine/>
    <w:uiPriority w:val="99"/>
    <w:semiHidden/>
    <w:rsid w:val="00201F3F"/>
    <w:pPr>
      <w:widowControl w:val="0"/>
      <w:suppressAutoHyphens/>
      <w:autoSpaceDE w:val="0"/>
      <w:autoSpaceDN w:val="0"/>
      <w:adjustRightInd w:val="0"/>
      <w:spacing w:before="0" w:after="240"/>
      <w:ind w:left="240"/>
      <w:textAlignment w:val="center"/>
    </w:pPr>
    <w:rPr>
      <w:rFonts w:eastAsiaTheme="minorEastAsia" w:cs="ITC New Baskerville Std"/>
      <w:i/>
      <w:iCs/>
      <w:color w:val="000000"/>
      <w:kern w:val="0"/>
      <w:sz w:val="22"/>
      <w:szCs w:val="22"/>
      <w:lang w:bidi="ar-SA"/>
    </w:rPr>
  </w:style>
  <w:style w:type="paragraph" w:customStyle="1" w:styleId="block">
    <w:name w:val="block"/>
    <w:basedOn w:val="Normal"/>
    <w:autoRedefine/>
    <w:semiHidden/>
    <w:qFormat/>
    <w:rsid w:val="00201F3F"/>
    <w:pPr>
      <w:spacing w:after="240"/>
      <w:ind w:left="720" w:firstLine="720"/>
    </w:pPr>
    <w:rPr>
      <w:rFonts w:eastAsiaTheme="minorEastAsia" w:cstheme="minorBidi"/>
      <w:kern w:val="0"/>
      <w:sz w:val="20"/>
      <w:szCs w:val="22"/>
      <w:lang w:bidi="ar-SA"/>
    </w:rPr>
  </w:style>
  <w:style w:type="paragraph" w:customStyle="1" w:styleId="block-f--">
    <w:name w:val="block-f/-/-"/>
    <w:basedOn w:val="Normal"/>
    <w:autoRedefine/>
    <w:semiHidden/>
    <w:qFormat/>
    <w:rsid w:val="00201F3F"/>
    <w:pPr>
      <w:spacing w:before="0" w:after="0"/>
      <w:ind w:left="720"/>
    </w:pPr>
    <w:rPr>
      <w:rFonts w:eastAsiaTheme="minorEastAsia" w:cstheme="minorBidi"/>
      <w:kern w:val="0"/>
      <w:sz w:val="20"/>
      <w:szCs w:val="22"/>
      <w:lang w:bidi="ar-SA"/>
    </w:rPr>
  </w:style>
  <w:style w:type="paragraph" w:customStyle="1" w:styleId="block-p">
    <w:name w:val="block-p/+/+"/>
    <w:basedOn w:val="block-f--"/>
    <w:uiPriority w:val="99"/>
    <w:semiHidden/>
    <w:qFormat/>
    <w:rsid w:val="00201F3F"/>
    <w:pPr>
      <w:spacing w:before="240" w:after="240"/>
    </w:pPr>
  </w:style>
  <w:style w:type="paragraph" w:customStyle="1" w:styleId="block--">
    <w:name w:val="block- /+/-"/>
    <w:basedOn w:val="block-p"/>
    <w:autoRedefine/>
    <w:semiHidden/>
    <w:qFormat/>
    <w:rsid w:val="00201F3F"/>
    <w:pPr>
      <w:spacing w:after="0"/>
      <w:ind w:firstLine="720"/>
    </w:pPr>
  </w:style>
  <w:style w:type="paragraph" w:customStyle="1" w:styleId="block---">
    <w:name w:val="block- /-/-"/>
    <w:basedOn w:val="block--"/>
    <w:autoRedefine/>
    <w:semiHidden/>
    <w:qFormat/>
    <w:rsid w:val="00201F3F"/>
    <w:pPr>
      <w:spacing w:before="0"/>
    </w:pPr>
  </w:style>
  <w:style w:type="paragraph" w:customStyle="1" w:styleId="block2ndindent">
    <w:name w:val="block 2nd indent"/>
    <w:basedOn w:val="Normal"/>
    <w:autoRedefine/>
    <w:uiPriority w:val="99"/>
    <w:semiHidden/>
    <w:rsid w:val="00201F3F"/>
    <w:pPr>
      <w:widowControl w:val="0"/>
      <w:autoSpaceDE w:val="0"/>
      <w:autoSpaceDN w:val="0"/>
      <w:adjustRightInd w:val="0"/>
      <w:spacing w:before="0" w:after="0"/>
      <w:ind w:left="1440"/>
      <w:textAlignment w:val="center"/>
    </w:pPr>
    <w:rPr>
      <w:rFonts w:eastAsiaTheme="minorEastAsia" w:cs="ITC New Baskerville Std"/>
      <w:color w:val="000000"/>
      <w:kern w:val="0"/>
      <w:sz w:val="20"/>
      <w:szCs w:val="20"/>
      <w:lang w:bidi="ar-SA"/>
    </w:rPr>
  </w:style>
  <w:style w:type="paragraph" w:customStyle="1" w:styleId="block2ndindent-">
    <w:name w:val="block 2nd indent -/+"/>
    <w:basedOn w:val="Normal"/>
    <w:autoRedefine/>
    <w:uiPriority w:val="99"/>
    <w:semiHidden/>
    <w:rsid w:val="00201F3F"/>
    <w:pPr>
      <w:widowControl w:val="0"/>
      <w:autoSpaceDE w:val="0"/>
      <w:autoSpaceDN w:val="0"/>
      <w:adjustRightInd w:val="0"/>
      <w:spacing w:before="0" w:after="240"/>
      <w:ind w:left="1440"/>
      <w:textAlignment w:val="center"/>
    </w:pPr>
    <w:rPr>
      <w:rFonts w:cs="ITC New Baskerville Std"/>
      <w:color w:val="000000"/>
      <w:kern w:val="0"/>
      <w:sz w:val="20"/>
      <w:szCs w:val="20"/>
      <w:lang w:bidi="ar-SA"/>
    </w:rPr>
  </w:style>
  <w:style w:type="paragraph" w:customStyle="1" w:styleId="block2ndindent-6">
    <w:name w:val="block 2nd indent -/+ 6"/>
    <w:basedOn w:val="Normal"/>
    <w:autoRedefine/>
    <w:uiPriority w:val="99"/>
    <w:semiHidden/>
    <w:rsid w:val="00201F3F"/>
    <w:pPr>
      <w:widowControl w:val="0"/>
      <w:autoSpaceDE w:val="0"/>
      <w:autoSpaceDN w:val="0"/>
      <w:adjustRightInd w:val="0"/>
      <w:spacing w:before="0"/>
      <w:ind w:left="1440"/>
      <w:textAlignment w:val="center"/>
    </w:pPr>
    <w:rPr>
      <w:rFonts w:eastAsiaTheme="minorEastAsia" w:cs="ITC New Baskerville Std"/>
      <w:color w:val="000000"/>
      <w:kern w:val="0"/>
      <w:sz w:val="20"/>
      <w:szCs w:val="20"/>
      <w:lang w:bidi="ar-SA"/>
    </w:rPr>
  </w:style>
  <w:style w:type="paragraph" w:customStyle="1" w:styleId="block2ndindent-space">
    <w:name w:val="block 2nd indent -/+ space"/>
    <w:basedOn w:val="block2ndindent"/>
    <w:uiPriority w:val="99"/>
    <w:semiHidden/>
    <w:rsid w:val="00201F3F"/>
    <w:pPr>
      <w:spacing w:before="120"/>
    </w:pPr>
  </w:style>
  <w:style w:type="paragraph" w:customStyle="1" w:styleId="block2ndindentspace">
    <w:name w:val="block 2nd indent + space"/>
    <w:basedOn w:val="block2ndindent"/>
    <w:autoRedefine/>
    <w:uiPriority w:val="99"/>
    <w:semiHidden/>
    <w:rsid w:val="00201F3F"/>
    <w:pPr>
      <w:spacing w:before="120"/>
    </w:pPr>
  </w:style>
  <w:style w:type="paragraph" w:customStyle="1" w:styleId="block2ndindentnew-">
    <w:name w:val="block 2nd indent new -/+"/>
    <w:basedOn w:val="Normal"/>
    <w:autoRedefine/>
    <w:semiHidden/>
    <w:qFormat/>
    <w:rsid w:val="00201F3F"/>
    <w:pPr>
      <w:spacing w:before="0" w:after="0"/>
      <w:ind w:left="1440"/>
    </w:pPr>
    <w:rPr>
      <w:rFonts w:eastAsiaTheme="minorEastAsia"/>
      <w:kern w:val="0"/>
      <w:sz w:val="20"/>
      <w:szCs w:val="22"/>
      <w:lang w:bidi="ar-SA"/>
    </w:rPr>
  </w:style>
  <w:style w:type="paragraph" w:customStyle="1" w:styleId="block2ndindentnl">
    <w:name w:val="block 2nd indent nl"/>
    <w:basedOn w:val="block2ndindent"/>
    <w:uiPriority w:val="99"/>
    <w:semiHidden/>
    <w:rsid w:val="00201F3F"/>
    <w:pPr>
      <w:tabs>
        <w:tab w:val="left" w:pos="1260"/>
      </w:tabs>
      <w:ind w:left="1920" w:hanging="480"/>
    </w:pPr>
  </w:style>
  <w:style w:type="paragraph" w:customStyle="1" w:styleId="block2ndindent0">
    <w:name w:val="block 2nd indent/+/+"/>
    <w:basedOn w:val="Normal"/>
    <w:autoRedefine/>
    <w:uiPriority w:val="99"/>
    <w:semiHidden/>
    <w:rsid w:val="00201F3F"/>
    <w:pPr>
      <w:spacing w:before="0" w:after="240"/>
      <w:ind w:left="1440" w:firstLine="720"/>
    </w:pPr>
    <w:rPr>
      <w:rFonts w:cstheme="minorBidi"/>
      <w:kern w:val="0"/>
      <w:sz w:val="20"/>
      <w:lang w:bidi="ar-SA"/>
    </w:rPr>
  </w:style>
  <w:style w:type="paragraph" w:customStyle="1" w:styleId="block2ndindent-p">
    <w:name w:val="block 2nd indent-p"/>
    <w:basedOn w:val="block2ndindent"/>
    <w:autoRedefine/>
    <w:uiPriority w:val="99"/>
    <w:semiHidden/>
    <w:rsid w:val="00201F3F"/>
    <w:pPr>
      <w:ind w:firstLine="720"/>
    </w:pPr>
  </w:style>
  <w:style w:type="paragraph" w:customStyle="1" w:styleId="block3rdindent">
    <w:name w:val="block 3rd indent"/>
    <w:basedOn w:val="Normal"/>
    <w:autoRedefine/>
    <w:uiPriority w:val="99"/>
    <w:semiHidden/>
    <w:qFormat/>
    <w:rsid w:val="00201F3F"/>
    <w:pPr>
      <w:spacing w:before="0" w:after="240"/>
      <w:ind w:left="2160" w:firstLine="720"/>
    </w:pPr>
    <w:rPr>
      <w:rFonts w:eastAsiaTheme="minorEastAsia"/>
      <w:kern w:val="0"/>
      <w:sz w:val="20"/>
      <w:szCs w:val="22"/>
      <w:lang w:bidi="ar-SA"/>
    </w:rPr>
  </w:style>
  <w:style w:type="paragraph" w:customStyle="1" w:styleId="blockbullet">
    <w:name w:val="block bullet"/>
    <w:basedOn w:val="Normal"/>
    <w:autoRedefine/>
    <w:semiHidden/>
    <w:qFormat/>
    <w:rsid w:val="00201F3F"/>
    <w:pPr>
      <w:spacing w:before="0" w:after="0"/>
      <w:ind w:left="900" w:hanging="180"/>
    </w:pPr>
    <w:rPr>
      <w:rFonts w:eastAsiaTheme="minorEastAsia" w:cstheme="minorBidi"/>
      <w:kern w:val="0"/>
      <w:sz w:val="20"/>
      <w:szCs w:val="22"/>
      <w:lang w:bidi="ar-SA"/>
    </w:rPr>
  </w:style>
  <w:style w:type="paragraph" w:customStyle="1" w:styleId="block-f">
    <w:name w:val="block-f +/+"/>
    <w:basedOn w:val="Normal"/>
    <w:autoRedefine/>
    <w:uiPriority w:val="99"/>
    <w:semiHidden/>
    <w:qFormat/>
    <w:rsid w:val="00201F3F"/>
    <w:pPr>
      <w:spacing w:after="240"/>
      <w:ind w:left="720"/>
    </w:pPr>
    <w:rPr>
      <w:rFonts w:eastAsiaTheme="minorEastAsia" w:cstheme="minorBidi"/>
      <w:kern w:val="0"/>
      <w:sz w:val="20"/>
      <w:lang w:bidi="ar-SA"/>
    </w:rPr>
  </w:style>
  <w:style w:type="paragraph" w:customStyle="1" w:styleId="blocknumberlist">
    <w:name w:val="block number list"/>
    <w:basedOn w:val="block-f"/>
    <w:autoRedefine/>
    <w:uiPriority w:val="99"/>
    <w:semiHidden/>
    <w:qFormat/>
    <w:rsid w:val="00201F3F"/>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201F3F"/>
    <w:pPr>
      <w:tabs>
        <w:tab w:val="left" w:pos="1400"/>
      </w:tabs>
      <w:ind w:left="2160"/>
    </w:pPr>
  </w:style>
  <w:style w:type="paragraph" w:customStyle="1" w:styleId="blocknumberlistnlii1">
    <w:name w:val="block number list nl/(ii)(1)"/>
    <w:basedOn w:val="blocknumberlistnlii"/>
    <w:autoRedefine/>
    <w:uiPriority w:val="99"/>
    <w:semiHidden/>
    <w:qFormat/>
    <w:rsid w:val="00201F3F"/>
  </w:style>
  <w:style w:type="paragraph" w:customStyle="1" w:styleId="blocknumberlistal">
    <w:name w:val="block number list/al"/>
    <w:basedOn w:val="Normal"/>
    <w:autoRedefine/>
    <w:semiHidden/>
    <w:qFormat/>
    <w:rsid w:val="00201F3F"/>
    <w:pPr>
      <w:widowControl w:val="0"/>
      <w:tabs>
        <w:tab w:val="left" w:pos="1200"/>
      </w:tabs>
      <w:autoSpaceDE w:val="0"/>
      <w:autoSpaceDN w:val="0"/>
      <w:adjustRightInd w:val="0"/>
      <w:spacing w:before="0" w:after="0"/>
      <w:ind w:left="1560" w:hanging="360"/>
      <w:textAlignment w:val="center"/>
    </w:pPr>
    <w:rPr>
      <w:rFonts w:eastAsiaTheme="minorEastAsia"/>
      <w:color w:val="000000"/>
      <w:kern w:val="0"/>
      <w:sz w:val="20"/>
      <w:szCs w:val="20"/>
      <w:lang w:bidi="ar-SA"/>
    </w:rPr>
  </w:style>
  <w:style w:type="paragraph" w:customStyle="1" w:styleId="blockquotenumberliststart">
    <w:name w:val="block quote number list start"/>
    <w:basedOn w:val="Normal"/>
    <w:autoRedefine/>
    <w:semiHidden/>
    <w:qFormat/>
    <w:rsid w:val="00201F3F"/>
    <w:pPr>
      <w:tabs>
        <w:tab w:val="left" w:pos="1200"/>
      </w:tabs>
      <w:spacing w:after="0"/>
      <w:ind w:left="1200" w:hanging="480"/>
    </w:pPr>
    <w:rPr>
      <w:rFonts w:eastAsiaTheme="minorEastAsia" w:cstheme="minorBidi"/>
      <w:kern w:val="0"/>
      <w:sz w:val="20"/>
      <w:szCs w:val="20"/>
      <w:lang w:bidi="ar-SA"/>
    </w:rPr>
  </w:style>
  <w:style w:type="paragraph" w:customStyle="1" w:styleId="blocknumbernl">
    <w:name w:val="block number nl"/>
    <w:basedOn w:val="blockquotenumberliststart"/>
    <w:autoRedefine/>
    <w:semiHidden/>
    <w:qFormat/>
    <w:rsid w:val="00201F3F"/>
    <w:pPr>
      <w:spacing w:before="0"/>
    </w:pPr>
  </w:style>
  <w:style w:type="paragraph" w:customStyle="1" w:styleId="footnote">
    <w:name w:val="footnote"/>
    <w:basedOn w:val="Normal"/>
    <w:autoRedefine/>
    <w:uiPriority w:val="99"/>
    <w:semiHidden/>
    <w:qFormat/>
    <w:rsid w:val="00201F3F"/>
    <w:pPr>
      <w:widowControl w:val="0"/>
      <w:spacing w:before="0" w:after="0"/>
      <w:ind w:firstLine="720"/>
    </w:pPr>
    <w:rPr>
      <w:rFonts w:eastAsia="Times New Roman"/>
      <w:kern w:val="0"/>
      <w:sz w:val="20"/>
      <w:szCs w:val="22"/>
      <w:lang w:bidi="ar-SA"/>
    </w:rPr>
  </w:style>
  <w:style w:type="paragraph" w:customStyle="1" w:styleId="blocknumbernlstart">
    <w:name w:val="block number nl start"/>
    <w:basedOn w:val="footnote"/>
    <w:autoRedefine/>
    <w:semiHidden/>
    <w:qFormat/>
    <w:rsid w:val="00201F3F"/>
    <w:pPr>
      <w:spacing w:before="240"/>
      <w:ind w:left="1200" w:hanging="480"/>
    </w:pPr>
  </w:style>
  <w:style w:type="paragraph" w:customStyle="1" w:styleId="blockp">
    <w:name w:val="block p +/+"/>
    <w:basedOn w:val="Normal"/>
    <w:autoRedefine/>
    <w:uiPriority w:val="99"/>
    <w:semiHidden/>
    <w:rsid w:val="00201F3F"/>
    <w:pPr>
      <w:widowControl w:val="0"/>
      <w:autoSpaceDE w:val="0"/>
      <w:autoSpaceDN w:val="0"/>
      <w:adjustRightInd w:val="0"/>
      <w:spacing w:after="240"/>
      <w:ind w:left="439" w:firstLine="439"/>
      <w:textAlignment w:val="center"/>
    </w:pPr>
    <w:rPr>
      <w:rFonts w:eastAsiaTheme="minorEastAsia" w:cs="ITC New Baskerville Std"/>
      <w:color w:val="000000"/>
      <w:kern w:val="0"/>
      <w:sz w:val="20"/>
      <w:szCs w:val="20"/>
      <w:lang w:bidi="ar-SA"/>
    </w:rPr>
  </w:style>
  <w:style w:type="paragraph" w:customStyle="1" w:styleId="blockquote">
    <w:name w:val="block quote"/>
    <w:basedOn w:val="Normal"/>
    <w:autoRedefine/>
    <w:uiPriority w:val="99"/>
    <w:semiHidden/>
    <w:qFormat/>
    <w:rsid w:val="00201F3F"/>
    <w:pPr>
      <w:spacing w:after="240"/>
      <w:ind w:left="720"/>
    </w:pPr>
    <w:rPr>
      <w:rFonts w:eastAsiaTheme="minorEastAsia" w:cstheme="minorBidi"/>
      <w:kern w:val="0"/>
      <w:sz w:val="20"/>
      <w:szCs w:val="28"/>
      <w:lang w:bidi="ar-SA"/>
    </w:rPr>
  </w:style>
  <w:style w:type="paragraph" w:customStyle="1" w:styleId="Blockquote0">
    <w:name w:val="Block quote"/>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201F3F"/>
    <w:pPr>
      <w:widowControl w:val="0"/>
      <w:autoSpaceDE w:val="0"/>
      <w:autoSpaceDN w:val="0"/>
      <w:adjustRightInd w:val="0"/>
      <w:spacing w:after="240"/>
      <w:ind w:left="720"/>
      <w:textAlignment w:val="center"/>
    </w:pPr>
    <w:rPr>
      <w:rFonts w:eastAsiaTheme="minorEastAsia" w:cs="ITC New Baskerville Std"/>
      <w:color w:val="000000"/>
      <w:kern w:val="0"/>
      <w:sz w:val="20"/>
      <w:szCs w:val="20"/>
      <w:lang w:bidi="ar-SA"/>
    </w:rPr>
  </w:style>
  <w:style w:type="paragraph" w:customStyle="1" w:styleId="block-f-">
    <w:name w:val="block-f +/-"/>
    <w:basedOn w:val="Normal"/>
    <w:autoRedefine/>
    <w:uiPriority w:val="99"/>
    <w:semiHidden/>
    <w:rsid w:val="00201F3F"/>
    <w:pPr>
      <w:widowControl w:val="0"/>
      <w:autoSpaceDE w:val="0"/>
      <w:autoSpaceDN w:val="0"/>
      <w:adjustRightInd w:val="0"/>
      <w:spacing w:after="0"/>
      <w:ind w:left="720"/>
      <w:textAlignment w:val="center"/>
    </w:pPr>
    <w:rPr>
      <w:rFonts w:eastAsiaTheme="minorEastAsia" w:cs="ITC New Baskerville Std"/>
      <w:color w:val="000000"/>
      <w:kern w:val="0"/>
      <w:sz w:val="20"/>
      <w:szCs w:val="20"/>
      <w:lang w:bidi="ar-SA"/>
    </w:rPr>
  </w:style>
  <w:style w:type="paragraph" w:customStyle="1" w:styleId="blockquote16pt">
    <w:name w:val="block quote 1/6 pt"/>
    <w:basedOn w:val="block-f-"/>
    <w:autoRedefine/>
    <w:uiPriority w:val="99"/>
    <w:semiHidden/>
    <w:rsid w:val="00201F3F"/>
    <w:pPr>
      <w:spacing w:after="120"/>
    </w:pPr>
  </w:style>
  <w:style w:type="paragraph" w:customStyle="1" w:styleId="blockquote2ndindent-2pt">
    <w:name w:val="block quote 2nd indent -/2 pt"/>
    <w:basedOn w:val="Normal"/>
    <w:autoRedefine/>
    <w:uiPriority w:val="99"/>
    <w:semiHidden/>
    <w:rsid w:val="00201F3F"/>
    <w:pPr>
      <w:widowControl w:val="0"/>
      <w:autoSpaceDE w:val="0"/>
      <w:autoSpaceDN w:val="0"/>
      <w:adjustRightInd w:val="0"/>
      <w:spacing w:before="0" w:after="0"/>
      <w:ind w:left="1440"/>
      <w:textAlignment w:val="center"/>
    </w:pPr>
    <w:rPr>
      <w:rFonts w:eastAsiaTheme="minorEastAsia" w:cs="Times LT Std"/>
      <w:color w:val="000000"/>
      <w:kern w:val="0"/>
      <w:sz w:val="20"/>
      <w:szCs w:val="20"/>
      <w:lang w:bidi="ar-SA"/>
    </w:rPr>
  </w:style>
  <w:style w:type="paragraph" w:customStyle="1" w:styleId="blockquote3rdindent">
    <w:name w:val="block quote 3rd indent"/>
    <w:basedOn w:val="Normal"/>
    <w:autoRedefine/>
    <w:uiPriority w:val="99"/>
    <w:semiHidden/>
    <w:rsid w:val="00201F3F"/>
    <w:pPr>
      <w:widowControl w:val="0"/>
      <w:autoSpaceDE w:val="0"/>
      <w:autoSpaceDN w:val="0"/>
      <w:adjustRightInd w:val="0"/>
      <w:spacing w:before="0" w:after="0"/>
      <w:ind w:left="2160"/>
      <w:textAlignment w:val="center"/>
    </w:pPr>
    <w:rPr>
      <w:rFonts w:eastAsiaTheme="minorEastAsia" w:cs="Times LT Std"/>
      <w:color w:val="000000"/>
      <w:kern w:val="0"/>
      <w:sz w:val="20"/>
      <w:szCs w:val="20"/>
      <w:lang w:bidi="ar-SA"/>
    </w:rPr>
  </w:style>
  <w:style w:type="paragraph" w:customStyle="1" w:styleId="blockquote62">
    <w:name w:val="block quote 6/2"/>
    <w:basedOn w:val="blockquote"/>
    <w:autoRedefine/>
    <w:uiPriority w:val="99"/>
    <w:semiHidden/>
    <w:rsid w:val="00201F3F"/>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201F3F"/>
    <w:pPr>
      <w:spacing w:after="240"/>
      <w:ind w:left="720"/>
    </w:pPr>
    <w:rPr>
      <w:rFonts w:eastAsiaTheme="minorEastAsia" w:cstheme="minorBidi"/>
      <w:kern w:val="0"/>
      <w:sz w:val="20"/>
      <w:szCs w:val="20"/>
      <w:lang w:bidi="ar-SA"/>
    </w:rPr>
  </w:style>
  <w:style w:type="paragraph" w:customStyle="1" w:styleId="blockquotenumberlist">
    <w:name w:val="block quote number list"/>
    <w:basedOn w:val="blockquotenumberliststart"/>
    <w:autoRedefine/>
    <w:semiHidden/>
    <w:qFormat/>
    <w:rsid w:val="00201F3F"/>
    <w:pPr>
      <w:spacing w:before="0"/>
    </w:pPr>
  </w:style>
  <w:style w:type="paragraph" w:customStyle="1" w:styleId="blockquotelist1p6">
    <w:name w:val="block quote list 1p6"/>
    <w:basedOn w:val="blockquotenumberlist"/>
    <w:autoRedefine/>
    <w:uiPriority w:val="99"/>
    <w:semiHidden/>
    <w:rsid w:val="00201F3F"/>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201F3F"/>
    <w:pPr>
      <w:tabs>
        <w:tab w:val="left" w:pos="1200"/>
      </w:tabs>
      <w:spacing w:before="0" w:after="240"/>
      <w:ind w:left="1200" w:hanging="480"/>
    </w:pPr>
    <w:rPr>
      <w:rFonts w:eastAsiaTheme="minorEastAsia" w:cstheme="minorBidi"/>
      <w:kern w:val="0"/>
      <w:sz w:val="20"/>
      <w:szCs w:val="20"/>
      <w:lang w:bidi="ar-SA"/>
    </w:rPr>
  </w:style>
  <w:style w:type="paragraph" w:customStyle="1" w:styleId="blockquotepara02">
    <w:name w:val="block quote para 0/2"/>
    <w:basedOn w:val="Normal"/>
    <w:autoRedefine/>
    <w:uiPriority w:val="99"/>
    <w:semiHidden/>
    <w:rsid w:val="00201F3F"/>
    <w:pPr>
      <w:widowControl w:val="0"/>
      <w:autoSpaceDE w:val="0"/>
      <w:autoSpaceDN w:val="0"/>
      <w:adjustRightInd w:val="0"/>
      <w:spacing w:before="0" w:after="0"/>
      <w:ind w:left="720" w:firstLine="720"/>
      <w:textAlignment w:val="center"/>
    </w:pPr>
    <w:rPr>
      <w:rFonts w:eastAsiaTheme="minorEastAsia" w:cs="Times LT Std"/>
      <w:color w:val="000000"/>
      <w:kern w:val="0"/>
      <w:sz w:val="20"/>
      <w:szCs w:val="22"/>
      <w:lang w:bidi="ar-SA"/>
    </w:rPr>
  </w:style>
  <w:style w:type="paragraph" w:customStyle="1" w:styleId="blockquotepara06">
    <w:name w:val="block quote para 0/6"/>
    <w:basedOn w:val="Normal"/>
    <w:autoRedefine/>
    <w:uiPriority w:val="99"/>
    <w:semiHidden/>
    <w:rsid w:val="00201F3F"/>
    <w:pPr>
      <w:widowControl w:val="0"/>
      <w:autoSpaceDE w:val="0"/>
      <w:autoSpaceDN w:val="0"/>
      <w:adjustRightInd w:val="0"/>
      <w:spacing w:before="0" w:after="240"/>
      <w:ind w:left="720" w:firstLine="720"/>
      <w:textAlignment w:val="center"/>
    </w:pPr>
    <w:rPr>
      <w:rFonts w:eastAsiaTheme="minorEastAsia" w:cs="Times LT Std"/>
      <w:color w:val="000000"/>
      <w:kern w:val="0"/>
      <w:sz w:val="20"/>
      <w:szCs w:val="22"/>
      <w:lang w:bidi="ar-SA"/>
    </w:rPr>
  </w:style>
  <w:style w:type="paragraph" w:customStyle="1" w:styleId="blockquotepara62">
    <w:name w:val="block quote para 6/2"/>
    <w:basedOn w:val="Normal"/>
    <w:autoRedefine/>
    <w:uiPriority w:val="99"/>
    <w:semiHidden/>
    <w:rsid w:val="00201F3F"/>
    <w:pPr>
      <w:widowControl w:val="0"/>
      <w:autoSpaceDE w:val="0"/>
      <w:autoSpaceDN w:val="0"/>
      <w:adjustRightInd w:val="0"/>
      <w:spacing w:after="0"/>
      <w:ind w:left="720" w:firstLine="720"/>
      <w:textAlignment w:val="center"/>
    </w:pPr>
    <w:rPr>
      <w:rFonts w:eastAsiaTheme="minorEastAsia" w:cs="Times LT Std"/>
      <w:color w:val="000000"/>
      <w:kern w:val="0"/>
      <w:sz w:val="20"/>
      <w:szCs w:val="22"/>
      <w:lang w:bidi="ar-SA"/>
    </w:rPr>
  </w:style>
  <w:style w:type="paragraph" w:customStyle="1" w:styleId="block-p-">
    <w:name w:val="block-p/+/-"/>
    <w:basedOn w:val="block-p"/>
    <w:autoRedefine/>
    <w:semiHidden/>
    <w:qFormat/>
    <w:rsid w:val="00201F3F"/>
    <w:pPr>
      <w:spacing w:after="0"/>
      <w:ind w:firstLine="720"/>
    </w:pPr>
  </w:style>
  <w:style w:type="paragraph" w:customStyle="1" w:styleId="block-p--">
    <w:name w:val="block-p/-/-"/>
    <w:basedOn w:val="block-p-"/>
    <w:autoRedefine/>
    <w:semiHidden/>
    <w:qFormat/>
    <w:rsid w:val="00201F3F"/>
    <w:pPr>
      <w:spacing w:before="0"/>
    </w:pPr>
  </w:style>
  <w:style w:type="paragraph" w:customStyle="1" w:styleId="blockquote-f--">
    <w:name w:val="block quote-f /-/-"/>
    <w:basedOn w:val="block-p--"/>
    <w:autoRedefine/>
    <w:uiPriority w:val="99"/>
    <w:semiHidden/>
    <w:rsid w:val="00201F3F"/>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201F3F"/>
    <w:pPr>
      <w:spacing w:after="240"/>
      <w:ind w:left="720" w:firstLine="720"/>
    </w:pPr>
    <w:rPr>
      <w:rFonts w:eastAsiaTheme="minorEastAsia" w:cstheme="minorBidi"/>
      <w:kern w:val="0"/>
      <w:szCs w:val="22"/>
      <w:lang w:bidi="ar-SA"/>
    </w:rPr>
  </w:style>
  <w:style w:type="paragraph" w:customStyle="1" w:styleId="blockquote-p0">
    <w:name w:val="block quote-p +/+"/>
    <w:basedOn w:val="Normal"/>
    <w:autoRedefine/>
    <w:uiPriority w:val="99"/>
    <w:semiHidden/>
    <w:rsid w:val="00201F3F"/>
    <w:pPr>
      <w:widowControl w:val="0"/>
      <w:autoSpaceDE w:val="0"/>
      <w:autoSpaceDN w:val="0"/>
      <w:adjustRightInd w:val="0"/>
      <w:spacing w:after="240"/>
      <w:ind w:left="720" w:firstLine="720"/>
      <w:jc w:val="both"/>
      <w:textAlignment w:val="center"/>
    </w:pPr>
    <w:rPr>
      <w:rFonts w:eastAsiaTheme="minorEastAsia"/>
      <w:color w:val="000000"/>
      <w:kern w:val="0"/>
      <w:sz w:val="20"/>
      <w:szCs w:val="20"/>
      <w:lang w:bidi="ar-SA"/>
    </w:rPr>
  </w:style>
  <w:style w:type="paragraph" w:styleId="BlockText">
    <w:name w:val="Block Text"/>
    <w:basedOn w:val="Normal"/>
    <w:autoRedefine/>
    <w:uiPriority w:val="99"/>
    <w:semiHidden/>
    <w:rsid w:val="00201F3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spacing w:after="240"/>
      <w:ind w:left="720" w:firstLine="720"/>
    </w:pPr>
    <w:rPr>
      <w:rFonts w:eastAsiaTheme="minorEastAsia" w:cstheme="minorBidi"/>
      <w:i/>
      <w:iCs/>
      <w:kern w:val="0"/>
      <w:sz w:val="20"/>
      <w:szCs w:val="22"/>
      <w:lang w:bidi="ar-SA"/>
    </w:rPr>
  </w:style>
  <w:style w:type="paragraph" w:customStyle="1" w:styleId="block-bl">
    <w:name w:val="block-bl"/>
    <w:basedOn w:val="Normal"/>
    <w:autoRedefine/>
    <w:uiPriority w:val="99"/>
    <w:semiHidden/>
    <w:rsid w:val="00201F3F"/>
    <w:pPr>
      <w:widowControl w:val="0"/>
      <w:tabs>
        <w:tab w:val="left" w:pos="900"/>
      </w:tabs>
      <w:autoSpaceDE w:val="0"/>
      <w:autoSpaceDN w:val="0"/>
      <w:adjustRightInd w:val="0"/>
      <w:spacing w:before="0" w:after="0"/>
      <w:ind w:left="900" w:hanging="180"/>
      <w:textAlignment w:val="center"/>
    </w:pPr>
    <w:rPr>
      <w:rFonts w:eastAsiaTheme="minorEastAsia" w:cs="ITC New Baskerville Std"/>
      <w:color w:val="000000"/>
      <w:kern w:val="0"/>
      <w:sz w:val="20"/>
      <w:szCs w:val="20"/>
      <w:lang w:bidi="ar-SA"/>
    </w:rPr>
  </w:style>
  <w:style w:type="paragraph" w:customStyle="1" w:styleId="block-f--0">
    <w:name w:val="block-f -/-"/>
    <w:basedOn w:val="Normal"/>
    <w:autoRedefine/>
    <w:uiPriority w:val="99"/>
    <w:semiHidden/>
    <w:qFormat/>
    <w:rsid w:val="00201F3F"/>
    <w:pPr>
      <w:spacing w:before="0" w:after="0"/>
      <w:ind w:left="720"/>
    </w:pPr>
    <w:rPr>
      <w:rFonts w:eastAsiaTheme="minorEastAsia" w:cstheme="minorBidi"/>
      <w:kern w:val="0"/>
      <w:sz w:val="20"/>
      <w:szCs w:val="22"/>
      <w:lang w:bidi="ar-SA"/>
    </w:rPr>
  </w:style>
  <w:style w:type="paragraph" w:customStyle="1" w:styleId="block-f-0">
    <w:name w:val="block-f/+/-"/>
    <w:basedOn w:val="Normal"/>
    <w:autoRedefine/>
    <w:semiHidden/>
    <w:qFormat/>
    <w:rsid w:val="00201F3F"/>
    <w:pPr>
      <w:spacing w:after="0"/>
      <w:ind w:left="720"/>
    </w:pPr>
    <w:rPr>
      <w:rFonts w:eastAsiaTheme="minorEastAsia" w:cstheme="minorBidi"/>
      <w:kern w:val="0"/>
      <w:sz w:val="20"/>
      <w:szCs w:val="22"/>
      <w:lang w:bidi="ar-SA"/>
    </w:rPr>
  </w:style>
  <w:style w:type="paragraph" w:customStyle="1" w:styleId="block-f-1">
    <w:name w:val="block-f -/+"/>
    <w:basedOn w:val="block-f-0"/>
    <w:autoRedefine/>
    <w:uiPriority w:val="99"/>
    <w:semiHidden/>
    <w:qFormat/>
    <w:rsid w:val="00201F3F"/>
    <w:pPr>
      <w:spacing w:before="0" w:after="240"/>
    </w:pPr>
  </w:style>
  <w:style w:type="paragraph" w:customStyle="1" w:styleId="block-f-6">
    <w:name w:val="block-f -/6"/>
    <w:basedOn w:val="block-f-"/>
    <w:autoRedefine/>
    <w:uiPriority w:val="99"/>
    <w:semiHidden/>
    <w:rsid w:val="00201F3F"/>
    <w:pPr>
      <w:spacing w:before="0" w:after="120"/>
    </w:pPr>
  </w:style>
  <w:style w:type="paragraph" w:customStyle="1" w:styleId="block-f-6pt">
    <w:name w:val="block-f -/6 pt"/>
    <w:basedOn w:val="block-f-"/>
    <w:autoRedefine/>
    <w:uiPriority w:val="99"/>
    <w:semiHidden/>
    <w:qFormat/>
    <w:rsid w:val="00201F3F"/>
    <w:pPr>
      <w:spacing w:before="120"/>
      <w:ind w:left="439"/>
    </w:pPr>
    <w:rPr>
      <w:szCs w:val="21"/>
    </w:rPr>
  </w:style>
  <w:style w:type="paragraph" w:customStyle="1" w:styleId="Block-f-2">
    <w:name w:val="Block-f +/-"/>
    <w:basedOn w:val="blockquote"/>
    <w:autoRedefine/>
    <w:uiPriority w:val="99"/>
    <w:semiHidden/>
    <w:rsid w:val="00201F3F"/>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201F3F"/>
    <w:pPr>
      <w:spacing w:after="240"/>
      <w:ind w:left="720"/>
    </w:pPr>
    <w:rPr>
      <w:rFonts w:eastAsiaTheme="minorEastAsia" w:cstheme="minorBidi"/>
      <w:kern w:val="0"/>
      <w:sz w:val="20"/>
      <w:szCs w:val="22"/>
      <w:lang w:bidi="ar-SA"/>
    </w:rPr>
  </w:style>
  <w:style w:type="paragraph" w:customStyle="1" w:styleId="block-f-3">
    <w:name w:val="block-f/-/+"/>
    <w:basedOn w:val="block-f-0"/>
    <w:autoRedefine/>
    <w:semiHidden/>
    <w:qFormat/>
    <w:rsid w:val="00201F3F"/>
    <w:pPr>
      <w:spacing w:before="0" w:after="240"/>
    </w:pPr>
  </w:style>
  <w:style w:type="paragraph" w:customStyle="1" w:styleId="block-p-0">
    <w:name w:val="block-p -/+"/>
    <w:basedOn w:val="Normal"/>
    <w:autoRedefine/>
    <w:uiPriority w:val="99"/>
    <w:semiHidden/>
    <w:qFormat/>
    <w:rsid w:val="00201F3F"/>
    <w:pPr>
      <w:spacing w:before="0" w:after="240"/>
      <w:ind w:left="720" w:firstLine="720"/>
    </w:pPr>
    <w:rPr>
      <w:rFonts w:eastAsiaTheme="minorEastAsia" w:cstheme="minorBidi"/>
      <w:kern w:val="0"/>
      <w:sz w:val="20"/>
      <w:szCs w:val="22"/>
      <w:lang w:bidi="ar-SA"/>
    </w:rPr>
  </w:style>
  <w:style w:type="paragraph" w:customStyle="1" w:styleId="block-p--0">
    <w:name w:val="block-p -/-"/>
    <w:basedOn w:val="block-p-0"/>
    <w:autoRedefine/>
    <w:uiPriority w:val="99"/>
    <w:semiHidden/>
    <w:qFormat/>
    <w:rsid w:val="00201F3F"/>
    <w:pPr>
      <w:spacing w:after="0"/>
    </w:pPr>
  </w:style>
  <w:style w:type="paragraph" w:customStyle="1" w:styleId="Block-p-1">
    <w:name w:val="Block-p -/+"/>
    <w:basedOn w:val="Normal"/>
    <w:autoRedefine/>
    <w:uiPriority w:val="99"/>
    <w:semiHidden/>
    <w:rsid w:val="00201F3F"/>
    <w:pPr>
      <w:widowControl w:val="0"/>
      <w:autoSpaceDE w:val="0"/>
      <w:autoSpaceDN w:val="0"/>
      <w:adjustRightInd w:val="0"/>
      <w:spacing w:before="0" w:after="240"/>
      <w:ind w:left="720" w:firstLine="720"/>
      <w:textAlignment w:val="center"/>
    </w:pPr>
    <w:rPr>
      <w:rFonts w:eastAsiaTheme="minorEastAsia" w:cs="NewCenturySchlbk"/>
      <w:color w:val="000000"/>
      <w:kern w:val="0"/>
      <w:sz w:val="20"/>
      <w:szCs w:val="20"/>
      <w:lang w:bidi="ar-SA"/>
    </w:rPr>
  </w:style>
  <w:style w:type="paragraph" w:customStyle="1" w:styleId="block-p-6">
    <w:name w:val="block-p -/6"/>
    <w:basedOn w:val="block-p-0"/>
    <w:autoRedefine/>
    <w:uiPriority w:val="99"/>
    <w:semiHidden/>
    <w:rsid w:val="00201F3F"/>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201F3F"/>
    <w:pPr>
      <w:spacing w:after="0"/>
      <w:ind w:left="720" w:firstLine="720"/>
    </w:pPr>
    <w:rPr>
      <w:rFonts w:eastAsiaTheme="minorEastAsia" w:cstheme="minorBidi"/>
      <w:kern w:val="0"/>
      <w:sz w:val="20"/>
      <w:szCs w:val="22"/>
      <w:lang w:bidi="ar-SA"/>
    </w:rPr>
  </w:style>
  <w:style w:type="paragraph" w:customStyle="1" w:styleId="Block-p0">
    <w:name w:val="Block-p +/+"/>
    <w:basedOn w:val="Block-f0"/>
    <w:autoRedefine/>
    <w:semiHidden/>
    <w:qFormat/>
    <w:rsid w:val="00201F3F"/>
    <w:pPr>
      <w:ind w:firstLine="720"/>
    </w:pPr>
  </w:style>
  <w:style w:type="paragraph" w:customStyle="1" w:styleId="block-p1">
    <w:name w:val="block-p +/+"/>
    <w:basedOn w:val="Normal"/>
    <w:autoRedefine/>
    <w:uiPriority w:val="99"/>
    <w:semiHidden/>
    <w:qFormat/>
    <w:rsid w:val="00201F3F"/>
    <w:pPr>
      <w:spacing w:after="240"/>
      <w:ind w:left="720" w:firstLine="720"/>
    </w:pPr>
    <w:rPr>
      <w:rFonts w:eastAsiaTheme="minorEastAsia"/>
      <w:kern w:val="0"/>
      <w:sz w:val="20"/>
      <w:szCs w:val="22"/>
      <w:lang w:bidi="ar-SA"/>
    </w:rPr>
  </w:style>
  <w:style w:type="paragraph" w:customStyle="1" w:styleId="block-p16pt">
    <w:name w:val="block-p 1/6 pt"/>
    <w:basedOn w:val="Normal"/>
    <w:autoRedefine/>
    <w:uiPriority w:val="99"/>
    <w:semiHidden/>
    <w:rsid w:val="00201F3F"/>
    <w:pPr>
      <w:widowControl w:val="0"/>
      <w:autoSpaceDE w:val="0"/>
      <w:autoSpaceDN w:val="0"/>
      <w:adjustRightInd w:val="0"/>
      <w:ind w:left="720" w:firstLine="720"/>
      <w:textAlignment w:val="center"/>
    </w:pPr>
    <w:rPr>
      <w:rFonts w:eastAsiaTheme="minorEastAsia" w:cs="ITC New Baskerville Std"/>
      <w:color w:val="000000"/>
      <w:kern w:val="0"/>
      <w:sz w:val="20"/>
      <w:szCs w:val="20"/>
      <w:lang w:bidi="ar-SA"/>
    </w:rPr>
  </w:style>
  <w:style w:type="paragraph" w:customStyle="1" w:styleId="block-p--3p4para">
    <w:name w:val="block-p/-/- 3p4 para"/>
    <w:basedOn w:val="block-p--"/>
    <w:autoRedefine/>
    <w:uiPriority w:val="99"/>
    <w:semiHidden/>
    <w:rsid w:val="00201F3F"/>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201F3F"/>
    <w:pPr>
      <w:spacing w:before="0" w:after="240"/>
      <w:ind w:left="720" w:firstLine="720"/>
    </w:pPr>
    <w:rPr>
      <w:rFonts w:eastAsiaTheme="minorEastAsia" w:cstheme="minorBidi"/>
      <w:kern w:val="0"/>
      <w:sz w:val="20"/>
      <w:szCs w:val="22"/>
      <w:lang w:bidi="ar-SA"/>
    </w:rPr>
  </w:style>
  <w:style w:type="paragraph" w:customStyle="1" w:styleId="boldflush">
    <w:name w:val="bold flush"/>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201F3F"/>
    <w:pPr>
      <w:widowControl w:val="0"/>
      <w:tabs>
        <w:tab w:val="clear" w:pos="0"/>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201F3F"/>
    <w:pPr>
      <w:spacing w:before="0" w:after="0"/>
    </w:pPr>
    <w:rPr>
      <w:rFonts w:eastAsia="Calibri" w:cs="ITC New Baskerville Std"/>
      <w:color w:val="000000"/>
      <w:kern w:val="0"/>
      <w:lang w:bidi="ar-SA"/>
    </w:rPr>
  </w:style>
  <w:style w:type="paragraph" w:customStyle="1" w:styleId="boldheadflush">
    <w:name w:val="bold head flush"/>
    <w:basedOn w:val="textflush"/>
    <w:autoRedefine/>
    <w:uiPriority w:val="99"/>
    <w:semiHidden/>
    <w:rsid w:val="00201F3F"/>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201F3F"/>
    <w:pPr>
      <w:widowControl w:val="0"/>
      <w:tabs>
        <w:tab w:val="left" w:pos="360"/>
      </w:tabs>
      <w:suppressAutoHyphens/>
      <w:autoSpaceDE w:val="0"/>
      <w:autoSpaceDN w:val="0"/>
      <w:adjustRightInd w:val="0"/>
      <w:spacing w:after="240"/>
      <w:ind w:left="360" w:hanging="360"/>
      <w:textAlignment w:val="center"/>
    </w:pPr>
    <w:rPr>
      <w:rFonts w:eastAsiaTheme="minorEastAsia" w:cs="ITC New Baskerville Std"/>
      <w:b/>
      <w:bCs/>
      <w:i/>
      <w:iCs/>
      <w:color w:val="000000"/>
      <w:kern w:val="0"/>
      <w:sz w:val="22"/>
      <w:szCs w:val="22"/>
      <w:lang w:bidi="ar-SA"/>
    </w:rPr>
  </w:style>
  <w:style w:type="paragraph" w:customStyle="1" w:styleId="boldnumberlist">
    <w:name w:val="bold number list"/>
    <w:basedOn w:val="textflush"/>
    <w:autoRedefine/>
    <w:uiPriority w:val="99"/>
    <w:semiHidden/>
    <w:rsid w:val="00201F3F"/>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201F3F"/>
    <w:pPr>
      <w:spacing w:after="0"/>
      <w:ind w:left="619" w:hanging="180"/>
    </w:pPr>
    <w:rPr>
      <w:rFonts w:eastAsiaTheme="minorEastAsia" w:cstheme="minorBidi"/>
      <w:kern w:val="0"/>
      <w:szCs w:val="22"/>
      <w:lang w:bidi="ar-SA"/>
    </w:rPr>
  </w:style>
  <w:style w:type="paragraph" w:customStyle="1" w:styleId="bullet">
    <w:name w:val="bullet"/>
    <w:basedOn w:val="bulletliststart"/>
    <w:autoRedefine/>
    <w:uiPriority w:val="99"/>
    <w:semiHidden/>
    <w:qFormat/>
    <w:rsid w:val="00201F3F"/>
    <w:pPr>
      <w:spacing w:before="0"/>
    </w:pPr>
    <w:rPr>
      <w:rFonts w:eastAsia="Times New Roman" w:cs="Times New Roman"/>
    </w:rPr>
  </w:style>
  <w:style w:type="paragraph" w:customStyle="1" w:styleId="bulletdash">
    <w:name w:val="bullet dash"/>
    <w:basedOn w:val="Normal"/>
    <w:autoRedefine/>
    <w:uiPriority w:val="99"/>
    <w:semiHidden/>
    <w:rsid w:val="00201F3F"/>
    <w:pPr>
      <w:widowControl w:val="0"/>
      <w:tabs>
        <w:tab w:val="left" w:pos="900"/>
      </w:tabs>
      <w:autoSpaceDE w:val="0"/>
      <w:autoSpaceDN w:val="0"/>
      <w:adjustRightInd w:val="0"/>
      <w:spacing w:before="0" w:after="0"/>
      <w:ind w:left="900" w:hanging="180"/>
      <w:jc w:val="both"/>
      <w:textAlignment w:val="center"/>
    </w:pPr>
    <w:rPr>
      <w:rFonts w:eastAsiaTheme="minorEastAsia" w:cs="Times LT Std"/>
      <w:color w:val="000000"/>
      <w:kern w:val="0"/>
      <w:szCs w:val="22"/>
      <w:lang w:bidi="ar-SA"/>
    </w:rPr>
  </w:style>
  <w:style w:type="paragraph" w:customStyle="1" w:styleId="bulletend">
    <w:name w:val="bullet end"/>
    <w:basedOn w:val="Normal"/>
    <w:autoRedefine/>
    <w:uiPriority w:val="99"/>
    <w:semiHidden/>
    <w:rsid w:val="00201F3F"/>
    <w:pPr>
      <w:spacing w:before="0" w:after="240"/>
      <w:ind w:left="619" w:hanging="180"/>
    </w:pPr>
    <w:rPr>
      <w:rFonts w:eastAsiaTheme="minorEastAsia"/>
      <w:kern w:val="0"/>
      <w:szCs w:val="22"/>
      <w:lang w:bidi="ar-SA"/>
    </w:rPr>
  </w:style>
  <w:style w:type="paragraph" w:customStyle="1" w:styleId="bulletlist">
    <w:name w:val="bullet list"/>
    <w:basedOn w:val="bulletliststart"/>
    <w:autoRedefine/>
    <w:uiPriority w:val="99"/>
    <w:semiHidden/>
    <w:qFormat/>
    <w:rsid w:val="00201F3F"/>
    <w:pPr>
      <w:spacing w:before="0"/>
    </w:pPr>
  </w:style>
  <w:style w:type="paragraph" w:customStyle="1" w:styleId="BulletList0">
    <w:name w:val="Bullet List"/>
    <w:basedOn w:val="Normal"/>
    <w:autoRedefine/>
    <w:semiHidden/>
    <w:qFormat/>
    <w:rsid w:val="00201F3F"/>
    <w:pPr>
      <w:spacing w:before="0" w:after="0"/>
      <w:ind w:left="619" w:hanging="180"/>
    </w:pPr>
    <w:rPr>
      <w:rFonts w:eastAsiaTheme="minorEastAsia" w:cstheme="minorBidi"/>
      <w:kern w:val="0"/>
      <w:szCs w:val="22"/>
      <w:lang w:bidi="ar-SA"/>
    </w:rPr>
  </w:style>
  <w:style w:type="paragraph" w:customStyle="1" w:styleId="bulletlistend">
    <w:name w:val="bullet list end"/>
    <w:basedOn w:val="bulletlist"/>
    <w:autoRedefine/>
    <w:uiPriority w:val="99"/>
    <w:semiHidden/>
    <w:qFormat/>
    <w:rsid w:val="00201F3F"/>
    <w:pPr>
      <w:spacing w:after="240"/>
    </w:pPr>
  </w:style>
  <w:style w:type="paragraph" w:customStyle="1" w:styleId="bulletlistspaceabove">
    <w:name w:val="bullet list space above"/>
    <w:basedOn w:val="bulletlist"/>
    <w:autoRedefine/>
    <w:uiPriority w:val="99"/>
    <w:semiHidden/>
    <w:rsid w:val="00201F3F"/>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201F3F"/>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201F3F"/>
    <w:pPr>
      <w:widowControl w:val="0"/>
      <w:tabs>
        <w:tab w:val="left" w:pos="940"/>
      </w:tabs>
      <w:autoSpaceDE w:val="0"/>
      <w:autoSpaceDN w:val="0"/>
      <w:adjustRightInd w:val="0"/>
      <w:spacing w:before="0" w:after="0"/>
      <w:ind w:left="941" w:hanging="180"/>
      <w:textAlignment w:val="center"/>
    </w:pPr>
    <w:rPr>
      <w:rFonts w:eastAsiaTheme="minorEastAsia" w:cs="Times LT Std"/>
      <w:color w:val="000000"/>
      <w:kern w:val="0"/>
      <w:sz w:val="20"/>
      <w:szCs w:val="20"/>
      <w:lang w:bidi="ar-SA"/>
    </w:rPr>
  </w:style>
  <w:style w:type="paragraph" w:customStyle="1" w:styleId="bulletspaceabove">
    <w:name w:val="bullet space above"/>
    <w:basedOn w:val="Normal"/>
    <w:autoRedefine/>
    <w:uiPriority w:val="99"/>
    <w:semiHidden/>
    <w:qFormat/>
    <w:rsid w:val="00201F3F"/>
    <w:pPr>
      <w:spacing w:after="0"/>
      <w:ind w:left="619" w:hanging="180"/>
    </w:pPr>
    <w:rPr>
      <w:rFonts w:eastAsiaTheme="minorEastAsia" w:cstheme="minorBidi"/>
      <w:kern w:val="0"/>
      <w:szCs w:val="22"/>
      <w:lang w:bidi="ar-SA"/>
    </w:rPr>
  </w:style>
  <w:style w:type="paragraph" w:customStyle="1" w:styleId="bulletspacebelow">
    <w:name w:val="bullet space below"/>
    <w:basedOn w:val="bulletspaceabove"/>
    <w:autoRedefine/>
    <w:semiHidden/>
    <w:qFormat/>
    <w:rsid w:val="00201F3F"/>
    <w:pPr>
      <w:spacing w:before="0" w:after="240"/>
    </w:pPr>
  </w:style>
  <w:style w:type="paragraph" w:customStyle="1" w:styleId="bulletstart">
    <w:name w:val="bullet start"/>
    <w:basedOn w:val="bullet"/>
    <w:autoRedefine/>
    <w:uiPriority w:val="99"/>
    <w:semiHidden/>
    <w:rsid w:val="00201F3F"/>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201F3F"/>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201F3F"/>
    <w:pPr>
      <w:tabs>
        <w:tab w:val="left" w:pos="900"/>
      </w:tabs>
      <w:spacing w:before="0" w:after="0"/>
      <w:ind w:left="900" w:hanging="180"/>
    </w:pPr>
    <w:rPr>
      <w:rFonts w:eastAsiaTheme="minorEastAsia" w:cstheme="minorBidi"/>
      <w:kern w:val="0"/>
      <w:szCs w:val="22"/>
      <w:lang w:bidi="ar-SA"/>
    </w:rPr>
  </w:style>
  <w:style w:type="paragraph" w:customStyle="1" w:styleId="caseheadbolditalic">
    <w:name w:val="case head (bold italic)"/>
    <w:basedOn w:val="text"/>
    <w:autoRedefine/>
    <w:uiPriority w:val="99"/>
    <w:semiHidden/>
    <w:rsid w:val="00201F3F"/>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201F3F"/>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201F3F"/>
    <w:pPr>
      <w:spacing w:before="240" w:after="240"/>
    </w:pPr>
  </w:style>
  <w:style w:type="paragraph" w:customStyle="1" w:styleId="chspacebelownoneabove">
    <w:name w:val="ch space below / none above"/>
    <w:basedOn w:val="Normal"/>
    <w:next w:val="Normal"/>
    <w:autoRedefine/>
    <w:uiPriority w:val="99"/>
    <w:semiHidden/>
    <w:rsid w:val="00201F3F"/>
    <w:pPr>
      <w:keepNext/>
      <w:widowControl w:val="0"/>
      <w:suppressAutoHyphens/>
      <w:autoSpaceDE w:val="0"/>
      <w:autoSpaceDN w:val="0"/>
      <w:adjustRightInd w:val="0"/>
      <w:spacing w:before="0" w:after="240"/>
      <w:jc w:val="center"/>
      <w:textAlignment w:val="center"/>
    </w:pPr>
    <w:rPr>
      <w:rFonts w:eastAsiaTheme="minorEastAsia" w:cs="ITC New Baskerville Std"/>
      <w:smallCaps/>
      <w:color w:val="000000"/>
      <w:kern w:val="0"/>
      <w:lang w:bidi="ar-SA"/>
    </w:rPr>
  </w:style>
  <w:style w:type="paragraph" w:customStyle="1" w:styleId="ChapterNumber">
    <w:name w:val="Chapter Number"/>
    <w:basedOn w:val="Normal"/>
    <w:next w:val="Normal"/>
    <w:link w:val="ChapterNumberChar"/>
    <w:autoRedefine/>
    <w:uiPriority w:val="99"/>
    <w:semiHidden/>
    <w:qFormat/>
    <w:rsid w:val="00201F3F"/>
    <w:pPr>
      <w:widowControl w:val="0"/>
      <w:suppressAutoHyphens/>
      <w:autoSpaceDE w:val="0"/>
      <w:autoSpaceDN w:val="0"/>
      <w:adjustRightInd w:val="0"/>
      <w:spacing w:before="0" w:after="240"/>
      <w:jc w:val="center"/>
      <w:textAlignment w:val="center"/>
    </w:pPr>
    <w:rPr>
      <w:rFonts w:eastAsiaTheme="minorEastAsia"/>
      <w:smallCaps/>
      <w:color w:val="000000"/>
      <w:kern w:val="0"/>
      <w:sz w:val="20"/>
      <w:szCs w:val="28"/>
      <w:lang w:bidi="ar-SA"/>
    </w:rPr>
  </w:style>
  <w:style w:type="paragraph" w:customStyle="1" w:styleId="chapternumber0">
    <w:name w:val="chapter number"/>
    <w:basedOn w:val="Normal"/>
    <w:autoRedefine/>
    <w:uiPriority w:val="99"/>
    <w:semiHidden/>
    <w:rsid w:val="00201F3F"/>
    <w:pPr>
      <w:widowControl w:val="0"/>
      <w:suppressAutoHyphens/>
      <w:autoSpaceDE w:val="0"/>
      <w:autoSpaceDN w:val="0"/>
      <w:adjustRightInd w:val="0"/>
      <w:spacing w:before="0" w:after="240"/>
      <w:textAlignment w:val="center"/>
    </w:pPr>
    <w:rPr>
      <w:rFonts w:eastAsia="Times New Roman" w:cs="ITC New Baskerville Std"/>
      <w:b/>
      <w:bCs/>
      <w:color w:val="000000"/>
      <w:kern w:val="0"/>
      <w:sz w:val="28"/>
      <w:szCs w:val="56"/>
      <w:lang w:bidi="ar-SA"/>
    </w:rPr>
  </w:style>
  <w:style w:type="paragraph" w:customStyle="1" w:styleId="ChapterTitle">
    <w:name w:val="Chapter Title"/>
    <w:basedOn w:val="ChapterNumber"/>
    <w:autoRedefine/>
    <w:uiPriority w:val="99"/>
    <w:semiHidden/>
    <w:qFormat/>
    <w:rsid w:val="00201F3F"/>
    <w:pPr>
      <w:spacing w:after="720"/>
    </w:pPr>
    <w:rPr>
      <w:b/>
      <w:smallCaps w:val="0"/>
      <w:sz w:val="28"/>
      <w:szCs w:val="40"/>
    </w:rPr>
  </w:style>
  <w:style w:type="paragraph" w:customStyle="1" w:styleId="chaptertitle0">
    <w:name w:val="chapter title"/>
    <w:basedOn w:val="Normal"/>
    <w:autoRedefine/>
    <w:uiPriority w:val="99"/>
    <w:semiHidden/>
    <w:qFormat/>
    <w:rsid w:val="00201F3F"/>
    <w:pPr>
      <w:spacing w:before="0" w:after="240"/>
    </w:pPr>
    <w:rPr>
      <w:rFonts w:eastAsiaTheme="minorEastAsia" w:cstheme="minorBidi"/>
      <w:kern w:val="0"/>
      <w:sz w:val="28"/>
      <w:szCs w:val="22"/>
      <w:lang w:bidi="ar-SA"/>
    </w:rPr>
  </w:style>
  <w:style w:type="paragraph" w:customStyle="1" w:styleId="ChapterTitle14ptBoldCentered">
    <w:name w:val="Chapter Title 14 pt Bold Centered"/>
    <w:basedOn w:val="Normal"/>
    <w:autoRedefine/>
    <w:semiHidden/>
    <w:qFormat/>
    <w:rsid w:val="00201F3F"/>
    <w:pPr>
      <w:spacing w:before="0" w:after="480"/>
      <w:jc w:val="center"/>
    </w:pPr>
    <w:rPr>
      <w:rFonts w:eastAsiaTheme="minorEastAsia" w:cstheme="minorBidi"/>
      <w:b/>
      <w:caps/>
      <w:kern w:val="0"/>
      <w:sz w:val="28"/>
      <w:szCs w:val="22"/>
      <w:lang w:bidi="ar-SA"/>
    </w:rPr>
  </w:style>
  <w:style w:type="paragraph" w:customStyle="1" w:styleId="dhscpapertitle">
    <w:name w:val="dh s/c paper title"/>
    <w:basedOn w:val="Normal"/>
    <w:autoRedefine/>
    <w:uiPriority w:val="99"/>
    <w:semiHidden/>
    <w:rsid w:val="00201F3F"/>
    <w:pPr>
      <w:widowControl w:val="0"/>
      <w:autoSpaceDE w:val="0"/>
      <w:autoSpaceDN w:val="0"/>
      <w:adjustRightInd w:val="0"/>
      <w:spacing w:before="0" w:after="240"/>
      <w:jc w:val="center"/>
      <w:textAlignment w:val="center"/>
    </w:pPr>
    <w:rPr>
      <w:rFonts w:eastAsiaTheme="minorEastAsia" w:cs="ITC New Baskerville Std"/>
      <w:smallCaps/>
      <w:color w:val="000000"/>
      <w:kern w:val="0"/>
      <w:szCs w:val="20"/>
      <w:lang w:bidi="ar-SA"/>
    </w:rPr>
  </w:style>
  <w:style w:type="paragraph" w:customStyle="1" w:styleId="flushitalichead">
    <w:name w:val="flush italic head"/>
    <w:basedOn w:val="3rdlevelhead1i"/>
    <w:autoRedefine/>
    <w:uiPriority w:val="99"/>
    <w:semiHidden/>
    <w:rsid w:val="00201F3F"/>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201F3F"/>
    <w:pPr>
      <w:keepNext w:val="0"/>
      <w:suppressAutoHyphens w:val="0"/>
      <w:spacing w:before="0"/>
    </w:pPr>
  </w:style>
  <w:style w:type="paragraph" w:customStyle="1" w:styleId="footnote0">
    <w:name w:val="footnote *"/>
    <w:basedOn w:val="footnote"/>
    <w:autoRedefine/>
    <w:uiPriority w:val="99"/>
    <w:semiHidden/>
    <w:rsid w:val="00201F3F"/>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201F3F"/>
    <w:pPr>
      <w:pBdr>
        <w:top w:val="single" w:sz="4" w:space="12" w:color="auto"/>
      </w:pBdr>
      <w:autoSpaceDE w:val="0"/>
      <w:autoSpaceDN w:val="0"/>
      <w:adjustRightInd w:val="0"/>
      <w:spacing w:before="0" w:after="0"/>
      <w:ind w:firstLine="720"/>
      <w:textAlignment w:val="center"/>
    </w:pPr>
    <w:rPr>
      <w:rFonts w:eastAsiaTheme="minorEastAsia"/>
      <w:color w:val="000000"/>
      <w:kern w:val="0"/>
      <w:sz w:val="20"/>
      <w:szCs w:val="18"/>
      <w:lang w:bidi="ar-SA"/>
    </w:rPr>
  </w:style>
  <w:style w:type="paragraph" w:customStyle="1" w:styleId="footnoteindent">
    <w:name w:val="footnote indent"/>
    <w:basedOn w:val="Normal"/>
    <w:autoRedefine/>
    <w:uiPriority w:val="99"/>
    <w:semiHidden/>
    <w:rsid w:val="00201F3F"/>
    <w:pPr>
      <w:widowControl w:val="0"/>
      <w:autoSpaceDE w:val="0"/>
      <w:autoSpaceDN w:val="0"/>
      <w:adjustRightInd w:val="0"/>
      <w:spacing w:before="0" w:after="0"/>
      <w:ind w:left="720"/>
      <w:textAlignment w:val="center"/>
    </w:pPr>
    <w:rPr>
      <w:rFonts w:eastAsiaTheme="minorEastAsia" w:cs="ITC New Baskerville Std"/>
      <w:color w:val="000000"/>
      <w:kern w:val="0"/>
      <w:sz w:val="20"/>
      <w:szCs w:val="16"/>
      <w:lang w:bidi="ar-SA"/>
    </w:rPr>
  </w:style>
  <w:style w:type="paragraph" w:customStyle="1" w:styleId="footnote2ndindent">
    <w:name w:val="footnote 2nd indent"/>
    <w:basedOn w:val="footnoteindent"/>
    <w:autoRedefine/>
    <w:uiPriority w:val="99"/>
    <w:semiHidden/>
    <w:rsid w:val="00201F3F"/>
  </w:style>
  <w:style w:type="paragraph" w:customStyle="1" w:styleId="footnote2ndindentwpara">
    <w:name w:val="footnote 2nd indent w/para"/>
    <w:basedOn w:val="Normal"/>
    <w:autoRedefine/>
    <w:uiPriority w:val="99"/>
    <w:semiHidden/>
    <w:rsid w:val="00201F3F"/>
    <w:pPr>
      <w:widowControl w:val="0"/>
      <w:autoSpaceDE w:val="0"/>
      <w:autoSpaceDN w:val="0"/>
      <w:adjustRightInd w:val="0"/>
      <w:spacing w:before="0" w:after="240"/>
      <w:ind w:left="720" w:firstLine="720"/>
      <w:textAlignment w:val="center"/>
    </w:pPr>
    <w:rPr>
      <w:rFonts w:eastAsiaTheme="minorEastAsia" w:cs="ITC New Baskerville Std"/>
      <w:color w:val="000000"/>
      <w:kern w:val="0"/>
      <w:sz w:val="20"/>
      <w:szCs w:val="16"/>
      <w:lang w:bidi="ar-SA"/>
    </w:rPr>
  </w:style>
  <w:style w:type="paragraph" w:customStyle="1" w:styleId="footnotebl">
    <w:name w:val="footnote bl"/>
    <w:basedOn w:val="Normal"/>
    <w:autoRedefine/>
    <w:uiPriority w:val="99"/>
    <w:semiHidden/>
    <w:rsid w:val="00201F3F"/>
    <w:pPr>
      <w:widowControl w:val="0"/>
      <w:tabs>
        <w:tab w:val="left" w:pos="540"/>
      </w:tabs>
      <w:autoSpaceDE w:val="0"/>
      <w:autoSpaceDN w:val="0"/>
      <w:adjustRightInd w:val="0"/>
      <w:spacing w:before="0" w:after="0"/>
      <w:ind w:left="540" w:hanging="180"/>
      <w:textAlignment w:val="center"/>
    </w:pPr>
    <w:rPr>
      <w:rFonts w:eastAsiaTheme="minorEastAsia" w:cs="ITC New Baskerville Std"/>
      <w:color w:val="000000"/>
      <w:kern w:val="0"/>
      <w:sz w:val="20"/>
      <w:szCs w:val="18"/>
      <w:lang w:bidi="ar-SA"/>
    </w:rPr>
  </w:style>
  <w:style w:type="paragraph" w:customStyle="1" w:styleId="footnoteblock">
    <w:name w:val="footnote block"/>
    <w:basedOn w:val="footnote"/>
    <w:autoRedefine/>
    <w:uiPriority w:val="99"/>
    <w:semiHidden/>
    <w:qFormat/>
    <w:rsid w:val="00201F3F"/>
    <w:pPr>
      <w:autoSpaceDE w:val="0"/>
      <w:autoSpaceDN w:val="0"/>
      <w:adjustRightInd w:val="0"/>
      <w:ind w:left="720" w:firstLine="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201F3F"/>
    <w:pPr>
      <w:autoSpaceDE w:val="0"/>
      <w:autoSpaceDN w:val="0"/>
      <w:adjustRightInd w:val="0"/>
      <w:spacing w:before="40"/>
      <w:ind w:left="720" w:firstLine="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201F3F"/>
    <w:pPr>
      <w:autoSpaceDE w:val="0"/>
      <w:autoSpaceDN w:val="0"/>
      <w:adjustRightInd w:val="0"/>
      <w:ind w:left="720" w:firstLine="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201F3F"/>
    <w:pPr>
      <w:ind w:firstLine="720"/>
    </w:pPr>
  </w:style>
  <w:style w:type="paragraph" w:customStyle="1" w:styleId="footnoteblockwithparaindent">
    <w:name w:val="footnote block with para indent"/>
    <w:basedOn w:val="footnoteblock"/>
    <w:autoRedefine/>
    <w:uiPriority w:val="99"/>
    <w:semiHidden/>
    <w:qFormat/>
    <w:rsid w:val="00201F3F"/>
    <w:pPr>
      <w:ind w:firstLine="720"/>
    </w:pPr>
  </w:style>
  <w:style w:type="paragraph" w:customStyle="1" w:styleId="footnotebulletlist">
    <w:name w:val="footnote bullet list"/>
    <w:basedOn w:val="Normal"/>
    <w:autoRedefine/>
    <w:uiPriority w:val="99"/>
    <w:semiHidden/>
    <w:rsid w:val="00201F3F"/>
    <w:pPr>
      <w:widowControl w:val="0"/>
      <w:tabs>
        <w:tab w:val="left" w:pos="620"/>
      </w:tabs>
      <w:autoSpaceDE w:val="0"/>
      <w:autoSpaceDN w:val="0"/>
      <w:adjustRightInd w:val="0"/>
      <w:spacing w:before="0" w:after="0"/>
      <w:ind w:left="900" w:hanging="180"/>
      <w:textAlignment w:val="center"/>
    </w:pPr>
    <w:rPr>
      <w:rFonts w:eastAsiaTheme="minorEastAsia" w:cs="Times LT Std"/>
      <w:color w:val="000000"/>
      <w:kern w:val="0"/>
      <w:sz w:val="20"/>
      <w:szCs w:val="16"/>
      <w:lang w:bidi="ar-SA"/>
    </w:rPr>
  </w:style>
  <w:style w:type="paragraph" w:customStyle="1" w:styleId="footnotecircuit">
    <w:name w:val="footnote circuit"/>
    <w:basedOn w:val="Normal"/>
    <w:autoRedefine/>
    <w:uiPriority w:val="99"/>
    <w:semiHidden/>
    <w:rsid w:val="00201F3F"/>
    <w:pPr>
      <w:widowControl w:val="0"/>
      <w:tabs>
        <w:tab w:val="left" w:pos="1680"/>
      </w:tabs>
      <w:autoSpaceDE w:val="0"/>
      <w:autoSpaceDN w:val="0"/>
      <w:adjustRightInd w:val="0"/>
      <w:spacing w:before="0" w:after="0"/>
      <w:ind w:left="2040" w:hanging="1320"/>
      <w:textAlignment w:val="center"/>
    </w:pPr>
    <w:rPr>
      <w:rFonts w:eastAsiaTheme="minorEastAsia" w:cs="Times LT Std"/>
      <w:color w:val="000000"/>
      <w:kern w:val="0"/>
      <w:sz w:val="20"/>
      <w:szCs w:val="18"/>
      <w:lang w:bidi="ar-SA"/>
    </w:rPr>
  </w:style>
  <w:style w:type="paragraph" w:customStyle="1" w:styleId="footnoteflush">
    <w:name w:val="footnote flush"/>
    <w:basedOn w:val="Normal"/>
    <w:autoRedefine/>
    <w:uiPriority w:val="99"/>
    <w:semiHidden/>
    <w:qFormat/>
    <w:rsid w:val="00201F3F"/>
    <w:pPr>
      <w:widowControl w:val="0"/>
      <w:autoSpaceDE w:val="0"/>
      <w:autoSpaceDN w:val="0"/>
      <w:adjustRightInd w:val="0"/>
      <w:spacing w:before="0" w:after="0"/>
      <w:textAlignment w:val="center"/>
    </w:pPr>
    <w:rPr>
      <w:rFonts w:eastAsiaTheme="minorEastAsia" w:cs="ITC New Baskerville Std"/>
      <w:color w:val="000000"/>
      <w:kern w:val="0"/>
      <w:sz w:val="20"/>
      <w:szCs w:val="16"/>
      <w:lang w:bidi="ar-SA"/>
    </w:rPr>
  </w:style>
  <w:style w:type="paragraph" w:customStyle="1" w:styleId="footnoteindentpara">
    <w:name w:val="footnote indent / para"/>
    <w:basedOn w:val="footnoteindent"/>
    <w:autoRedefine/>
    <w:uiPriority w:val="99"/>
    <w:semiHidden/>
    <w:rsid w:val="00201F3F"/>
    <w:pPr>
      <w:ind w:firstLine="720"/>
    </w:pPr>
    <w:rPr>
      <w:rFonts w:cs="Times LT Std"/>
      <w:szCs w:val="19"/>
    </w:rPr>
  </w:style>
  <w:style w:type="paragraph" w:customStyle="1" w:styleId="footnoteindentflush">
    <w:name w:val="footnote indent flush"/>
    <w:basedOn w:val="Normal"/>
    <w:autoRedefine/>
    <w:uiPriority w:val="99"/>
    <w:semiHidden/>
    <w:qFormat/>
    <w:rsid w:val="00201F3F"/>
    <w:pPr>
      <w:widowControl w:val="0"/>
      <w:autoSpaceDE w:val="0"/>
      <w:autoSpaceDN w:val="0"/>
      <w:adjustRightInd w:val="0"/>
      <w:spacing w:before="40" w:after="40"/>
      <w:ind w:left="720"/>
      <w:textAlignment w:val="center"/>
    </w:pPr>
    <w:rPr>
      <w:rFonts w:eastAsiaTheme="minorEastAsia" w:cs="Times LT Std"/>
      <w:color w:val="000000"/>
      <w:kern w:val="0"/>
      <w:sz w:val="20"/>
      <w:szCs w:val="18"/>
      <w:lang w:bidi="ar-SA"/>
    </w:rPr>
  </w:style>
  <w:style w:type="paragraph" w:customStyle="1" w:styleId="footnoteindentparaindent">
    <w:name w:val="footnote indent para indent"/>
    <w:basedOn w:val="Normal"/>
    <w:autoRedefine/>
    <w:uiPriority w:val="99"/>
    <w:semiHidden/>
    <w:rsid w:val="00201F3F"/>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wpara">
    <w:name w:val="footnote indent w/para"/>
    <w:basedOn w:val="footnoteindent"/>
    <w:autoRedefine/>
    <w:uiPriority w:val="99"/>
    <w:semiHidden/>
    <w:rsid w:val="00201F3F"/>
  </w:style>
  <w:style w:type="paragraph" w:customStyle="1" w:styleId="footnoteindentwpnospace">
    <w:name w:val="footnote indent w/p no space"/>
    <w:basedOn w:val="footnoteindentwpara"/>
    <w:autoRedefine/>
    <w:uiPriority w:val="99"/>
    <w:semiHidden/>
    <w:rsid w:val="00201F3F"/>
  </w:style>
  <w:style w:type="paragraph" w:customStyle="1" w:styleId="footnoteindentwpara0">
    <w:name w:val="footnote indent/w para"/>
    <w:basedOn w:val="Normal"/>
    <w:autoRedefine/>
    <w:uiPriority w:val="99"/>
    <w:semiHidden/>
    <w:rsid w:val="00201F3F"/>
    <w:pPr>
      <w:widowControl w:val="0"/>
      <w:autoSpaceDE w:val="0"/>
      <w:autoSpaceDN w:val="0"/>
      <w:adjustRightInd w:val="0"/>
      <w:spacing w:before="0" w:after="0"/>
      <w:ind w:left="720" w:firstLine="720"/>
      <w:textAlignment w:val="center"/>
    </w:pPr>
    <w:rPr>
      <w:rFonts w:eastAsiaTheme="minorEastAsia" w:cs="Times LT Std"/>
      <w:color w:val="000000"/>
      <w:kern w:val="0"/>
      <w:sz w:val="20"/>
      <w:szCs w:val="18"/>
      <w:lang w:bidi="ar-SA"/>
    </w:rPr>
  </w:style>
  <w:style w:type="paragraph" w:customStyle="1" w:styleId="footnoteindent-p">
    <w:name w:val="footnote indent-p"/>
    <w:basedOn w:val="footnoteindent"/>
    <w:autoRedefine/>
    <w:uiPriority w:val="99"/>
    <w:semiHidden/>
    <w:rsid w:val="00201F3F"/>
    <w:pPr>
      <w:ind w:firstLine="720"/>
    </w:pPr>
    <w:rPr>
      <w:rFonts w:cs="Times LT Std"/>
      <w:szCs w:val="18"/>
    </w:rPr>
  </w:style>
  <w:style w:type="paragraph" w:customStyle="1" w:styleId="footnotenl">
    <w:name w:val="footnote nl"/>
    <w:basedOn w:val="footnoteindent"/>
    <w:autoRedefine/>
    <w:uiPriority w:val="99"/>
    <w:semiHidden/>
    <w:qFormat/>
    <w:rsid w:val="00201F3F"/>
    <w:pPr>
      <w:tabs>
        <w:tab w:val="left" w:pos="680"/>
      </w:tabs>
      <w:ind w:left="1032" w:hanging="312"/>
    </w:pPr>
  </w:style>
  <w:style w:type="paragraph" w:customStyle="1" w:styleId="footnotenlal">
    <w:name w:val="footnote nl/al"/>
    <w:basedOn w:val="footnotenl"/>
    <w:autoRedefine/>
    <w:uiPriority w:val="99"/>
    <w:semiHidden/>
    <w:qFormat/>
    <w:rsid w:val="00201F3F"/>
    <w:pPr>
      <w:tabs>
        <w:tab w:val="left" w:pos="1040"/>
      </w:tabs>
      <w:ind w:left="1440" w:hanging="360"/>
    </w:pPr>
  </w:style>
  <w:style w:type="paragraph" w:customStyle="1" w:styleId="footnotenumberlist">
    <w:name w:val="footnote number list"/>
    <w:basedOn w:val="Normal"/>
    <w:autoRedefine/>
    <w:uiPriority w:val="99"/>
    <w:semiHidden/>
    <w:rsid w:val="00201F3F"/>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footnotenumberlist2ndlevel">
    <w:name w:val="footnote number list 2nd level"/>
    <w:basedOn w:val="footnotenumberlist"/>
    <w:autoRedefine/>
    <w:uiPriority w:val="99"/>
    <w:semiHidden/>
    <w:rsid w:val="00201F3F"/>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201F3F"/>
    <w:pPr>
      <w:widowControl w:val="0"/>
      <w:tabs>
        <w:tab w:val="left" w:pos="720"/>
      </w:tabs>
      <w:autoSpaceDE w:val="0"/>
      <w:autoSpaceDN w:val="0"/>
      <w:adjustRightInd w:val="0"/>
      <w:spacing w:before="0" w:after="0"/>
      <w:ind w:left="1080" w:hanging="360"/>
      <w:textAlignment w:val="center"/>
    </w:pPr>
    <w:rPr>
      <w:rFonts w:eastAsiaTheme="minorEastAsia" w:cs="Times LT Std"/>
      <w:color w:val="000000"/>
      <w:kern w:val="0"/>
      <w:sz w:val="20"/>
      <w:szCs w:val="18"/>
      <w:lang w:bidi="ar-SA"/>
    </w:rPr>
  </w:style>
  <w:style w:type="paragraph" w:customStyle="1" w:styleId="footnotepara0">
    <w:name w:val="footnote para"/>
    <w:basedOn w:val="footnote"/>
    <w:autoRedefine/>
    <w:uiPriority w:val="99"/>
    <w:semiHidden/>
    <w:rsid w:val="00201F3F"/>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201F3F"/>
    <w:pPr>
      <w:widowControl w:val="0"/>
      <w:autoSpaceDE w:val="0"/>
      <w:autoSpaceDN w:val="0"/>
      <w:adjustRightInd w:val="0"/>
      <w:spacing w:before="0" w:after="0"/>
      <w:ind w:firstLine="720"/>
      <w:textAlignment w:val="center"/>
    </w:pPr>
    <w:rPr>
      <w:rFonts w:eastAsiaTheme="minorEastAsia" w:cs="ITC New Baskerville Std"/>
      <w:color w:val="000000"/>
      <w:kern w:val="0"/>
      <w:sz w:val="20"/>
      <w:szCs w:val="16"/>
      <w:lang w:bidi="ar-SA"/>
    </w:rPr>
  </w:style>
  <w:style w:type="paragraph" w:customStyle="1" w:styleId="footnoteregpara">
    <w:name w:val="footnote reg para"/>
    <w:basedOn w:val="footnote"/>
    <w:autoRedefine/>
    <w:uiPriority w:val="99"/>
    <w:semiHidden/>
    <w:rsid w:val="00201F3F"/>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autoRedefine/>
    <w:uiPriority w:val="99"/>
    <w:semiHidden/>
    <w:rsid w:val="00201F3F"/>
    <w:pPr>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201F3F"/>
    <w:pPr>
      <w:widowControl w:val="0"/>
      <w:autoSpaceDE w:val="0"/>
      <w:autoSpaceDN w:val="0"/>
      <w:adjustRightInd w:val="0"/>
      <w:spacing w:before="0" w:after="0"/>
      <w:ind w:firstLine="720"/>
      <w:textAlignment w:val="center"/>
    </w:pPr>
    <w:rPr>
      <w:rFonts w:eastAsiaTheme="minorEastAsia" w:cs="Times LT Std"/>
      <w:color w:val="000000"/>
      <w:kern w:val="0"/>
      <w:sz w:val="20"/>
      <w:szCs w:val="16"/>
      <w:lang w:bidi="ar-SA"/>
    </w:rPr>
  </w:style>
  <w:style w:type="paragraph" w:customStyle="1" w:styleId="footnoteregular">
    <w:name w:val="footnote regular"/>
    <w:basedOn w:val="footnote"/>
    <w:autoRedefine/>
    <w:uiPriority w:val="99"/>
    <w:semiHidden/>
    <w:rsid w:val="00201F3F"/>
    <w:pPr>
      <w:autoSpaceDE w:val="0"/>
      <w:autoSpaceDN w:val="0"/>
      <w:adjustRightInd w:val="0"/>
      <w:textAlignment w:val="center"/>
    </w:pPr>
    <w:rPr>
      <w:rFonts w:cs="ITC New Baskerville Std"/>
      <w:color w:val="000000"/>
      <w:szCs w:val="16"/>
    </w:rPr>
  </w:style>
  <w:style w:type="paragraph" w:customStyle="1" w:styleId="footnotewithpara">
    <w:name w:val="footnote with para"/>
    <w:basedOn w:val="footnote"/>
    <w:autoRedefine/>
    <w:uiPriority w:val="99"/>
    <w:semiHidden/>
    <w:rsid w:val="00201F3F"/>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201F3F"/>
    <w:pPr>
      <w:ind w:firstLine="720"/>
    </w:pPr>
    <w:rPr>
      <w:rFonts w:cs="Times LT Std"/>
      <w:szCs w:val="19"/>
    </w:rPr>
  </w:style>
  <w:style w:type="paragraph" w:customStyle="1" w:styleId="hangtext">
    <w:name w:val="hang text"/>
    <w:basedOn w:val="text"/>
    <w:autoRedefine/>
    <w:uiPriority w:val="99"/>
    <w:semiHidden/>
    <w:rsid w:val="00201F3F"/>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201F3F"/>
    <w:pPr>
      <w:widowControl w:val="0"/>
      <w:tabs>
        <w:tab w:val="clear" w:pos="0"/>
        <w:tab w:val="clear" w:pos="720"/>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paragraph" w:customStyle="1" w:styleId="ItalicHead">
    <w:name w:val="Italic Head"/>
    <w:basedOn w:val="text"/>
    <w:autoRedefine/>
    <w:uiPriority w:val="99"/>
    <w:semiHidden/>
    <w:rsid w:val="00201F3F"/>
    <w:pPr>
      <w:keepNext/>
      <w:widowControl w:val="0"/>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201F3F"/>
    <w:pPr>
      <w:widowControl w:val="0"/>
      <w:tabs>
        <w:tab w:val="left" w:pos="480"/>
      </w:tabs>
      <w:suppressAutoHyphens/>
      <w:autoSpaceDE w:val="0"/>
      <w:autoSpaceDN w:val="0"/>
      <w:adjustRightInd w:val="0"/>
      <w:spacing w:after="240"/>
      <w:ind w:left="480" w:hanging="480"/>
      <w:textAlignment w:val="center"/>
    </w:pPr>
    <w:rPr>
      <w:rFonts w:eastAsiaTheme="minorEastAsia" w:cs="Times LT Std"/>
      <w:i/>
      <w:iCs/>
      <w:color w:val="000000"/>
      <w:kern w:val="0"/>
      <w:szCs w:val="22"/>
      <w:lang w:bidi="ar-SA"/>
    </w:rPr>
  </w:style>
  <w:style w:type="paragraph" w:customStyle="1" w:styleId="l1">
    <w:name w:val="l1"/>
    <w:basedOn w:val="Normal"/>
    <w:autoRedefine/>
    <w:uiPriority w:val="99"/>
    <w:semiHidden/>
    <w:rsid w:val="00201F3F"/>
    <w:pPr>
      <w:keepNext/>
      <w:widowControl w:val="0"/>
      <w:suppressAutoHyphens/>
      <w:autoSpaceDE w:val="0"/>
      <w:autoSpaceDN w:val="0"/>
      <w:adjustRightInd w:val="0"/>
      <w:spacing w:before="480" w:after="240"/>
      <w:ind w:firstLine="720"/>
      <w:jc w:val="center"/>
      <w:textAlignment w:val="center"/>
    </w:pPr>
    <w:rPr>
      <w:rFonts w:eastAsiaTheme="minorEastAsia" w:cs="Times SC"/>
      <w:smallCaps/>
      <w:color w:val="000000"/>
      <w:kern w:val="0"/>
      <w:szCs w:val="22"/>
      <w:lang w:bidi="ar-SA"/>
    </w:rPr>
  </w:style>
  <w:style w:type="paragraph" w:customStyle="1" w:styleId="l1-ct">
    <w:name w:val="l1-ct"/>
    <w:basedOn w:val="l1"/>
    <w:autoRedefine/>
    <w:uiPriority w:val="99"/>
    <w:semiHidden/>
    <w:rsid w:val="00201F3F"/>
    <w:pPr>
      <w:spacing w:before="0"/>
      <w:contextualSpacing/>
    </w:pPr>
    <w:rPr>
      <w:szCs w:val="24"/>
    </w:rPr>
  </w:style>
  <w:style w:type="paragraph" w:customStyle="1" w:styleId="l2">
    <w:name w:val="l2"/>
    <w:basedOn w:val="Normal"/>
    <w:autoRedefine/>
    <w:uiPriority w:val="99"/>
    <w:semiHidden/>
    <w:rsid w:val="00201F3F"/>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b/>
      <w:bCs/>
      <w:color w:val="000000"/>
      <w:kern w:val="0"/>
      <w:szCs w:val="22"/>
      <w:lang w:bidi="ar-SA"/>
    </w:rPr>
  </w:style>
  <w:style w:type="paragraph" w:customStyle="1" w:styleId="l2-1">
    <w:name w:val="l2-1"/>
    <w:basedOn w:val="l2"/>
    <w:autoRedefine/>
    <w:uiPriority w:val="99"/>
    <w:semiHidden/>
    <w:rsid w:val="00201F3F"/>
    <w:pPr>
      <w:spacing w:before="0"/>
    </w:pPr>
  </w:style>
  <w:style w:type="paragraph" w:customStyle="1" w:styleId="l3">
    <w:name w:val="l3"/>
    <w:basedOn w:val="Normal"/>
    <w:autoRedefine/>
    <w:uiPriority w:val="99"/>
    <w:semiHidden/>
    <w:rsid w:val="00201F3F"/>
    <w:pPr>
      <w:keepNext/>
      <w:widowControl w:val="0"/>
      <w:tabs>
        <w:tab w:val="left" w:pos="360"/>
      </w:tabs>
      <w:suppressAutoHyphens/>
      <w:autoSpaceDE w:val="0"/>
      <w:autoSpaceDN w:val="0"/>
      <w:adjustRightInd w:val="0"/>
      <w:spacing w:after="240"/>
      <w:ind w:left="360" w:hanging="360"/>
      <w:textAlignment w:val="center"/>
    </w:pPr>
    <w:rPr>
      <w:rFonts w:eastAsiaTheme="minorEastAsia" w:cs="Times LT Std"/>
      <w:i/>
      <w:iCs/>
      <w:color w:val="000000"/>
      <w:kern w:val="0"/>
      <w:szCs w:val="22"/>
      <w:lang w:bidi="ar-SA"/>
    </w:rPr>
  </w:style>
  <w:style w:type="paragraph" w:customStyle="1" w:styleId="l3-2">
    <w:name w:val="l3-2"/>
    <w:basedOn w:val="l3"/>
    <w:autoRedefine/>
    <w:uiPriority w:val="99"/>
    <w:semiHidden/>
    <w:rsid w:val="00201F3F"/>
    <w:pPr>
      <w:spacing w:before="0"/>
    </w:pPr>
  </w:style>
  <w:style w:type="paragraph" w:customStyle="1" w:styleId="l4">
    <w:name w:val="l4"/>
    <w:basedOn w:val="Normal"/>
    <w:autoRedefine/>
    <w:uiPriority w:val="99"/>
    <w:semiHidden/>
    <w:rsid w:val="00201F3F"/>
    <w:pPr>
      <w:keepNext/>
      <w:widowControl w:val="0"/>
      <w:tabs>
        <w:tab w:val="left" w:pos="881"/>
      </w:tabs>
      <w:suppressAutoHyphens/>
      <w:autoSpaceDE w:val="0"/>
      <w:autoSpaceDN w:val="0"/>
      <w:adjustRightInd w:val="0"/>
      <w:spacing w:after="240"/>
      <w:ind w:left="799" w:hanging="360"/>
      <w:textAlignment w:val="center"/>
    </w:pPr>
    <w:rPr>
      <w:rFonts w:eastAsiaTheme="minorEastAsia" w:cs="Times LT Std"/>
      <w:i/>
      <w:iCs/>
      <w:color w:val="000000"/>
      <w:kern w:val="0"/>
      <w:szCs w:val="22"/>
      <w:lang w:bidi="ar-SA"/>
    </w:rPr>
  </w:style>
  <w:style w:type="paragraph" w:customStyle="1" w:styleId="l4-3">
    <w:name w:val="l4-3"/>
    <w:basedOn w:val="l4"/>
    <w:autoRedefine/>
    <w:uiPriority w:val="99"/>
    <w:semiHidden/>
    <w:rsid w:val="00201F3F"/>
    <w:pPr>
      <w:tabs>
        <w:tab w:val="clear" w:pos="881"/>
      </w:tabs>
      <w:spacing w:before="0"/>
    </w:pPr>
  </w:style>
  <w:style w:type="paragraph" w:customStyle="1" w:styleId="l5">
    <w:name w:val="l5"/>
    <w:basedOn w:val="l4"/>
    <w:autoRedefine/>
    <w:uiPriority w:val="99"/>
    <w:semiHidden/>
    <w:rsid w:val="00201F3F"/>
    <w:pPr>
      <w:tabs>
        <w:tab w:val="left" w:pos="1240"/>
      </w:tabs>
      <w:ind w:left="1241"/>
    </w:pPr>
  </w:style>
  <w:style w:type="paragraph" w:customStyle="1" w:styleId="l5-4">
    <w:name w:val="l5-4"/>
    <w:basedOn w:val="Normal"/>
    <w:autoRedefine/>
    <w:uiPriority w:val="99"/>
    <w:semiHidden/>
    <w:rsid w:val="00201F3F"/>
    <w:pPr>
      <w:keepNext/>
      <w:widowControl w:val="0"/>
      <w:tabs>
        <w:tab w:val="left" w:pos="1240"/>
      </w:tabs>
      <w:suppressAutoHyphens/>
      <w:autoSpaceDE w:val="0"/>
      <w:autoSpaceDN w:val="0"/>
      <w:adjustRightInd w:val="0"/>
      <w:spacing w:before="0" w:after="240"/>
      <w:ind w:left="1241" w:hanging="360"/>
      <w:textAlignment w:val="center"/>
    </w:pPr>
    <w:rPr>
      <w:rFonts w:eastAsiaTheme="minorEastAsia" w:cs="Times LT Std"/>
      <w:i/>
      <w:iCs/>
      <w:color w:val="000000"/>
      <w:kern w:val="0"/>
      <w:szCs w:val="22"/>
      <w:lang w:bidi="ar-SA"/>
    </w:rPr>
  </w:style>
  <w:style w:type="paragraph" w:customStyle="1" w:styleId="L6">
    <w:name w:val="L6"/>
    <w:basedOn w:val="l5"/>
    <w:autoRedefine/>
    <w:uiPriority w:val="99"/>
    <w:semiHidden/>
    <w:rsid w:val="00201F3F"/>
    <w:pPr>
      <w:tabs>
        <w:tab w:val="clear" w:pos="881"/>
        <w:tab w:val="left" w:pos="1680"/>
      </w:tabs>
      <w:ind w:left="1680" w:hanging="480"/>
    </w:pPr>
    <w:rPr>
      <w:szCs w:val="24"/>
    </w:rPr>
  </w:style>
  <w:style w:type="paragraph" w:customStyle="1" w:styleId="l60">
    <w:name w:val="l6"/>
    <w:basedOn w:val="text"/>
    <w:autoRedefine/>
    <w:semiHidden/>
    <w:qFormat/>
    <w:rsid w:val="00201F3F"/>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201F3F"/>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Level21">
    <w:name w:val="Level 2 / 1"/>
    <w:basedOn w:val="Normal"/>
    <w:autoRedefine/>
    <w:uiPriority w:val="99"/>
    <w:semiHidden/>
    <w:rsid w:val="00201F3F"/>
    <w:pPr>
      <w:keepNext/>
      <w:widowControl w:val="0"/>
      <w:tabs>
        <w:tab w:val="left" w:pos="480"/>
      </w:tabs>
      <w:suppressAutoHyphens/>
      <w:autoSpaceDE w:val="0"/>
      <w:autoSpaceDN w:val="0"/>
      <w:adjustRightInd w:val="0"/>
      <w:spacing w:before="0" w:after="240"/>
      <w:ind w:left="480" w:hanging="480"/>
      <w:textAlignment w:val="center"/>
    </w:pPr>
    <w:rPr>
      <w:rFonts w:eastAsiaTheme="minorEastAsia" w:cs="NewCenturySchlbk"/>
      <w:b/>
      <w:bCs/>
      <w:i/>
      <w:iCs/>
      <w:color w:val="000000"/>
      <w:kern w:val="0"/>
      <w:szCs w:val="22"/>
      <w:lang w:bidi="ar-SA"/>
    </w:rPr>
  </w:style>
  <w:style w:type="paragraph" w:customStyle="1" w:styleId="Level2Head">
    <w:name w:val="Level 2 Head"/>
    <w:basedOn w:val="Normal"/>
    <w:autoRedefine/>
    <w:uiPriority w:val="99"/>
    <w:semiHidden/>
    <w:rsid w:val="00201F3F"/>
    <w:pPr>
      <w:keepNext/>
      <w:widowControl w:val="0"/>
      <w:tabs>
        <w:tab w:val="left" w:pos="480"/>
      </w:tabs>
      <w:suppressAutoHyphens/>
      <w:autoSpaceDE w:val="0"/>
      <w:autoSpaceDN w:val="0"/>
      <w:adjustRightInd w:val="0"/>
      <w:spacing w:before="360" w:after="240"/>
      <w:ind w:left="480" w:hanging="480"/>
      <w:textAlignment w:val="center"/>
    </w:pPr>
    <w:rPr>
      <w:rFonts w:eastAsiaTheme="minorEastAsia" w:cs="NewCenturySchlbk"/>
      <w:b/>
      <w:bCs/>
      <w:i/>
      <w:iCs/>
      <w:color w:val="000000"/>
      <w:kern w:val="0"/>
      <w:szCs w:val="22"/>
      <w:lang w:bidi="ar-SA"/>
    </w:rPr>
  </w:style>
  <w:style w:type="paragraph" w:customStyle="1" w:styleId="Level3Head">
    <w:name w:val="Level 3 Head"/>
    <w:basedOn w:val="Normal"/>
    <w:autoRedefine/>
    <w:uiPriority w:val="99"/>
    <w:semiHidden/>
    <w:rsid w:val="00201F3F"/>
    <w:pPr>
      <w:keepNext/>
      <w:widowControl w:val="0"/>
      <w:tabs>
        <w:tab w:val="left" w:pos="920"/>
      </w:tabs>
      <w:suppressAutoHyphens/>
      <w:autoSpaceDE w:val="0"/>
      <w:autoSpaceDN w:val="0"/>
      <w:adjustRightInd w:val="0"/>
      <w:spacing w:after="240"/>
      <w:ind w:left="919" w:hanging="480"/>
      <w:textAlignment w:val="center"/>
    </w:pPr>
    <w:rPr>
      <w:rFonts w:eastAsiaTheme="minorEastAsia" w:cs="NewCenturySchlbk"/>
      <w:i/>
      <w:iCs/>
      <w:color w:val="000000"/>
      <w:kern w:val="0"/>
      <w:szCs w:val="22"/>
      <w:lang w:bidi="ar-SA"/>
    </w:rPr>
  </w:style>
  <w:style w:type="paragraph" w:customStyle="1" w:styleId="Level32">
    <w:name w:val="Level 3 / 2"/>
    <w:basedOn w:val="Level3Head"/>
    <w:autoRedefine/>
    <w:uiPriority w:val="99"/>
    <w:semiHidden/>
    <w:rsid w:val="00201F3F"/>
    <w:pPr>
      <w:spacing w:before="0"/>
    </w:pPr>
  </w:style>
  <w:style w:type="paragraph" w:customStyle="1" w:styleId="Level4Head">
    <w:name w:val="Level 4 Head"/>
    <w:basedOn w:val="text"/>
    <w:autoRedefine/>
    <w:uiPriority w:val="99"/>
    <w:semiHidden/>
    <w:rsid w:val="00201F3F"/>
    <w:pPr>
      <w:keepNext/>
      <w:widowControl w:val="0"/>
      <w:tabs>
        <w:tab w:val="clear" w:pos="0"/>
        <w:tab w:val="clear" w:pos="720"/>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201F3F"/>
    <w:pPr>
      <w:spacing w:before="0"/>
    </w:pPr>
  </w:style>
  <w:style w:type="paragraph" w:customStyle="1" w:styleId="Level5D">
    <w:name w:val="Level 5 (D)"/>
    <w:basedOn w:val="Level4Head"/>
    <w:autoRedefine/>
    <w:uiPriority w:val="99"/>
    <w:semiHidden/>
    <w:rsid w:val="00201F3F"/>
    <w:pPr>
      <w:ind w:left="1399"/>
    </w:pPr>
  </w:style>
  <w:style w:type="paragraph" w:customStyle="1" w:styleId="Level6i">
    <w:name w:val="Level 6 (i)"/>
    <w:basedOn w:val="Level5D"/>
    <w:autoRedefine/>
    <w:uiPriority w:val="99"/>
    <w:semiHidden/>
    <w:rsid w:val="00201F3F"/>
    <w:pPr>
      <w:tabs>
        <w:tab w:val="left" w:pos="1880"/>
      </w:tabs>
      <w:ind w:left="1879"/>
    </w:pPr>
  </w:style>
  <w:style w:type="paragraph" w:customStyle="1" w:styleId="namecentered">
    <w:name w:val="name centered"/>
    <w:basedOn w:val="Normal"/>
    <w:autoRedefine/>
    <w:uiPriority w:val="99"/>
    <w:semiHidden/>
    <w:rsid w:val="00201F3F"/>
    <w:pPr>
      <w:widowControl w:val="0"/>
      <w:suppressAutoHyphens/>
      <w:autoSpaceDE w:val="0"/>
      <w:autoSpaceDN w:val="0"/>
      <w:adjustRightInd w:val="0"/>
      <w:spacing w:after="0"/>
      <w:ind w:left="221" w:hanging="221"/>
      <w:jc w:val="center"/>
      <w:textAlignment w:val="center"/>
    </w:pPr>
    <w:rPr>
      <w:rFonts w:ascii="Times New Roman Bold" w:eastAsiaTheme="minorEastAsia" w:hAnsi="Times New Roman Bold" w:cs="Times SC"/>
      <w:b/>
      <w:bCs/>
      <w:smallCaps/>
      <w:color w:val="000000"/>
      <w:kern w:val="0"/>
      <w:sz w:val="23"/>
      <w:szCs w:val="23"/>
      <w:lang w:bidi="ar-SA"/>
    </w:rPr>
  </w:style>
  <w:style w:type="paragraph" w:customStyle="1" w:styleId="ntblockindentnoparaindent">
    <w:name w:val="nt block indent (no para indent)"/>
    <w:basedOn w:val="footnote"/>
    <w:autoRedefine/>
    <w:uiPriority w:val="99"/>
    <w:semiHidden/>
    <w:rsid w:val="00201F3F"/>
    <w:pPr>
      <w:autoSpaceDE w:val="0"/>
      <w:autoSpaceDN w:val="0"/>
      <w:adjustRightInd w:val="0"/>
      <w:ind w:left="720" w:firstLine="0"/>
      <w:jc w:val="both"/>
      <w:textAlignment w:val="center"/>
    </w:pPr>
    <w:rPr>
      <w:rFonts w:cs="NewCenturySchlbk"/>
      <w:color w:val="000000"/>
      <w:szCs w:val="18"/>
    </w:rPr>
  </w:style>
  <w:style w:type="paragraph" w:customStyle="1" w:styleId="ntflush">
    <w:name w:val="nt flush"/>
    <w:basedOn w:val="footnote"/>
    <w:autoRedefine/>
    <w:uiPriority w:val="99"/>
    <w:semiHidden/>
    <w:rsid w:val="00201F3F"/>
    <w:pPr>
      <w:autoSpaceDE w:val="0"/>
      <w:autoSpaceDN w:val="0"/>
      <w:adjustRightInd w:val="0"/>
      <w:ind w:firstLine="0"/>
      <w:jc w:val="both"/>
      <w:textAlignment w:val="center"/>
    </w:pPr>
    <w:rPr>
      <w:rFonts w:cs="NewCenturySchlbk"/>
      <w:color w:val="000000"/>
      <w:szCs w:val="18"/>
    </w:rPr>
  </w:style>
  <w:style w:type="paragraph" w:customStyle="1" w:styleId="ntindent">
    <w:name w:val="nt indent"/>
    <w:basedOn w:val="footnote"/>
    <w:autoRedefine/>
    <w:uiPriority w:val="99"/>
    <w:semiHidden/>
    <w:rsid w:val="00201F3F"/>
    <w:pPr>
      <w:autoSpaceDE w:val="0"/>
      <w:autoSpaceDN w:val="0"/>
      <w:adjustRightInd w:val="0"/>
      <w:ind w:left="720" w:firstLine="0"/>
      <w:textAlignment w:val="center"/>
    </w:pPr>
    <w:rPr>
      <w:rFonts w:cs="Times LT Std"/>
      <w:color w:val="000000"/>
      <w:szCs w:val="18"/>
    </w:rPr>
  </w:style>
  <w:style w:type="paragraph" w:customStyle="1" w:styleId="ntnumberlist">
    <w:name w:val="nt number list"/>
    <w:basedOn w:val="Normal"/>
    <w:autoRedefine/>
    <w:uiPriority w:val="99"/>
    <w:semiHidden/>
    <w:rsid w:val="00201F3F"/>
    <w:pPr>
      <w:widowControl w:val="0"/>
      <w:tabs>
        <w:tab w:val="left" w:pos="600"/>
      </w:tabs>
      <w:autoSpaceDE w:val="0"/>
      <w:autoSpaceDN w:val="0"/>
      <w:adjustRightInd w:val="0"/>
      <w:spacing w:before="0" w:after="0"/>
      <w:ind w:left="960" w:hanging="240"/>
      <w:textAlignment w:val="center"/>
    </w:pPr>
    <w:rPr>
      <w:rFonts w:eastAsiaTheme="minorEastAsia" w:cs="Times LT Std"/>
      <w:color w:val="000000"/>
      <w:kern w:val="0"/>
      <w:sz w:val="20"/>
      <w:szCs w:val="18"/>
      <w:lang w:bidi="ar-SA"/>
    </w:rPr>
  </w:style>
  <w:style w:type="paragraph" w:customStyle="1" w:styleId="ntpara">
    <w:name w:val="nt para"/>
    <w:basedOn w:val="ntblockindentnoparaindent"/>
    <w:autoRedefine/>
    <w:uiPriority w:val="99"/>
    <w:semiHidden/>
    <w:rsid w:val="00201F3F"/>
    <w:pPr>
      <w:ind w:left="0" w:firstLine="720"/>
      <w:jc w:val="left"/>
    </w:pPr>
  </w:style>
  <w:style w:type="paragraph" w:customStyle="1" w:styleId="ntregpara">
    <w:name w:val="nt reg para"/>
    <w:basedOn w:val="Normal"/>
    <w:autoRedefine/>
    <w:uiPriority w:val="99"/>
    <w:semiHidden/>
    <w:rsid w:val="00201F3F"/>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before="0" w:after="0"/>
      <w:ind w:firstLine="720"/>
      <w:jc w:val="both"/>
      <w:textAlignment w:val="center"/>
    </w:pPr>
    <w:rPr>
      <w:rFonts w:eastAsiaTheme="minorEastAsia" w:cs="Times LT Std"/>
      <w:color w:val="000000"/>
      <w:kern w:val="0"/>
      <w:sz w:val="20"/>
      <w:szCs w:val="18"/>
      <w:lang w:bidi="ar-SA"/>
    </w:rPr>
  </w:style>
  <w:style w:type="paragraph" w:customStyle="1" w:styleId="nt-indent">
    <w:name w:val="nt-indent"/>
    <w:basedOn w:val="footnote"/>
    <w:autoRedefine/>
    <w:uiPriority w:val="99"/>
    <w:semiHidden/>
    <w:rsid w:val="00201F3F"/>
    <w:pPr>
      <w:autoSpaceDE w:val="0"/>
      <w:autoSpaceDN w:val="0"/>
      <w:adjustRightInd w:val="0"/>
      <w:ind w:left="720" w:firstLine="0"/>
      <w:textAlignment w:val="center"/>
    </w:pPr>
    <w:rPr>
      <w:rFonts w:cs="Times LT Std"/>
      <w:color w:val="000000"/>
      <w:szCs w:val="16"/>
    </w:rPr>
  </w:style>
  <w:style w:type="paragraph" w:customStyle="1" w:styleId="Numberlist">
    <w:name w:val="Number list"/>
    <w:basedOn w:val="Normal"/>
    <w:autoRedefine/>
    <w:uiPriority w:val="99"/>
    <w:semiHidden/>
    <w:rsid w:val="00201F3F"/>
    <w:pPr>
      <w:widowControl w:val="0"/>
      <w:tabs>
        <w:tab w:val="left" w:pos="800"/>
      </w:tabs>
      <w:autoSpaceDE w:val="0"/>
      <w:autoSpaceDN w:val="0"/>
      <w:adjustRightInd w:val="0"/>
      <w:spacing w:before="0" w:after="0"/>
      <w:ind w:left="919" w:hanging="480"/>
      <w:jc w:val="both"/>
      <w:textAlignment w:val="center"/>
    </w:pPr>
    <w:rPr>
      <w:rFonts w:eastAsiaTheme="minorEastAsia" w:cs="ITC New Baskerville Std"/>
      <w:color w:val="000000"/>
      <w:kern w:val="0"/>
      <w:szCs w:val="22"/>
      <w:lang w:bidi="ar-SA"/>
    </w:rPr>
  </w:style>
  <w:style w:type="paragraph" w:customStyle="1" w:styleId="numberlistplstart">
    <w:name w:val="number list pl_start"/>
    <w:basedOn w:val="Normal"/>
    <w:autoRedefine/>
    <w:semiHidden/>
    <w:qFormat/>
    <w:rsid w:val="00201F3F"/>
    <w:pPr>
      <w:tabs>
        <w:tab w:val="left" w:pos="919"/>
      </w:tabs>
      <w:spacing w:after="0"/>
      <w:ind w:left="919" w:hanging="480"/>
    </w:pPr>
    <w:rPr>
      <w:rFonts w:eastAsiaTheme="minorEastAsia" w:cs="NewCenturySchlbk"/>
      <w:color w:val="000000"/>
      <w:kern w:val="0"/>
      <w:szCs w:val="22"/>
      <w:lang w:bidi="ar-SA"/>
    </w:rPr>
  </w:style>
  <w:style w:type="paragraph" w:customStyle="1" w:styleId="numberlist0">
    <w:name w:val="number list"/>
    <w:basedOn w:val="numberlistplstart"/>
    <w:autoRedefine/>
    <w:uiPriority w:val="99"/>
    <w:semiHidden/>
    <w:qFormat/>
    <w:rsid w:val="00201F3F"/>
    <w:pPr>
      <w:spacing w:before="0"/>
    </w:pPr>
  </w:style>
  <w:style w:type="paragraph" w:customStyle="1" w:styleId="numberlistplend">
    <w:name w:val="number list pl end"/>
    <w:basedOn w:val="Normal"/>
    <w:autoRedefine/>
    <w:uiPriority w:val="99"/>
    <w:semiHidden/>
    <w:rsid w:val="00201F3F"/>
    <w:pPr>
      <w:tabs>
        <w:tab w:val="left" w:pos="919"/>
      </w:tabs>
      <w:spacing w:before="0" w:after="240"/>
      <w:ind w:left="919" w:hanging="480"/>
    </w:pPr>
    <w:rPr>
      <w:rFonts w:eastAsiaTheme="minorEastAsia"/>
      <w:kern w:val="0"/>
      <w:szCs w:val="22"/>
      <w:lang w:bidi="ar-SA"/>
    </w:rPr>
  </w:style>
  <w:style w:type="paragraph" w:customStyle="1" w:styleId="numberlistend">
    <w:name w:val="number list end"/>
    <w:basedOn w:val="numberlistplend"/>
    <w:autoRedefine/>
    <w:uiPriority w:val="99"/>
    <w:semiHidden/>
    <w:qFormat/>
    <w:rsid w:val="00201F3F"/>
    <w:pPr>
      <w:spacing w:before="240" w:after="0"/>
    </w:pPr>
  </w:style>
  <w:style w:type="paragraph" w:customStyle="1" w:styleId="numberlistpl">
    <w:name w:val="number list pl"/>
    <w:basedOn w:val="Normal"/>
    <w:autoRedefine/>
    <w:uiPriority w:val="99"/>
    <w:semiHidden/>
    <w:qFormat/>
    <w:rsid w:val="00201F3F"/>
    <w:pPr>
      <w:widowControl w:val="0"/>
      <w:tabs>
        <w:tab w:val="left" w:pos="920"/>
      </w:tabs>
      <w:autoSpaceDE w:val="0"/>
      <w:autoSpaceDN w:val="0"/>
      <w:adjustRightInd w:val="0"/>
      <w:spacing w:before="0" w:after="0"/>
      <w:ind w:left="919" w:hanging="480"/>
      <w:textAlignment w:val="center"/>
    </w:pPr>
    <w:rPr>
      <w:rFonts w:eastAsiaTheme="minorEastAsia" w:cs="ITC New Baskerville Std"/>
      <w:color w:val="000000"/>
      <w:kern w:val="0"/>
      <w:szCs w:val="22"/>
      <w:lang w:bidi="ar-SA"/>
    </w:rPr>
  </w:style>
  <w:style w:type="paragraph" w:customStyle="1" w:styleId="numberlistplstart0">
    <w:name w:val="number list pl start"/>
    <w:basedOn w:val="Normal"/>
    <w:next w:val="numberlistplend"/>
    <w:autoRedefine/>
    <w:uiPriority w:val="99"/>
    <w:semiHidden/>
    <w:rsid w:val="00201F3F"/>
    <w:pPr>
      <w:widowControl w:val="0"/>
      <w:tabs>
        <w:tab w:val="left" w:pos="920"/>
      </w:tabs>
      <w:autoSpaceDE w:val="0"/>
      <w:autoSpaceDN w:val="0"/>
      <w:adjustRightInd w:val="0"/>
      <w:spacing w:after="0"/>
      <w:ind w:left="919" w:hanging="480"/>
      <w:textAlignment w:val="center"/>
    </w:pPr>
    <w:rPr>
      <w:rFonts w:eastAsiaTheme="minorEastAsia" w:cs="ITC New Baskerville Std"/>
      <w:color w:val="000000"/>
      <w:kern w:val="0"/>
      <w:szCs w:val="22"/>
      <w:lang w:bidi="ar-SA"/>
    </w:rPr>
  </w:style>
  <w:style w:type="paragraph" w:customStyle="1" w:styleId="numberlistplal">
    <w:name w:val="number list pl / al"/>
    <w:basedOn w:val="numberlistplstart0"/>
    <w:autoRedefine/>
    <w:semiHidden/>
    <w:qFormat/>
    <w:rsid w:val="00201F3F"/>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201F3F"/>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201F3F"/>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201F3F"/>
    <w:pPr>
      <w:tabs>
        <w:tab w:val="clear" w:pos="1440"/>
        <w:tab w:val="left" w:pos="1920"/>
      </w:tabs>
      <w:ind w:left="1920"/>
    </w:pPr>
  </w:style>
  <w:style w:type="paragraph" w:customStyle="1" w:styleId="numberlistplbullet">
    <w:name w:val="number list pl/bullet"/>
    <w:basedOn w:val="Normal"/>
    <w:autoRedefine/>
    <w:uiPriority w:val="99"/>
    <w:semiHidden/>
    <w:rsid w:val="00201F3F"/>
    <w:pPr>
      <w:widowControl w:val="0"/>
      <w:tabs>
        <w:tab w:val="left" w:pos="1060"/>
      </w:tabs>
      <w:autoSpaceDE w:val="0"/>
      <w:autoSpaceDN w:val="0"/>
      <w:adjustRightInd w:val="0"/>
      <w:spacing w:before="0" w:after="0"/>
      <w:ind w:left="1061" w:hanging="180"/>
      <w:textAlignment w:val="center"/>
    </w:pPr>
    <w:rPr>
      <w:rFonts w:eastAsiaTheme="minorEastAsia" w:cs="Times LT Std"/>
      <w:color w:val="000000"/>
      <w:kern w:val="0"/>
      <w:szCs w:val="22"/>
      <w:lang w:bidi="ar-SA"/>
    </w:rPr>
  </w:style>
  <w:style w:type="paragraph" w:customStyle="1" w:styleId="numberlistplend0">
    <w:name w:val="number list pl_end"/>
    <w:basedOn w:val="Normal"/>
    <w:autoRedefine/>
    <w:uiPriority w:val="99"/>
    <w:semiHidden/>
    <w:rsid w:val="00201F3F"/>
    <w:pPr>
      <w:widowControl w:val="0"/>
      <w:tabs>
        <w:tab w:val="left" w:pos="920"/>
      </w:tabs>
      <w:autoSpaceDE w:val="0"/>
      <w:autoSpaceDN w:val="0"/>
      <w:adjustRightInd w:val="0"/>
      <w:spacing w:before="0" w:after="240"/>
      <w:ind w:left="919" w:hanging="480"/>
      <w:textAlignment w:val="center"/>
    </w:pPr>
    <w:rPr>
      <w:rFonts w:eastAsiaTheme="minorEastAsia"/>
      <w:kern w:val="0"/>
      <w:szCs w:val="22"/>
      <w:lang w:bidi="ar-SA"/>
    </w:rPr>
  </w:style>
  <w:style w:type="paragraph" w:customStyle="1" w:styleId="numberlistpnl">
    <w:name w:val="number list pnl"/>
    <w:basedOn w:val="Normal"/>
    <w:autoRedefine/>
    <w:uiPriority w:val="99"/>
    <w:semiHidden/>
    <w:qFormat/>
    <w:rsid w:val="00201F3F"/>
    <w:pPr>
      <w:widowControl w:val="0"/>
      <w:tabs>
        <w:tab w:val="left" w:pos="1020"/>
      </w:tabs>
      <w:autoSpaceDE w:val="0"/>
      <w:autoSpaceDN w:val="0"/>
      <w:adjustRightInd w:val="0"/>
      <w:spacing w:before="0" w:after="0"/>
      <w:ind w:left="919" w:hanging="480"/>
      <w:textAlignment w:val="center"/>
    </w:pPr>
    <w:rPr>
      <w:rFonts w:eastAsiaTheme="minorEastAsia" w:cs="ITC New Baskerville Std"/>
      <w:color w:val="000000"/>
      <w:kern w:val="0"/>
      <w:lang w:bidi="ar-SA"/>
    </w:rPr>
  </w:style>
  <w:style w:type="paragraph" w:customStyle="1" w:styleId="numberliststart">
    <w:name w:val="number list start"/>
    <w:basedOn w:val="Normal"/>
    <w:autoRedefine/>
    <w:uiPriority w:val="99"/>
    <w:semiHidden/>
    <w:qFormat/>
    <w:rsid w:val="00201F3F"/>
    <w:pPr>
      <w:spacing w:after="0"/>
      <w:ind w:left="919" w:hanging="480"/>
    </w:pPr>
    <w:rPr>
      <w:rFonts w:eastAsiaTheme="minorEastAsia" w:cstheme="minorBidi"/>
      <w:kern w:val="0"/>
      <w:szCs w:val="22"/>
      <w:lang w:bidi="ar-SA"/>
    </w:rPr>
  </w:style>
  <w:style w:type="paragraph" w:customStyle="1" w:styleId="Numberliststart0">
    <w:name w:val="Number list start"/>
    <w:basedOn w:val="Normal"/>
    <w:autoRedefine/>
    <w:uiPriority w:val="99"/>
    <w:semiHidden/>
    <w:rsid w:val="00201F3F"/>
    <w:pPr>
      <w:widowControl w:val="0"/>
      <w:tabs>
        <w:tab w:val="left" w:pos="800"/>
      </w:tabs>
      <w:autoSpaceDE w:val="0"/>
      <w:autoSpaceDN w:val="0"/>
      <w:adjustRightInd w:val="0"/>
      <w:spacing w:after="0"/>
      <w:ind w:left="919" w:hanging="480"/>
      <w:textAlignment w:val="center"/>
    </w:pPr>
    <w:rPr>
      <w:rFonts w:cs="ITC New Baskerville Std"/>
      <w:color w:val="000000"/>
      <w:kern w:val="0"/>
      <w:lang w:bidi="ar-SA"/>
    </w:rPr>
  </w:style>
  <w:style w:type="paragraph" w:customStyle="1" w:styleId="numberliststop">
    <w:name w:val="number list stop"/>
    <w:basedOn w:val="numberliststart"/>
    <w:autoRedefine/>
    <w:uiPriority w:val="99"/>
    <w:semiHidden/>
    <w:rsid w:val="00201F3F"/>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201F3F"/>
    <w:pPr>
      <w:tabs>
        <w:tab w:val="left" w:pos="1400"/>
      </w:tabs>
      <w:spacing w:before="0" w:after="0"/>
      <w:ind w:left="1399" w:hanging="480"/>
      <w:jc w:val="both"/>
    </w:pPr>
    <w:rPr>
      <w:rFonts w:eastAsiaTheme="minorEastAsia" w:cstheme="minorBidi"/>
      <w:kern w:val="0"/>
      <w:szCs w:val="22"/>
      <w:lang w:bidi="ar-SA"/>
    </w:rPr>
  </w:style>
  <w:style w:type="paragraph" w:customStyle="1" w:styleId="parttextflush">
    <w:name w:val="part text flush"/>
    <w:basedOn w:val="Normal"/>
    <w:autoRedefine/>
    <w:uiPriority w:val="99"/>
    <w:semiHidden/>
    <w:rsid w:val="00201F3F"/>
    <w:pPr>
      <w:widowControl w:val="0"/>
      <w:autoSpaceDE w:val="0"/>
      <w:autoSpaceDN w:val="0"/>
      <w:adjustRightInd w:val="0"/>
      <w:spacing w:before="0" w:after="0"/>
      <w:textAlignment w:val="center"/>
    </w:pPr>
    <w:rPr>
      <w:rFonts w:eastAsiaTheme="minorEastAsia" w:cs="Times LT Std"/>
      <w:i/>
      <w:iCs/>
      <w:color w:val="000000"/>
      <w:kern w:val="0"/>
      <w:szCs w:val="22"/>
      <w:lang w:bidi="ar-SA"/>
    </w:rPr>
  </w:style>
  <w:style w:type="paragraph" w:customStyle="1" w:styleId="partboldhead-">
    <w:name w:val="part bold head -/+"/>
    <w:basedOn w:val="parttextflush"/>
    <w:autoRedefine/>
    <w:uiPriority w:val="99"/>
    <w:semiHidden/>
    <w:rsid w:val="00201F3F"/>
    <w:pPr>
      <w:spacing w:after="240"/>
    </w:pPr>
    <w:rPr>
      <w:b/>
      <w:bCs/>
      <w:i w:val="0"/>
      <w:iCs w:val="0"/>
    </w:rPr>
  </w:style>
  <w:style w:type="paragraph" w:customStyle="1" w:styleId="partbulletlist">
    <w:name w:val="part bullet list"/>
    <w:basedOn w:val="Normal"/>
    <w:autoRedefine/>
    <w:uiPriority w:val="99"/>
    <w:semiHidden/>
    <w:rsid w:val="00201F3F"/>
    <w:pPr>
      <w:widowControl w:val="0"/>
      <w:tabs>
        <w:tab w:val="left" w:pos="180"/>
      </w:tabs>
      <w:autoSpaceDE w:val="0"/>
      <w:autoSpaceDN w:val="0"/>
      <w:adjustRightInd w:val="0"/>
      <w:spacing w:before="0" w:after="0"/>
      <w:ind w:left="180" w:hanging="180"/>
      <w:textAlignment w:val="center"/>
    </w:pPr>
    <w:rPr>
      <w:rFonts w:eastAsiaTheme="minorEastAsia" w:cs="Times LT Std"/>
      <w:color w:val="000000"/>
      <w:kern w:val="0"/>
      <w:szCs w:val="22"/>
      <w:lang w:bidi="ar-SA"/>
    </w:rPr>
  </w:style>
  <w:style w:type="paragraph" w:customStyle="1" w:styleId="parttextitalic">
    <w:name w:val="part text italic"/>
    <w:basedOn w:val="Normal"/>
    <w:autoRedefine/>
    <w:semiHidden/>
    <w:qFormat/>
    <w:rsid w:val="00201F3F"/>
    <w:pPr>
      <w:spacing w:before="0" w:after="0"/>
    </w:pPr>
    <w:rPr>
      <w:rFonts w:eastAsiaTheme="minorEastAsia" w:cstheme="minorBidi"/>
      <w:i/>
      <w:kern w:val="0"/>
      <w:szCs w:val="22"/>
      <w:lang w:bidi="ar-SA"/>
    </w:rPr>
  </w:style>
  <w:style w:type="paragraph" w:customStyle="1" w:styleId="PracticeTip">
    <w:name w:val="Practice Tip"/>
    <w:basedOn w:val="text"/>
    <w:autoRedefine/>
    <w:uiPriority w:val="99"/>
    <w:semiHidden/>
    <w:rsid w:val="00201F3F"/>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201F3F"/>
    <w:pPr>
      <w:widowControl w:val="0"/>
      <w:pBdr>
        <w:bottom w:val="single" w:sz="8" w:space="12" w:color="auto"/>
      </w:pBdr>
      <w:autoSpaceDE w:val="0"/>
      <w:autoSpaceDN w:val="0"/>
      <w:adjustRightInd w:val="0"/>
      <w:spacing w:before="0" w:after="240"/>
      <w:textAlignment w:val="center"/>
    </w:pPr>
    <w:rPr>
      <w:rFonts w:eastAsiaTheme="minorEastAsia" w:cs="ITC New Baskerville Std"/>
      <w:color w:val="000000"/>
      <w:kern w:val="0"/>
      <w:szCs w:val="22"/>
      <w:lang w:bidi="ar-SA"/>
    </w:rPr>
  </w:style>
  <w:style w:type="paragraph" w:customStyle="1" w:styleId="praticetiphead">
    <w:name w:val="pratice tip head"/>
    <w:basedOn w:val="text"/>
    <w:autoRedefine/>
    <w:uiPriority w:val="99"/>
    <w:semiHidden/>
    <w:rsid w:val="00201F3F"/>
    <w:pPr>
      <w:widowControl w:val="0"/>
      <w:pBdr>
        <w:top w:val="single" w:sz="8" w:space="18" w:color="auto"/>
      </w:pBd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201F3F"/>
    <w:pPr>
      <w:widowControl w:val="0"/>
      <w:tabs>
        <w:tab w:val="left" w:pos="480"/>
      </w:tabs>
      <w:autoSpaceDE w:val="0"/>
      <w:autoSpaceDN w:val="0"/>
      <w:adjustRightInd w:val="0"/>
      <w:spacing w:before="120" w:after="240"/>
      <w:ind w:left="480" w:hanging="480"/>
      <w:textAlignment w:val="center"/>
    </w:pPr>
    <w:rPr>
      <w:rFonts w:eastAsiaTheme="minorEastAsia" w:cs="Times LT Std"/>
      <w:b/>
      <w:bCs/>
      <w:color w:val="000000"/>
      <w:kern w:val="0"/>
      <w:szCs w:val="22"/>
      <w:lang w:bidi="ar-SA"/>
    </w:rPr>
  </w:style>
  <w:style w:type="paragraph" w:customStyle="1" w:styleId="RuleHead">
    <w:name w:val="Rule Head"/>
    <w:basedOn w:val="textflush"/>
    <w:autoRedefine/>
    <w:uiPriority w:val="99"/>
    <w:semiHidden/>
    <w:rsid w:val="00201F3F"/>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201F3F"/>
    <w:rPr>
      <w:rFonts w:ascii="Times New Roman" w:hAnsi="Times New Roman" w:cs="NewCenturySchlbk LT Std"/>
      <w:caps w:val="0"/>
      <w:smallCaps/>
      <w:w w:val="70"/>
    </w:rPr>
  </w:style>
  <w:style w:type="paragraph" w:customStyle="1" w:styleId="StateBold">
    <w:name w:val="State Bold"/>
    <w:basedOn w:val="Normal"/>
    <w:uiPriority w:val="99"/>
    <w:semiHidden/>
    <w:rsid w:val="00201F3F"/>
    <w:pPr>
      <w:widowControl w:val="0"/>
      <w:autoSpaceDE w:val="0"/>
      <w:autoSpaceDN w:val="0"/>
      <w:adjustRightInd w:val="0"/>
      <w:spacing w:after="240"/>
      <w:textAlignment w:val="center"/>
    </w:pPr>
    <w:rPr>
      <w:rFonts w:eastAsiaTheme="minorEastAsia" w:cs="Times LT Std"/>
      <w:b/>
      <w:bCs/>
      <w:color w:val="000000"/>
      <w:kern w:val="0"/>
      <w:lang w:bidi="ar-SA"/>
    </w:rPr>
  </w:style>
  <w:style w:type="character" w:customStyle="1" w:styleId="superscript">
    <w:name w:val="superscript"/>
    <w:uiPriority w:val="99"/>
    <w:semiHidden/>
    <w:rsid w:val="00201F3F"/>
    <w:rPr>
      <w:vertAlign w:val="superscript"/>
    </w:rPr>
  </w:style>
  <w:style w:type="paragraph" w:customStyle="1" w:styleId="TableTitle">
    <w:name w:val="Table Title"/>
    <w:basedOn w:val="Normal"/>
    <w:autoRedefine/>
    <w:uiPriority w:val="99"/>
    <w:semiHidden/>
    <w:rsid w:val="00201F3F"/>
    <w:pPr>
      <w:widowControl w:val="0"/>
      <w:suppressAutoHyphens/>
      <w:autoSpaceDE w:val="0"/>
      <w:autoSpaceDN w:val="0"/>
      <w:adjustRightInd w:val="0"/>
      <w:spacing w:after="240"/>
      <w:textAlignment w:val="center"/>
    </w:pPr>
    <w:rPr>
      <w:rFonts w:eastAsiaTheme="minorEastAsia" w:cs="ITC New Baskerville Std"/>
      <w:b/>
      <w:bCs/>
      <w:color w:val="000000"/>
      <w:kern w:val="0"/>
      <w:szCs w:val="22"/>
      <w:lang w:bidi="ar-SA"/>
    </w:rPr>
  </w:style>
  <w:style w:type="paragraph" w:customStyle="1" w:styleId="Text0">
    <w:name w:val="Text"/>
    <w:basedOn w:val="Normal"/>
    <w:autoRedefine/>
    <w:semiHidden/>
    <w:qFormat/>
    <w:rsid w:val="00201F3F"/>
    <w:pPr>
      <w:spacing w:before="0" w:after="0"/>
    </w:pPr>
    <w:rPr>
      <w:rFonts w:eastAsiaTheme="minorEastAsia" w:cstheme="minorBidi"/>
      <w:kern w:val="0"/>
      <w:szCs w:val="22"/>
      <w:lang w:bidi="ar-SA"/>
    </w:rPr>
  </w:style>
  <w:style w:type="paragraph" w:customStyle="1" w:styleId="text-0">
    <w:name w:val="text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201F3F"/>
    <w:pPr>
      <w:widowControl w:val="0"/>
      <w:autoSpaceDE w:val="0"/>
      <w:autoSpaceDN w:val="0"/>
      <w:adjustRightInd w:val="0"/>
      <w:spacing w:before="120"/>
      <w:ind w:firstLine="720"/>
      <w:textAlignment w:val="center"/>
    </w:pPr>
    <w:rPr>
      <w:rFonts w:eastAsiaTheme="minorEastAsia" w:cs="ITC New Baskerville Std"/>
      <w:color w:val="000000"/>
      <w:kern w:val="0"/>
      <w:szCs w:val="22"/>
      <w:lang w:bidi="ar-SA"/>
    </w:rPr>
  </w:style>
  <w:style w:type="paragraph" w:customStyle="1" w:styleId="text16picaindent">
    <w:name w:val="text 1.6 pica indent"/>
    <w:basedOn w:val="Normal"/>
    <w:autoRedefine/>
    <w:uiPriority w:val="99"/>
    <w:semiHidden/>
    <w:rsid w:val="00201F3F"/>
    <w:pPr>
      <w:widowControl w:val="0"/>
      <w:autoSpaceDE w:val="0"/>
      <w:autoSpaceDN w:val="0"/>
      <w:adjustRightInd w:val="0"/>
      <w:spacing w:before="0" w:after="0"/>
      <w:ind w:left="439"/>
      <w:textAlignment w:val="center"/>
    </w:pPr>
    <w:rPr>
      <w:rFonts w:eastAsiaTheme="minorEastAsia" w:cs="Times LT Std"/>
      <w:color w:val="000000"/>
      <w:kern w:val="0"/>
      <w:szCs w:val="22"/>
      <w:lang w:bidi="ar-SA"/>
    </w:rPr>
  </w:style>
  <w:style w:type="paragraph" w:customStyle="1" w:styleId="text6emparaindent">
    <w:name w:val="text 6 em para indent"/>
    <w:basedOn w:val="Normal"/>
    <w:autoRedefine/>
    <w:uiPriority w:val="99"/>
    <w:semiHidden/>
    <w:rsid w:val="00201F3F"/>
    <w:pPr>
      <w:widowControl w:val="0"/>
      <w:tabs>
        <w:tab w:val="left" w:pos="360"/>
        <w:tab w:val="left" w:pos="720"/>
        <w:tab w:val="left" w:pos="1080"/>
        <w:tab w:val="left" w:pos="1440"/>
        <w:tab w:val="left" w:pos="1800"/>
      </w:tabs>
      <w:autoSpaceDE w:val="0"/>
      <w:autoSpaceDN w:val="0"/>
      <w:adjustRightInd w:val="0"/>
      <w:spacing w:before="0" w:after="0"/>
      <w:ind w:firstLine="1320"/>
      <w:textAlignment w:val="center"/>
    </w:pPr>
    <w:rPr>
      <w:rFonts w:eastAsiaTheme="minorEastAsia" w:cs="Times LT Std"/>
      <w:b/>
      <w:bCs/>
      <w:color w:val="000000"/>
      <w:kern w:val="0"/>
      <w:szCs w:val="22"/>
      <w:lang w:bidi="ar-SA"/>
    </w:rPr>
  </w:style>
  <w:style w:type="paragraph" w:customStyle="1" w:styleId="text6ptsbelow">
    <w:name w:val="text 6 pts below"/>
    <w:basedOn w:val="Normal"/>
    <w:autoRedefine/>
    <w:uiPriority w:val="99"/>
    <w:semiHidden/>
    <w:rsid w:val="00201F3F"/>
    <w:pPr>
      <w:widowControl w:val="0"/>
      <w:autoSpaceDE w:val="0"/>
      <w:autoSpaceDN w:val="0"/>
      <w:adjustRightInd w:val="0"/>
      <w:spacing w:before="0"/>
      <w:ind w:firstLine="720"/>
      <w:textAlignment w:val="center"/>
    </w:pPr>
    <w:rPr>
      <w:rFonts w:eastAsiaTheme="minorEastAsia" w:cs="Times LT Std"/>
      <w:color w:val="000000"/>
      <w:kern w:val="0"/>
      <w:szCs w:val="22"/>
      <w:lang w:bidi="ar-SA"/>
    </w:rPr>
  </w:style>
  <w:style w:type="paragraph" w:customStyle="1" w:styleId="text8emparaindent">
    <w:name w:val="text 8 em para indent"/>
    <w:basedOn w:val="text6emparaindent"/>
    <w:autoRedefine/>
    <w:uiPriority w:val="99"/>
    <w:semiHidden/>
    <w:rsid w:val="00201F3F"/>
    <w:pPr>
      <w:ind w:firstLine="1760"/>
    </w:pPr>
    <w:rPr>
      <w:b w:val="0"/>
    </w:rPr>
  </w:style>
  <w:style w:type="paragraph" w:customStyle="1" w:styleId="textaddbld-">
    <w:name w:val="text add bld -/+"/>
    <w:basedOn w:val="Normal"/>
    <w:autoRedefine/>
    <w:uiPriority w:val="99"/>
    <w:semiHidden/>
    <w:rsid w:val="00201F3F"/>
    <w:pPr>
      <w:widowControl w:val="0"/>
      <w:autoSpaceDE w:val="0"/>
      <w:autoSpaceDN w:val="0"/>
      <w:adjustRightInd w:val="0"/>
      <w:spacing w:before="0" w:after="240"/>
      <w:textAlignment w:val="center"/>
    </w:pPr>
    <w:rPr>
      <w:rFonts w:eastAsiaTheme="minorEastAsia" w:cs="NewCenturySchlbk"/>
      <w:b/>
      <w:bCs/>
      <w:color w:val="000000"/>
      <w:kern w:val="0"/>
      <w:szCs w:val="22"/>
      <w:lang w:bidi="ar-SA"/>
    </w:rPr>
  </w:style>
  <w:style w:type="paragraph" w:customStyle="1" w:styleId="textaddbld">
    <w:name w:val="text add bld +/+"/>
    <w:basedOn w:val="textaddbld-"/>
    <w:autoRedefine/>
    <w:uiPriority w:val="99"/>
    <w:semiHidden/>
    <w:rsid w:val="00201F3F"/>
    <w:pPr>
      <w:spacing w:before="240"/>
    </w:pPr>
  </w:style>
  <w:style w:type="paragraph" w:customStyle="1" w:styleId="textbold-">
    <w:name w:val="text bold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201F3F"/>
    <w:pPr>
      <w:spacing w:before="240"/>
    </w:pPr>
    <w:rPr>
      <w:rFonts w:cs="Times LT Std"/>
      <w:szCs w:val="22"/>
    </w:rPr>
  </w:style>
  <w:style w:type="paragraph" w:customStyle="1" w:styleId="textcentered">
    <w:name w:val="text centered"/>
    <w:basedOn w:val="textflush"/>
    <w:autoRedefine/>
    <w:uiPriority w:val="99"/>
    <w:semiHidden/>
    <w:rsid w:val="00201F3F"/>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201F3F"/>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201F3F"/>
    <w:pPr>
      <w:spacing w:before="240"/>
      <w:jc w:val="left"/>
    </w:pPr>
    <w:rPr>
      <w:i/>
      <w:iCs/>
    </w:rPr>
  </w:style>
  <w:style w:type="paragraph" w:customStyle="1" w:styleId="texteditorsnote">
    <w:name w:val="text editors note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201F3F"/>
    <w:pPr>
      <w:spacing w:before="0"/>
    </w:pPr>
  </w:style>
  <w:style w:type="paragraph" w:customStyle="1" w:styleId="texteditorsnote-0">
    <w:name w:val="text editors note +/-"/>
    <w:basedOn w:val="Normal"/>
    <w:autoRedefine/>
    <w:uiPriority w:val="99"/>
    <w:semiHidden/>
    <w:rsid w:val="00201F3F"/>
    <w:pPr>
      <w:widowControl w:val="0"/>
      <w:autoSpaceDE w:val="0"/>
      <w:autoSpaceDN w:val="0"/>
      <w:adjustRightInd w:val="0"/>
      <w:spacing w:after="0"/>
      <w:ind w:firstLine="720"/>
      <w:textAlignment w:val="center"/>
    </w:pPr>
    <w:rPr>
      <w:rFonts w:eastAsiaTheme="minorEastAsia" w:cs="ITC New Baskerville Std"/>
      <w:color w:val="000000"/>
      <w:kern w:val="0"/>
      <w:lang w:bidi="ar-SA"/>
    </w:rPr>
  </w:style>
  <w:style w:type="paragraph" w:customStyle="1" w:styleId="textflush-">
    <w:name w:val="text flush -/+"/>
    <w:basedOn w:val="textflush"/>
    <w:autoRedefine/>
    <w:uiPriority w:val="99"/>
    <w:semiHidden/>
    <w:rsid w:val="00201F3F"/>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201F3F"/>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201F3F"/>
    <w:pPr>
      <w:widowControl w:val="0"/>
      <w:autoSpaceDE w:val="0"/>
      <w:autoSpaceDN w:val="0"/>
      <w:adjustRightInd w:val="0"/>
      <w:spacing w:after="240"/>
      <w:contextualSpacing/>
      <w:textAlignment w:val="center"/>
    </w:pPr>
    <w:rPr>
      <w:rFonts w:eastAsiaTheme="minorEastAsia" w:cs="ITC New Baskerville Std"/>
      <w:b/>
      <w:bCs/>
      <w:color w:val="000000"/>
      <w:kern w:val="0"/>
      <w:szCs w:val="22"/>
      <w:lang w:bidi="ar-SA"/>
    </w:rPr>
  </w:style>
  <w:style w:type="paragraph" w:customStyle="1" w:styleId="textflushbold-">
    <w:name w:val="text flush bold -/+"/>
    <w:basedOn w:val="textflushbold"/>
    <w:autoRedefine/>
    <w:uiPriority w:val="99"/>
    <w:semiHidden/>
    <w:rsid w:val="00201F3F"/>
    <w:pPr>
      <w:spacing w:before="0"/>
      <w:contextualSpacing w:val="0"/>
    </w:pPr>
  </w:style>
  <w:style w:type="paragraph" w:customStyle="1" w:styleId="textflushbold--">
    <w:name w:val="text flush bold -/-"/>
    <w:basedOn w:val="textflushbold-"/>
    <w:autoRedefine/>
    <w:uiPriority w:val="99"/>
    <w:semiHidden/>
    <w:rsid w:val="00201F3F"/>
    <w:pPr>
      <w:spacing w:after="0"/>
    </w:pPr>
  </w:style>
  <w:style w:type="paragraph" w:customStyle="1" w:styleId="textflushednote-">
    <w:name w:val="text flush ed note -/+"/>
    <w:basedOn w:val="Normal"/>
    <w:autoRedefine/>
    <w:uiPriority w:val="99"/>
    <w:semiHidden/>
    <w:qFormat/>
    <w:rsid w:val="00201F3F"/>
    <w:pPr>
      <w:widowControl w:val="0"/>
      <w:autoSpaceDE w:val="0"/>
      <w:autoSpaceDN w:val="0"/>
      <w:adjustRightInd w:val="0"/>
      <w:spacing w:before="0" w:after="240"/>
      <w:textAlignment w:val="center"/>
    </w:pPr>
    <w:rPr>
      <w:rFonts w:eastAsiaTheme="minorEastAsia" w:cs="Times LT Std"/>
      <w:color w:val="000000"/>
      <w:kern w:val="0"/>
      <w:szCs w:val="22"/>
      <w:lang w:bidi="ar-SA"/>
    </w:rPr>
  </w:style>
  <w:style w:type="paragraph" w:customStyle="1" w:styleId="textflushednote">
    <w:name w:val="text flush ed note +/+"/>
    <w:basedOn w:val="textflushednote-"/>
    <w:autoRedefine/>
    <w:uiPriority w:val="99"/>
    <w:semiHidden/>
    <w:rsid w:val="00201F3F"/>
    <w:pPr>
      <w:spacing w:before="240"/>
    </w:pPr>
  </w:style>
  <w:style w:type="paragraph" w:customStyle="1" w:styleId="textinsert-">
    <w:name w:val="text insert -/+"/>
    <w:basedOn w:val="Normal"/>
    <w:autoRedefine/>
    <w:uiPriority w:val="99"/>
    <w:semiHidden/>
    <w:rsid w:val="00201F3F"/>
    <w:pPr>
      <w:widowControl w:val="0"/>
      <w:autoSpaceDE w:val="0"/>
      <w:autoSpaceDN w:val="0"/>
      <w:adjustRightInd w:val="0"/>
      <w:spacing w:after="240"/>
      <w:ind w:firstLine="720"/>
      <w:contextualSpacing/>
      <w:textAlignment w:val="center"/>
    </w:pPr>
    <w:rPr>
      <w:rFonts w:eastAsiaTheme="minorEastAsia" w:cs="ITC New Baskerville Std"/>
      <w:color w:val="000000"/>
      <w:kern w:val="0"/>
      <w:szCs w:val="22"/>
      <w:lang w:bidi="ar-SA"/>
    </w:rPr>
  </w:style>
  <w:style w:type="paragraph" w:customStyle="1" w:styleId="textinsert-0">
    <w:name w:val="text insert /+/-"/>
    <w:basedOn w:val="texteditorsnote"/>
    <w:autoRedefine/>
    <w:uiPriority w:val="99"/>
    <w:semiHidden/>
    <w:rsid w:val="00201F3F"/>
    <w:pPr>
      <w:spacing w:after="0"/>
    </w:pPr>
    <w:rPr>
      <w:b/>
      <w:bCs/>
      <w:i/>
      <w:iCs/>
    </w:rPr>
  </w:style>
  <w:style w:type="paragraph" w:customStyle="1" w:styleId="textinsert-1">
    <w:name w:val="text insert +/-"/>
    <w:basedOn w:val="texteditorsnote"/>
    <w:autoRedefine/>
    <w:uiPriority w:val="99"/>
    <w:semiHidden/>
    <w:rsid w:val="00201F3F"/>
    <w:pPr>
      <w:spacing w:after="0"/>
    </w:pPr>
  </w:style>
  <w:style w:type="paragraph" w:customStyle="1" w:styleId="textinsert">
    <w:name w:val="text insert +/+"/>
    <w:basedOn w:val="textflush"/>
    <w:autoRedefine/>
    <w:uiPriority w:val="99"/>
    <w:semiHidden/>
    <w:rsid w:val="00201F3F"/>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201F3F"/>
    <w:pPr>
      <w:spacing w:after="240"/>
      <w:ind w:firstLine="720"/>
    </w:pPr>
    <w:rPr>
      <w:rFonts w:eastAsiaTheme="minorEastAsia" w:cstheme="minorBidi"/>
      <w:kern w:val="0"/>
      <w:szCs w:val="22"/>
      <w:lang w:bidi="ar-SA"/>
    </w:rPr>
  </w:style>
  <w:style w:type="paragraph" w:customStyle="1" w:styleId="textinsertflushbold-">
    <w:name w:val="text insert flush bold -/+"/>
    <w:basedOn w:val="Normal"/>
    <w:autoRedefine/>
    <w:uiPriority w:val="99"/>
    <w:semiHidden/>
    <w:rsid w:val="00201F3F"/>
    <w:pPr>
      <w:widowControl w:val="0"/>
      <w:autoSpaceDE w:val="0"/>
      <w:autoSpaceDN w:val="0"/>
      <w:adjustRightInd w:val="0"/>
      <w:spacing w:before="0" w:after="240"/>
      <w:textAlignment w:val="center"/>
    </w:pPr>
    <w:rPr>
      <w:rFonts w:eastAsiaTheme="minorEastAsia" w:cs="Times LT Std"/>
      <w:b/>
      <w:bCs/>
      <w:color w:val="000000"/>
      <w:kern w:val="0"/>
      <w:szCs w:val="22"/>
      <w:lang w:bidi="ar-SA"/>
    </w:rPr>
  </w:style>
  <w:style w:type="paragraph" w:customStyle="1" w:styleId="textinsertflushbold">
    <w:name w:val="text insert flush bold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201F3F"/>
  </w:style>
  <w:style w:type="paragraph" w:customStyle="1" w:styleId="textonpage-">
    <w:name w:val="text on page . . .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201F3F"/>
    <w:pPr>
      <w:widowControl w:val="0"/>
      <w:autoSpaceDE w:val="0"/>
      <w:autoSpaceDN w:val="0"/>
      <w:adjustRightInd w:val="0"/>
      <w:spacing w:before="0" w:after="240" w:line="240" w:lineRule="atLeast"/>
      <w:textAlignment w:val="center"/>
    </w:pPr>
    <w:rPr>
      <w:rFonts w:eastAsiaTheme="minorEastAsia" w:cs="Times LT Std"/>
      <w:b/>
      <w:bCs/>
      <w:color w:val="000000"/>
      <w:kern w:val="0"/>
      <w:szCs w:val="22"/>
      <w:lang w:bidi="ar-SA"/>
    </w:rPr>
  </w:style>
  <w:style w:type="paragraph" w:customStyle="1" w:styleId="textonpagebold">
    <w:name w:val="text on page bold +/+"/>
    <w:basedOn w:val="Normal"/>
    <w:autoRedefine/>
    <w:uiPriority w:val="99"/>
    <w:semiHidden/>
    <w:rsid w:val="00201F3F"/>
    <w:pPr>
      <w:widowControl w:val="0"/>
      <w:autoSpaceDE w:val="0"/>
      <w:autoSpaceDN w:val="0"/>
      <w:adjustRightInd w:val="0"/>
      <w:spacing w:after="240"/>
      <w:textAlignment w:val="center"/>
    </w:pPr>
    <w:rPr>
      <w:rFonts w:eastAsiaTheme="minorEastAsia" w:cs="ITC New Baskerville Std"/>
      <w:b/>
      <w:bCs/>
      <w:color w:val="000000"/>
      <w:kern w:val="0"/>
      <w:lang w:bidi="ar-SA"/>
    </w:rPr>
  </w:style>
  <w:style w:type="paragraph" w:customStyle="1" w:styleId="textonpageboldflush">
    <w:name w:val="text on page bold +/+ flush"/>
    <w:basedOn w:val="Normal"/>
    <w:autoRedefine/>
    <w:uiPriority w:val="99"/>
    <w:semiHidden/>
    <w:rsid w:val="00201F3F"/>
    <w:pPr>
      <w:widowControl w:val="0"/>
      <w:autoSpaceDE w:val="0"/>
      <w:autoSpaceDN w:val="0"/>
      <w:adjustRightInd w:val="0"/>
      <w:spacing w:after="240"/>
      <w:textAlignment w:val="center"/>
    </w:pPr>
    <w:rPr>
      <w:rFonts w:eastAsiaTheme="minorEastAsia" w:cs="Times LT Std"/>
      <w:b/>
      <w:bCs/>
      <w:color w:val="000000"/>
      <w:kern w:val="0"/>
      <w:szCs w:val="22"/>
      <w:lang w:bidi="ar-SA"/>
    </w:rPr>
  </w:style>
  <w:style w:type="paragraph" w:customStyle="1" w:styleId="textwith6ptbelow">
    <w:name w:val="text with 6 pt below"/>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201F3F"/>
    <w:pPr>
      <w:spacing w:before="240"/>
    </w:pPr>
  </w:style>
  <w:style w:type="paragraph" w:customStyle="1" w:styleId="text-flush">
    <w:name w:val="text-flush"/>
    <w:basedOn w:val="text"/>
    <w:autoRedefine/>
    <w:semiHidden/>
    <w:qFormat/>
    <w:rsid w:val="00201F3F"/>
  </w:style>
  <w:style w:type="paragraph" w:customStyle="1" w:styleId="TOC1I">
    <w:name w:val="TOC1_I."/>
    <w:basedOn w:val="Normal"/>
    <w:autoRedefine/>
    <w:uiPriority w:val="99"/>
    <w:semiHidden/>
    <w:rsid w:val="00201F3F"/>
    <w:pPr>
      <w:widowControl w:val="0"/>
      <w:tabs>
        <w:tab w:val="right" w:pos="420"/>
        <w:tab w:val="left" w:pos="540"/>
        <w:tab w:val="right" w:leader="dot" w:pos="6240"/>
        <w:tab w:val="right" w:pos="6960"/>
      </w:tabs>
      <w:autoSpaceDE w:val="0"/>
      <w:autoSpaceDN w:val="0"/>
      <w:adjustRightInd w:val="0"/>
      <w:spacing w:before="0" w:after="0" w:line="220" w:lineRule="atLeast"/>
      <w:ind w:left="540" w:hanging="540"/>
      <w:textAlignment w:val="center"/>
    </w:pPr>
    <w:rPr>
      <w:rFonts w:eastAsiaTheme="minorEastAsia" w:cs="Times LT Std"/>
      <w:color w:val="000000"/>
      <w:kern w:val="0"/>
      <w:sz w:val="22"/>
      <w:szCs w:val="20"/>
      <w:lang w:bidi="ar-SA"/>
    </w:rPr>
  </w:style>
  <w:style w:type="paragraph" w:customStyle="1" w:styleId="TOC1Secondary">
    <w:name w:val="TOC 1_Secondary"/>
    <w:basedOn w:val="TOC1I"/>
    <w:autoRedefine/>
    <w:uiPriority w:val="99"/>
    <w:semiHidden/>
    <w:qFormat/>
    <w:rsid w:val="00201F3F"/>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201F3F"/>
    <w:pPr>
      <w:tabs>
        <w:tab w:val="left" w:pos="1440"/>
        <w:tab w:val="right" w:leader="dot" w:pos="5640"/>
        <w:tab w:val="right" w:pos="6240"/>
        <w:tab w:val="right" w:pos="6960"/>
      </w:tabs>
      <w:suppressAutoHyphens/>
      <w:autoSpaceDE w:val="0"/>
      <w:autoSpaceDN w:val="0"/>
      <w:adjustRightInd w:val="0"/>
      <w:spacing w:after="0" w:line="220" w:lineRule="atLeast"/>
      <w:ind w:left="1440" w:hanging="1440"/>
      <w:textAlignment w:val="center"/>
    </w:pPr>
    <w:rPr>
      <w:rFonts w:cs="Times"/>
      <w:smallCaps/>
      <w:color w:val="000000"/>
      <w:spacing w:val="-2"/>
      <w:kern w:val="0"/>
      <w:sz w:val="20"/>
      <w:szCs w:val="20"/>
      <w:lang w:bidi="ar-SA"/>
    </w:rPr>
  </w:style>
  <w:style w:type="paragraph" w:customStyle="1" w:styleId="tocchapter0">
    <w:name w:val="toc chapter #"/>
    <w:basedOn w:val="Normal"/>
    <w:autoRedefine/>
    <w:uiPriority w:val="99"/>
    <w:semiHidden/>
    <w:rsid w:val="00201F3F"/>
    <w:pPr>
      <w:widowControl w:val="0"/>
      <w:tabs>
        <w:tab w:val="left" w:pos="1440"/>
        <w:tab w:val="right" w:leader="dot" w:pos="6240"/>
        <w:tab w:val="right" w:pos="6960"/>
      </w:tabs>
      <w:autoSpaceDE w:val="0"/>
      <w:autoSpaceDN w:val="0"/>
      <w:adjustRightInd w:val="0"/>
      <w:spacing w:after="240"/>
      <w:ind w:left="1440" w:hanging="1440"/>
      <w:textAlignment w:val="center"/>
    </w:pPr>
    <w:rPr>
      <w:rFonts w:eastAsiaTheme="minorEastAsia" w:cs="NewCenturySchlbk"/>
      <w:smallCaps/>
      <w:color w:val="000000"/>
      <w:kern w:val="0"/>
      <w:szCs w:val="22"/>
      <w:lang w:bidi="ar-SA"/>
    </w:rPr>
  </w:style>
  <w:style w:type="paragraph" w:customStyle="1" w:styleId="tocflush">
    <w:name w:val="toc flush"/>
    <w:basedOn w:val="Normal"/>
    <w:autoRedefine/>
    <w:uiPriority w:val="99"/>
    <w:semiHidden/>
    <w:rsid w:val="00201F3F"/>
    <w:pPr>
      <w:widowControl w:val="0"/>
      <w:tabs>
        <w:tab w:val="left" w:pos="480"/>
        <w:tab w:val="right" w:leader="dot" w:pos="6240"/>
        <w:tab w:val="right" w:pos="6960"/>
      </w:tabs>
      <w:autoSpaceDE w:val="0"/>
      <w:autoSpaceDN w:val="0"/>
      <w:adjustRightInd w:val="0"/>
      <w:spacing w:before="0" w:after="240"/>
      <w:textAlignment w:val="center"/>
    </w:pPr>
    <w:rPr>
      <w:rFonts w:eastAsiaTheme="minorEastAsia"/>
      <w:smallCaps/>
      <w:color w:val="000000"/>
      <w:kern w:val="0"/>
      <w:szCs w:val="22"/>
      <w:lang w:bidi="ar-SA"/>
    </w:rPr>
  </w:style>
  <w:style w:type="paragraph" w:customStyle="1" w:styleId="tocI">
    <w:name w:val="toc I."/>
    <w:basedOn w:val="Normal"/>
    <w:autoRedefine/>
    <w:uiPriority w:val="99"/>
    <w:semiHidden/>
    <w:rsid w:val="00201F3F"/>
    <w:pPr>
      <w:widowControl w:val="0"/>
      <w:tabs>
        <w:tab w:val="right" w:pos="600"/>
        <w:tab w:val="left" w:pos="720"/>
        <w:tab w:val="lef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szCs w:val="22"/>
      <w:lang w:bidi="ar-SA"/>
    </w:rPr>
  </w:style>
  <w:style w:type="paragraph" w:customStyle="1" w:styleId="toc11">
    <w:name w:val="toc1 1."/>
    <w:basedOn w:val="text"/>
    <w:autoRedefine/>
    <w:uiPriority w:val="99"/>
    <w:semiHidden/>
    <w:rsid w:val="00201F3F"/>
    <w:pPr>
      <w:widowControl w:val="0"/>
      <w:tabs>
        <w:tab w:val="clear" w:pos="0"/>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201F3F"/>
    <w:pPr>
      <w:widowControl w:val="0"/>
      <w:tabs>
        <w:tab w:val="left" w:pos="1080"/>
        <w:tab w:val="left" w:leader="dot" w:pos="6240"/>
        <w:tab w:val="left" w:pos="6960"/>
      </w:tabs>
      <w:suppressAutoHyphens/>
      <w:autoSpaceDE w:val="0"/>
      <w:autoSpaceDN w:val="0"/>
      <w:adjustRightInd w:val="0"/>
      <w:spacing w:before="0" w:after="0"/>
      <w:ind w:left="1080" w:hanging="360"/>
      <w:textAlignment w:val="center"/>
    </w:pPr>
    <w:rPr>
      <w:rFonts w:eastAsiaTheme="minorEastAsia" w:cs="ITC New Baskerville Std"/>
      <w:color w:val="000000"/>
      <w:kern w:val="0"/>
      <w:sz w:val="22"/>
      <w:szCs w:val="22"/>
      <w:lang w:bidi="ar-SA"/>
    </w:rPr>
  </w:style>
  <w:style w:type="paragraph" w:customStyle="1" w:styleId="TOC1ES">
    <w:name w:val="TOC1 ES"/>
    <w:basedOn w:val="toc10"/>
    <w:autoRedefine/>
    <w:semiHidden/>
    <w:qFormat/>
    <w:rsid w:val="00201F3F"/>
    <w:pPr>
      <w:tabs>
        <w:tab w:val="right" w:pos="960"/>
      </w:tabs>
      <w:ind w:left="960" w:hanging="960"/>
    </w:pPr>
    <w:rPr>
      <w:rFonts w:cs="Times New Roman"/>
    </w:rPr>
  </w:style>
  <w:style w:type="paragraph" w:customStyle="1" w:styleId="TOC1ESDD">
    <w:name w:val="TOC1 ES DD"/>
    <w:basedOn w:val="toc10"/>
    <w:autoRedefine/>
    <w:semiHidden/>
    <w:qFormat/>
    <w:rsid w:val="00201F3F"/>
    <w:pPr>
      <w:tabs>
        <w:tab w:val="left" w:pos="1080"/>
      </w:tabs>
      <w:ind w:left="1080" w:hanging="1080"/>
    </w:pPr>
    <w:rPr>
      <w:rFonts w:cs="Times New Roman"/>
    </w:rPr>
  </w:style>
  <w:style w:type="paragraph" w:customStyle="1" w:styleId="toc1I0">
    <w:name w:val="toc1 I."/>
    <w:basedOn w:val="text"/>
    <w:autoRedefine/>
    <w:uiPriority w:val="99"/>
    <w:semiHidden/>
    <w:qFormat/>
    <w:rsid w:val="00201F3F"/>
    <w:pPr>
      <w:widowControl w:val="0"/>
      <w:tabs>
        <w:tab w:val="clear" w:pos="0"/>
        <w:tab w:val="clear" w:pos="720"/>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201F3F"/>
    <w:pPr>
      <w:widowControl w:val="0"/>
      <w:tabs>
        <w:tab w:val="right" w:pos="600"/>
        <w:tab w:val="left" w:pos="720"/>
        <w:tab w:val="right" w:leader="dot" w:pos="6240"/>
        <w:tab w:val="left" w:pos="6960"/>
      </w:tabs>
      <w:suppressAutoHyphens/>
      <w:autoSpaceDE w:val="0"/>
      <w:autoSpaceDN w:val="0"/>
      <w:adjustRightInd w:val="0"/>
      <w:spacing w:before="0" w:after="0"/>
      <w:ind w:left="720" w:hanging="720"/>
      <w:textAlignment w:val="center"/>
    </w:pPr>
    <w:rPr>
      <w:rFonts w:eastAsiaTheme="minorEastAsia" w:cs="ITC New Baskerville Std"/>
      <w:color w:val="000000"/>
      <w:kern w:val="0"/>
      <w:sz w:val="22"/>
      <w:lang w:bidi="ar-SA"/>
    </w:rPr>
  </w:style>
  <w:style w:type="paragraph" w:customStyle="1" w:styleId="TOC1I2">
    <w:name w:val="TOC1_I"/>
    <w:basedOn w:val="Normal"/>
    <w:autoRedefine/>
    <w:uiPriority w:val="99"/>
    <w:semiHidden/>
    <w:rsid w:val="00201F3F"/>
    <w:pPr>
      <w:widowControl w:val="0"/>
      <w:tabs>
        <w:tab w:val="right" w:pos="480"/>
        <w:tab w:val="left" w:pos="600"/>
        <w:tab w:val="right" w:leader="dot" w:pos="6240"/>
        <w:tab w:val="right" w:pos="6960"/>
      </w:tabs>
      <w:suppressAutoHyphens/>
      <w:autoSpaceDE w:val="0"/>
      <w:autoSpaceDN w:val="0"/>
      <w:adjustRightInd w:val="0"/>
      <w:spacing w:before="0" w:after="0"/>
      <w:ind w:left="600" w:hanging="600"/>
      <w:textAlignment w:val="center"/>
    </w:pPr>
    <w:rPr>
      <w:rFonts w:eastAsiaTheme="minorEastAsia" w:cs="Times LT Std"/>
      <w:color w:val="000000"/>
      <w:kern w:val="0"/>
      <w:lang w:bidi="ar-SA"/>
    </w:rPr>
  </w:style>
  <w:style w:type="paragraph" w:customStyle="1" w:styleId="toc20">
    <w:name w:val="toc2"/>
    <w:basedOn w:val="Normal"/>
    <w:autoRedefine/>
    <w:uiPriority w:val="99"/>
    <w:semiHidden/>
    <w:rsid w:val="00201F3F"/>
    <w:pPr>
      <w:widowControl w:val="0"/>
      <w:tabs>
        <w:tab w:val="left" w:pos="720"/>
        <w:tab w:val="right" w:leader="dot" w:pos="6240"/>
        <w:tab w:val="left" w:pos="6960"/>
      </w:tabs>
      <w:autoSpaceDE w:val="0"/>
      <w:autoSpaceDN w:val="0"/>
      <w:adjustRightInd w:val="0"/>
      <w:spacing w:before="0" w:after="0"/>
      <w:ind w:left="1080" w:hanging="360"/>
      <w:textAlignment w:val="center"/>
    </w:pPr>
    <w:rPr>
      <w:rFonts w:eastAsiaTheme="minorEastAsia"/>
      <w:color w:val="000000"/>
      <w:kern w:val="0"/>
      <w:sz w:val="22"/>
      <w:szCs w:val="22"/>
      <w:lang w:bidi="ar-SA"/>
    </w:rPr>
  </w:style>
  <w:style w:type="paragraph" w:customStyle="1" w:styleId="toc21">
    <w:name w:val="toc2 1."/>
    <w:basedOn w:val="toc1A"/>
    <w:autoRedefine/>
    <w:uiPriority w:val="99"/>
    <w:semiHidden/>
    <w:rsid w:val="00201F3F"/>
    <w:pPr>
      <w:tabs>
        <w:tab w:val="clear" w:pos="1080"/>
        <w:tab w:val="left" w:pos="1380"/>
      </w:tabs>
      <w:ind w:left="1380" w:hanging="300"/>
    </w:pPr>
  </w:style>
  <w:style w:type="paragraph" w:customStyle="1" w:styleId="toc2A">
    <w:name w:val="toc2 A."/>
    <w:basedOn w:val="Normal"/>
    <w:autoRedefine/>
    <w:uiPriority w:val="99"/>
    <w:semiHidden/>
    <w:rsid w:val="00201F3F"/>
    <w:pPr>
      <w:widowControl w:val="0"/>
      <w:tabs>
        <w:tab w:val="left" w:pos="1080"/>
        <w:tab w:val="right" w:leader="dot" w:pos="6240"/>
        <w:tab w:val="right" w:pos="6960"/>
      </w:tabs>
      <w:autoSpaceDE w:val="0"/>
      <w:autoSpaceDN w:val="0"/>
      <w:adjustRightInd w:val="0"/>
      <w:spacing w:before="0" w:after="0"/>
      <w:ind w:left="1080" w:hanging="360"/>
      <w:textAlignment w:val="center"/>
    </w:pPr>
    <w:rPr>
      <w:rFonts w:eastAsiaTheme="minorEastAsia" w:cs="NewCenturySchlbk"/>
      <w:color w:val="000000"/>
      <w:kern w:val="0"/>
      <w:szCs w:val="22"/>
      <w:lang w:bidi="ar-SA"/>
    </w:rPr>
  </w:style>
  <w:style w:type="paragraph" w:customStyle="1" w:styleId="toc2dd">
    <w:name w:val="toc2 dd"/>
    <w:basedOn w:val="Normal"/>
    <w:autoRedefine/>
    <w:uiPriority w:val="99"/>
    <w:semiHidden/>
    <w:qFormat/>
    <w:rsid w:val="00201F3F"/>
    <w:pPr>
      <w:widowControl w:val="0"/>
      <w:tabs>
        <w:tab w:val="left" w:pos="1200"/>
        <w:tab w:val="left" w:leader="dot" w:pos="6240"/>
        <w:tab w:val="left" w:pos="6960"/>
      </w:tabs>
      <w:suppressAutoHyphens/>
      <w:autoSpaceDE w:val="0"/>
      <w:autoSpaceDN w:val="0"/>
      <w:adjustRightInd w:val="0"/>
      <w:spacing w:before="0" w:after="0"/>
      <w:ind w:left="1200" w:hanging="480"/>
      <w:textAlignment w:val="center"/>
    </w:pPr>
    <w:rPr>
      <w:rFonts w:eastAsiaTheme="minorEastAsia" w:cs="ITC New Baskerville Std"/>
      <w:color w:val="000000"/>
      <w:kern w:val="0"/>
      <w:szCs w:val="22"/>
      <w:lang w:bidi="ar-SA"/>
    </w:rPr>
  </w:style>
  <w:style w:type="paragraph" w:customStyle="1" w:styleId="TOC2A0">
    <w:name w:val="TOC2_A."/>
    <w:basedOn w:val="TOC1I"/>
    <w:uiPriority w:val="99"/>
    <w:semiHidden/>
    <w:rsid w:val="00201F3F"/>
    <w:pPr>
      <w:tabs>
        <w:tab w:val="clear" w:pos="420"/>
        <w:tab w:val="clear" w:pos="540"/>
      </w:tabs>
      <w:ind w:left="840" w:hanging="300"/>
    </w:pPr>
  </w:style>
  <w:style w:type="paragraph" w:customStyle="1" w:styleId="TOC2secondary">
    <w:name w:val="TOC2_secondary"/>
    <w:basedOn w:val="TOC2A0"/>
    <w:autoRedefine/>
    <w:uiPriority w:val="99"/>
    <w:semiHidden/>
    <w:qFormat/>
    <w:rsid w:val="00201F3F"/>
    <w:pPr>
      <w:tabs>
        <w:tab w:val="left" w:pos="960"/>
      </w:tabs>
      <w:suppressAutoHyphens/>
      <w:spacing w:line="240" w:lineRule="auto"/>
      <w:ind w:left="1320" w:hanging="360"/>
    </w:pPr>
    <w:rPr>
      <w:szCs w:val="21"/>
    </w:rPr>
  </w:style>
  <w:style w:type="paragraph" w:customStyle="1" w:styleId="toc30">
    <w:name w:val="toc3"/>
    <w:basedOn w:val="toc20"/>
    <w:autoRedefine/>
    <w:uiPriority w:val="99"/>
    <w:semiHidden/>
    <w:rsid w:val="00201F3F"/>
    <w:pPr>
      <w:tabs>
        <w:tab w:val="left" w:pos="1680"/>
      </w:tabs>
      <w:ind w:left="1680" w:hanging="480"/>
    </w:pPr>
  </w:style>
  <w:style w:type="paragraph" w:customStyle="1" w:styleId="toc31">
    <w:name w:val="toc3 1."/>
    <w:basedOn w:val="toc2A"/>
    <w:autoRedefine/>
    <w:uiPriority w:val="99"/>
    <w:semiHidden/>
    <w:rsid w:val="00201F3F"/>
    <w:pPr>
      <w:tabs>
        <w:tab w:val="left" w:pos="1320"/>
      </w:tabs>
      <w:ind w:left="1320"/>
    </w:pPr>
  </w:style>
  <w:style w:type="paragraph" w:customStyle="1" w:styleId="toc3100">
    <w:name w:val="toc3 100."/>
    <w:basedOn w:val="toc30"/>
    <w:autoRedefine/>
    <w:uiPriority w:val="99"/>
    <w:semiHidden/>
    <w:rsid w:val="00201F3F"/>
    <w:pPr>
      <w:ind w:hanging="600"/>
    </w:pPr>
    <w:rPr>
      <w:rFonts w:cs="ITC New Baskerville Std"/>
    </w:rPr>
  </w:style>
  <w:style w:type="paragraph" w:customStyle="1" w:styleId="toc3a">
    <w:name w:val="toc3 a."/>
    <w:basedOn w:val="toc21"/>
    <w:autoRedefine/>
    <w:uiPriority w:val="99"/>
    <w:semiHidden/>
    <w:rsid w:val="00201F3F"/>
    <w:pPr>
      <w:tabs>
        <w:tab w:val="clear" w:pos="1380"/>
        <w:tab w:val="left" w:pos="1680"/>
      </w:tabs>
      <w:ind w:left="1680"/>
    </w:pPr>
  </w:style>
  <w:style w:type="paragraph" w:customStyle="1" w:styleId="toc3dd">
    <w:name w:val="toc3 dd"/>
    <w:basedOn w:val="toc30"/>
    <w:uiPriority w:val="99"/>
    <w:semiHidden/>
    <w:rsid w:val="00201F3F"/>
    <w:pPr>
      <w:tabs>
        <w:tab w:val="left" w:pos="1500"/>
      </w:tabs>
      <w:spacing w:line="240" w:lineRule="atLeast"/>
      <w:ind w:left="1500"/>
    </w:pPr>
  </w:style>
  <w:style w:type="paragraph" w:customStyle="1" w:styleId="toc3i">
    <w:name w:val="toc3 i."/>
    <w:basedOn w:val="toc2A"/>
    <w:autoRedefine/>
    <w:uiPriority w:val="99"/>
    <w:semiHidden/>
    <w:rsid w:val="00201F3F"/>
    <w:pPr>
      <w:tabs>
        <w:tab w:val="left" w:pos="1320"/>
      </w:tabs>
      <w:ind w:left="1320" w:hanging="480"/>
    </w:pPr>
  </w:style>
  <w:style w:type="paragraph" w:customStyle="1" w:styleId="TOC310">
    <w:name w:val="TOC3_1."/>
    <w:basedOn w:val="TOC2A0"/>
    <w:uiPriority w:val="99"/>
    <w:semiHidden/>
    <w:rsid w:val="00201F3F"/>
    <w:pPr>
      <w:tabs>
        <w:tab w:val="left" w:pos="1200"/>
      </w:tabs>
      <w:ind w:left="1200" w:hanging="360"/>
    </w:pPr>
  </w:style>
  <w:style w:type="paragraph" w:customStyle="1" w:styleId="toc40">
    <w:name w:val="toc4"/>
    <w:basedOn w:val="toc30"/>
    <w:autoRedefine/>
    <w:uiPriority w:val="99"/>
    <w:semiHidden/>
    <w:rsid w:val="00201F3F"/>
    <w:pPr>
      <w:tabs>
        <w:tab w:val="left" w:pos="2160"/>
      </w:tabs>
      <w:ind w:left="2160"/>
    </w:pPr>
  </w:style>
  <w:style w:type="paragraph" w:customStyle="1" w:styleId="toc41">
    <w:name w:val="toc4 (1)"/>
    <w:basedOn w:val="toc3a"/>
    <w:autoRedefine/>
    <w:uiPriority w:val="99"/>
    <w:semiHidden/>
    <w:rsid w:val="00201F3F"/>
    <w:pPr>
      <w:tabs>
        <w:tab w:val="clear" w:pos="1680"/>
        <w:tab w:val="left" w:pos="2100"/>
      </w:tabs>
      <w:ind w:left="2100" w:hanging="420"/>
    </w:pPr>
  </w:style>
  <w:style w:type="paragraph" w:customStyle="1" w:styleId="toc4100a">
    <w:name w:val="toc4 100/a"/>
    <w:basedOn w:val="toc40"/>
    <w:autoRedefine/>
    <w:uiPriority w:val="99"/>
    <w:semiHidden/>
    <w:rsid w:val="00201F3F"/>
    <w:pPr>
      <w:tabs>
        <w:tab w:val="left" w:pos="1980"/>
      </w:tabs>
      <w:ind w:left="1980" w:hanging="300"/>
    </w:pPr>
    <w:rPr>
      <w:rFonts w:cs="ITC New Baskerville Std"/>
    </w:rPr>
  </w:style>
  <w:style w:type="paragraph" w:customStyle="1" w:styleId="toc4a">
    <w:name w:val="toc4 a."/>
    <w:basedOn w:val="toc31"/>
    <w:autoRedefine/>
    <w:uiPriority w:val="99"/>
    <w:semiHidden/>
    <w:rsid w:val="00201F3F"/>
    <w:pPr>
      <w:tabs>
        <w:tab w:val="clear" w:pos="1320"/>
        <w:tab w:val="left" w:pos="1680"/>
      </w:tabs>
      <w:spacing w:line="240" w:lineRule="atLeast"/>
      <w:ind w:left="1680"/>
    </w:pPr>
  </w:style>
  <w:style w:type="paragraph" w:customStyle="1" w:styleId="toc4dd">
    <w:name w:val="toc4 dd"/>
    <w:basedOn w:val="toc40"/>
    <w:autoRedefine/>
    <w:uiPriority w:val="99"/>
    <w:semiHidden/>
    <w:qFormat/>
    <w:rsid w:val="00201F3F"/>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201F3F"/>
    <w:pPr>
      <w:tabs>
        <w:tab w:val="clear" w:pos="1200"/>
      </w:tabs>
      <w:ind w:left="1560"/>
    </w:pPr>
  </w:style>
  <w:style w:type="paragraph" w:customStyle="1" w:styleId="toc5">
    <w:name w:val="toc5"/>
    <w:basedOn w:val="toc40"/>
    <w:autoRedefine/>
    <w:uiPriority w:val="99"/>
    <w:semiHidden/>
    <w:rsid w:val="00201F3F"/>
    <w:pPr>
      <w:tabs>
        <w:tab w:val="left" w:pos="2520"/>
      </w:tabs>
      <w:ind w:left="2520"/>
    </w:pPr>
  </w:style>
  <w:style w:type="paragraph" w:customStyle="1" w:styleId="toc5a0">
    <w:name w:val="toc5 (a)"/>
    <w:basedOn w:val="toc41"/>
    <w:autoRedefine/>
    <w:uiPriority w:val="99"/>
    <w:semiHidden/>
    <w:rsid w:val="00201F3F"/>
    <w:pPr>
      <w:tabs>
        <w:tab w:val="clear" w:pos="2100"/>
        <w:tab w:val="left" w:pos="2520"/>
      </w:tabs>
      <w:ind w:left="2520"/>
    </w:pPr>
  </w:style>
  <w:style w:type="paragraph" w:customStyle="1" w:styleId="toc5ii">
    <w:name w:val="toc5 ii."/>
    <w:basedOn w:val="toc4a"/>
    <w:autoRedefine/>
    <w:uiPriority w:val="99"/>
    <w:semiHidden/>
    <w:rsid w:val="00201F3F"/>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201F3F"/>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201F3F"/>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201F3F"/>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201F3F"/>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201F3F"/>
    <w:pPr>
      <w:tabs>
        <w:tab w:val="clear" w:pos="3000"/>
        <w:tab w:val="left" w:pos="3360"/>
      </w:tabs>
      <w:ind w:left="3360"/>
    </w:pPr>
  </w:style>
  <w:style w:type="paragraph" w:customStyle="1" w:styleId="toc8">
    <w:name w:val="toc8"/>
    <w:basedOn w:val="toc7"/>
    <w:autoRedefine/>
    <w:uiPriority w:val="99"/>
    <w:semiHidden/>
    <w:qFormat/>
    <w:rsid w:val="00201F3F"/>
    <w:pPr>
      <w:tabs>
        <w:tab w:val="clear" w:pos="3360"/>
        <w:tab w:val="left" w:pos="3840"/>
      </w:tabs>
      <w:ind w:left="3840"/>
    </w:pPr>
  </w:style>
  <w:style w:type="paragraph" w:customStyle="1" w:styleId="toc410">
    <w:name w:val="toc4 (10)"/>
    <w:basedOn w:val="toc41"/>
    <w:uiPriority w:val="99"/>
    <w:semiHidden/>
    <w:rsid w:val="00201F3F"/>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201F3F"/>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201F3F"/>
    <w:pPr>
      <w:tabs>
        <w:tab w:val="clear" w:pos="800"/>
      </w:tabs>
      <w:ind w:left="1181"/>
    </w:pPr>
  </w:style>
  <w:style w:type="paragraph" w:customStyle="1" w:styleId="3rdlevelhead10i">
    <w:name w:val="3rd level head 10._i"/>
    <w:basedOn w:val="3rdlevelhead1i"/>
    <w:autoRedefine/>
    <w:uiPriority w:val="99"/>
    <w:semiHidden/>
    <w:qFormat/>
    <w:rsid w:val="00201F3F"/>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201F3F"/>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201F3F"/>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201F3F"/>
    <w:pPr>
      <w:tabs>
        <w:tab w:val="clear" w:pos="600"/>
        <w:tab w:val="clear" w:pos="720"/>
        <w:tab w:val="right" w:pos="480"/>
      </w:tabs>
      <w:ind w:left="480" w:hanging="480"/>
    </w:pPr>
  </w:style>
  <w:style w:type="paragraph" w:customStyle="1" w:styleId="tocEDa">
    <w:name w:val="toc ED a."/>
    <w:basedOn w:val="toc20"/>
    <w:autoRedefine/>
    <w:semiHidden/>
    <w:qFormat/>
    <w:rsid w:val="00201F3F"/>
    <w:pPr>
      <w:tabs>
        <w:tab w:val="left" w:pos="960"/>
      </w:tabs>
    </w:pPr>
  </w:style>
  <w:style w:type="paragraph" w:customStyle="1" w:styleId="block-f2ndindent">
    <w:name w:val="block-f 2nd indent"/>
    <w:basedOn w:val="text"/>
    <w:autoRedefine/>
    <w:uiPriority w:val="99"/>
    <w:semiHidden/>
    <w:rsid w:val="00201F3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201F3F"/>
    <w:pPr>
      <w:widowControl w:val="0"/>
      <w:tabs>
        <w:tab w:val="left" w:pos="960"/>
        <w:tab w:val="left" w:pos="1440"/>
      </w:tabs>
      <w:autoSpaceDE w:val="0"/>
      <w:autoSpaceDN w:val="0"/>
      <w:adjustRightInd w:val="0"/>
      <w:spacing w:after="0"/>
      <w:ind w:left="720"/>
      <w:textAlignment w:val="center"/>
    </w:pPr>
    <w:rPr>
      <w:rFonts w:eastAsiaTheme="minorEastAsia" w:cs="ITC New Baskerville Std"/>
      <w:color w:val="000000"/>
      <w:kern w:val="0"/>
      <w:lang w:bidi="ar-SA"/>
    </w:rPr>
  </w:style>
  <w:style w:type="paragraph" w:customStyle="1" w:styleId="HeadingCenter11Underscore">
    <w:name w:val="Heading Center 11 Underscore"/>
    <w:basedOn w:val="Normal"/>
    <w:autoRedefine/>
    <w:uiPriority w:val="99"/>
    <w:semiHidden/>
    <w:rsid w:val="00201F3F"/>
    <w:pPr>
      <w:widowControl w:val="0"/>
      <w:tabs>
        <w:tab w:val="left" w:pos="480"/>
        <w:tab w:val="left" w:pos="960"/>
        <w:tab w:val="left" w:pos="1440"/>
        <w:tab w:val="left" w:pos="1920"/>
        <w:tab w:val="left" w:pos="2400"/>
        <w:tab w:val="left" w:pos="2880"/>
      </w:tabs>
      <w:autoSpaceDE w:val="0"/>
      <w:autoSpaceDN w:val="0"/>
      <w:adjustRightInd w:val="0"/>
      <w:jc w:val="center"/>
      <w:textAlignment w:val="center"/>
    </w:pPr>
    <w:rPr>
      <w:rFonts w:eastAsiaTheme="minorEastAsia" w:cs="ITC New Baskerville Std"/>
      <w:bCs/>
      <w:color w:val="000000"/>
      <w:kern w:val="0"/>
      <w:sz w:val="22"/>
      <w:szCs w:val="22"/>
      <w:u w:val="thick"/>
      <w:lang w:bidi="ar-SA"/>
    </w:rPr>
  </w:style>
  <w:style w:type="paragraph" w:customStyle="1" w:styleId="HeadingCenter11underscore-">
    <w:name w:val="Heading Center 11 underscore -/+"/>
    <w:basedOn w:val="HeadingCenter11Underscore"/>
    <w:autoRedefine/>
    <w:uiPriority w:val="99"/>
    <w:semiHidden/>
    <w:rsid w:val="00201F3F"/>
    <w:pPr>
      <w:spacing w:before="0"/>
      <w:ind w:firstLine="480"/>
    </w:pPr>
  </w:style>
  <w:style w:type="paragraph" w:customStyle="1" w:styleId="Question">
    <w:name w:val="Question"/>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201F3F"/>
    <w:pPr>
      <w:widowControl w:val="0"/>
      <w:tabs>
        <w:tab w:val="left" w:pos="1440"/>
      </w:tabs>
      <w:autoSpaceDE w:val="0"/>
      <w:autoSpaceDN w:val="0"/>
      <w:adjustRightInd w:val="0"/>
      <w:spacing w:before="0" w:after="240" w:line="240" w:lineRule="atLeast"/>
      <w:ind w:left="1440" w:hanging="480"/>
      <w:textAlignment w:val="center"/>
    </w:pPr>
    <w:rPr>
      <w:rFonts w:eastAsiaTheme="minorEastAsia" w:cs="ITC New Baskerville Std"/>
      <w:b/>
      <w:bCs/>
      <w:color w:val="000000"/>
      <w:kern w:val="0"/>
      <w:sz w:val="22"/>
      <w:szCs w:val="22"/>
      <w:lang w:bidi="ar-SA"/>
    </w:rPr>
  </w:style>
  <w:style w:type="paragraph" w:customStyle="1" w:styleId="TOC2A1">
    <w:name w:val="TOC2 A."/>
    <w:basedOn w:val="TOC1I1"/>
    <w:autoRedefine/>
    <w:uiPriority w:val="99"/>
    <w:semiHidden/>
    <w:rsid w:val="00201F3F"/>
    <w:pPr>
      <w:tabs>
        <w:tab w:val="clear" w:pos="600"/>
      </w:tabs>
      <w:ind w:left="1080" w:hanging="360"/>
    </w:pPr>
  </w:style>
  <w:style w:type="paragraph" w:customStyle="1" w:styleId="TOC311">
    <w:name w:val="TOC3 1."/>
    <w:basedOn w:val="TOC2A1"/>
    <w:autoRedefine/>
    <w:uiPriority w:val="99"/>
    <w:semiHidden/>
    <w:rsid w:val="00201F3F"/>
    <w:pPr>
      <w:tabs>
        <w:tab w:val="clear" w:pos="720"/>
        <w:tab w:val="left" w:pos="1080"/>
      </w:tabs>
      <w:ind w:left="1440"/>
    </w:pPr>
  </w:style>
  <w:style w:type="paragraph" w:customStyle="1" w:styleId="textboldwp">
    <w:name w:val="text bold w/p"/>
    <w:basedOn w:val="textonpage-0"/>
    <w:autoRedefine/>
    <w:uiPriority w:val="99"/>
    <w:semiHidden/>
    <w:rsid w:val="00201F3F"/>
    <w:pPr>
      <w:spacing w:before="120" w:after="120"/>
    </w:pPr>
    <w:rPr>
      <w:b/>
      <w:bCs/>
      <w:lang w:eastAsia="en-US"/>
    </w:rPr>
  </w:style>
  <w:style w:type="paragraph" w:customStyle="1" w:styleId="blocknlrl">
    <w:name w:val="block nl/rl"/>
    <w:basedOn w:val="blocknumberlist"/>
    <w:autoRedefine/>
    <w:uiPriority w:val="99"/>
    <w:semiHidden/>
    <w:rsid w:val="00201F3F"/>
    <w:pPr>
      <w:tabs>
        <w:tab w:val="clear" w:pos="1080"/>
        <w:tab w:val="left" w:pos="1400"/>
      </w:tabs>
      <w:ind w:left="1920" w:hanging="480"/>
    </w:pPr>
  </w:style>
  <w:style w:type="paragraph" w:customStyle="1" w:styleId="1stlevelhead10b">
    <w:name w:val="1st level head (10)_b"/>
    <w:basedOn w:val="Normal"/>
    <w:autoRedefine/>
    <w:uiPriority w:val="99"/>
    <w:semiHidden/>
    <w:rsid w:val="00201F3F"/>
    <w:pPr>
      <w:keepNext/>
      <w:widowControl w:val="0"/>
      <w:tabs>
        <w:tab w:val="left" w:pos="720"/>
      </w:tabs>
      <w:suppressAutoHyphens/>
      <w:autoSpaceDE w:val="0"/>
      <w:autoSpaceDN w:val="0"/>
      <w:adjustRightInd w:val="0"/>
      <w:spacing w:before="480" w:after="360"/>
      <w:ind w:left="720" w:hanging="720"/>
      <w:textAlignment w:val="center"/>
    </w:pPr>
    <w:rPr>
      <w:rFonts w:eastAsiaTheme="minorEastAsia" w:cs="NewCenturySchlbk"/>
      <w:b/>
      <w:bCs/>
      <w:color w:val="000000"/>
      <w:kern w:val="0"/>
      <w:lang w:bidi="ar-SA"/>
    </w:rPr>
  </w:style>
  <w:style w:type="paragraph" w:customStyle="1" w:styleId="footnoteintextbox">
    <w:name w:val="footnote in text box"/>
    <w:basedOn w:val="Normal"/>
    <w:autoRedefine/>
    <w:uiPriority w:val="99"/>
    <w:semiHidden/>
    <w:rsid w:val="00201F3F"/>
    <w:pPr>
      <w:pBdr>
        <w:top w:val="single" w:sz="4" w:space="12" w:color="auto"/>
      </w:pBdr>
      <w:autoSpaceDE w:val="0"/>
      <w:autoSpaceDN w:val="0"/>
      <w:adjustRightInd w:val="0"/>
      <w:spacing w:before="0" w:after="0"/>
      <w:ind w:firstLine="720"/>
      <w:textAlignment w:val="center"/>
    </w:pPr>
    <w:rPr>
      <w:rFonts w:eastAsiaTheme="minorEastAsia" w:cs="ITC New Baskerville Std"/>
      <w:color w:val="000000"/>
      <w:kern w:val="0"/>
      <w:sz w:val="20"/>
      <w:szCs w:val="18"/>
      <w:lang w:bidi="ar-SA"/>
    </w:rPr>
  </w:style>
  <w:style w:type="paragraph" w:customStyle="1" w:styleId="block-fbold-">
    <w:name w:val="block-f bold +/-"/>
    <w:basedOn w:val="Normal"/>
    <w:autoRedefine/>
    <w:uiPriority w:val="99"/>
    <w:semiHidden/>
    <w:rsid w:val="00201F3F"/>
    <w:pPr>
      <w:widowControl w:val="0"/>
      <w:tabs>
        <w:tab w:val="left" w:pos="960"/>
        <w:tab w:val="left" w:pos="1440"/>
      </w:tabs>
      <w:autoSpaceDE w:val="0"/>
      <w:autoSpaceDN w:val="0"/>
      <w:adjustRightInd w:val="0"/>
      <w:spacing w:after="0"/>
      <w:ind w:left="720"/>
      <w:textAlignment w:val="center"/>
    </w:pPr>
    <w:rPr>
      <w:rFonts w:ascii="Times New Roman Bold" w:eastAsiaTheme="minorEastAsia" w:hAnsi="Times New Roman Bold" w:cs="ITC New Baskerville Std"/>
      <w:b/>
      <w:bCs/>
      <w:color w:val="000000"/>
      <w:kern w:val="0"/>
      <w:sz w:val="20"/>
      <w:szCs w:val="22"/>
      <w:lang w:bidi="ar-SA"/>
    </w:rPr>
  </w:style>
  <w:style w:type="paragraph" w:customStyle="1" w:styleId="AdditionalTopicssubheadb">
    <w:name w:val="Additional Topics subhead_b +/+"/>
    <w:basedOn w:val="Normal"/>
    <w:autoRedefine/>
    <w:uiPriority w:val="99"/>
    <w:semiHidden/>
    <w:rsid w:val="00201F3F"/>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60" w:lineRule="atLeast"/>
      <w:textAlignment w:val="center"/>
    </w:pPr>
    <w:rPr>
      <w:rFonts w:eastAsiaTheme="minorEastAsia" w:cs="ITC New Baskerville Std"/>
      <w:b/>
      <w:bCs/>
      <w:color w:val="000000"/>
      <w:kern w:val="0"/>
      <w:lang w:bidi="ar-SA"/>
    </w:rPr>
  </w:style>
  <w:style w:type="paragraph" w:customStyle="1" w:styleId="block-p2ndindent">
    <w:name w:val="block-p 2nd indent"/>
    <w:basedOn w:val="text"/>
    <w:autoRedefine/>
    <w:uiPriority w:val="99"/>
    <w:semiHidden/>
    <w:rsid w:val="00201F3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201F3F"/>
    <w:pPr>
      <w:ind w:left="2160"/>
    </w:pPr>
  </w:style>
  <w:style w:type="paragraph" w:customStyle="1" w:styleId="bulletedparagraph-">
    <w:name w:val="bulleted paragraph +/-"/>
    <w:basedOn w:val="text"/>
    <w:autoRedefine/>
    <w:uiPriority w:val="99"/>
    <w:semiHidden/>
    <w:rsid w:val="00201F3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201F3F"/>
    <w:pPr>
      <w:widowControl w:val="0"/>
      <w:tabs>
        <w:tab w:val="left" w:pos="480"/>
        <w:tab w:val="left" w:pos="960"/>
        <w:tab w:val="left" w:pos="1440"/>
        <w:tab w:val="left" w:pos="1920"/>
        <w:tab w:val="left" w:pos="2400"/>
        <w:tab w:val="left" w:pos="2880"/>
      </w:tabs>
      <w:autoSpaceDE w:val="0"/>
      <w:autoSpaceDN w:val="0"/>
      <w:adjustRightInd w:val="0"/>
      <w:spacing w:after="240"/>
      <w:ind w:left="720"/>
      <w:textAlignment w:val="center"/>
    </w:pPr>
    <w:rPr>
      <w:rFonts w:eastAsiaTheme="minorEastAsia" w:cs="ITC New Baskerville Std"/>
      <w:i/>
      <w:iCs/>
      <w:color w:val="000000"/>
      <w:kern w:val="0"/>
      <w:lang w:bidi="ar-SA"/>
    </w:rPr>
  </w:style>
  <w:style w:type="paragraph" w:customStyle="1" w:styleId="textednote-0">
    <w:name w:val="text ed note -/+"/>
    <w:basedOn w:val="Normal"/>
    <w:autoRedefine/>
    <w:uiPriority w:val="99"/>
    <w:semiHidden/>
    <w:rsid w:val="00201F3F"/>
    <w:pPr>
      <w:widowControl w:val="0"/>
      <w:tabs>
        <w:tab w:val="left" w:pos="480"/>
        <w:tab w:val="left" w:pos="960"/>
        <w:tab w:val="left" w:pos="1440"/>
        <w:tab w:val="left" w:pos="1920"/>
        <w:tab w:val="left" w:pos="2400"/>
        <w:tab w:val="left" w:pos="2880"/>
      </w:tabs>
      <w:autoSpaceDE w:val="0"/>
      <w:autoSpaceDN w:val="0"/>
      <w:adjustRightInd w:val="0"/>
      <w:spacing w:before="0" w:after="240"/>
      <w:textAlignment w:val="center"/>
    </w:pPr>
    <w:rPr>
      <w:rFonts w:eastAsiaTheme="minorEastAsia" w:cs="ITC New Baskerville Std"/>
      <w:color w:val="000000"/>
      <w:kern w:val="0"/>
      <w:lang w:bidi="ar-SA"/>
    </w:rPr>
  </w:style>
  <w:style w:type="paragraph" w:customStyle="1" w:styleId="2ndlevelFormHead">
    <w:name w:val="2nd level Form Head"/>
    <w:basedOn w:val="2ndlevelheadAbi"/>
    <w:autoRedefine/>
    <w:uiPriority w:val="99"/>
    <w:semiHidden/>
    <w:rsid w:val="00201F3F"/>
    <w:pPr>
      <w:keepNext/>
      <w:widowControl w:val="0"/>
      <w:tabs>
        <w:tab w:val="clear" w:pos="360"/>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201F3F"/>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201F3F"/>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201F3F"/>
    <w:pPr>
      <w:keepNext/>
      <w:widowControl w:val="0"/>
      <w:tabs>
        <w:tab w:val="left" w:pos="840"/>
      </w:tabs>
      <w:suppressAutoHyphens/>
      <w:autoSpaceDE w:val="0"/>
      <w:autoSpaceDN w:val="0"/>
      <w:adjustRightInd w:val="0"/>
      <w:spacing w:before="360" w:after="240"/>
      <w:ind w:left="840" w:hanging="840"/>
      <w:textAlignment w:val="center"/>
    </w:pPr>
    <w:rPr>
      <w:rFonts w:eastAsiaTheme="minorEastAsia" w:cs="NewCenturySchlbk"/>
      <w:b/>
      <w:bCs/>
      <w:color w:val="000000"/>
      <w:kern w:val="0"/>
      <w:lang w:bidi="ar-SA"/>
    </w:rPr>
  </w:style>
  <w:style w:type="paragraph" w:customStyle="1" w:styleId="Blockquote2indent">
    <w:name w:val="Block quote 2 indent"/>
    <w:basedOn w:val="block-f-"/>
    <w:autoRedefine/>
    <w:uiPriority w:val="99"/>
    <w:semiHidden/>
    <w:rsid w:val="00201F3F"/>
    <w:pPr>
      <w:spacing w:before="120"/>
      <w:ind w:left="1440"/>
    </w:pPr>
    <w:rPr>
      <w:rFonts w:cs="NewCenturySchlbk"/>
    </w:rPr>
  </w:style>
  <w:style w:type="paragraph" w:customStyle="1" w:styleId="appendixarticlehead">
    <w:name w:val="appendix article head"/>
    <w:basedOn w:val="Normal"/>
    <w:autoRedefine/>
    <w:uiPriority w:val="99"/>
    <w:semiHidden/>
    <w:rsid w:val="00201F3F"/>
    <w:pPr>
      <w:widowControl w:val="0"/>
      <w:tabs>
        <w:tab w:val="center" w:pos="3480"/>
        <w:tab w:val="right" w:pos="6960"/>
      </w:tabs>
      <w:autoSpaceDE w:val="0"/>
      <w:autoSpaceDN w:val="0"/>
      <w:adjustRightInd w:val="0"/>
      <w:jc w:val="center"/>
      <w:textAlignment w:val="center"/>
    </w:pPr>
    <w:rPr>
      <w:rFonts w:eastAsiaTheme="minorEastAsia" w:cs="NewCenturySchlbk"/>
      <w:color w:val="000000"/>
      <w:kern w:val="0"/>
      <w:szCs w:val="22"/>
      <w:lang w:bidi="ar-SA"/>
    </w:rPr>
  </w:style>
  <w:style w:type="paragraph" w:customStyle="1" w:styleId="appendixcenteredhead">
    <w:name w:val="appendix centered head"/>
    <w:basedOn w:val="text"/>
    <w:autoRedefine/>
    <w:uiPriority w:val="99"/>
    <w:semiHidden/>
    <w:rsid w:val="00201F3F"/>
    <w:pPr>
      <w:widowControl w:val="0"/>
      <w:tabs>
        <w:tab w:val="clear" w:pos="0"/>
        <w:tab w:val="clear" w:pos="720"/>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201F3F"/>
    <w:pPr>
      <w:keepNext/>
      <w:widowControl w:val="0"/>
      <w:tabs>
        <w:tab w:val="left" w:pos="360"/>
      </w:tabs>
      <w:suppressAutoHyphens/>
      <w:autoSpaceDE w:val="0"/>
      <w:autoSpaceDN w:val="0"/>
      <w:adjustRightInd w:val="0"/>
      <w:spacing w:after="240"/>
      <w:ind w:left="360" w:hanging="360"/>
      <w:textAlignment w:val="center"/>
    </w:pPr>
    <w:rPr>
      <w:rFonts w:eastAsiaTheme="minorEastAsia" w:cs="NewCenturySchlbk"/>
      <w:b/>
      <w:bCs/>
      <w:color w:val="000000"/>
      <w:kern w:val="0"/>
      <w:szCs w:val="22"/>
      <w:lang w:bidi="ar-SA"/>
    </w:rPr>
  </w:style>
  <w:style w:type="paragraph" w:customStyle="1" w:styleId="TOC4a1">
    <w:name w:val="TOC4 a."/>
    <w:basedOn w:val="TOC311"/>
    <w:autoRedefine/>
    <w:uiPriority w:val="99"/>
    <w:semiHidden/>
    <w:rsid w:val="00201F3F"/>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201F3F"/>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201F3F"/>
    <w:pPr>
      <w:tabs>
        <w:tab w:val="clear" w:pos="0"/>
        <w:tab w:val="clear" w:pos="720"/>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201F3F"/>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201F3F"/>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201F3F"/>
    <w:pPr>
      <w:tabs>
        <w:tab w:val="clear" w:pos="0"/>
        <w:tab w:val="clear" w:pos="720"/>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201F3F"/>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201F3F"/>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201F3F"/>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201F3F"/>
    <w:pPr>
      <w:tabs>
        <w:tab w:val="left" w:pos="1080"/>
      </w:tabs>
      <w:ind w:left="1800"/>
    </w:pPr>
  </w:style>
  <w:style w:type="paragraph" w:customStyle="1" w:styleId="5thlevelheadnospaceii">
    <w:name w:val="5th level head no space (i)_i"/>
    <w:basedOn w:val="5thlevelheadii0"/>
    <w:autoRedefine/>
    <w:uiPriority w:val="99"/>
    <w:semiHidden/>
    <w:rsid w:val="00201F3F"/>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201F3F"/>
    <w:pPr>
      <w:ind w:firstLine="720"/>
    </w:pPr>
    <w:rPr>
      <w:rFonts w:cs="Times LT Std"/>
      <w:szCs w:val="18"/>
    </w:rPr>
  </w:style>
  <w:style w:type="paragraph" w:customStyle="1" w:styleId="Author">
    <w:name w:val="Author"/>
    <w:basedOn w:val="text"/>
    <w:uiPriority w:val="99"/>
    <w:semiHidden/>
    <w:rsid w:val="00201F3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201F3F"/>
    <w:pPr>
      <w:spacing w:after="240"/>
    </w:pPr>
    <w:rPr>
      <w:szCs w:val="22"/>
    </w:rPr>
  </w:style>
  <w:style w:type="paragraph" w:customStyle="1" w:styleId="Questiona">
    <w:name w:val="Question a."/>
    <w:basedOn w:val="Question"/>
    <w:autoRedefine/>
    <w:uiPriority w:val="99"/>
    <w:semiHidden/>
    <w:rsid w:val="00201F3F"/>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201F3F"/>
    <w:pPr>
      <w:spacing w:before="0" w:after="0"/>
    </w:pPr>
    <w:rPr>
      <w:b/>
      <w:sz w:val="20"/>
      <w:u w:val="none"/>
    </w:rPr>
  </w:style>
  <w:style w:type="paragraph" w:customStyle="1" w:styleId="IndentName--">
    <w:name w:val="Indent Name -/-"/>
    <w:basedOn w:val="Indentname"/>
    <w:autoRedefine/>
    <w:uiPriority w:val="99"/>
    <w:semiHidden/>
    <w:rsid w:val="00201F3F"/>
    <w:pPr>
      <w:spacing w:before="0" w:after="240"/>
    </w:pPr>
  </w:style>
  <w:style w:type="paragraph" w:customStyle="1" w:styleId="Italicheadindented-">
    <w:name w:val="Italic head indented -/+"/>
    <w:basedOn w:val="text"/>
    <w:autoRedefine/>
    <w:uiPriority w:val="99"/>
    <w:semiHidden/>
    <w:rsid w:val="00201F3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201F3F"/>
    <w:pPr>
      <w:widowControl w:val="0"/>
      <w:tabs>
        <w:tab w:val="clear" w:pos="0"/>
        <w:tab w:val="clear" w:pos="720"/>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201F3F"/>
    <w:pPr>
      <w:widowControl w:val="0"/>
      <w:tabs>
        <w:tab w:val="left" w:pos="480"/>
        <w:tab w:val="left" w:pos="960"/>
        <w:tab w:val="left" w:pos="1440"/>
        <w:tab w:val="left" w:pos="1920"/>
        <w:tab w:val="left" w:pos="2400"/>
        <w:tab w:val="left" w:pos="2880"/>
      </w:tabs>
      <w:suppressAutoHyphens/>
      <w:autoSpaceDE w:val="0"/>
      <w:autoSpaceDN w:val="0"/>
      <w:adjustRightInd w:val="0"/>
      <w:spacing w:before="0" w:after="240"/>
      <w:textAlignment w:val="center"/>
    </w:pPr>
    <w:rPr>
      <w:rFonts w:eastAsiaTheme="minorEastAsia" w:cs="ITC New Baskerville Std"/>
      <w:b/>
      <w:bCs/>
      <w:color w:val="000000"/>
      <w:kern w:val="0"/>
      <w:lang w:bidi="ar-SA"/>
    </w:rPr>
  </w:style>
  <w:style w:type="paragraph" w:customStyle="1" w:styleId="IndentName0">
    <w:name w:val="Indent Name +/+"/>
    <w:basedOn w:val="Indentname"/>
    <w:autoRedefine/>
    <w:uiPriority w:val="99"/>
    <w:semiHidden/>
    <w:rsid w:val="00201F3F"/>
    <w:pPr>
      <w:spacing w:after="240"/>
    </w:pPr>
  </w:style>
  <w:style w:type="paragraph" w:customStyle="1" w:styleId="blocknumberliststart">
    <w:name w:val="block number list start"/>
    <w:basedOn w:val="blocknumberlist"/>
    <w:autoRedefine/>
    <w:uiPriority w:val="99"/>
    <w:semiHidden/>
    <w:rsid w:val="00201F3F"/>
    <w:pPr>
      <w:spacing w:before="240"/>
    </w:pPr>
    <w:rPr>
      <w:szCs w:val="22"/>
    </w:rPr>
  </w:style>
  <w:style w:type="paragraph" w:customStyle="1" w:styleId="numberlist1a">
    <w:name w:val="number list 1.a."/>
    <w:basedOn w:val="numberlist0"/>
    <w:autoRedefine/>
    <w:uiPriority w:val="99"/>
    <w:semiHidden/>
    <w:rsid w:val="00201F3F"/>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201F3F"/>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textcrossreference">
    <w:name w:val="text cross reference"/>
    <w:basedOn w:val="BasicParagraph"/>
    <w:uiPriority w:val="99"/>
    <w:semiHidden/>
    <w:rsid w:val="00201F3F"/>
    <w:pPr>
      <w:ind w:firstLine="480"/>
      <w:jc w:val="both"/>
    </w:pPr>
  </w:style>
  <w:style w:type="paragraph" w:customStyle="1" w:styleId="BasicParagraph">
    <w:name w:val="[Basic Paragraph]"/>
    <w:basedOn w:val="NoParagraphStyle"/>
    <w:uiPriority w:val="99"/>
    <w:semiHidden/>
    <w:rsid w:val="00201F3F"/>
    <w:pPr>
      <w:spacing w:line="260" w:lineRule="atLeast"/>
    </w:pPr>
    <w:rPr>
      <w:rFonts w:ascii="ITC New Baskerville Std" w:hAnsi="ITC New Baskerville Std" w:cs="ITC New Baskerville Std"/>
    </w:rPr>
  </w:style>
  <w:style w:type="paragraph" w:customStyle="1" w:styleId="NoParagraphStyle">
    <w:name w:val="[No Paragraph Style]"/>
    <w:rsid w:val="00201F3F"/>
    <w:pPr>
      <w:widowControl w:val="0"/>
      <w:autoSpaceDE w:val="0"/>
      <w:autoSpaceDN w:val="0"/>
      <w:adjustRightInd w:val="0"/>
      <w:spacing w:before="0" w:after="0" w:line="288" w:lineRule="auto"/>
      <w:textAlignment w:val="center"/>
    </w:pPr>
    <w:rPr>
      <w:rFonts w:ascii="Times Roman" w:eastAsiaTheme="minorEastAsia" w:hAnsi="Times Roman" w:cs="Times Roman"/>
      <w:color w:val="000000"/>
      <w:kern w:val="0"/>
      <w:lang w:bidi="ar-SA"/>
    </w:rPr>
  </w:style>
  <w:style w:type="paragraph" w:customStyle="1" w:styleId="bulletlistend0">
    <w:name w:val="bullet list / end"/>
    <w:basedOn w:val="bulletliststart0"/>
    <w:uiPriority w:val="99"/>
    <w:semiHidden/>
    <w:rsid w:val="00201F3F"/>
    <w:pPr>
      <w:spacing w:before="0" w:after="240" w:line="260" w:lineRule="atLeast"/>
      <w:ind w:left="720" w:hanging="240"/>
      <w:jc w:val="both"/>
    </w:pPr>
    <w:rPr>
      <w:rFonts w:ascii="ITC New Baskerville Std" w:hAnsi="ITC New Baskerville Std"/>
    </w:rPr>
  </w:style>
  <w:style w:type="paragraph" w:customStyle="1" w:styleId="footnotecrossreference">
    <w:name w:val="footnote cross reference"/>
    <w:basedOn w:val="NoParagraphStyle"/>
    <w:uiPriority w:val="99"/>
    <w:semiHidden/>
    <w:rsid w:val="00201F3F"/>
    <w:pPr>
      <w:spacing w:line="190" w:lineRule="atLeast"/>
      <w:ind w:firstLine="360"/>
      <w:jc w:val="both"/>
    </w:pPr>
    <w:rPr>
      <w:rFonts w:ascii="ITC New Baskerville Std" w:hAnsi="ITC New Baskerville Std" w:cs="ITC New Baskerville Std"/>
      <w:sz w:val="18"/>
      <w:szCs w:val="18"/>
    </w:rPr>
  </w:style>
  <w:style w:type="character" w:customStyle="1" w:styleId="ChapterNumberChar">
    <w:name w:val="Chapter Number Char"/>
    <w:basedOn w:val="DefaultParagraphFont"/>
    <w:link w:val="ChapterNumber"/>
    <w:uiPriority w:val="99"/>
    <w:semiHidden/>
    <w:rsid w:val="00201F3F"/>
    <w:rPr>
      <w:rFonts w:eastAsiaTheme="minorEastAsia"/>
      <w:smallCaps/>
      <w:color w:val="000000"/>
      <w:kern w:val="0"/>
      <w:sz w:val="20"/>
      <w:szCs w:val="28"/>
      <w:lang w:bidi="ar-SA"/>
    </w:rPr>
  </w:style>
  <w:style w:type="character" w:customStyle="1" w:styleId="DocIDChar">
    <w:name w:val="DocID Char"/>
    <w:basedOn w:val="ChapterNumberChar"/>
    <w:link w:val="DocID"/>
    <w:semiHidden/>
    <w:rsid w:val="00201F3F"/>
    <w:rPr>
      <w:rFonts w:eastAsia="Times New Roman"/>
      <w:smallCaps w:val="0"/>
      <w:color w:val="000000"/>
      <w:kern w:val="0"/>
      <w:sz w:val="16"/>
      <w:szCs w:val="20"/>
      <w:lang w:bidi="ar-SA"/>
    </w:rPr>
  </w:style>
  <w:style w:type="character" w:styleId="Emphasis">
    <w:name w:val="Emphasis"/>
    <w:basedOn w:val="DefaultParagraphFont"/>
    <w:uiPriority w:val="20"/>
    <w:qFormat/>
    <w:rsid w:val="00201F3F"/>
    <w:rPr>
      <w:i/>
      <w:iCs/>
    </w:rPr>
  </w:style>
  <w:style w:type="character" w:customStyle="1" w:styleId="costarpage">
    <w:name w:val="co_starpage"/>
    <w:basedOn w:val="DefaultParagraphFont"/>
    <w:rsid w:val="00201F3F"/>
  </w:style>
  <w:style w:type="paragraph" w:customStyle="1" w:styleId="01ChapterNumber">
    <w:name w:val="01 Chapter Number"/>
    <w:basedOn w:val="ChapterNumber"/>
    <w:link w:val="01ChapterNumberChar"/>
    <w:qFormat/>
    <w:rsid w:val="00201F3F"/>
  </w:style>
  <w:style w:type="character" w:customStyle="1" w:styleId="01ChapterNumberChar">
    <w:name w:val="01 Chapter Number Char"/>
    <w:link w:val="01ChapterNumber"/>
    <w:rsid w:val="00201F3F"/>
    <w:rPr>
      <w:rFonts w:eastAsiaTheme="minorEastAsia"/>
      <w:smallCaps/>
      <w:color w:val="000000"/>
      <w:kern w:val="0"/>
      <w:sz w:val="20"/>
      <w:szCs w:val="28"/>
      <w:lang w:bidi="ar-SA"/>
    </w:rPr>
  </w:style>
  <w:style w:type="paragraph" w:customStyle="1" w:styleId="02ChapterTitle">
    <w:name w:val="02 Chapter Title"/>
    <w:basedOn w:val="ChapterTitle"/>
    <w:link w:val="02ChapterTitleChar"/>
    <w:qFormat/>
    <w:rsid w:val="00201F3F"/>
  </w:style>
  <w:style w:type="character" w:customStyle="1" w:styleId="02ChapterTitleChar">
    <w:name w:val="02 Chapter Title Char"/>
    <w:link w:val="02ChapterTitle"/>
    <w:rsid w:val="00201F3F"/>
    <w:rPr>
      <w:rFonts w:eastAsiaTheme="minorEastAsia"/>
      <w:b/>
      <w:color w:val="000000"/>
      <w:kern w:val="0"/>
      <w:sz w:val="28"/>
      <w:szCs w:val="40"/>
      <w:lang w:bidi="ar-SA"/>
    </w:rPr>
  </w:style>
  <w:style w:type="paragraph" w:customStyle="1" w:styleId="10BTextWithoutIndent">
    <w:name w:val="10B Text Without ¶ Indent"/>
    <w:basedOn w:val="Normal"/>
    <w:qFormat/>
    <w:rsid w:val="00201F3F"/>
    <w:pPr>
      <w:spacing w:before="120"/>
    </w:pPr>
    <w:rPr>
      <w:rFonts w:eastAsia="Times New Roman"/>
      <w:kern w:val="0"/>
      <w:lang w:bidi="ar-SA"/>
    </w:rPr>
  </w:style>
  <w:style w:type="paragraph" w:customStyle="1" w:styleId="03TableofContents">
    <w:name w:val="03 Table of Contents"/>
    <w:basedOn w:val="10BTextWithoutIndent"/>
    <w:link w:val="03TableofContentsChar"/>
    <w:qFormat/>
    <w:rsid w:val="00201F3F"/>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201F3F"/>
    <w:rPr>
      <w:rFonts w:eastAsia="Times New Roman"/>
      <w:color w:val="000000"/>
      <w:kern w:val="0"/>
      <w:lang w:bidi="ar-SA"/>
    </w:rPr>
  </w:style>
  <w:style w:type="paragraph" w:customStyle="1" w:styleId="04First-LevelHeadIIIIII">
    <w:name w:val="04 First-Level Head I. II. III."/>
    <w:basedOn w:val="Normal"/>
    <w:link w:val="04First-LevelHeadIIIIIIChar"/>
    <w:qFormat/>
    <w:rsid w:val="00201F3F"/>
    <w:pPr>
      <w:spacing w:before="480" w:after="240"/>
      <w:jc w:val="center"/>
    </w:pPr>
    <w:rPr>
      <w:rFonts w:eastAsia="Times New Roman"/>
      <w:smallCaps/>
      <w:kern w:val="0"/>
      <w:lang w:bidi="ar-SA"/>
    </w:rPr>
  </w:style>
  <w:style w:type="character" w:customStyle="1" w:styleId="04First-LevelHeadIIIIIIChar">
    <w:name w:val="04 First-Level Head I. II. III. Char"/>
    <w:link w:val="04First-LevelHeadIIIIII"/>
    <w:rsid w:val="00201F3F"/>
    <w:rPr>
      <w:rFonts w:eastAsia="Times New Roman"/>
      <w:smallCaps/>
      <w:kern w:val="0"/>
      <w:lang w:bidi="ar-SA"/>
    </w:rPr>
  </w:style>
  <w:style w:type="paragraph" w:customStyle="1" w:styleId="05Second-LevelHeadABC">
    <w:name w:val="05 Second-Level Head A. B. C."/>
    <w:basedOn w:val="Normal"/>
    <w:link w:val="05Second-LevelHeadABCChar"/>
    <w:qFormat/>
    <w:rsid w:val="00201F3F"/>
    <w:pPr>
      <w:spacing w:before="360" w:after="240"/>
      <w:ind w:left="720" w:hanging="720"/>
    </w:pPr>
    <w:rPr>
      <w:rFonts w:eastAsia="Times New Roman"/>
      <w:b/>
      <w:kern w:val="0"/>
      <w:lang w:bidi="ar-SA"/>
    </w:rPr>
  </w:style>
  <w:style w:type="character" w:customStyle="1" w:styleId="05Second-LevelHeadABCChar">
    <w:name w:val="05 Second-Level Head A. B. C. Char"/>
    <w:link w:val="05Second-LevelHeadABC"/>
    <w:rsid w:val="00201F3F"/>
    <w:rPr>
      <w:rFonts w:eastAsia="Times New Roman"/>
      <w:b/>
      <w:kern w:val="0"/>
      <w:lang w:bidi="ar-SA"/>
    </w:rPr>
  </w:style>
  <w:style w:type="paragraph" w:customStyle="1" w:styleId="06Third-LevelHead123">
    <w:name w:val="06 Third-Level Head 1. 2. 3."/>
    <w:basedOn w:val="Normal"/>
    <w:link w:val="06Third-LevelHead123Char"/>
    <w:qFormat/>
    <w:rsid w:val="00201F3F"/>
    <w:pPr>
      <w:spacing w:before="360" w:after="240"/>
      <w:ind w:left="720" w:hanging="720"/>
    </w:pPr>
    <w:rPr>
      <w:rFonts w:eastAsia="Times New Roman"/>
      <w:b/>
      <w:i/>
      <w:kern w:val="0"/>
      <w:lang w:bidi="ar-SA"/>
    </w:rPr>
  </w:style>
  <w:style w:type="character" w:customStyle="1" w:styleId="06Third-LevelHead123Char">
    <w:name w:val="06 Third-Level Head 1. 2. 3. Char"/>
    <w:link w:val="06Third-LevelHead123"/>
    <w:rsid w:val="00201F3F"/>
    <w:rPr>
      <w:rFonts w:eastAsia="Times New Roman"/>
      <w:b/>
      <w:i/>
      <w:kern w:val="0"/>
      <w:lang w:bidi="ar-SA"/>
    </w:rPr>
  </w:style>
  <w:style w:type="paragraph" w:customStyle="1" w:styleId="07Fourth-LevelHeadabc">
    <w:name w:val="07 Fourth-Level Head a. b. c."/>
    <w:basedOn w:val="Normal"/>
    <w:link w:val="07Fourth-LevelHeadabcChar"/>
    <w:qFormat/>
    <w:rsid w:val="00201F3F"/>
    <w:pPr>
      <w:spacing w:before="360" w:after="240"/>
      <w:ind w:left="720"/>
    </w:pPr>
    <w:rPr>
      <w:rFonts w:eastAsia="Times New Roman"/>
      <w:i/>
      <w:kern w:val="0"/>
      <w:lang w:bidi="ar-SA"/>
    </w:rPr>
  </w:style>
  <w:style w:type="character" w:customStyle="1" w:styleId="07Fourth-LevelHeadabcChar">
    <w:name w:val="07 Fourth-Level Head a. b. c. Char"/>
    <w:link w:val="07Fourth-LevelHeadabc"/>
    <w:rsid w:val="00201F3F"/>
    <w:rPr>
      <w:rFonts w:eastAsia="Times New Roman"/>
      <w:i/>
      <w:kern w:val="0"/>
      <w:lang w:bidi="ar-SA"/>
    </w:rPr>
  </w:style>
  <w:style w:type="paragraph" w:customStyle="1" w:styleId="08Fifth-LevelHeadi">
    <w:name w:val="08 Fifth-Level Head (i.)"/>
    <w:aliases w:val="(ii.),(iii.)"/>
    <w:basedOn w:val="Normal"/>
    <w:link w:val="08Fifth-LevelHeadiChar"/>
    <w:qFormat/>
    <w:rsid w:val="00201F3F"/>
    <w:pPr>
      <w:spacing w:before="360" w:after="240"/>
      <w:ind w:left="1440"/>
    </w:pPr>
    <w:rPr>
      <w:rFonts w:eastAsia="Times New Roman"/>
      <w:i/>
      <w:kern w:val="0"/>
      <w:lang w:bidi="ar-SA"/>
    </w:rPr>
  </w:style>
  <w:style w:type="character" w:customStyle="1" w:styleId="08Fifth-LevelHeadiChar">
    <w:name w:val="08 Fifth-Level Head (i.) Char"/>
    <w:aliases w:val="(ii.) Char,(iii.) Char"/>
    <w:link w:val="08Fifth-LevelHeadi"/>
    <w:rsid w:val="00201F3F"/>
    <w:rPr>
      <w:rFonts w:eastAsia="Times New Roman"/>
      <w:i/>
      <w:kern w:val="0"/>
      <w:lang w:bidi="ar-SA"/>
    </w:rPr>
  </w:style>
  <w:style w:type="paragraph" w:customStyle="1" w:styleId="09ABlockQuoteWithIndent">
    <w:name w:val="09A Block Quote With ¶ Indent"/>
    <w:basedOn w:val="Normal"/>
    <w:qFormat/>
    <w:rsid w:val="00201F3F"/>
    <w:pPr>
      <w:spacing w:before="120"/>
      <w:ind w:left="720" w:firstLine="720"/>
    </w:pPr>
    <w:rPr>
      <w:rFonts w:eastAsia="Times New Roman"/>
      <w:kern w:val="0"/>
      <w:sz w:val="20"/>
      <w:lang w:bidi="ar-SA"/>
    </w:rPr>
  </w:style>
  <w:style w:type="paragraph" w:customStyle="1" w:styleId="09BBlockQuoteWithoutIndent">
    <w:name w:val="09B Block Quote Without ¶ Indent"/>
    <w:basedOn w:val="Normal"/>
    <w:link w:val="09BBlockQuoteWithoutIndentChar"/>
    <w:qFormat/>
    <w:rsid w:val="00201F3F"/>
    <w:pPr>
      <w:spacing w:before="120"/>
      <w:ind w:left="720"/>
    </w:pPr>
    <w:rPr>
      <w:rFonts w:eastAsia="Times New Roman"/>
      <w:kern w:val="0"/>
      <w:sz w:val="20"/>
      <w:lang w:bidi="ar-SA"/>
    </w:rPr>
  </w:style>
  <w:style w:type="character" w:customStyle="1" w:styleId="09BBlockQuoteWithoutIndentChar">
    <w:name w:val="09B Block Quote Without ¶ Indent Char"/>
    <w:link w:val="09BBlockQuoteWithoutIndent"/>
    <w:rsid w:val="00201F3F"/>
    <w:rPr>
      <w:rFonts w:eastAsia="Times New Roman"/>
      <w:kern w:val="0"/>
      <w:sz w:val="20"/>
      <w:lang w:bidi="ar-SA"/>
    </w:rPr>
  </w:style>
  <w:style w:type="paragraph" w:customStyle="1" w:styleId="10ATextWithIndent">
    <w:name w:val="10A Text With ¶ Indent"/>
    <w:basedOn w:val="Normal"/>
    <w:link w:val="10ATextWithIndentChar"/>
    <w:qFormat/>
    <w:rsid w:val="00201F3F"/>
    <w:pPr>
      <w:spacing w:before="120"/>
      <w:ind w:firstLine="720"/>
    </w:pPr>
    <w:rPr>
      <w:rFonts w:eastAsia="Times New Roman"/>
      <w:kern w:val="0"/>
      <w:lang w:bidi="ar-SA"/>
    </w:rPr>
  </w:style>
  <w:style w:type="character" w:customStyle="1" w:styleId="10ATextWithIndentChar">
    <w:name w:val="10A Text With ¶ Indent Char"/>
    <w:link w:val="10ATextWithIndent"/>
    <w:rsid w:val="00201F3F"/>
    <w:rPr>
      <w:rFonts w:eastAsia="Times New Roman"/>
      <w:kern w:val="0"/>
      <w:lang w:bidi="ar-SA"/>
    </w:rPr>
  </w:style>
  <w:style w:type="paragraph" w:customStyle="1" w:styleId="11AFirst-LevelList123forshortphrases">
    <w:name w:val="11A First-Level List (1) (2) (3) (for short phrases)"/>
    <w:basedOn w:val="Normal"/>
    <w:link w:val="11AFirst-LevelList123forshortphrasesChar"/>
    <w:qFormat/>
    <w:rsid w:val="00201F3F"/>
    <w:pPr>
      <w:spacing w:before="120"/>
      <w:ind w:left="1267" w:hanging="547"/>
    </w:pPr>
    <w:rPr>
      <w:rFonts w:eastAsia="Times New Roman"/>
      <w:kern w:val="0"/>
      <w:lang w:bidi="ar-SA"/>
    </w:rPr>
  </w:style>
  <w:style w:type="character" w:customStyle="1" w:styleId="11AFirst-LevelList123forshortphrasesChar">
    <w:name w:val="11A First-Level List (1) (2) (3) (for short phrases) Char"/>
    <w:link w:val="11AFirst-LevelList123forshortphrases"/>
    <w:rsid w:val="00201F3F"/>
    <w:rPr>
      <w:rFonts w:eastAsia="Times New Roman"/>
      <w:kern w:val="0"/>
      <w:lang w:bidi="ar-SA"/>
    </w:rPr>
  </w:style>
  <w:style w:type="paragraph" w:customStyle="1" w:styleId="11BSecond-LevelListabcforshortphrases">
    <w:name w:val="11B Second-Level List (a) (b) (c) (for short phrases)"/>
    <w:basedOn w:val="Normal"/>
    <w:link w:val="11BSecond-LevelListabcforshortphrasesChar"/>
    <w:qFormat/>
    <w:rsid w:val="00201F3F"/>
    <w:pPr>
      <w:spacing w:before="120"/>
    </w:pPr>
    <w:rPr>
      <w:rFonts w:eastAsia="Times New Roman"/>
      <w:kern w:val="0"/>
      <w:lang w:bidi="ar-SA"/>
    </w:rPr>
  </w:style>
  <w:style w:type="character" w:customStyle="1" w:styleId="11BSecond-LevelListabcforshortphrasesChar">
    <w:name w:val="11B Second-Level List (a) (b) (c) (for short phrases) Char"/>
    <w:link w:val="11BSecond-LevelListabcforshortphrases"/>
    <w:rsid w:val="00201F3F"/>
    <w:rPr>
      <w:rFonts w:eastAsia="Times New Roman"/>
      <w:kern w:val="0"/>
      <w:lang w:bidi="ar-SA"/>
    </w:rPr>
  </w:style>
  <w:style w:type="paragraph" w:customStyle="1" w:styleId="12AFirst-LevelList123forcompletesentences">
    <w:name w:val="12A First-Level List 1. 2. 3. (for complete sentences)"/>
    <w:basedOn w:val="Normal"/>
    <w:link w:val="12AFirst-LevelList123forcompletesentencesChar"/>
    <w:qFormat/>
    <w:rsid w:val="00201F3F"/>
    <w:pPr>
      <w:spacing w:before="120"/>
    </w:pPr>
    <w:rPr>
      <w:rFonts w:eastAsia="Times New Roman"/>
      <w:kern w:val="0"/>
      <w:lang w:bidi="ar-SA"/>
    </w:rPr>
  </w:style>
  <w:style w:type="character" w:customStyle="1" w:styleId="12AFirst-LevelList123forcompletesentencesChar">
    <w:name w:val="12A First-Level List 1. 2. 3. (for complete sentences) Char"/>
    <w:link w:val="12AFirst-LevelList123forcompletesentences"/>
    <w:rsid w:val="00201F3F"/>
    <w:rPr>
      <w:rFonts w:eastAsia="Times New Roman"/>
      <w:kern w:val="0"/>
      <w:lang w:bidi="ar-SA"/>
    </w:rPr>
  </w:style>
  <w:style w:type="paragraph" w:customStyle="1" w:styleId="12BSecond-LevelListabcforcompletesentences">
    <w:name w:val="12B Second-Level List a. b. c. (for complete sentences)"/>
    <w:basedOn w:val="Normal"/>
    <w:link w:val="12BSecond-LevelListabcforcompletesentencesChar"/>
    <w:qFormat/>
    <w:rsid w:val="00201F3F"/>
    <w:pPr>
      <w:spacing w:before="120"/>
    </w:pPr>
    <w:rPr>
      <w:rFonts w:eastAsia="Times New Roman"/>
      <w:kern w:val="0"/>
      <w:lang w:bidi="ar-SA"/>
    </w:rPr>
  </w:style>
  <w:style w:type="character" w:customStyle="1" w:styleId="12BSecond-LevelListabcforcompletesentencesChar">
    <w:name w:val="12B Second-Level List a. b. c. (for complete sentences) Char"/>
    <w:link w:val="12BSecond-LevelListabcforcompletesentences"/>
    <w:rsid w:val="00201F3F"/>
    <w:rPr>
      <w:rFonts w:eastAsia="Times New Roman"/>
      <w:kern w:val="0"/>
      <w:lang w:bidi="ar-SA"/>
    </w:rPr>
  </w:style>
  <w:style w:type="paragraph" w:customStyle="1" w:styleId="13AFirst-LevelBulletedList">
    <w:name w:val="13A First-Level Bulleted List"/>
    <w:basedOn w:val="Normal"/>
    <w:link w:val="13AFirst-LevelBulletedListChar"/>
    <w:qFormat/>
    <w:rsid w:val="00201F3F"/>
    <w:pPr>
      <w:spacing w:before="120"/>
      <w:ind w:left="1080" w:hanging="360"/>
    </w:pPr>
    <w:rPr>
      <w:rFonts w:eastAsia="Times New Roman"/>
      <w:kern w:val="0"/>
      <w:lang w:bidi="ar-SA"/>
    </w:rPr>
  </w:style>
  <w:style w:type="character" w:customStyle="1" w:styleId="13AFirst-LevelBulletedListChar">
    <w:name w:val="13A First-Level Bulleted List Char"/>
    <w:link w:val="13AFirst-LevelBulletedList"/>
    <w:rsid w:val="00201F3F"/>
    <w:rPr>
      <w:rFonts w:eastAsia="Times New Roman"/>
      <w:kern w:val="0"/>
      <w:lang w:bidi="ar-SA"/>
    </w:rPr>
  </w:style>
  <w:style w:type="paragraph" w:customStyle="1" w:styleId="13BSecond-LevelBulletedList">
    <w:name w:val="13B Second-Level Bulleted List"/>
    <w:basedOn w:val="Normal"/>
    <w:link w:val="13BSecond-LevelBulletedListChar"/>
    <w:qFormat/>
    <w:rsid w:val="00201F3F"/>
    <w:pPr>
      <w:spacing w:before="120"/>
    </w:pPr>
    <w:rPr>
      <w:rFonts w:eastAsia="Times New Roman"/>
      <w:kern w:val="0"/>
      <w:lang w:bidi="ar-SA"/>
    </w:rPr>
  </w:style>
  <w:style w:type="character" w:customStyle="1" w:styleId="13BSecond-LevelBulletedListChar">
    <w:name w:val="13B Second-Level Bulleted List Char"/>
    <w:link w:val="13BSecond-LevelBulletedList"/>
    <w:rsid w:val="00201F3F"/>
    <w:rPr>
      <w:rFonts w:eastAsia="Times New Roman"/>
      <w:kern w:val="0"/>
      <w:lang w:bidi="ar-SA"/>
    </w:rPr>
  </w:style>
  <w:style w:type="paragraph" w:customStyle="1" w:styleId="14Footnote">
    <w:name w:val="14 Footnote"/>
    <w:basedOn w:val="Normal"/>
    <w:qFormat/>
    <w:rsid w:val="00201F3F"/>
    <w:pPr>
      <w:spacing w:before="0"/>
      <w:ind w:firstLine="720"/>
    </w:pPr>
    <w:rPr>
      <w:rFonts w:eastAsia="Times New Roman"/>
      <w:kern w:val="0"/>
      <w:sz w:val="20"/>
      <w:lang w:bidi="ar-SA"/>
    </w:rPr>
  </w:style>
  <w:style w:type="paragraph" w:customStyle="1" w:styleId="15AFootnoteBlockQuoteWithIndent">
    <w:name w:val="15A Footnote Block Quote With ¶ Indent"/>
    <w:basedOn w:val="Normal"/>
    <w:qFormat/>
    <w:rsid w:val="00201F3F"/>
    <w:pPr>
      <w:spacing w:before="120"/>
      <w:ind w:left="720" w:right="720" w:firstLine="360"/>
      <w:jc w:val="both"/>
    </w:pPr>
    <w:rPr>
      <w:rFonts w:eastAsia="Times New Roman"/>
      <w:kern w:val="0"/>
      <w:sz w:val="20"/>
      <w:lang w:bidi="ar-SA"/>
    </w:rPr>
  </w:style>
  <w:style w:type="paragraph" w:customStyle="1" w:styleId="15BFootnoteBlockQuoteWithoutIndent">
    <w:name w:val="15B Footnote Block Quote Without ¶ Indent"/>
    <w:basedOn w:val="Normal"/>
    <w:qFormat/>
    <w:rsid w:val="00201F3F"/>
    <w:pPr>
      <w:spacing w:before="120"/>
      <w:ind w:left="720" w:right="720"/>
    </w:pPr>
    <w:rPr>
      <w:rFonts w:eastAsia="Times New Roman"/>
      <w:kern w:val="0"/>
      <w:sz w:val="20"/>
      <w:lang w:bidi="ar-SA"/>
    </w:rPr>
  </w:style>
  <w:style w:type="paragraph" w:customStyle="1" w:styleId="16AFirst-LevelFootnoteList123forshortphrases">
    <w:name w:val="16A First-Level Footnote List (1) (2) (3) (for short phrases)"/>
    <w:basedOn w:val="Normal"/>
    <w:qFormat/>
    <w:rsid w:val="00201F3F"/>
    <w:pPr>
      <w:spacing w:before="120"/>
    </w:pPr>
    <w:rPr>
      <w:rFonts w:eastAsia="Times New Roman"/>
      <w:kern w:val="0"/>
      <w:sz w:val="20"/>
      <w:lang w:bidi="ar-SA"/>
    </w:rPr>
  </w:style>
  <w:style w:type="paragraph" w:customStyle="1" w:styleId="16BSecond-LevelFootnoteListabcforshortphrases">
    <w:name w:val="16B Second-Level Footnote List (a) (b) (c) (for short phrases)"/>
    <w:basedOn w:val="Normal"/>
    <w:qFormat/>
    <w:rsid w:val="00201F3F"/>
    <w:pPr>
      <w:spacing w:before="120"/>
    </w:pPr>
    <w:rPr>
      <w:rFonts w:eastAsia="Times New Roman"/>
      <w:kern w:val="0"/>
      <w:sz w:val="20"/>
      <w:szCs w:val="20"/>
      <w:lang w:bidi="ar-SA"/>
    </w:rPr>
  </w:style>
  <w:style w:type="paragraph" w:customStyle="1" w:styleId="17AFirst-LevelFootnoteList123forcompletesentences">
    <w:name w:val="17A First-Level Footnote List 1. 2. 3. (for complete sentences)"/>
    <w:basedOn w:val="Normal"/>
    <w:qFormat/>
    <w:rsid w:val="00201F3F"/>
    <w:pPr>
      <w:spacing w:before="120"/>
    </w:pPr>
    <w:rPr>
      <w:rFonts w:eastAsia="Times New Roman"/>
      <w:kern w:val="0"/>
      <w:sz w:val="20"/>
      <w:szCs w:val="20"/>
      <w:lang w:bidi="ar-SA"/>
    </w:rPr>
  </w:style>
  <w:style w:type="paragraph" w:customStyle="1" w:styleId="17BSecond-LevelFootnoteListabcforcompletesentences">
    <w:name w:val="17B Second-Level Footnote List a. b. c. (for complete sentences)"/>
    <w:basedOn w:val="Normal"/>
    <w:qFormat/>
    <w:rsid w:val="00201F3F"/>
    <w:pPr>
      <w:spacing w:before="120"/>
    </w:pPr>
    <w:rPr>
      <w:rFonts w:eastAsia="Times New Roman"/>
      <w:kern w:val="0"/>
      <w:sz w:val="20"/>
      <w:lang w:bidi="ar-SA"/>
    </w:rPr>
  </w:style>
  <w:style w:type="paragraph" w:customStyle="1" w:styleId="18AFirst-LevelFootnoteBulletedList">
    <w:name w:val="18A First-Level Footnote Bulleted List"/>
    <w:basedOn w:val="Normal"/>
    <w:qFormat/>
    <w:rsid w:val="00201F3F"/>
    <w:pPr>
      <w:spacing w:before="120"/>
    </w:pPr>
    <w:rPr>
      <w:rFonts w:eastAsia="Times New Roman"/>
      <w:kern w:val="0"/>
      <w:sz w:val="20"/>
      <w:lang w:bidi="ar-SA"/>
    </w:rPr>
  </w:style>
  <w:style w:type="paragraph" w:customStyle="1" w:styleId="18BSecond-LevelFootnoteBulletedList">
    <w:name w:val="18B Second-Level Footnote Bulleted List"/>
    <w:basedOn w:val="Normal"/>
    <w:qFormat/>
    <w:rsid w:val="00201F3F"/>
    <w:pPr>
      <w:spacing w:before="120"/>
    </w:pPr>
    <w:rPr>
      <w:rFonts w:eastAsia="Times New Roman"/>
      <w:kern w:val="0"/>
      <w:sz w:val="20"/>
      <w:lang w:bidi="ar-SA"/>
    </w:rPr>
  </w:style>
  <w:style w:type="paragraph" w:customStyle="1" w:styleId="19Table-Figure-ExhibitTitle">
    <w:name w:val="19 Table-Figure-Exhibit Title"/>
    <w:basedOn w:val="Normal"/>
    <w:qFormat/>
    <w:rsid w:val="00201F3F"/>
    <w:pPr>
      <w:spacing w:before="0" w:after="0"/>
      <w:jc w:val="center"/>
    </w:pPr>
    <w:rPr>
      <w:rFonts w:eastAsia="Times New Roman"/>
      <w:b/>
      <w:kern w:val="0"/>
      <w:lang w:bidi="ar-SA"/>
    </w:rPr>
  </w:style>
  <w:style w:type="character" w:customStyle="1" w:styleId="None">
    <w:name w:val="None"/>
    <w:rsid w:val="00201F3F"/>
  </w:style>
  <w:style w:type="character" w:customStyle="1" w:styleId="UnresolvedMention1">
    <w:name w:val="Unresolved Mention1"/>
    <w:basedOn w:val="DefaultParagraphFont"/>
    <w:uiPriority w:val="99"/>
    <w:rsid w:val="00201F3F"/>
    <w:rPr>
      <w:color w:val="605E5C"/>
      <w:shd w:val="clear" w:color="auto" w:fill="E1DFDD"/>
    </w:rPr>
  </w:style>
  <w:style w:type="character" w:customStyle="1" w:styleId="UnresolvedMention2">
    <w:name w:val="Unresolved Mention2"/>
    <w:basedOn w:val="DefaultParagraphFont"/>
    <w:uiPriority w:val="99"/>
    <w:rsid w:val="00201F3F"/>
    <w:rPr>
      <w:color w:val="605E5C"/>
      <w:shd w:val="clear" w:color="auto" w:fill="E1DFDD"/>
    </w:rPr>
  </w:style>
  <w:style w:type="character" w:styleId="UnresolvedMention">
    <w:name w:val="Unresolved Mention"/>
    <w:basedOn w:val="DefaultParagraphFont"/>
    <w:uiPriority w:val="99"/>
    <w:rsid w:val="00201F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iggin.com/person/lawrence-peikes/"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rmrllp.com/attorneys/jason-c-marsili/"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flsalaw.com/douglas-m-werman/"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mselaborlaw.com/about-us/attorneys-and-staff/gregory-k-mcgilliva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E430D474-CA4F-4D34-830A-72C5F04CA5CE}"/>
      </w:docPartPr>
      <w:docPartBody>
        <w:p w:rsidR="00556FB5" w:rsidRDefault="00556FB5">
          <w:r w:rsidRPr="002E0931">
            <w:rPr>
              <w:rStyle w:val="PlaceholderText"/>
            </w:rPr>
            <w:t>Click or tap here to enter text.</w:t>
          </w:r>
        </w:p>
      </w:docPartBody>
    </w:docPart>
    <w:docPart>
      <w:docPartPr>
        <w:name w:val="6098028BC67746A6ADA80923FDFC9208"/>
        <w:category>
          <w:name w:val="General"/>
          <w:gallery w:val="placeholder"/>
        </w:category>
        <w:types>
          <w:type w:val="bbPlcHdr"/>
        </w:types>
        <w:behaviors>
          <w:behavior w:val="content"/>
        </w:behaviors>
        <w:guid w:val="{51B38C46-A5AF-4768-8D83-F4B35A4A5C3B}"/>
      </w:docPartPr>
      <w:docPartBody>
        <w:p w:rsidR="00556FB5" w:rsidRDefault="00556FB5">
          <w:r w:rsidRPr="002E0931">
            <w:rPr>
              <w:rStyle w:val="PlaceholderText"/>
            </w:rPr>
            <w:t>Unit.Start</w:t>
          </w:r>
        </w:p>
      </w:docPartBody>
    </w:docPart>
    <w:docPart>
      <w:docPartPr>
        <w:name w:val="B97A54291ABB47E6965744ECAA898139"/>
        <w:category>
          <w:name w:val="General"/>
          <w:gallery w:val="placeholder"/>
        </w:category>
        <w:types>
          <w:type w:val="bbPlcHdr"/>
        </w:types>
        <w:behaviors>
          <w:behavior w:val="content"/>
        </w:behaviors>
        <w:guid w:val="{D2F6CE38-9EEC-4B24-AD52-A7915935E08E}"/>
      </w:docPartPr>
      <w:docPartBody>
        <w:p w:rsidR="00556FB5" w:rsidRDefault="00556FB5">
          <w:r w:rsidRPr="002E0931">
            <w:rPr>
              <w:rStyle w:val="PlaceholderText"/>
            </w:rPr>
            <w:t>Document</w:t>
          </w:r>
        </w:p>
      </w:docPartBody>
    </w:docPart>
    <w:docPart>
      <w:docPartPr>
        <w:name w:val="11ABD2EE41E74B549823129A309FC3D3"/>
        <w:category>
          <w:name w:val="General"/>
          <w:gallery w:val="placeholder"/>
        </w:category>
        <w:types>
          <w:type w:val="bbPlcHdr"/>
        </w:types>
        <w:behaviors>
          <w:behavior w:val="content"/>
        </w:behaviors>
        <w:guid w:val="{7A35FAC6-D715-4B5F-A539-CF1FF940EB97}"/>
      </w:docPartPr>
      <w:docPartBody>
        <w:p w:rsidR="00556FB5" w:rsidRDefault="00556FB5">
          <w:r w:rsidRPr="002E0931">
            <w:rPr>
              <w:rStyle w:val="PlaceholderText"/>
            </w:rPr>
            <w:t>enter text</w:t>
          </w:r>
        </w:p>
      </w:docPartBody>
    </w:docPart>
    <w:docPart>
      <w:docPartPr>
        <w:name w:val="5BE20C60D65A4356AD78345DE30AD8D2"/>
        <w:category>
          <w:name w:val="General"/>
          <w:gallery w:val="placeholder"/>
        </w:category>
        <w:types>
          <w:type w:val="bbPlcHdr"/>
        </w:types>
        <w:behaviors>
          <w:behavior w:val="content"/>
        </w:behaviors>
        <w:guid w:val="{962C102A-190B-4B7A-ACFA-E99909E19FFF}"/>
      </w:docPartPr>
      <w:docPartBody>
        <w:p w:rsidR="00556FB5" w:rsidRDefault="00556FB5">
          <w:r w:rsidRPr="002E0931">
            <w:rPr>
              <w:rStyle w:val="PlaceholderText"/>
            </w:rPr>
            <w:t>enter text</w:t>
          </w:r>
        </w:p>
      </w:docPartBody>
    </w:docPart>
    <w:docPart>
      <w:docPartPr>
        <w:name w:val="88626758831A42AA9DD1472A97295EEA"/>
        <w:category>
          <w:name w:val="General"/>
          <w:gallery w:val="placeholder"/>
        </w:category>
        <w:types>
          <w:type w:val="bbPlcHdr"/>
        </w:types>
        <w:behaviors>
          <w:behavior w:val="content"/>
        </w:behaviors>
        <w:guid w:val="{C4EF0AD7-9DCE-4239-ABD9-2797C6CD0EF7}"/>
      </w:docPartPr>
      <w:docPartBody>
        <w:p w:rsidR="00556FB5" w:rsidRDefault="00556FB5">
          <w:r w:rsidRPr="002E0931">
            <w:rPr>
              <w:rStyle w:val="PlaceholderText"/>
            </w:rPr>
            <w:t>enter REQUIRED text</w:t>
          </w:r>
        </w:p>
      </w:docPartBody>
    </w:docPart>
    <w:docPart>
      <w:docPartPr>
        <w:name w:val="C2A639048A2E4B8B8DE96CF07A4F152B"/>
        <w:category>
          <w:name w:val="General"/>
          <w:gallery w:val="placeholder"/>
        </w:category>
        <w:types>
          <w:type w:val="bbPlcHdr"/>
        </w:types>
        <w:behaviors>
          <w:behavior w:val="content"/>
        </w:behaviors>
        <w:guid w:val="{545A6D49-E301-440D-8B6A-0FFEA27EFD03}"/>
      </w:docPartPr>
      <w:docPartBody>
        <w:p w:rsidR="00556FB5" w:rsidRDefault="00556FB5">
          <w:r w:rsidRPr="002E0931">
            <w:rPr>
              <w:rStyle w:val="PlaceholderText"/>
            </w:rPr>
            <w:t>enter REQUIRED text</w:t>
          </w:r>
        </w:p>
      </w:docPartBody>
    </w:docPart>
    <w:docPart>
      <w:docPartPr>
        <w:name w:val="1BAC17A5839A4CA3AEFDF1455F8B75D4"/>
        <w:category>
          <w:name w:val="General"/>
          <w:gallery w:val="placeholder"/>
        </w:category>
        <w:types>
          <w:type w:val="bbPlcHdr"/>
        </w:types>
        <w:behaviors>
          <w:behavior w:val="content"/>
        </w:behaviors>
        <w:guid w:val="{1D43513D-C9B7-4334-8187-57848B388C95}"/>
      </w:docPartPr>
      <w:docPartBody>
        <w:p w:rsidR="00556FB5" w:rsidRDefault="00556FB5">
          <w:r w:rsidRPr="002E0931">
            <w:rPr>
              <w:rStyle w:val="PlaceholderText"/>
            </w:rPr>
            <w:t>enter text</w:t>
          </w:r>
        </w:p>
      </w:docPartBody>
    </w:docPart>
    <w:docPart>
      <w:docPartPr>
        <w:name w:val="1121660E37514013BDB1072B863C2675"/>
        <w:category>
          <w:name w:val="General"/>
          <w:gallery w:val="placeholder"/>
        </w:category>
        <w:types>
          <w:type w:val="bbPlcHdr"/>
        </w:types>
        <w:behaviors>
          <w:behavior w:val="content"/>
        </w:behaviors>
        <w:guid w:val="{DDB2921D-9089-451A-8DFF-F5895126866D}"/>
      </w:docPartPr>
      <w:docPartBody>
        <w:p w:rsidR="00556FB5" w:rsidRDefault="00556FB5">
          <w:r w:rsidRPr="002E0931">
            <w:rPr>
              <w:rStyle w:val="PlaceholderText"/>
            </w:rPr>
            <w:t>enter text</w:t>
          </w:r>
        </w:p>
      </w:docPartBody>
    </w:docPart>
    <w:docPart>
      <w:docPartPr>
        <w:name w:val="FDDECE8440374C67B33C696BE6C212A4"/>
        <w:category>
          <w:name w:val="General"/>
          <w:gallery w:val="placeholder"/>
        </w:category>
        <w:types>
          <w:type w:val="bbPlcHdr"/>
        </w:types>
        <w:behaviors>
          <w:behavior w:val="content"/>
        </w:behaviors>
        <w:guid w:val="{10DCCBA7-CEBC-4894-8A1C-F275DCC1FCAE}"/>
      </w:docPartPr>
      <w:docPartBody>
        <w:p w:rsidR="00556FB5" w:rsidRDefault="00556FB5">
          <w:r w:rsidRPr="002E0931">
            <w:rPr>
              <w:rStyle w:val="PlaceholderText"/>
            </w:rPr>
            <w:t>enter text</w:t>
          </w:r>
        </w:p>
      </w:docPartBody>
    </w:docPart>
    <w:docPart>
      <w:docPartPr>
        <w:name w:val="666E9616467140EE939B8DFD5D332123"/>
        <w:category>
          <w:name w:val="General"/>
          <w:gallery w:val="placeholder"/>
        </w:category>
        <w:types>
          <w:type w:val="bbPlcHdr"/>
        </w:types>
        <w:behaviors>
          <w:behavior w:val="content"/>
        </w:behaviors>
        <w:guid w:val="{8B3BFB5A-7B96-48F1-A4C0-568BC9F721C2}"/>
      </w:docPartPr>
      <w:docPartBody>
        <w:p w:rsidR="00556FB5" w:rsidRDefault="00556FB5">
          <w:r w:rsidRPr="002E0931">
            <w:rPr>
              <w:rStyle w:val="PlaceholderText"/>
            </w:rPr>
            <w:t>enter text</w:t>
          </w:r>
        </w:p>
      </w:docPartBody>
    </w:docPart>
    <w:docPart>
      <w:docPartPr>
        <w:name w:val="BD266BFA7CEE47FC87CBD4375651AC06"/>
        <w:category>
          <w:name w:val="General"/>
          <w:gallery w:val="placeholder"/>
        </w:category>
        <w:types>
          <w:type w:val="bbPlcHdr"/>
        </w:types>
        <w:behaviors>
          <w:behavior w:val="content"/>
        </w:behaviors>
        <w:guid w:val="{ACC29562-1AAC-4658-88A0-01255006C1EF}"/>
      </w:docPartPr>
      <w:docPartBody>
        <w:p w:rsidR="00556FB5" w:rsidRDefault="00556FB5">
          <w:r w:rsidRPr="002E0931">
            <w:rPr>
              <w:rStyle w:val="PlaceholderText"/>
            </w:rPr>
            <w:t>enter text</w:t>
          </w:r>
        </w:p>
      </w:docPartBody>
    </w:docPart>
    <w:docPart>
      <w:docPartPr>
        <w:name w:val="E5222BCC58364FDC946BCBD602141B56"/>
        <w:category>
          <w:name w:val="General"/>
          <w:gallery w:val="placeholder"/>
        </w:category>
        <w:types>
          <w:type w:val="bbPlcHdr"/>
        </w:types>
        <w:behaviors>
          <w:behavior w:val="content"/>
        </w:behaviors>
        <w:guid w:val="{A30484AC-153A-4331-B622-86883D702965}"/>
      </w:docPartPr>
      <w:docPartBody>
        <w:p w:rsidR="00556FB5" w:rsidRDefault="00556FB5">
          <w:r w:rsidRPr="002E0931">
            <w:rPr>
              <w:rStyle w:val="PlaceholderText"/>
            </w:rPr>
            <w:t>enter text</w:t>
          </w:r>
        </w:p>
      </w:docPartBody>
    </w:docPart>
    <w:docPart>
      <w:docPartPr>
        <w:name w:val="807A0685B19748BAB9FF5218AD9D195E"/>
        <w:category>
          <w:name w:val="General"/>
          <w:gallery w:val="placeholder"/>
        </w:category>
        <w:types>
          <w:type w:val="bbPlcHdr"/>
        </w:types>
        <w:behaviors>
          <w:behavior w:val="content"/>
        </w:behaviors>
        <w:guid w:val="{E1C2377A-7C83-42AE-981C-473A28B9D9BD}"/>
      </w:docPartPr>
      <w:docPartBody>
        <w:p w:rsidR="00556FB5" w:rsidRDefault="00556FB5">
          <w:r w:rsidRPr="002E0931">
            <w:rPr>
              <w:rStyle w:val="PlaceholderText"/>
            </w:rPr>
            <w:t>enter text</w:t>
          </w:r>
        </w:p>
      </w:docPartBody>
    </w:docPart>
    <w:docPart>
      <w:docPartPr>
        <w:name w:val="CB8B7183F6D64CEFA28A643E07546D3D"/>
        <w:category>
          <w:name w:val="General"/>
          <w:gallery w:val="placeholder"/>
        </w:category>
        <w:types>
          <w:type w:val="bbPlcHdr"/>
        </w:types>
        <w:behaviors>
          <w:behavior w:val="content"/>
        </w:behaviors>
        <w:guid w:val="{08FE9A30-4DAB-4BC2-9133-2BAD5B3CBAD2}"/>
      </w:docPartPr>
      <w:docPartBody>
        <w:p w:rsidR="00556FB5" w:rsidRDefault="00556FB5">
          <w:r w:rsidRPr="002E0931">
            <w:rPr>
              <w:rStyle w:val="PlaceholderText"/>
            </w:rPr>
            <w:t>enter text</w:t>
          </w:r>
        </w:p>
      </w:docPartBody>
    </w:docPart>
    <w:docPart>
      <w:docPartPr>
        <w:name w:val="5955FB453B5746D4A8A15817D14B398F"/>
        <w:category>
          <w:name w:val="General"/>
          <w:gallery w:val="placeholder"/>
        </w:category>
        <w:types>
          <w:type w:val="bbPlcHdr"/>
        </w:types>
        <w:behaviors>
          <w:behavior w:val="content"/>
        </w:behaviors>
        <w:guid w:val="{B09E5545-2DEF-4303-A45A-87FE21B06C54}"/>
      </w:docPartPr>
      <w:docPartBody>
        <w:p w:rsidR="00556FB5" w:rsidRDefault="00556FB5">
          <w:r w:rsidRPr="002E0931">
            <w:rPr>
              <w:rStyle w:val="PlaceholderText"/>
            </w:rPr>
            <w:t>choose an item (REQUIRED)</w:t>
          </w:r>
        </w:p>
      </w:docPartBody>
    </w:docPart>
    <w:docPart>
      <w:docPartPr>
        <w:name w:val="D4DBD441B15A4C3595C9C3BE117234F0"/>
        <w:category>
          <w:name w:val="General"/>
          <w:gallery w:val="placeholder"/>
        </w:category>
        <w:types>
          <w:type w:val="bbPlcHdr"/>
        </w:types>
        <w:behaviors>
          <w:behavior w:val="content"/>
        </w:behaviors>
        <w:guid w:val="{6DA839BD-9231-4EA1-9F25-4A22AE8ED056}"/>
      </w:docPartPr>
      <w:docPartBody>
        <w:p w:rsidR="00556FB5" w:rsidRDefault="00556FB5">
          <w:r w:rsidRPr="002E0931">
            <w:rPr>
              <w:rStyle w:val="PlaceholderText"/>
            </w:rPr>
            <w:t>enter text</w:t>
          </w:r>
        </w:p>
      </w:docPartBody>
    </w:docPart>
    <w:docPart>
      <w:docPartPr>
        <w:name w:val="C93179BAD9184610886AE1D8B4F6F015"/>
        <w:category>
          <w:name w:val="General"/>
          <w:gallery w:val="placeholder"/>
        </w:category>
        <w:types>
          <w:type w:val="bbPlcHdr"/>
        </w:types>
        <w:behaviors>
          <w:behavior w:val="content"/>
        </w:behaviors>
        <w:guid w:val="{B933B176-06E8-4321-B7EB-E8988BF1A486}"/>
      </w:docPartPr>
      <w:docPartBody>
        <w:p w:rsidR="00556FB5" w:rsidRDefault="00556FB5">
          <w:r w:rsidRPr="002E0931">
            <w:rPr>
              <w:rStyle w:val="PlaceholderText"/>
            </w:rPr>
            <w:t>enter text</w:t>
          </w:r>
        </w:p>
      </w:docPartBody>
    </w:docPart>
    <w:docPart>
      <w:docPartPr>
        <w:name w:val="74B1E812182C478CA31A9BB304F1A78A"/>
        <w:category>
          <w:name w:val="General"/>
          <w:gallery w:val="placeholder"/>
        </w:category>
        <w:types>
          <w:type w:val="bbPlcHdr"/>
        </w:types>
        <w:behaviors>
          <w:behavior w:val="content"/>
        </w:behaviors>
        <w:guid w:val="{EAF835E7-A9DC-4B67-B225-27F5A9FC573D}"/>
      </w:docPartPr>
      <w:docPartBody>
        <w:p w:rsidR="00556FB5" w:rsidRDefault="00556FB5">
          <w:r w:rsidRPr="002E0931">
            <w:rPr>
              <w:rStyle w:val="PlaceholderText"/>
            </w:rPr>
            <w:t>enter REQUIRED text</w:t>
          </w:r>
        </w:p>
      </w:docPartBody>
    </w:docPart>
    <w:docPart>
      <w:docPartPr>
        <w:name w:val="29E689ED88814FA2A42C6A5FCFAE94A9"/>
        <w:category>
          <w:name w:val="General"/>
          <w:gallery w:val="placeholder"/>
        </w:category>
        <w:types>
          <w:type w:val="bbPlcHdr"/>
        </w:types>
        <w:behaviors>
          <w:behavior w:val="content"/>
        </w:behaviors>
        <w:guid w:val="{1F17793A-6E83-4A9E-B1DE-39D7577A8802}"/>
      </w:docPartPr>
      <w:docPartBody>
        <w:p w:rsidR="00556FB5" w:rsidRDefault="00556FB5">
          <w:r w:rsidRPr="002E0931">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0000000000000000000"/>
    <w:charset w:val="00"/>
    <w:family w:val="roman"/>
    <w:notTrueType/>
    <w:pitch w:val="default"/>
    <w:sig w:usb0="00000003" w:usb1="00000000" w:usb2="00000000" w:usb3="00000000" w:csb0="00000001" w:csb1="00000000"/>
  </w:font>
  <w:font w:name="ITC New Baskerville Std">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B5"/>
    <w:rsid w:val="00117A40"/>
    <w:rsid w:val="00426CC5"/>
    <w:rsid w:val="00471551"/>
    <w:rsid w:val="005404CD"/>
    <w:rsid w:val="00556FB5"/>
    <w:rsid w:val="00673E44"/>
    <w:rsid w:val="00830850"/>
    <w:rsid w:val="00976494"/>
    <w:rsid w:val="00AB665C"/>
    <w:rsid w:val="00B75B35"/>
    <w:rsid w:val="00BC2CD3"/>
    <w:rsid w:val="00C9778A"/>
    <w:rsid w:val="00E76B18"/>
    <w:rsid w:val="00ED4223"/>
    <w:rsid w:val="00F118C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6FB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ns0:unit.start xmlns:ns0="http://www.bna.com/gateway/unit.start" copyright.owner="enter text" part.name="enter text" part.num="enter text" subpart.name="enter text" unit.code="main0005" unit.name="Chapter 5. White-Collar Exemptions" folio="5-1" class.code="A" class.name="Book Body" bna.id.prefix="5" pdm.name="Chap05" publication.name="The Fair Labor Standards Act Fourth Edition" acct.code="FLSA4M21" date="2025-04-04" supplement="0" volume.num="I" service.code="flsa-book"/>
</document>
</file>

<file path=customXml/item2.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3.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b:Sources xmlns:b="http://schemas.openxmlformats.org/officeDocument/2006/bibliography" xmlns="http://schemas.openxmlformats.org/officeDocument/2006/bibliography" SelectedStyle="\HarvardAnglia2008OfficeOnline.xsl" StyleName="Harvard - Anglia" Version="2008"/>
</file>

<file path=customXml/item6.xml><?xml version="1.0" encoding="utf-8"?>
<conversion.options xmlns="http://www.bna.com/gateway/conversion.options">
  <ns0:tables xmlns:ns0="http://www.bna.com/gateway/conversion.options" tag="smart"/>
</conversion.option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88E47CC7-89B1-4334-9439-A1F1C1083F4F}">
  <ds:schemaRefs>
    <ds:schemaRef ds:uri="ReferenceServiceCodes"/>
  </ds:schemaRefs>
</ds:datastoreItem>
</file>

<file path=customXml/itemProps3.xml><?xml version="1.0" encoding="utf-8"?>
<ds:datastoreItem xmlns:ds="http://schemas.openxmlformats.org/officeDocument/2006/customXml" ds:itemID="{25203738-0C39-41F2-B232-E9DAD00FD52D}">
  <ds:schemaRefs>
    <ds:schemaRef ds:uri="PortfolioServiceCodes"/>
  </ds:schemaRefs>
</ds:datastoreItem>
</file>

<file path=customXml/itemProps4.xml><?xml version="1.0" encoding="utf-8"?>
<ds:datastoreItem xmlns:ds="http://schemas.openxmlformats.org/officeDocument/2006/customXml" ds:itemID="{0A471F72-94F2-401E-A3B9-801720B75477}">
  <ds:schemaRefs>
    <ds:schemaRef ds:uri="BookServiceCodes"/>
  </ds:schemaRefs>
</ds:datastoreItem>
</file>

<file path=customXml/itemProps5.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6.xml><?xml version="1.0" encoding="utf-8"?>
<ds:datastoreItem xmlns:ds="http://schemas.openxmlformats.org/officeDocument/2006/customXml" ds:itemID="{DADA3C72-C4A8-40A7-A93D-753FF12AADFE}">
  <ds:schemaRefs>
    <ds:schemaRef ds:uri="http://www.bna.com/gateway/conversion.option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7</TotalTime>
  <Pages>24</Pages>
  <Words>42309</Words>
  <Characters>241166</Characters>
  <Application>Microsoft Office Word</Application>
  <DocSecurity>0</DocSecurity>
  <Lines>2009</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Selvam, Palani</cp:lastModifiedBy>
  <cp:revision>32</cp:revision>
  <dcterms:created xsi:type="dcterms:W3CDTF">2025-04-23T18:24:00Z</dcterms:created>
  <dcterms:modified xsi:type="dcterms:W3CDTF">2025-04-25T14:51:00Z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