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9894"/>
      </w:tblGrid>
      <w:tr w:rsidR="006C2FF5" w14:paraId="51DC86B9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4472C4"/>
            <w:hideMark/>
          </w:tcPr>
          <w:p w14:paraId="09232392" w14:textId="77777777" w:rsidR="006C2FF5" w:rsidRDefault="006C2FF5" w:rsidP="00BE2689">
            <w:pPr>
              <w:pStyle w:val="paragraph"/>
              <w:spacing w:before="120" w:beforeAutospacing="0" w:after="12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FFFFFF"/>
                <w:sz w:val="28"/>
                <w:szCs w:val="28"/>
              </w:rPr>
              <w:t>Characteristics</w:t>
            </w:r>
            <w:r>
              <w:rPr>
                <w:rStyle w:val="eop"/>
                <w:rFonts w:ascii="Calibri" w:eastAsiaTheme="majorEastAsia" w:hAnsi="Calibri" w:cs="Calibri"/>
                <w:color w:val="FFFFFF"/>
                <w:sz w:val="28"/>
                <w:szCs w:val="28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4472C4"/>
            <w:hideMark/>
          </w:tcPr>
          <w:p w14:paraId="2418435A" w14:textId="77777777" w:rsidR="006C2FF5" w:rsidRDefault="006C2FF5" w:rsidP="00BE2689">
            <w:pPr>
              <w:pStyle w:val="paragraph"/>
              <w:spacing w:before="120" w:beforeAutospacing="0" w:after="12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FFFFFF"/>
                <w:sz w:val="28"/>
                <w:szCs w:val="28"/>
              </w:rPr>
              <w:t>Portfolio Content</w:t>
            </w:r>
            <w:r>
              <w:rPr>
                <w:rStyle w:val="eop"/>
                <w:rFonts w:ascii="Calibri" w:eastAsiaTheme="majorEastAsia" w:hAnsi="Calibri" w:cs="Calibri"/>
                <w:color w:val="FFFFFF"/>
                <w:sz w:val="28"/>
                <w:szCs w:val="28"/>
              </w:rPr>
              <w:t> </w:t>
            </w:r>
          </w:p>
        </w:tc>
      </w:tr>
      <w:tr w:rsidR="006C2FF5" w14:paraId="0BF3AF15" w14:textId="77777777" w:rsidTr="00331FC7">
        <w:trPr>
          <w:trHeight w:val="300"/>
        </w:trPr>
        <w:tc>
          <w:tcPr>
            <w:tcW w:w="1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14:paraId="1429356F" w14:textId="77777777" w:rsidR="006C2FF5" w:rsidRDefault="006C2FF5" w:rsidP="00BE2689">
            <w:pPr>
              <w:pStyle w:val="paragraph"/>
              <w:spacing w:before="120" w:beforeAutospacing="0" w:after="12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FFFFFF"/>
                <w:sz w:val="28"/>
                <w:szCs w:val="28"/>
              </w:rPr>
              <w:t>General</w:t>
            </w:r>
            <w:r>
              <w:rPr>
                <w:rStyle w:val="eop"/>
                <w:rFonts w:ascii="Calibri" w:eastAsiaTheme="majorEastAsia" w:hAnsi="Calibri" w:cs="Calibri"/>
                <w:color w:val="FFFFFF"/>
                <w:sz w:val="28"/>
                <w:szCs w:val="28"/>
              </w:rPr>
              <w:t> </w:t>
            </w:r>
          </w:p>
        </w:tc>
      </w:tr>
      <w:tr w:rsidR="006C2FF5" w14:paraId="734BD74C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05E3F" w14:textId="77777777" w:rsidR="006C2FF5" w:rsidRPr="00397EAF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7EAF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Revenue authority</w:t>
            </w:r>
            <w:r w:rsidRPr="00397EAF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C5168" w14:textId="34C9E6AA" w:rsidR="006C2FF5" w:rsidRPr="005836E5" w:rsidRDefault="00D15046" w:rsidP="00BE268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hyperlink r:id="rId11" w:tgtFrame="_blank" w:history="1">
              <w:r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Puerto Rico D</w:t>
              </w:r>
              <w:r w:rsidR="006C2FF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epartmen</w:t>
              </w:r>
              <w:r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t of the Treasury</w:t>
              </w:r>
            </w:hyperlink>
            <w:r w:rsidR="006C2FF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(</w:t>
            </w:r>
            <w:r w:rsidR="00BE26A2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Section</w:t>
            </w:r>
            <w:r w:rsidR="00FE0FC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04.A.</w:t>
            </w:r>
            <w:r w:rsidR="006C2FF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 </w:t>
            </w:r>
            <w:r w:rsidR="006C2FF5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2A12145A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F7A9E" w14:textId="77777777" w:rsidR="006C2FF5" w:rsidRPr="00397EAF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7EAF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Type of tax system </w:t>
            </w:r>
            <w:r w:rsidRPr="00397EAF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84501" w14:textId="6DFF6915" w:rsidR="00AB5CF5" w:rsidRPr="005836E5" w:rsidRDefault="005C4CAE" w:rsidP="00F6377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Calibri"/>
              </w:rPr>
            </w:pPr>
            <w:r w:rsidRPr="005836E5">
              <w:rPr>
                <w:rFonts w:ascii="Calibri" w:hAnsi="Calibri" w:cs="Calibri"/>
                <w:u w:val="single"/>
              </w:rPr>
              <w:t>Residents</w:t>
            </w:r>
            <w:r w:rsidRPr="005836E5">
              <w:rPr>
                <w:rFonts w:ascii="Calibri" w:hAnsi="Calibri" w:cs="Calibri"/>
              </w:rPr>
              <w:t>: worldwide system</w:t>
            </w:r>
            <w:r w:rsidR="00D33F01" w:rsidRPr="005836E5">
              <w:rPr>
                <w:rFonts w:ascii="Calibri" w:hAnsi="Calibri" w:cs="Calibri"/>
              </w:rPr>
              <w:t xml:space="preserve"> </w:t>
            </w:r>
            <w:r w:rsidRPr="005836E5">
              <w:rPr>
                <w:rStyle w:val="normaltextrun"/>
                <w:rFonts w:ascii="Calibri" w:eastAsiaTheme="majorEastAsia" w:hAnsi="Calibri" w:cs="Calibri"/>
              </w:rPr>
              <w:t>(</w:t>
            </w:r>
            <w:r w:rsidR="00D401D1" w:rsidRPr="005836E5">
              <w:rPr>
                <w:rStyle w:val="normaltextrun"/>
                <w:rFonts w:ascii="Calibri" w:eastAsiaTheme="majorEastAsia" w:hAnsi="Calibri" w:cs="Calibri"/>
                <w:u w:val="single"/>
              </w:rPr>
              <w:t>Corporations</w:t>
            </w:r>
            <w:r w:rsidR="00D401D1" w:rsidRPr="005836E5">
              <w:rPr>
                <w:rStyle w:val="normaltextrun"/>
                <w:rFonts w:ascii="Calibri" w:eastAsiaTheme="majorEastAsia" w:hAnsi="Calibri" w:cs="Calibri"/>
              </w:rPr>
              <w:t xml:space="preserve">: </w:t>
            </w:r>
            <w:hyperlink r:id="rId12" w:anchor="section(1)_0" w:history="1">
              <w:r w:rsidR="00C94377" w:rsidRPr="005836E5">
                <w:rPr>
                  <w:rStyle w:val="Hyperlink"/>
                  <w:rFonts w:ascii="Calibri" w:eastAsiaTheme="majorEastAsia" w:hAnsi="Calibri" w:cs="Calibri"/>
                </w:rPr>
                <w:t>Section 0</w:t>
              </w:r>
              <w:r w:rsidR="00C94377" w:rsidRPr="005836E5">
                <w:rPr>
                  <w:rStyle w:val="Hyperlink"/>
                  <w:rFonts w:ascii="Calibri" w:hAnsi="Calibri" w:cs="Calibri"/>
                </w:rPr>
                <w:t>5</w:t>
              </w:r>
              <w:r w:rsidR="00C94377" w:rsidRPr="005836E5">
                <w:rPr>
                  <w:rStyle w:val="Hyperlink"/>
                  <w:rFonts w:ascii="Calibri" w:eastAsiaTheme="majorEastAsia" w:hAnsi="Calibri" w:cs="Calibri"/>
                </w:rPr>
                <w:t>.B</w:t>
              </w:r>
              <w:r w:rsidR="00C94377" w:rsidRPr="005836E5">
                <w:rPr>
                  <w:rStyle w:val="Hyperlink"/>
                  <w:rFonts w:ascii="Calibri" w:hAnsi="Calibri" w:cs="Calibri"/>
                </w:rPr>
                <w:t>.1.</w:t>
              </w:r>
            </w:hyperlink>
            <w:r w:rsidR="00C94377" w:rsidRPr="005836E5">
              <w:rPr>
                <w:rStyle w:val="normaltextrun"/>
                <w:rFonts w:ascii="Calibri" w:eastAsiaTheme="majorEastAsia" w:hAnsi="Calibri" w:cs="Calibri"/>
              </w:rPr>
              <w:t>;</w:t>
            </w:r>
            <w:r w:rsidR="00D401D1" w:rsidRPr="005836E5">
              <w:rPr>
                <w:rStyle w:val="normaltextrun"/>
                <w:rFonts w:ascii="Calibri" w:eastAsiaTheme="majorEastAsia" w:hAnsi="Calibri" w:cs="Calibri"/>
              </w:rPr>
              <w:t xml:space="preserve"> </w:t>
            </w:r>
            <w:r w:rsidR="00D401D1" w:rsidRPr="005836E5">
              <w:rPr>
                <w:rStyle w:val="normaltextrun"/>
                <w:rFonts w:ascii="Calibri" w:eastAsiaTheme="majorEastAsia" w:hAnsi="Calibri" w:cs="Calibri"/>
                <w:u w:val="single"/>
              </w:rPr>
              <w:t>Individuals</w:t>
            </w:r>
            <w:r w:rsidR="00D401D1" w:rsidRPr="005836E5">
              <w:rPr>
                <w:rStyle w:val="normaltextrun"/>
                <w:rFonts w:ascii="Calibri" w:eastAsiaTheme="majorEastAsia" w:hAnsi="Calibri" w:cs="Calibri"/>
              </w:rPr>
              <w:t>:</w:t>
            </w:r>
            <w:r w:rsidR="00C94377" w:rsidRPr="005836E5">
              <w:rPr>
                <w:rStyle w:val="normaltextrun"/>
                <w:rFonts w:ascii="Calibri" w:hAnsi="Calibri" w:cs="Calibri"/>
              </w:rPr>
              <w:t xml:space="preserve"> </w:t>
            </w:r>
            <w:hyperlink r:id="rId13" w:history="1">
              <w:r w:rsidR="00B861FA" w:rsidRPr="005836E5">
                <w:rPr>
                  <w:rStyle w:val="Hyperlink"/>
                  <w:rFonts w:ascii="Calibri" w:hAnsi="Calibri" w:cs="Calibri"/>
                </w:rPr>
                <w:t>Section 10.A.</w:t>
              </w:r>
            </w:hyperlink>
            <w:r w:rsidRPr="005836E5">
              <w:rPr>
                <w:rStyle w:val="normaltextrun"/>
                <w:rFonts w:ascii="Calibri" w:hAnsi="Calibri" w:cs="Calibri"/>
              </w:rPr>
              <w:t>)</w:t>
            </w:r>
            <w:r w:rsidR="00C274AF" w:rsidRPr="005836E5">
              <w:rPr>
                <w:rStyle w:val="normaltextrun"/>
                <w:rFonts w:ascii="Calibri" w:hAnsi="Calibri" w:cs="Calibri"/>
              </w:rPr>
              <w:t>;</w:t>
            </w:r>
            <w:r w:rsidR="0057636D" w:rsidRPr="005836E5">
              <w:rPr>
                <w:rStyle w:val="normaltextrun"/>
                <w:rFonts w:ascii="Calibri" w:hAnsi="Calibri" w:cs="Calibri"/>
              </w:rPr>
              <w:t xml:space="preserve"> </w:t>
            </w:r>
            <w:r w:rsidR="001D269A" w:rsidRPr="005836E5">
              <w:rPr>
                <w:rStyle w:val="normaltextrun"/>
                <w:rFonts w:ascii="Calibri" w:hAnsi="Calibri" w:cs="Calibri"/>
              </w:rPr>
              <w:t xml:space="preserve">residents are </w:t>
            </w:r>
            <w:r w:rsidR="00155AD6" w:rsidRPr="005836E5">
              <w:rPr>
                <w:rStyle w:val="normaltextrun"/>
                <w:rFonts w:ascii="Calibri" w:hAnsi="Calibri" w:cs="Calibri"/>
              </w:rPr>
              <w:t>also</w:t>
            </w:r>
            <w:r w:rsidR="000A587F" w:rsidRPr="005836E5">
              <w:rPr>
                <w:rStyle w:val="normaltextrun"/>
                <w:rFonts w:ascii="Calibri" w:hAnsi="Calibri" w:cs="Calibri"/>
              </w:rPr>
              <w:t xml:space="preserve"> </w:t>
            </w:r>
            <w:r w:rsidR="003920C2" w:rsidRPr="005836E5">
              <w:rPr>
                <w:rStyle w:val="normaltextrun"/>
                <w:rFonts w:ascii="Calibri" w:hAnsi="Calibri" w:cs="Calibri"/>
              </w:rPr>
              <w:t xml:space="preserve">liable to </w:t>
            </w:r>
            <w:r w:rsidR="00044AB2" w:rsidRPr="005836E5">
              <w:rPr>
                <w:rFonts w:ascii="Calibri" w:hAnsi="Calibri" w:cs="Calibri"/>
              </w:rPr>
              <w:t xml:space="preserve">US federal tax </w:t>
            </w:r>
            <w:r w:rsidR="003920C2" w:rsidRPr="005836E5">
              <w:rPr>
                <w:rFonts w:ascii="Calibri" w:hAnsi="Calibri" w:cs="Calibri"/>
              </w:rPr>
              <w:t xml:space="preserve">on </w:t>
            </w:r>
            <w:r w:rsidR="000A587F" w:rsidRPr="005836E5">
              <w:rPr>
                <w:rFonts w:ascii="Calibri" w:hAnsi="Calibri" w:cs="Calibri"/>
              </w:rPr>
              <w:t>foreign</w:t>
            </w:r>
            <w:r w:rsidR="00BF1DDF" w:rsidRPr="005836E5">
              <w:rPr>
                <w:rFonts w:ascii="Calibri" w:hAnsi="Calibri" w:cs="Calibri"/>
              </w:rPr>
              <w:t xml:space="preserve">, </w:t>
            </w:r>
            <w:r w:rsidR="00660F35" w:rsidRPr="005836E5">
              <w:rPr>
                <w:rFonts w:ascii="Calibri" w:hAnsi="Calibri" w:cs="Calibri"/>
              </w:rPr>
              <w:t>including US</w:t>
            </w:r>
            <w:r w:rsidR="00BF1DDF" w:rsidRPr="005836E5">
              <w:rPr>
                <w:rFonts w:ascii="Calibri" w:hAnsi="Calibri" w:cs="Calibri"/>
              </w:rPr>
              <w:t>,</w:t>
            </w:r>
            <w:r w:rsidR="00660F35" w:rsidRPr="005836E5">
              <w:rPr>
                <w:rFonts w:ascii="Calibri" w:hAnsi="Calibri" w:cs="Calibri"/>
              </w:rPr>
              <w:t xml:space="preserve"> </w:t>
            </w:r>
            <w:r w:rsidR="000A587F" w:rsidRPr="005836E5">
              <w:rPr>
                <w:rFonts w:ascii="Calibri" w:hAnsi="Calibri" w:cs="Calibri"/>
              </w:rPr>
              <w:t>source</w:t>
            </w:r>
            <w:r w:rsidR="00003FF1" w:rsidRPr="005836E5">
              <w:rPr>
                <w:rFonts w:ascii="Calibri" w:hAnsi="Calibri" w:cs="Calibri"/>
              </w:rPr>
              <w:t xml:space="preserve"> income</w:t>
            </w:r>
            <w:r w:rsidR="00F11F8F" w:rsidRPr="005836E5">
              <w:rPr>
                <w:rFonts w:ascii="Calibri" w:hAnsi="Calibri" w:cs="Calibri"/>
              </w:rPr>
              <w:t xml:space="preserve"> and income effectively connect</w:t>
            </w:r>
            <w:r w:rsidR="00AC2E6A" w:rsidRPr="005836E5">
              <w:rPr>
                <w:rFonts w:ascii="Calibri" w:hAnsi="Calibri" w:cs="Calibri"/>
              </w:rPr>
              <w:t>ed</w:t>
            </w:r>
            <w:r w:rsidR="00F11F8F" w:rsidRPr="005836E5">
              <w:rPr>
                <w:rFonts w:ascii="Calibri" w:hAnsi="Calibri" w:cs="Calibri"/>
              </w:rPr>
              <w:t xml:space="preserve"> to a US trade or business</w:t>
            </w:r>
            <w:r w:rsidR="0015080F" w:rsidRPr="005836E5">
              <w:rPr>
                <w:rFonts w:ascii="Calibri" w:hAnsi="Calibri" w:cs="Calibri"/>
              </w:rPr>
              <w:t xml:space="preserve"> </w:t>
            </w:r>
            <w:r w:rsidR="0011482F" w:rsidRPr="005836E5">
              <w:rPr>
                <w:rFonts w:ascii="Calibri" w:hAnsi="Calibri" w:cs="Calibri"/>
              </w:rPr>
              <w:t>(</w:t>
            </w:r>
            <w:r w:rsidR="00BF1DDF" w:rsidRPr="005836E5">
              <w:rPr>
                <w:rFonts w:ascii="Calibri" w:hAnsi="Calibri" w:cs="Calibri"/>
                <w:u w:val="single"/>
              </w:rPr>
              <w:t>Corporations</w:t>
            </w:r>
            <w:r w:rsidR="005753AF" w:rsidRPr="005836E5">
              <w:rPr>
                <w:rFonts w:ascii="Calibri" w:hAnsi="Calibri" w:cs="Calibri"/>
              </w:rPr>
              <w:t xml:space="preserve">: </w:t>
            </w:r>
            <w:hyperlink r:id="rId14" w:anchor="section(3)_0" w:history="1">
              <w:r w:rsidR="00BF1DDF" w:rsidRPr="005836E5">
                <w:rPr>
                  <w:rStyle w:val="Hyperlink"/>
                  <w:rFonts w:ascii="Calibri" w:hAnsi="Calibri" w:cs="Calibri"/>
                </w:rPr>
                <w:t xml:space="preserve">Section </w:t>
              </w:r>
              <w:r w:rsidR="00A64D66">
                <w:rPr>
                  <w:rStyle w:val="Hyperlink"/>
                  <w:rFonts w:ascii="Calibri" w:hAnsi="Calibri" w:cs="Calibri"/>
                </w:rPr>
                <w:t>0</w:t>
              </w:r>
              <w:r w:rsidR="00A64D66">
                <w:rPr>
                  <w:rStyle w:val="Hyperlink"/>
                </w:rPr>
                <w:t>4.</w:t>
              </w:r>
              <w:r w:rsidR="00BF1DDF" w:rsidRPr="005836E5">
                <w:rPr>
                  <w:rStyle w:val="Hyperlink"/>
                  <w:rFonts w:ascii="Calibri" w:hAnsi="Calibri" w:cs="Calibri"/>
                </w:rPr>
                <w:t>O.3.</w:t>
              </w:r>
            </w:hyperlink>
            <w:r w:rsidR="00BF1DDF" w:rsidRPr="005836E5">
              <w:rPr>
                <w:rFonts w:ascii="Calibri" w:hAnsi="Calibri" w:cs="Calibri"/>
              </w:rPr>
              <w:t>;</w:t>
            </w:r>
            <w:r w:rsidR="005753AF" w:rsidRPr="005836E5">
              <w:rPr>
                <w:rFonts w:ascii="Calibri" w:hAnsi="Calibri" w:cs="Calibri"/>
              </w:rPr>
              <w:t xml:space="preserve"> </w:t>
            </w:r>
            <w:r w:rsidR="005753AF" w:rsidRPr="005836E5">
              <w:rPr>
                <w:rFonts w:ascii="Calibri" w:hAnsi="Calibri" w:cs="Calibri"/>
                <w:u w:val="single"/>
              </w:rPr>
              <w:t>Individuals</w:t>
            </w:r>
            <w:r w:rsidR="005753AF" w:rsidRPr="005836E5">
              <w:rPr>
                <w:rFonts w:ascii="Calibri" w:hAnsi="Calibri" w:cs="Calibri"/>
              </w:rPr>
              <w:t>:</w:t>
            </w:r>
            <w:r w:rsidR="00BF1DDF" w:rsidRPr="005836E5">
              <w:rPr>
                <w:rFonts w:ascii="Calibri" w:hAnsi="Calibri" w:cs="Calibri"/>
              </w:rPr>
              <w:t xml:space="preserve"> </w:t>
            </w:r>
            <w:hyperlink r:id="rId15" w:anchor="section(2)_0" w:history="1">
              <w:r w:rsidR="0011482F" w:rsidRPr="005836E5">
                <w:rPr>
                  <w:rStyle w:val="Hyperlink"/>
                  <w:rFonts w:ascii="Calibri" w:hAnsi="Calibri" w:cs="Calibri"/>
                </w:rPr>
                <w:t>Section 04.O</w:t>
              </w:r>
              <w:r w:rsidR="008175C0" w:rsidRPr="005836E5">
                <w:rPr>
                  <w:rStyle w:val="Hyperlink"/>
                  <w:rFonts w:ascii="Calibri" w:hAnsi="Calibri" w:cs="Calibri"/>
                </w:rPr>
                <w:t>.2</w:t>
              </w:r>
              <w:r w:rsidR="0011482F" w:rsidRPr="005836E5">
                <w:rPr>
                  <w:rStyle w:val="Hyperlink"/>
                  <w:rFonts w:ascii="Calibri" w:hAnsi="Calibri" w:cs="Calibri"/>
                </w:rPr>
                <w:t>.</w:t>
              </w:r>
            </w:hyperlink>
            <w:r w:rsidR="00FF0257" w:rsidRPr="005836E5">
              <w:rPr>
                <w:rFonts w:ascii="Calibri" w:hAnsi="Calibri" w:cs="Calibri"/>
              </w:rPr>
              <w:t>)</w:t>
            </w:r>
          </w:p>
          <w:p w14:paraId="3BEA642E" w14:textId="4C128D6F" w:rsidR="00651BD8" w:rsidRPr="005836E5" w:rsidRDefault="00D00571" w:rsidP="00D7359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Calibri"/>
              </w:rPr>
            </w:pPr>
            <w:r w:rsidRPr="005836E5">
              <w:rPr>
                <w:rFonts w:ascii="Calibri" w:hAnsi="Calibri" w:cs="Calibri"/>
                <w:u w:val="single"/>
              </w:rPr>
              <w:t>Non-residents</w:t>
            </w:r>
            <w:r w:rsidR="00AC7BFB" w:rsidRPr="005836E5">
              <w:rPr>
                <w:rFonts w:ascii="Calibri" w:hAnsi="Calibri" w:cs="Calibri"/>
              </w:rPr>
              <w:t>:</w:t>
            </w:r>
            <w:r w:rsidR="00E85C99" w:rsidRPr="005836E5">
              <w:rPr>
                <w:rFonts w:ascii="Calibri" w:hAnsi="Calibri" w:cs="Calibri"/>
              </w:rPr>
              <w:t xml:space="preserve"> </w:t>
            </w:r>
            <w:r w:rsidR="00F5133D" w:rsidRPr="005836E5">
              <w:rPr>
                <w:rFonts w:ascii="Calibri" w:hAnsi="Calibri" w:cs="Calibri"/>
              </w:rPr>
              <w:t>Puerto</w:t>
            </w:r>
            <w:r w:rsidR="004223C9" w:rsidRPr="005836E5">
              <w:rPr>
                <w:rFonts w:ascii="Calibri" w:hAnsi="Calibri" w:cs="Calibri"/>
              </w:rPr>
              <w:t xml:space="preserve"> </w:t>
            </w:r>
            <w:r w:rsidR="00F5133D" w:rsidRPr="005836E5">
              <w:rPr>
                <w:rFonts w:ascii="Calibri" w:hAnsi="Calibri" w:cs="Calibri"/>
              </w:rPr>
              <w:t>Rico source income</w:t>
            </w:r>
            <w:r w:rsidR="00386384" w:rsidRPr="005836E5">
              <w:rPr>
                <w:rFonts w:ascii="Calibri" w:hAnsi="Calibri" w:cs="Calibri"/>
              </w:rPr>
              <w:t xml:space="preserve"> </w:t>
            </w:r>
            <w:r w:rsidR="00386384" w:rsidRPr="005836E5">
              <w:t xml:space="preserve">and </w:t>
            </w:r>
            <w:r w:rsidR="006171EC" w:rsidRPr="005836E5">
              <w:t xml:space="preserve">income </w:t>
            </w:r>
            <w:r w:rsidR="00386384" w:rsidRPr="005836E5">
              <w:t xml:space="preserve">effectively connected </w:t>
            </w:r>
            <w:r w:rsidR="006171EC" w:rsidRPr="005836E5">
              <w:t>to a Puerto Rican trade or business</w:t>
            </w:r>
            <w:r w:rsidR="00D73594" w:rsidRPr="005836E5">
              <w:rPr>
                <w:rFonts w:ascii="Calibri" w:hAnsi="Calibri" w:cs="Calibri"/>
              </w:rPr>
              <w:t xml:space="preserve"> (</w:t>
            </w:r>
            <w:r w:rsidR="005753AF" w:rsidRPr="005836E5">
              <w:rPr>
                <w:rFonts w:ascii="Calibri" w:hAnsi="Calibri" w:cs="Calibri"/>
                <w:u w:val="single"/>
              </w:rPr>
              <w:t>Corporations</w:t>
            </w:r>
            <w:r w:rsidR="005753AF" w:rsidRPr="005836E5">
              <w:rPr>
                <w:rFonts w:ascii="Calibri" w:hAnsi="Calibri" w:cs="Calibri"/>
              </w:rPr>
              <w:t>:</w:t>
            </w:r>
            <w:r w:rsidR="005753AF" w:rsidRPr="005836E5">
              <w:rPr>
                <w:rFonts w:ascii="Calibri" w:hAnsi="Calibri" w:cs="Calibri"/>
                <w:u w:val="single"/>
              </w:rPr>
              <w:t xml:space="preserve"> </w:t>
            </w:r>
            <w:hyperlink r:id="rId16" w:history="1">
              <w:r w:rsidR="005753AF" w:rsidRPr="005836E5">
                <w:rPr>
                  <w:rStyle w:val="Hyperlink"/>
                  <w:rFonts w:ascii="Calibri" w:hAnsi="Calibri" w:cs="Calibri"/>
                </w:rPr>
                <w:t>Section 06.C.</w:t>
              </w:r>
            </w:hyperlink>
            <w:r w:rsidR="00EC305F">
              <w:rPr>
                <w:rStyle w:val="Hyperlink"/>
                <w:rFonts w:ascii="Calibri" w:hAnsi="Calibri" w:cs="Calibri"/>
              </w:rPr>
              <w:t xml:space="preserve"> </w:t>
            </w:r>
            <w:r w:rsidR="00EC305F">
              <w:rPr>
                <w:rStyle w:val="Hyperlink"/>
              </w:rPr>
              <w:t>and D.</w:t>
            </w:r>
            <w:r w:rsidR="005753AF" w:rsidRPr="005836E5">
              <w:rPr>
                <w:rFonts w:ascii="Calibri" w:hAnsi="Calibri" w:cs="Calibri"/>
              </w:rPr>
              <w:t xml:space="preserve">; </w:t>
            </w:r>
            <w:r w:rsidR="005753AF" w:rsidRPr="005836E5">
              <w:rPr>
                <w:rFonts w:ascii="Calibri" w:hAnsi="Calibri" w:cs="Calibri"/>
                <w:u w:val="single"/>
              </w:rPr>
              <w:t>Individuals</w:t>
            </w:r>
            <w:r w:rsidR="005753AF" w:rsidRPr="005836E5">
              <w:rPr>
                <w:rFonts w:ascii="Calibri" w:hAnsi="Calibri" w:cs="Calibri"/>
              </w:rPr>
              <w:t xml:space="preserve">: </w:t>
            </w:r>
            <w:hyperlink r:id="rId17" w:history="1">
              <w:r w:rsidR="00D73594" w:rsidRPr="005836E5">
                <w:rPr>
                  <w:rStyle w:val="Hyperlink"/>
                  <w:rFonts w:ascii="Calibri" w:hAnsi="Calibri" w:cs="Calibri"/>
                </w:rPr>
                <w:t xml:space="preserve">Section </w:t>
              </w:r>
              <w:r w:rsidR="00494004" w:rsidRPr="005836E5">
                <w:rPr>
                  <w:rStyle w:val="Hyperlink"/>
                  <w:rFonts w:ascii="Calibri" w:hAnsi="Calibri" w:cs="Calibri"/>
                </w:rPr>
                <w:t>11</w:t>
              </w:r>
              <w:r w:rsidR="00D73594" w:rsidRPr="005836E5">
                <w:rPr>
                  <w:rStyle w:val="Hyperlink"/>
                  <w:rFonts w:ascii="Calibri" w:hAnsi="Calibri" w:cs="Calibri"/>
                </w:rPr>
                <w:t>.</w:t>
              </w:r>
              <w:r w:rsidR="00EC305F">
                <w:rPr>
                  <w:rStyle w:val="Hyperlink"/>
                  <w:rFonts w:ascii="Calibri" w:hAnsi="Calibri" w:cs="Calibri"/>
                </w:rPr>
                <w:t>B</w:t>
              </w:r>
              <w:r w:rsidR="00EC305F">
                <w:rPr>
                  <w:rStyle w:val="Hyperlink"/>
                </w:rPr>
                <w:t xml:space="preserve">. and </w:t>
              </w:r>
              <w:r w:rsidR="00494004" w:rsidRPr="005836E5">
                <w:rPr>
                  <w:rStyle w:val="Hyperlink"/>
                  <w:rFonts w:ascii="Calibri" w:hAnsi="Calibri" w:cs="Calibri"/>
                </w:rPr>
                <w:t>C</w:t>
              </w:r>
              <w:r w:rsidR="00D73594" w:rsidRPr="005836E5">
                <w:rPr>
                  <w:rStyle w:val="Hyperlink"/>
                  <w:rFonts w:ascii="Calibri" w:hAnsi="Calibri" w:cs="Calibri"/>
                </w:rPr>
                <w:t>.</w:t>
              </w:r>
            </w:hyperlink>
            <w:r w:rsidR="00D73594" w:rsidRPr="005836E5">
              <w:rPr>
                <w:rFonts w:ascii="Calibri" w:hAnsi="Calibri" w:cs="Calibri"/>
              </w:rPr>
              <w:t>)</w:t>
            </w:r>
          </w:p>
        </w:tc>
      </w:tr>
      <w:tr w:rsidR="006C2FF5" w14:paraId="75164286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379CB" w14:textId="77777777" w:rsidR="006C2FF5" w:rsidRPr="00397EAF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7EAF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Residence </w:t>
            </w:r>
            <w:r w:rsidRPr="00397EAF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5B244" w14:textId="2D8FCC2B" w:rsidR="00AB2CB9" w:rsidRPr="005836E5" w:rsidRDefault="00AB2CB9" w:rsidP="007D4E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 company is tax resident in Puerto Rico if</w:t>
            </w:r>
            <w:r w:rsidR="007D4EA9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i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 is incorporated in </w:t>
            </w:r>
            <w:r w:rsidR="00013E29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Puerto Rico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 (</w:t>
            </w:r>
            <w:hyperlink r:id="rId18" w:tgtFrame="_blank" w:history="1">
              <w:r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 xml:space="preserve">Section </w:t>
              </w:r>
              <w:proofErr w:type="gramStart"/>
              <w:r w:rsidR="00C95854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05</w:t>
              </w:r>
              <w:r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.A.</w:t>
              </w:r>
              <w:proofErr w:type="gramEnd"/>
            </w:hyperlink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  <w:p w14:paraId="4CE4F892" w14:textId="77777777" w:rsidR="00055380" w:rsidRPr="005836E5" w:rsidRDefault="00055380" w:rsidP="00AB2CB9">
            <w:pPr>
              <w:spacing w:after="0" w:line="240" w:lineRule="auto"/>
              <w:rPr>
                <w:rStyle w:val="normaltextrun"/>
                <w:rFonts w:ascii="Calibri" w:eastAsiaTheme="majorEastAsia" w:hAnsi="Calibri" w:cs="Calibri"/>
              </w:rPr>
            </w:pPr>
          </w:p>
          <w:p w14:paraId="064E8158" w14:textId="27463ED3" w:rsidR="00A76EEC" w:rsidRPr="005836E5" w:rsidRDefault="008678A5" w:rsidP="00AB2CB9">
            <w:pPr>
              <w:spacing w:after="0" w:line="240" w:lineRule="auto"/>
              <w:rPr>
                <w:rStyle w:val="normaltextrun"/>
                <w:rFonts w:ascii="Calibri" w:eastAsiaTheme="majorEastAsia" w:hAnsi="Calibri" w:cs="Calibri"/>
              </w:rPr>
            </w:pPr>
            <w:r w:rsidRPr="005836E5">
              <w:rPr>
                <w:rStyle w:val="normaltextrun"/>
                <w:rFonts w:ascii="Calibri" w:eastAsiaTheme="majorEastAsia" w:hAnsi="Calibri" w:cs="Calibri"/>
              </w:rPr>
              <w:t xml:space="preserve">An individual is </w:t>
            </w:r>
            <w:r w:rsidR="00317107" w:rsidRPr="005836E5">
              <w:rPr>
                <w:rStyle w:val="normaltextrun"/>
                <w:rFonts w:ascii="Calibri" w:eastAsiaTheme="majorEastAsia" w:hAnsi="Calibri" w:cs="Calibri"/>
              </w:rPr>
              <w:t xml:space="preserve">deemed to be </w:t>
            </w:r>
            <w:r w:rsidRPr="005836E5">
              <w:rPr>
                <w:rStyle w:val="normaltextrun"/>
                <w:rFonts w:ascii="Calibri" w:eastAsiaTheme="majorEastAsia" w:hAnsi="Calibri" w:cs="Calibri"/>
              </w:rPr>
              <w:t>tax resident in Puerto Rico</w:t>
            </w:r>
            <w:r w:rsidR="00317107" w:rsidRPr="005836E5">
              <w:rPr>
                <w:rStyle w:val="normaltextrun"/>
                <w:rFonts w:ascii="Calibri" w:eastAsiaTheme="majorEastAsia" w:hAnsi="Calibri" w:cs="Calibri"/>
              </w:rPr>
              <w:t xml:space="preserve"> if</w:t>
            </w:r>
            <w:r w:rsidR="00A76EEC" w:rsidRPr="005836E5">
              <w:rPr>
                <w:rStyle w:val="normaltextrun"/>
                <w:rFonts w:ascii="Calibri" w:eastAsiaTheme="majorEastAsia" w:hAnsi="Calibri" w:cs="Calibri"/>
              </w:rPr>
              <w:t>:</w:t>
            </w:r>
            <w:r w:rsidR="00317107" w:rsidRPr="005836E5">
              <w:rPr>
                <w:rStyle w:val="normaltextrun"/>
                <w:rFonts w:ascii="Calibri" w:eastAsiaTheme="majorEastAsia" w:hAnsi="Calibri" w:cs="Calibri"/>
              </w:rPr>
              <w:t xml:space="preserve"> </w:t>
            </w:r>
          </w:p>
          <w:p w14:paraId="7A5519E3" w14:textId="77777777" w:rsidR="00A76EEC" w:rsidRPr="005836E5" w:rsidRDefault="00A76EEC" w:rsidP="00AB2CB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Style w:val="normaltextrun"/>
                <w:rFonts w:ascii="Calibri" w:hAnsi="Calibri" w:cs="Calibri"/>
              </w:rPr>
            </w:pPr>
            <w:r w:rsidRPr="005836E5">
              <w:rPr>
                <w:rStyle w:val="normaltextrun"/>
                <w:rFonts w:ascii="Calibri" w:eastAsiaTheme="majorEastAsia" w:hAnsi="Calibri" w:cs="Calibri"/>
              </w:rPr>
              <w:t>H</w:t>
            </w:r>
            <w:r w:rsidR="00317107" w:rsidRPr="005836E5">
              <w:rPr>
                <w:rStyle w:val="normaltextrun"/>
                <w:rFonts w:ascii="Calibri" w:eastAsiaTheme="majorEastAsia" w:hAnsi="Calibri" w:cs="Calibri"/>
              </w:rPr>
              <w:t xml:space="preserve">e or she is domiciled </w:t>
            </w:r>
            <w:r w:rsidRPr="005836E5">
              <w:rPr>
                <w:rStyle w:val="normaltextrun"/>
                <w:rFonts w:ascii="Calibri" w:eastAsiaTheme="majorEastAsia" w:hAnsi="Calibri" w:cs="Calibri"/>
              </w:rPr>
              <w:t xml:space="preserve">in Puerto Rico; </w:t>
            </w:r>
            <w:r w:rsidR="00317107" w:rsidRPr="005836E5">
              <w:rPr>
                <w:rStyle w:val="normaltextrun"/>
                <w:rFonts w:ascii="Calibri" w:eastAsiaTheme="majorEastAsia" w:hAnsi="Calibri" w:cs="Calibri"/>
              </w:rPr>
              <w:t>or</w:t>
            </w:r>
          </w:p>
          <w:p w14:paraId="3463D605" w14:textId="3ED8510A" w:rsidR="006C2FF5" w:rsidRPr="005836E5" w:rsidRDefault="00A76EEC" w:rsidP="00AB2CB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Calibri"/>
              </w:rPr>
            </w:pPr>
            <w:r w:rsidRPr="005836E5">
              <w:rPr>
                <w:rStyle w:val="normaltextrun"/>
                <w:rFonts w:ascii="Calibri" w:eastAsiaTheme="majorEastAsia" w:hAnsi="Calibri" w:cs="Calibri"/>
              </w:rPr>
              <w:t xml:space="preserve">He or she </w:t>
            </w:r>
            <w:r w:rsidR="00DA5E82" w:rsidRPr="005836E5">
              <w:rPr>
                <w:rStyle w:val="normaltextrun"/>
                <w:rFonts w:ascii="Calibri" w:eastAsiaTheme="majorEastAsia" w:hAnsi="Calibri" w:cs="Calibri"/>
              </w:rPr>
              <w:t xml:space="preserve">is </w:t>
            </w:r>
            <w:r w:rsidRPr="005836E5">
              <w:rPr>
                <w:rStyle w:val="normaltextrun"/>
                <w:rFonts w:ascii="Calibri" w:eastAsiaTheme="majorEastAsia" w:hAnsi="Calibri" w:cs="Calibri"/>
              </w:rPr>
              <w:t>physi</w:t>
            </w:r>
            <w:r w:rsidR="00DA5E82" w:rsidRPr="005836E5">
              <w:rPr>
                <w:rStyle w:val="normaltextrun"/>
                <w:rFonts w:ascii="Calibri" w:eastAsiaTheme="majorEastAsia" w:hAnsi="Calibri" w:cs="Calibri"/>
              </w:rPr>
              <w:t>c</w:t>
            </w:r>
            <w:r w:rsidRPr="005836E5">
              <w:rPr>
                <w:rStyle w:val="normaltextrun"/>
                <w:rFonts w:ascii="Calibri" w:eastAsiaTheme="majorEastAsia" w:hAnsi="Calibri" w:cs="Calibri"/>
              </w:rPr>
              <w:t>ally present in Pu</w:t>
            </w:r>
            <w:r w:rsidR="00DA5E82" w:rsidRPr="005836E5">
              <w:rPr>
                <w:rStyle w:val="normaltextrun"/>
                <w:rFonts w:ascii="Calibri" w:eastAsiaTheme="majorEastAsia" w:hAnsi="Calibri" w:cs="Calibri"/>
              </w:rPr>
              <w:t>er</w:t>
            </w:r>
            <w:r w:rsidRPr="005836E5">
              <w:rPr>
                <w:rStyle w:val="normaltextrun"/>
                <w:rFonts w:ascii="Calibri" w:eastAsiaTheme="majorEastAsia" w:hAnsi="Calibri" w:cs="Calibri"/>
              </w:rPr>
              <w:t xml:space="preserve">to Rico for </w:t>
            </w:r>
            <w:r w:rsidR="00FB6F78" w:rsidRPr="005836E5">
              <w:rPr>
                <w:rStyle w:val="normaltextrun"/>
                <w:rFonts w:ascii="Calibri" w:eastAsiaTheme="majorEastAsia" w:hAnsi="Calibri" w:cs="Calibri"/>
              </w:rPr>
              <w:t xml:space="preserve">at least </w:t>
            </w:r>
            <w:r w:rsidR="00DA5E82" w:rsidRPr="005836E5">
              <w:rPr>
                <w:rStyle w:val="normaltextrun"/>
                <w:rFonts w:ascii="Calibri" w:eastAsiaTheme="majorEastAsia" w:hAnsi="Calibri" w:cs="Calibri"/>
              </w:rPr>
              <w:t xml:space="preserve">183 days in </w:t>
            </w:r>
            <w:r w:rsidR="00EC305F">
              <w:rPr>
                <w:rStyle w:val="normaltextrun"/>
                <w:rFonts w:ascii="Calibri" w:eastAsiaTheme="majorEastAsia" w:hAnsi="Calibri" w:cs="Calibri"/>
              </w:rPr>
              <w:t>the</w:t>
            </w:r>
            <w:r w:rsidR="00DA5E82" w:rsidRPr="005836E5">
              <w:rPr>
                <w:rStyle w:val="normaltextrun"/>
                <w:rFonts w:ascii="Calibri" w:eastAsiaTheme="majorEastAsia" w:hAnsi="Calibri" w:cs="Calibri"/>
              </w:rPr>
              <w:t xml:space="preserve"> calendar year</w:t>
            </w:r>
            <w:r w:rsidR="00EC305F">
              <w:rPr>
                <w:rStyle w:val="normaltextrun"/>
                <w:rFonts w:ascii="Calibri" w:eastAsiaTheme="majorEastAsia" w:hAnsi="Calibri" w:cs="Calibri"/>
              </w:rPr>
              <w:t xml:space="preserve"> concerned</w:t>
            </w:r>
            <w:r w:rsidR="00DA5E82" w:rsidRPr="005836E5">
              <w:rPr>
                <w:rStyle w:val="normaltextrun"/>
                <w:rFonts w:ascii="Calibri" w:eastAsiaTheme="majorEastAsia" w:hAnsi="Calibri" w:cs="Calibri"/>
              </w:rPr>
              <w:t>.</w:t>
            </w:r>
            <w:r w:rsidR="001F1BFA" w:rsidRPr="005836E5">
              <w:rPr>
                <w:rStyle w:val="normaltextrun"/>
                <w:rFonts w:ascii="Calibri" w:eastAsiaTheme="majorEastAsia" w:hAnsi="Calibri" w:cs="Calibri"/>
              </w:rPr>
              <w:t xml:space="preserve"> </w:t>
            </w:r>
            <w:r w:rsidR="002C7A8D" w:rsidRPr="005836E5">
              <w:rPr>
                <w:rStyle w:val="normaltextrun"/>
                <w:rFonts w:ascii="Calibri" w:eastAsiaTheme="majorEastAsia" w:hAnsi="Calibri" w:cs="Calibri"/>
              </w:rPr>
              <w:t>(</w:t>
            </w:r>
            <w:hyperlink r:id="rId19" w:history="1">
              <w:r w:rsidR="002C7A8D" w:rsidRPr="005836E5">
                <w:rPr>
                  <w:rStyle w:val="Hyperlink"/>
                  <w:rFonts w:ascii="Calibri" w:hAnsi="Calibri" w:cs="Calibri"/>
                </w:rPr>
                <w:t xml:space="preserve">Section </w:t>
              </w:r>
              <w:proofErr w:type="gramStart"/>
              <w:r w:rsidR="00BB0013" w:rsidRPr="005836E5">
                <w:rPr>
                  <w:rStyle w:val="Hyperlink"/>
                  <w:rFonts w:ascii="Calibri" w:hAnsi="Calibri" w:cs="Calibri"/>
                </w:rPr>
                <w:t>10</w:t>
              </w:r>
              <w:r w:rsidR="002D2134" w:rsidRPr="005836E5">
                <w:rPr>
                  <w:rStyle w:val="Hyperlink"/>
                  <w:rFonts w:ascii="Calibri" w:hAnsi="Calibri" w:cs="Calibri"/>
                </w:rPr>
                <w:t>.</w:t>
              </w:r>
              <w:r w:rsidR="00BB0013" w:rsidRPr="005836E5">
                <w:rPr>
                  <w:rStyle w:val="Hyperlink"/>
                  <w:rFonts w:ascii="Calibri" w:hAnsi="Calibri" w:cs="Calibri"/>
                </w:rPr>
                <w:t>B</w:t>
              </w:r>
              <w:r w:rsidR="002D2134" w:rsidRPr="005836E5">
                <w:rPr>
                  <w:rStyle w:val="Hyperlink"/>
                  <w:rFonts w:ascii="Calibri" w:hAnsi="Calibri" w:cs="Calibri"/>
                </w:rPr>
                <w:t>.</w:t>
              </w:r>
              <w:proofErr w:type="gramEnd"/>
            </w:hyperlink>
            <w:r w:rsidR="002D2134" w:rsidRPr="005836E5">
              <w:rPr>
                <w:rStyle w:val="normaltextrun"/>
                <w:rFonts w:ascii="Calibri" w:eastAsiaTheme="majorEastAsia" w:hAnsi="Calibri" w:cs="Calibri"/>
              </w:rPr>
              <w:t xml:space="preserve">) </w:t>
            </w:r>
          </w:p>
        </w:tc>
      </w:tr>
      <w:tr w:rsidR="006C2FF5" w14:paraId="70AC18BE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DC29C" w14:textId="24D032DC" w:rsidR="006C2FF5" w:rsidRPr="00397EAF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7EAF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Basic domestic nexus rule for foreign corporations </w:t>
            </w:r>
            <w:r w:rsidRPr="00397EAF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FD8C8" w14:textId="0BF1785D" w:rsidR="006C2FF5" w:rsidRPr="005836E5" w:rsidRDefault="00793D59" w:rsidP="00F769A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 </w:t>
            </w:r>
            <w:r w:rsidR="00B47D33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corporation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not resident in Puerto Rico is subject to taxation on its </w:t>
            </w:r>
            <w:r w:rsidR="00BA2153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Puerto Rico source 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income </w:t>
            </w:r>
            <w:r w:rsidR="003C51D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and income effectively connected to a Puerto Ric</w:t>
            </w:r>
            <w:r w:rsidR="00C43048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</w:t>
            </w:r>
            <w:r w:rsidR="003211DD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trade or business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. </w:t>
            </w:r>
            <w:r w:rsidR="00011F9A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The </w:t>
            </w:r>
            <w:r w:rsidR="00EC305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possession </w:t>
            </w:r>
            <w:r w:rsidR="00011F9A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of an office o</w:t>
            </w:r>
            <w:r w:rsidR="00D26C5D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r</w:t>
            </w:r>
            <w:r w:rsidR="00011F9A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fixed place of business in Puerto Rico may</w:t>
            </w:r>
            <w:r w:rsidR="00EC305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cause</w:t>
            </w:r>
            <w:r w:rsidR="00011F9A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D26C5D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 corporation to be </w:t>
            </w:r>
            <w:r w:rsidR="00EC305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deemed to be </w:t>
            </w:r>
            <w:r w:rsidR="00D26C5D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engaged in </w:t>
            </w:r>
            <w:r w:rsidR="00EC305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 </w:t>
            </w:r>
            <w:r w:rsidR="00D26C5D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trade or business</w:t>
            </w:r>
            <w:r w:rsidR="00EC305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in Puerto Rico</w:t>
            </w:r>
            <w:r w:rsidR="00D26C5D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D26C5D" w:rsidRPr="005836E5">
              <w:rPr>
                <w:rStyle w:val="normaltextrun"/>
                <w:rFonts w:eastAsiaTheme="majorEastAsia"/>
              </w:rPr>
              <w:t xml:space="preserve"> </w:t>
            </w:r>
            <w:hyperlink r:id="rId20" w:history="1">
              <w:r w:rsidR="00160A48"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(Section </w:t>
              </w:r>
              <w:proofErr w:type="gramStart"/>
              <w:r w:rsidR="00160A48"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06.C.</w:t>
              </w:r>
              <w:proofErr w:type="gramEnd"/>
            </w:hyperlink>
            <w:r w:rsidR="00EC305F">
              <w:rPr>
                <w:rStyle w:val="Hyperlink"/>
                <w:rFonts w:ascii="Calibri" w:eastAsiaTheme="majorEastAsia" w:hAnsi="Calibri" w:cs="Calibri"/>
                <w:sz w:val="22"/>
                <w:szCs w:val="22"/>
              </w:rPr>
              <w:t>1</w:t>
            </w:r>
            <w:r w:rsidR="00EC305F">
              <w:rPr>
                <w:rStyle w:val="Hyperlink"/>
                <w:rFonts w:eastAsiaTheme="majorEastAsia"/>
              </w:rPr>
              <w:t>.</w:t>
            </w:r>
            <w:r w:rsidR="004425C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</w:tc>
      </w:tr>
      <w:tr w:rsidR="006C2FF5" w14:paraId="523F472F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E11AF" w14:textId="77777777" w:rsidR="006C2FF5" w:rsidRPr="00397EAF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7EAF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Treaty network</w:t>
            </w:r>
            <w:r w:rsidRPr="00397EAF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47027" w14:textId="2EF65045" w:rsidR="006C2FF5" w:rsidRPr="005836E5" w:rsidRDefault="00B271D1" w:rsidP="004802F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As an unincorporated territory</w:t>
            </w:r>
            <w:r w:rsidR="00282A44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of </w:t>
            </w:r>
            <w:r w:rsidR="00282A44" w:rsidRPr="00397EA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the United States</w:t>
            </w:r>
            <w:r w:rsidR="00F538CE" w:rsidRPr="00397EA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 P</w:t>
            </w:r>
            <w:r w:rsidR="006C1060" w:rsidRPr="00397EA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uer</w:t>
            </w:r>
            <w:r w:rsidR="00205781" w:rsidRPr="00397EA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to Rico </w:t>
            </w:r>
            <w:r w:rsidR="00520224" w:rsidRPr="00397EA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does not possess full sovereignty and</w:t>
            </w:r>
            <w:r w:rsidR="00AF6894" w:rsidRPr="00397EA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3935C4" w:rsidRPr="00397EA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is</w:t>
            </w:r>
            <w:r w:rsidR="00520224" w:rsidRPr="00397EA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therefore </w:t>
            </w:r>
            <w:r w:rsidR="00F538CE" w:rsidRPr="00397EA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not a party to any tax treat</w:t>
            </w:r>
            <w:r w:rsidR="00E02384" w:rsidRPr="00397EA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y</w:t>
            </w:r>
            <w:r w:rsidR="000934A5" w:rsidRPr="00397EA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</w:t>
            </w:r>
            <w:r w:rsidR="00266DA1" w:rsidRPr="00397EA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nor is it named in any </w:t>
            </w:r>
            <w:r w:rsidR="00EE2B10" w:rsidRPr="00397EA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US </w:t>
            </w:r>
            <w:r w:rsidR="00266DA1" w:rsidRPr="00397EA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tax treaty,</w:t>
            </w:r>
            <w:r w:rsidR="000934A5" w:rsidRPr="00397EA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but</w:t>
            </w:r>
            <w:r w:rsidR="000934A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certain </w:t>
            </w:r>
            <w:r w:rsidR="006F7B09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international </w:t>
            </w:r>
            <w:r w:rsidR="005A58DD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agreements</w:t>
            </w:r>
            <w:r w:rsidR="000934A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7E176B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</w:t>
            </w:r>
            <w:r w:rsidR="007E176B" w:rsidRPr="005836E5">
              <w:rPr>
                <w:rStyle w:val="normaltextrun"/>
                <w:rFonts w:ascii="Calibri" w:eastAsiaTheme="majorEastAsia" w:hAnsi="Calibri" w:cs="Calibri"/>
              </w:rPr>
              <w:t>f</w:t>
            </w:r>
            <w:r w:rsidR="000934A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the United States may by extension </w:t>
            </w:r>
            <w:r w:rsidR="00282A44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be </w:t>
            </w:r>
            <w:r w:rsidR="000934A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appl</w:t>
            </w:r>
            <w:r w:rsidR="00282A44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icable in Puerto Rico</w:t>
            </w:r>
            <w:r w:rsidR="006C2FF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 (</w:t>
            </w:r>
            <w:hyperlink r:id="rId21" w:tgtFrame="_blank" w:history="1">
              <w:r w:rsidR="006C2FF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 xml:space="preserve">Section </w:t>
              </w:r>
              <w:proofErr w:type="gramStart"/>
              <w:r w:rsidR="004802F2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15</w:t>
              </w:r>
              <w:r w:rsidR="006C2FF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  <w:r w:rsidR="004802F2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B</w:t>
              </w:r>
              <w:r w:rsidR="006C2FF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  <w:proofErr w:type="gramEnd"/>
            </w:hyperlink>
            <w:r w:rsidR="006C2FF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006C2FF5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 </w:t>
            </w:r>
          </w:p>
        </w:tc>
      </w:tr>
      <w:tr w:rsidR="006C2FF5" w14:paraId="6E5D9859" w14:textId="77777777" w:rsidTr="00331FC7">
        <w:trPr>
          <w:trHeight w:val="300"/>
        </w:trPr>
        <w:tc>
          <w:tcPr>
            <w:tcW w:w="1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14:paraId="72D4F23A" w14:textId="77777777" w:rsidR="006C2FF5" w:rsidRPr="00BE2689" w:rsidRDefault="006C2FF5" w:rsidP="00BE2689">
            <w:pPr>
              <w:pStyle w:val="paragraph"/>
              <w:spacing w:before="120" w:beforeAutospacing="0" w:after="120" w:afterAutospacing="0"/>
              <w:textAlignment w:val="baseline"/>
            </w:pPr>
            <w:r w:rsidRPr="00BE2689">
              <w:rPr>
                <w:rStyle w:val="normaltextrun"/>
                <w:rFonts w:ascii="Calibri" w:eastAsiaTheme="majorEastAsia" w:hAnsi="Calibri" w:cs="Calibri"/>
                <w:b/>
                <w:bCs/>
                <w:color w:val="FFFFFF"/>
                <w:sz w:val="28"/>
                <w:szCs w:val="28"/>
              </w:rPr>
              <w:t>Corporations</w:t>
            </w:r>
            <w:r w:rsidRPr="00BE2689">
              <w:rPr>
                <w:rStyle w:val="eop"/>
                <w:rFonts w:ascii="Calibri" w:eastAsiaTheme="majorEastAsia" w:hAnsi="Calibri" w:cs="Calibri"/>
                <w:color w:val="FFFFFF"/>
                <w:sz w:val="28"/>
                <w:szCs w:val="28"/>
              </w:rPr>
              <w:t> </w:t>
            </w:r>
          </w:p>
        </w:tc>
      </w:tr>
      <w:tr w:rsidR="006C2FF5" w14:paraId="13583BAA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AA8326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Corporate income tax rate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  <w:p w14:paraId="0376032E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43F30A" w14:textId="383509E1" w:rsidR="006C2FF5" w:rsidRDefault="006C2FF5" w:rsidP="00946F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The standard rate </w:t>
            </w:r>
            <w:r w:rsidR="00507027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is </w:t>
            </w:r>
            <w:r w:rsidR="00594F4D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 flat </w:t>
            </w:r>
            <w:r w:rsidR="00D41D3B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1</w:t>
            </w:r>
            <w:r w:rsidR="00AA041A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8</w:t>
            </w:r>
            <w:r w:rsidR="00507027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D41D3B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5%</w:t>
            </w:r>
            <w:r w:rsidR="000C4516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, </w:t>
            </w:r>
            <w:r w:rsidR="004275CE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which is augmented</w:t>
            </w:r>
            <w:r w:rsidR="009D2B40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4275CE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by </w:t>
            </w:r>
            <w:r w:rsidR="009D2B40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</w:t>
            </w:r>
            <w:r w:rsidR="00CC686D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61289B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graduated </w:t>
            </w:r>
            <w:r w:rsidR="004D2CBD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surtax </w:t>
            </w:r>
            <w:r w:rsidR="00CC686D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on </w:t>
            </w:r>
            <w:r w:rsidR="00282AE0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adjusted </w:t>
            </w:r>
            <w:r w:rsidR="004D2CBD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net income (</w:t>
            </w:r>
            <w:r w:rsidR="002C0607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net </w:t>
            </w:r>
            <w:r w:rsidR="004D2CBD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taxable income minus </w:t>
            </w:r>
            <w:r w:rsidR="002C0607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US$ 25,000)</w:t>
            </w:r>
            <w:r w:rsidR="00A27B03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0033BB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levied </w:t>
            </w:r>
            <w:r w:rsidR="00587C35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</w:t>
            </w:r>
            <w:r w:rsidR="00695B80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 rates</w:t>
            </w:r>
            <w:r w:rsidR="00587C35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F4498F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ranging from</w:t>
            </w:r>
            <w:r w:rsidR="00587C35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5% </w:t>
            </w:r>
            <w:r w:rsidR="00811C4E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on income up to US$ 75,000 to </w:t>
            </w:r>
            <w:r w:rsidR="00477234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 maximum of </w:t>
            </w:r>
            <w:r w:rsidR="00F65B58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19% </w:t>
            </w:r>
            <w:r w:rsidR="00587C35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</w:t>
            </w:r>
            <w:r w:rsidR="00497B5E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</w:t>
            </w:r>
            <w:r w:rsidR="00587C35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6041FA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income ove</w:t>
            </w:r>
            <w:r w:rsidR="00F4498F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r</w:t>
            </w:r>
            <w:r w:rsidR="006041FA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US$ </w:t>
            </w:r>
            <w:r w:rsidR="00CC3DF4"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275,000</w:t>
            </w:r>
            <w:r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 (</w:t>
            </w:r>
            <w:hyperlink r:id="rId22" w:anchor="section(9)_0" w:tgtFrame="_blank" w:history="1">
              <w:r w:rsidRPr="00E20ED2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 xml:space="preserve">Section </w:t>
              </w:r>
              <w:r w:rsidR="00922F53" w:rsidRPr="00E20ED2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05</w:t>
              </w:r>
              <w:r w:rsidRPr="00E20ED2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  <w:r w:rsidR="00922F53" w:rsidRPr="00E20ED2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B</w:t>
              </w:r>
              <w:r w:rsidR="00B414D5" w:rsidRPr="00E20ED2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  <w:r w:rsidR="00922F53" w:rsidRPr="00E20ED2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9</w:t>
              </w:r>
              <w:r w:rsidR="007965AC" w:rsidRPr="00E20ED2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</w:hyperlink>
            <w:r w:rsidRPr="00E20ED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  <w:p w14:paraId="2A102BD8" w14:textId="77777777" w:rsidR="000072CF" w:rsidRDefault="000072CF" w:rsidP="00946F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</w:rPr>
            </w:pPr>
          </w:p>
          <w:p w14:paraId="6BBED758" w14:textId="040AD872" w:rsidR="00F03243" w:rsidRPr="00E20ED2" w:rsidRDefault="00F03243" w:rsidP="000072C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0ED2">
              <w:rPr>
                <w:rFonts w:ascii="Calibri" w:hAnsi="Calibri" w:cs="Calibri"/>
                <w:sz w:val="22"/>
                <w:szCs w:val="22"/>
              </w:rPr>
              <w:t xml:space="preserve">An alternative minimum tax applies to </w:t>
            </w:r>
            <w:r w:rsidR="00DA60B8" w:rsidRPr="00E20ED2">
              <w:rPr>
                <w:rFonts w:ascii="Calibri" w:hAnsi="Calibri" w:cs="Calibri"/>
                <w:sz w:val="22"/>
                <w:szCs w:val="22"/>
              </w:rPr>
              <w:t>guarantee</w:t>
            </w:r>
            <w:r w:rsidR="00154FB1" w:rsidRPr="00E20E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81285" w:rsidRPr="00E20ED2">
              <w:rPr>
                <w:rFonts w:ascii="Calibri" w:hAnsi="Calibri" w:cs="Calibri"/>
                <w:sz w:val="22"/>
                <w:szCs w:val="22"/>
              </w:rPr>
              <w:t xml:space="preserve">corporate </w:t>
            </w:r>
            <w:r w:rsidR="00C74F10" w:rsidRPr="00E20ED2">
              <w:rPr>
                <w:rFonts w:ascii="Calibri" w:hAnsi="Calibri" w:cs="Calibri"/>
                <w:sz w:val="22"/>
                <w:szCs w:val="22"/>
              </w:rPr>
              <w:t>taxpayers</w:t>
            </w:r>
            <w:r w:rsidR="0002635D" w:rsidRPr="00E20ED2">
              <w:rPr>
                <w:rFonts w:ascii="Calibri" w:hAnsi="Calibri" w:cs="Calibri"/>
                <w:sz w:val="22"/>
                <w:szCs w:val="22"/>
              </w:rPr>
              <w:t xml:space="preserve"> with substantial </w:t>
            </w:r>
            <w:r w:rsidR="003859E1" w:rsidRPr="00E20ED2">
              <w:rPr>
                <w:rFonts w:ascii="Calibri" w:hAnsi="Calibri" w:cs="Calibri"/>
                <w:sz w:val="22"/>
                <w:szCs w:val="22"/>
              </w:rPr>
              <w:t>income pay the minimum 18.5%</w:t>
            </w:r>
            <w:r w:rsidR="00984CC5" w:rsidRPr="00E20ED2">
              <w:rPr>
                <w:rFonts w:ascii="Calibri" w:hAnsi="Calibri" w:cs="Calibri"/>
                <w:sz w:val="22"/>
                <w:szCs w:val="22"/>
              </w:rPr>
              <w:t xml:space="preserve"> rate</w:t>
            </w:r>
            <w:r w:rsidR="005425CF" w:rsidRPr="00E20ED2">
              <w:rPr>
                <w:rFonts w:ascii="Calibri" w:hAnsi="Calibri" w:cs="Calibri"/>
                <w:sz w:val="22"/>
                <w:szCs w:val="22"/>
              </w:rPr>
              <w:t>, but</w:t>
            </w:r>
            <w:r w:rsidR="00984CC5" w:rsidRPr="00E20ED2">
              <w:rPr>
                <w:rFonts w:ascii="Calibri" w:hAnsi="Calibri" w:cs="Calibri"/>
                <w:sz w:val="22"/>
                <w:szCs w:val="22"/>
              </w:rPr>
              <w:t xml:space="preserve"> for taxpayer</w:t>
            </w:r>
            <w:r w:rsidR="005425CF" w:rsidRPr="00E20ED2">
              <w:rPr>
                <w:rFonts w:ascii="Calibri" w:hAnsi="Calibri" w:cs="Calibri"/>
                <w:sz w:val="22"/>
                <w:szCs w:val="22"/>
              </w:rPr>
              <w:t>s</w:t>
            </w:r>
            <w:r w:rsidR="00984CC5" w:rsidRPr="00E20ED2">
              <w:rPr>
                <w:rFonts w:ascii="Calibri" w:hAnsi="Calibri" w:cs="Calibri"/>
                <w:sz w:val="22"/>
                <w:szCs w:val="22"/>
              </w:rPr>
              <w:t xml:space="preserve"> with gross income above US$ </w:t>
            </w:r>
            <w:r w:rsidR="003340BE" w:rsidRPr="00E20ED2">
              <w:rPr>
                <w:rFonts w:ascii="Calibri" w:hAnsi="Calibri" w:cs="Calibri"/>
                <w:sz w:val="22"/>
                <w:szCs w:val="22"/>
              </w:rPr>
              <w:t>10 million</w:t>
            </w:r>
            <w:r w:rsidR="005425CF" w:rsidRPr="00E20ED2">
              <w:rPr>
                <w:rFonts w:ascii="Calibri" w:hAnsi="Calibri" w:cs="Calibri"/>
                <w:sz w:val="22"/>
                <w:szCs w:val="22"/>
              </w:rPr>
              <w:t>, the rate is 23%</w:t>
            </w:r>
            <w:r w:rsidR="003340BE" w:rsidRPr="00E20ED2">
              <w:rPr>
                <w:rFonts w:ascii="Calibri" w:hAnsi="Calibri" w:cs="Calibri"/>
                <w:sz w:val="22"/>
                <w:szCs w:val="22"/>
              </w:rPr>
              <w:t>.</w:t>
            </w:r>
            <w:r w:rsidR="00984CC5" w:rsidRPr="00E20E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F4C8D" w:rsidRPr="00E20E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859E1" w:rsidRPr="00E20E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4F10" w:rsidRPr="00E20E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A60B8" w:rsidRPr="00E20E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20ED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C2FF5" w14:paraId="23006923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5A36D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proofErr w:type="gramStart"/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lastRenderedPageBreak/>
              <w:t>General</w:t>
            </w:r>
            <w:proofErr w:type="gramEnd"/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 xml:space="preserve"> withholding tax rates on payments to non-resident companies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B6F0D" w14:textId="047A00C6" w:rsidR="006C2FF5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</w:pP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t>Dividends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: </w:t>
            </w:r>
            <w:r w:rsidR="00F33D27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1</w:t>
            </w:r>
            <w:r w:rsidR="0018144A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0%</w:t>
            </w:r>
            <w:r w:rsidR="00F33D27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, </w:t>
            </w:r>
            <w:r w:rsidR="00F771AF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subject to </w:t>
            </w:r>
            <w:r w:rsidR="00F37E94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an </w:t>
            </w:r>
            <w:r w:rsidR="007E3F44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ex</w:t>
            </w:r>
            <w:r w:rsidR="00F771AF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emption for</w:t>
            </w:r>
            <w:r w:rsidR="00F33D27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3C433C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dividends paid</w:t>
            </w:r>
            <w:r w:rsidR="00BE4E0E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to </w:t>
            </w:r>
            <w:r w:rsidR="005B3F2A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an </w:t>
            </w:r>
            <w:r w:rsidR="00BE4E0E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international banking enti</w:t>
            </w:r>
            <w:r w:rsidR="005B3F2A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ty</w:t>
            </w:r>
            <w:r w:rsidR="00BE4E0E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7E3F44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or out of </w:t>
            </w:r>
            <w:r w:rsidR="00286318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certain </w:t>
            </w:r>
            <w:r w:rsidR="007E3F44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industrial development income</w:t>
            </w:r>
            <w:r w:rsidR="00F62B83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5834CD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23" w:anchor="section(1)_0" w:tgtFrame="_blank" w:history="1">
              <w:r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Section</w:t>
              </w:r>
              <w:r w:rsidR="00A74A8A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s</w:t>
              </w:r>
              <w:r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 xml:space="preserve"> </w:t>
              </w:r>
              <w:r w:rsidR="00F62B83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0</w:t>
              </w:r>
              <w:r w:rsidR="00F62B83" w:rsidRPr="005836E5">
                <w:rPr>
                  <w:rStyle w:val="normaltextrun"/>
                  <w:rFonts w:ascii="Calibri" w:eastAsiaTheme="majorEastAsia" w:hAnsi="Calibri" w:cs="Calibri"/>
                  <w:color w:val="0563C1"/>
                  <w:u w:val="single"/>
                </w:rPr>
                <w:t>6</w:t>
              </w:r>
              <w:r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  <w:r w:rsidR="00955004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D</w:t>
              </w:r>
              <w:r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</w:hyperlink>
            <w:r w:rsidR="00850C8E" w:rsidRPr="005836E5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>1</w:t>
            </w:r>
            <w:r w:rsidRPr="005836E5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>.</w:t>
            </w:r>
            <w:r w:rsidR="00CB1FA4" w:rsidRPr="005836E5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>,</w:t>
            </w:r>
            <w:r w:rsidR="00F62B83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hyperlink r:id="rId24" w:anchor="section(3)(3)(b)_0" w:history="1">
              <w:r w:rsidR="00CB1FA4"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D.3.</w:t>
              </w:r>
              <w:r w:rsidR="00C85533"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b</w:t>
              </w:r>
              <w:r w:rsidR="00CB1FA4"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</w:hyperlink>
            <w:r w:rsidR="00CB1FA4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, </w:t>
            </w:r>
            <w:r w:rsidR="00F62B83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and </w:t>
            </w:r>
            <w:hyperlink r:id="rId25" w:anchor="section(5)_0" w:history="1">
              <w:r w:rsidR="00A74A8A"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D.</w:t>
              </w:r>
              <w:r w:rsidR="00083A58"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5</w:t>
              </w:r>
              <w:r w:rsidR="00083A58" w:rsidRPr="005836E5">
                <w:rPr>
                  <w:rStyle w:val="Hyperlink"/>
                  <w:rFonts w:eastAsiaTheme="majorEastAsia"/>
                </w:rPr>
                <w:t>.</w:t>
              </w:r>
            </w:hyperlink>
            <w:r w:rsidR="00F62B83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 </w:t>
            </w:r>
            <w:r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  <w:p w14:paraId="671332D6" w14:textId="77777777" w:rsidR="00C87D08" w:rsidRPr="005836E5" w:rsidRDefault="00C87D08" w:rsidP="00BE268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C30397E" w14:textId="70421C15" w:rsidR="006C2FF5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color w:val="FF0000"/>
                <w:sz w:val="22"/>
                <w:szCs w:val="22"/>
              </w:rPr>
            </w:pP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t>Interest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:</w:t>
            </w:r>
            <w:r w:rsidR="00DB67B2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33300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0</w:t>
            </w:r>
            <w:r w:rsidR="003F490E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%</w:t>
            </w:r>
            <w:r w:rsidR="00DF5E8C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</w:t>
            </w:r>
            <w:r w:rsidR="00DD13D9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33300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where</w:t>
            </w:r>
            <w:r w:rsidR="00E31C5B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DD13D9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pa</w:t>
            </w:r>
            <w:r w:rsidR="00C17AC3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id</w:t>
            </w:r>
            <w:r w:rsidR="00DD13D9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to </w:t>
            </w:r>
            <w:r w:rsidR="009C51EB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an unrelated foreign</w:t>
            </w:r>
            <w:r w:rsidR="00BC004F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corporation not engaged in a Puerto Rico trade or business</w:t>
            </w:r>
            <w:r w:rsidR="0033300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; 29% </w:t>
            </w:r>
            <w:proofErr w:type="gramStart"/>
            <w:r w:rsidR="0033300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where</w:t>
            </w:r>
            <w:proofErr w:type="gramEnd"/>
            <w:r w:rsidR="0033300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paid to a related </w:t>
            </w:r>
            <w:r w:rsidR="0032065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corporation</w:t>
            </w:r>
            <w:r w:rsidR="00BC004F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932CA1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26" w:anchor="section(1)_0" w:tgtFrame="_blank" w:history="1">
              <w:r w:rsidR="00B068C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Section</w:t>
              </w:r>
              <w:r w:rsidR="00264330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s</w:t>
              </w:r>
              <w:r w:rsidR="00B068C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 xml:space="preserve"> 0</w:t>
              </w:r>
              <w:r w:rsidR="00B068C5" w:rsidRPr="005836E5">
                <w:rPr>
                  <w:rStyle w:val="normaltextrun"/>
                  <w:rFonts w:ascii="Calibri" w:eastAsiaTheme="majorEastAsia" w:hAnsi="Calibri" w:cs="Calibri"/>
                  <w:color w:val="0563C1"/>
                  <w:u w:val="single"/>
                </w:rPr>
                <w:t>6</w:t>
              </w:r>
              <w:r w:rsidR="00B068C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.D.</w:t>
              </w:r>
            </w:hyperlink>
            <w:r w:rsidR="00B068C5" w:rsidRPr="005836E5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>1.</w:t>
            </w:r>
            <w:r w:rsidR="00264330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and </w:t>
            </w:r>
            <w:hyperlink r:id="rId27" w:anchor="section(3)(3)(a)_0" w:history="1">
              <w:r w:rsidR="00264330"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D.3.a.</w:t>
              </w:r>
            </w:hyperlink>
            <w:r w:rsidR="00264330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 </w:t>
            </w:r>
            <w:r w:rsidRPr="005836E5">
              <w:rPr>
                <w:rStyle w:val="normaltextrun"/>
                <w:rFonts w:ascii="Calibri" w:eastAsiaTheme="majorEastAsia" w:hAnsi="Calibri" w:cs="Calibri"/>
                <w:color w:val="FF0000"/>
                <w:sz w:val="22"/>
                <w:szCs w:val="22"/>
              </w:rPr>
              <w:t> </w:t>
            </w:r>
            <w:r w:rsidRPr="005836E5">
              <w:rPr>
                <w:rStyle w:val="eop"/>
                <w:rFonts w:ascii="Calibri" w:eastAsiaTheme="majorEastAsia" w:hAnsi="Calibri" w:cs="Calibri"/>
                <w:color w:val="FF0000"/>
                <w:sz w:val="22"/>
                <w:szCs w:val="22"/>
              </w:rPr>
              <w:t> </w:t>
            </w:r>
          </w:p>
          <w:p w14:paraId="10DC3E11" w14:textId="77777777" w:rsidR="00C87D08" w:rsidRPr="005836E5" w:rsidRDefault="00C87D08" w:rsidP="00BE268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688A2FA" w14:textId="7EA50EC8" w:rsidR="006C2FF5" w:rsidRPr="005836E5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t>Royalties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: </w:t>
            </w:r>
            <w:r w:rsidR="003F490E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29%</w:t>
            </w:r>
            <w:r w:rsidR="00D46A7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28" w:anchor="section(1)_0" w:tgtFrame="_blank" w:history="1">
              <w:r w:rsidR="009E76B1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Section</w:t>
              </w:r>
              <w:r w:rsidR="00912F6E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s</w:t>
              </w:r>
              <w:r w:rsidR="009E76B1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 xml:space="preserve"> 0</w:t>
              </w:r>
              <w:r w:rsidR="009E76B1" w:rsidRPr="005836E5">
                <w:rPr>
                  <w:rStyle w:val="normaltextrun"/>
                  <w:rFonts w:ascii="Calibri" w:eastAsiaTheme="majorEastAsia" w:hAnsi="Calibri" w:cs="Calibri"/>
                  <w:color w:val="0563C1"/>
                  <w:u w:val="single"/>
                </w:rPr>
                <w:t>6</w:t>
              </w:r>
              <w:r w:rsidR="009E76B1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.D.</w:t>
              </w:r>
            </w:hyperlink>
            <w:r w:rsidR="009E76B1" w:rsidRPr="005836E5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>1.</w:t>
            </w:r>
            <w:r w:rsidR="00912F6E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and </w:t>
            </w:r>
            <w:hyperlink r:id="rId29" w:anchor="section(3)(3)(d)_0" w:history="1">
              <w:r w:rsidR="00912F6E"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D.3.d.</w:t>
              </w:r>
            </w:hyperlink>
            <w:r w:rsidR="00912F6E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000C0029" w:rsidRPr="005836E5">
              <w:rPr>
                <w:rStyle w:val="eop"/>
                <w:rFonts w:eastAsiaTheme="majorEastAsia"/>
                <w:sz w:val="22"/>
                <w:szCs w:val="22"/>
              </w:rPr>
              <w:t xml:space="preserve"> </w:t>
            </w:r>
          </w:p>
          <w:p w14:paraId="4C99BF62" w14:textId="77777777" w:rsidR="00C87D08" w:rsidRPr="00C87D08" w:rsidRDefault="00C87D08" w:rsidP="00C87D0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</w:rPr>
            </w:pPr>
          </w:p>
          <w:p w14:paraId="52E12976" w14:textId="6C45CB6B" w:rsidR="006C2FF5" w:rsidRPr="005836E5" w:rsidRDefault="006C2FF5" w:rsidP="00C87D08">
            <w:pPr>
              <w:pStyle w:val="paragraph"/>
              <w:spacing w:before="0" w:beforeAutospacing="0" w:after="0" w:afterAutospacing="0"/>
              <w:textAlignment w:val="baseline"/>
            </w:pP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For the rates of source country taxation applying under </w:t>
            </w:r>
            <w:r w:rsidR="0046351A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Puerto Rico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domestic law and the context for their application, see the </w:t>
            </w:r>
            <w:hyperlink r:id="rId30" w:tgtFrame="_blank" w:history="1">
              <w:r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Withholding Tax Chart</w:t>
              </w:r>
            </w:hyperlink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549E60F5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CE3250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Net operating losses carryback/forward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6D15A8" w14:textId="5251A9F8" w:rsidR="006C2FF5" w:rsidRPr="005836E5" w:rsidRDefault="006C2FF5" w:rsidP="00C87D08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t>Carryback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: </w:t>
            </w:r>
            <w:r w:rsidR="00FA1ADE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No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 </w:t>
            </w:r>
            <w:r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  <w:p w14:paraId="79E4ABC3" w14:textId="78EDCE6E" w:rsidR="006C2FF5" w:rsidRPr="005836E5" w:rsidRDefault="006C2FF5" w:rsidP="00C87D08">
            <w:pPr>
              <w:pStyle w:val="paragraph"/>
              <w:spacing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t>Carryforward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:</w:t>
            </w:r>
            <w:r w:rsidR="00DC3293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1D5A56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G</w:t>
            </w:r>
            <w:r w:rsidR="002720DF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enerally</w:t>
            </w:r>
            <w:r w:rsidR="001D5A56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</w:t>
            </w:r>
            <w:r w:rsidR="00D24B30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D37326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10 years</w:t>
            </w:r>
            <w:r w:rsidR="00B133FC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 but</w:t>
            </w:r>
            <w:r w:rsidR="001D5A56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C91D31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5 y</w:t>
            </w:r>
            <w:r w:rsidR="00A14B63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ears for </w:t>
            </w:r>
            <w:r w:rsidR="00584E2C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capital </w:t>
            </w:r>
            <w:r w:rsidR="00A14B63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losses</w:t>
            </w:r>
            <w:r w:rsidR="00517AC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; </w:t>
            </w:r>
            <w:r w:rsidR="00C72C92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in either case, </w:t>
            </w:r>
            <w:r w:rsidR="00517AC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</w:t>
            </w:r>
            <w:r w:rsidR="001D5A56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ubject to limitations</w:t>
            </w:r>
            <w:r w:rsidR="00517AC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(</w:t>
            </w:r>
            <w:hyperlink r:id="rId31" w:anchor="section(7)(7)(a)_0" w:tgtFrame="_blank" w:history="1">
              <w:r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Section</w:t>
              </w:r>
              <w:r w:rsidR="00517AC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s</w:t>
              </w:r>
              <w:r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 xml:space="preserve"> </w:t>
              </w:r>
              <w:r w:rsidR="002B12C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05</w:t>
              </w:r>
              <w:r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  <w:r w:rsidR="002B12C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B</w:t>
              </w:r>
              <w:r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  <w:r w:rsidR="002B12C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7</w:t>
              </w:r>
              <w:r w:rsidR="00517AC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.a</w:t>
              </w:r>
              <w:r w:rsidR="000A77CE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</w:hyperlink>
            <w:r w:rsidR="00517AC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and </w:t>
            </w:r>
            <w:hyperlink r:id="rId32" w:anchor="section(7)(7)(b)_0" w:history="1">
              <w:r w:rsidR="00517AC5"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b.</w:t>
              </w:r>
            </w:hyperlink>
            <w:r w:rsidR="00517AC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2C24A7BA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FA806D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Restrictions on deductibility of interest expenses 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1DC53D" w14:textId="5E93D0C6" w:rsidR="006C2FF5" w:rsidRPr="005836E5" w:rsidRDefault="00C7047D" w:rsidP="00BE268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</w:t>
            </w:r>
            <w:r w:rsidR="00654293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h</w:t>
            </w:r>
            <w:r w:rsidR="006C2FF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ere are no thin capitalization rules</w:t>
            </w:r>
            <w:r w:rsidR="0032065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or other such limitations on the deductibility of interest</w:t>
            </w:r>
            <w:r w:rsidR="00654293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, but </w:t>
            </w:r>
            <w:r w:rsidR="00612DFF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to be deductible </w:t>
            </w:r>
            <w:r w:rsidR="002F1CD8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interest</w:t>
            </w:r>
            <w:r w:rsidR="00241134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expense</w:t>
            </w:r>
            <w:r w:rsidR="00FF5CFC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must be </w:t>
            </w:r>
            <w:r w:rsidR="00C452D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considered </w:t>
            </w:r>
            <w:r w:rsidR="00FF5CFC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ordinary and necessary</w:t>
            </w:r>
            <w:r w:rsidR="006C2FF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 (</w:t>
            </w:r>
            <w:hyperlink r:id="rId33" w:anchor="section(5)(5)(d)_0" w:tgtFrame="_blank" w:history="1">
              <w:r w:rsidR="006C2FF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 xml:space="preserve">Section </w:t>
              </w:r>
              <w:r w:rsidR="00012796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05</w:t>
              </w:r>
              <w:r w:rsidR="006C2FF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  <w:r w:rsidR="00CA49CD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B</w:t>
              </w:r>
              <w:r w:rsidR="006C2FF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  <w:r w:rsidR="00C76F0F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5</w:t>
              </w:r>
              <w:r w:rsidR="006C2FF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  <w:r w:rsidR="00CA49CD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d</w:t>
              </w:r>
              <w:r w:rsidR="006C2FF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</w:hyperlink>
            <w:r w:rsidR="00E7139A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</w:tc>
      </w:tr>
      <w:tr w:rsidR="006C2FF5" w14:paraId="5FFB6983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4359FF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Anti-hybrid mismatch rules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36C803" w14:textId="143702E4" w:rsidR="000616B4" w:rsidRPr="005836E5" w:rsidRDefault="00C65548" w:rsidP="00BE268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</w:pP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There is no </w:t>
            </w:r>
            <w:r w:rsidR="008E2AAB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law </w:t>
            </w:r>
            <w:r w:rsidR="002B01C0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on</w:t>
            </w:r>
            <w:r w:rsidR="008E2AAB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hybrid mismatches, but Puerto Rico generally </w:t>
            </w:r>
            <w:r w:rsidR="009D7A84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dis</w:t>
            </w:r>
            <w:r w:rsidR="008E2AAB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allow</w:t>
            </w:r>
            <w:r w:rsidR="00B819F1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</w:t>
            </w:r>
            <w:r w:rsidR="008E2AAB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9D7A84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the use of </w:t>
            </w:r>
            <w:r w:rsidR="008E2AAB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hybrid entities and </w:t>
            </w:r>
            <w:r w:rsidR="002E1658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appl</w:t>
            </w:r>
            <w:r w:rsidR="00B819F1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ies</w:t>
            </w:r>
            <w:r w:rsidR="002E1658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US tax principles</w:t>
            </w:r>
            <w:r w:rsidR="00DA1BC7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(e.g., </w:t>
            </w:r>
            <w:r w:rsidR="00A80A67" w:rsidRPr="005836E5">
              <w:rPr>
                <w:rFonts w:ascii="Calibri" w:hAnsi="Calibri" w:cs="Calibri"/>
                <w:sz w:val="22"/>
                <w:szCs w:val="22"/>
              </w:rPr>
              <w:t>continuity of interest, step transaction, business purpose, and substance over form</w:t>
            </w:r>
            <w:r w:rsidR="00DA1BC7" w:rsidRPr="005836E5">
              <w:rPr>
                <w:rFonts w:ascii="Calibri" w:hAnsi="Calibri" w:cs="Calibri"/>
                <w:sz w:val="22"/>
                <w:szCs w:val="22"/>
              </w:rPr>
              <w:t>)</w:t>
            </w:r>
            <w:r w:rsidR="007F101D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to classify financial instrument</w:t>
            </w:r>
            <w:r w:rsidR="009D7A84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</w:t>
            </w:r>
            <w:r w:rsidR="007F101D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as debt or </w:t>
            </w:r>
            <w:r w:rsidR="007F101D" w:rsidRPr="0032065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equity</w:t>
            </w:r>
            <w:r w:rsidR="004F37AA" w:rsidRPr="0032065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6C2FF5" w:rsidRPr="0032065B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  <w:r w:rsidR="0032065B" w:rsidRPr="0032065B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34" w:anchor="section(5)(5)(d)_0" w:history="1">
              <w:r w:rsidR="0032065B" w:rsidRPr="000D669E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 05.B.5.d.</w:t>
              </w:r>
            </w:hyperlink>
            <w:r w:rsidR="0032065B" w:rsidRPr="00687C23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  <w:p w14:paraId="6C9A838A" w14:textId="77777777" w:rsidR="00266ACD" w:rsidRDefault="00266ACD" w:rsidP="00266A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</w:pPr>
          </w:p>
          <w:p w14:paraId="53E053CB" w14:textId="1BD2447F" w:rsidR="006C2FF5" w:rsidRPr="005836E5" w:rsidRDefault="000E5A0B" w:rsidP="00266AC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Limited liabili</w:t>
            </w:r>
            <w:r w:rsidR="00E24CA1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t</w:t>
            </w:r>
            <w:r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y companies (LLCs)</w:t>
            </w:r>
            <w:r w:rsidR="0043233D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 are </w:t>
            </w:r>
            <w:r w:rsidR="001C3E93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treated as </w:t>
            </w:r>
            <w:r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corporations </w:t>
            </w:r>
            <w:r w:rsidR="0043233D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for</w:t>
            </w:r>
            <w:r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 Puerto Rico</w:t>
            </w:r>
            <w:r w:rsidR="0043233D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 tax purposes</w:t>
            </w:r>
            <w:r w:rsidR="00192DFB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, but </w:t>
            </w:r>
            <w:r w:rsidR="00FC1A1B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where </w:t>
            </w:r>
            <w:r w:rsidR="000616B4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a </w:t>
            </w:r>
            <w:r w:rsidR="005C27DD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foreign</w:t>
            </w:r>
            <w:r w:rsidR="000616B4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 LLC </w:t>
            </w:r>
            <w:r w:rsidR="00FC1A1B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is treated </w:t>
            </w:r>
            <w:r w:rsidR="000616B4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as a </w:t>
            </w:r>
            <w:r w:rsidR="00FC57D4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pass</w:t>
            </w:r>
            <w:r w:rsidR="000616B4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through </w:t>
            </w:r>
            <w:r w:rsidR="00726955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or disregarded </w:t>
            </w:r>
            <w:r w:rsidR="000616B4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entity abroad</w:t>
            </w:r>
            <w:r w:rsidR="00637143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, </w:t>
            </w:r>
            <w:r w:rsidR="005C27DD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P</w:t>
            </w:r>
            <w:r w:rsidR="00FC1A1B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uerto Rico </w:t>
            </w:r>
            <w:r w:rsidR="005C27DD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will treat it </w:t>
            </w:r>
            <w:r w:rsidR="003B783E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in the same manner, subject to an exception for LLCs operating under certain tax grants</w:t>
            </w:r>
            <w:r w:rsidR="00FE7E84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. </w:t>
            </w:r>
            <w:r w:rsidR="00F867C2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35" w:anchor="section(3)_0" w:history="1">
              <w:r w:rsidR="00E9790F"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 03.A.3.</w:t>
              </w:r>
            </w:hyperlink>
            <w:r w:rsidR="00E9790F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 and </w:t>
            </w:r>
            <w:hyperlink r:id="rId36" w:anchor="section(2)_0" w:history="1">
              <w:r w:rsidR="00F867C2"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 09.F.</w:t>
              </w:r>
              <w:r w:rsidR="00E82F4B"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2.</w:t>
              </w:r>
            </w:hyperlink>
            <w:r w:rsidR="00E82F4B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</w:tc>
      </w:tr>
      <w:tr w:rsidR="006C2FF5" w14:paraId="2354B238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BAD77" w14:textId="044ABAE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Incentives (major)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13165" w14:textId="7B76602D" w:rsidR="00B015C8" w:rsidRPr="00266ACD" w:rsidRDefault="00B015C8" w:rsidP="00D978E7">
            <w:pPr>
              <w:numPr>
                <w:ilvl w:val="0"/>
                <w:numId w:val="34"/>
              </w:numPr>
              <w:spacing w:after="0" w:line="240" w:lineRule="auto"/>
              <w:ind w:left="379" w:hanging="283"/>
              <w:jc w:val="both"/>
              <w:rPr>
                <w:rFonts w:ascii="Calibri" w:hAnsi="Calibri" w:cs="Calibri"/>
              </w:rPr>
            </w:pPr>
            <w:r w:rsidRPr="00266ACD">
              <w:rPr>
                <w:rFonts w:ascii="Calibri" w:hAnsi="Calibri" w:cs="Calibri"/>
              </w:rPr>
              <w:t xml:space="preserve">R&amp;D: </w:t>
            </w:r>
            <w:r w:rsidR="008F6C82" w:rsidRPr="00266ACD">
              <w:rPr>
                <w:rFonts w:ascii="Calibri" w:hAnsi="Calibri" w:cs="Calibri"/>
              </w:rPr>
              <w:t xml:space="preserve">Yes. </w:t>
            </w:r>
            <w:r w:rsidRPr="00266ACD">
              <w:rPr>
                <w:rFonts w:ascii="Calibri" w:hAnsi="Calibri" w:cs="Calibri"/>
              </w:rPr>
              <w:t>(</w:t>
            </w:r>
            <w:hyperlink r:id="rId37" w:anchor="section(1)(1)(a)(1)(a)(4)(1)(a)(4)(a)(1)(a)(4)(a)(iv)_0" w:history="1">
              <w:r w:rsidR="005D2419" w:rsidRPr="00266ACD">
                <w:rPr>
                  <w:rStyle w:val="Hyperlink"/>
                  <w:rFonts w:ascii="Calibri" w:hAnsi="Calibri" w:cs="Calibri"/>
                </w:rPr>
                <w:t>Section 16.C.1.a.</w:t>
              </w:r>
              <w:r w:rsidR="00CF2CE2" w:rsidRPr="00266ACD">
                <w:rPr>
                  <w:rStyle w:val="Hyperlink"/>
                  <w:rFonts w:ascii="Calibri" w:hAnsi="Calibri" w:cs="Calibri"/>
                </w:rPr>
                <w:t>(4)(a)(iv)</w:t>
              </w:r>
            </w:hyperlink>
            <w:r w:rsidR="00CF2CE2" w:rsidRPr="00266ACD">
              <w:rPr>
                <w:rFonts w:ascii="Calibri" w:hAnsi="Calibri" w:cs="Calibri"/>
              </w:rPr>
              <w:t xml:space="preserve"> and</w:t>
            </w:r>
            <w:r w:rsidR="005D2419" w:rsidRPr="00266ACD">
              <w:rPr>
                <w:rFonts w:ascii="Calibri" w:hAnsi="Calibri" w:cs="Calibri"/>
              </w:rPr>
              <w:t xml:space="preserve"> </w:t>
            </w:r>
            <w:hyperlink r:id="rId38" w:anchor="section(1)(1)(a)(1)(a)(4)(1)(a)(4)(c)(1)(a)(4)(c)(iv)_0" w:history="1">
              <w:r w:rsidR="008F6C82" w:rsidRPr="00266ACD">
                <w:rPr>
                  <w:rStyle w:val="Hyperlink"/>
                  <w:rFonts w:ascii="Calibri" w:hAnsi="Calibri" w:cs="Calibri"/>
                </w:rPr>
                <w:t>Section</w:t>
              </w:r>
              <w:r w:rsidR="00791AAE" w:rsidRPr="00266ACD">
                <w:rPr>
                  <w:rStyle w:val="Hyperlink"/>
                  <w:rFonts w:ascii="Calibri" w:hAnsi="Calibri" w:cs="Calibri"/>
                </w:rPr>
                <w:t xml:space="preserve"> 16.C.</w:t>
              </w:r>
              <w:r w:rsidR="0027022C" w:rsidRPr="00266ACD">
                <w:rPr>
                  <w:rStyle w:val="Hyperlink"/>
                  <w:rFonts w:ascii="Calibri" w:hAnsi="Calibri" w:cs="Calibri"/>
                </w:rPr>
                <w:t>1.a.(</w:t>
              </w:r>
              <w:r w:rsidR="00947521" w:rsidRPr="00266ACD">
                <w:rPr>
                  <w:rStyle w:val="Hyperlink"/>
                  <w:rFonts w:ascii="Calibri" w:hAnsi="Calibri" w:cs="Calibri"/>
                </w:rPr>
                <w:t>4</w:t>
              </w:r>
              <w:r w:rsidR="0027022C" w:rsidRPr="00266ACD">
                <w:rPr>
                  <w:rStyle w:val="Hyperlink"/>
                  <w:rFonts w:ascii="Calibri" w:hAnsi="Calibri" w:cs="Calibri"/>
                </w:rPr>
                <w:t>)</w:t>
              </w:r>
              <w:r w:rsidR="008957BA" w:rsidRPr="00266ACD">
                <w:rPr>
                  <w:rStyle w:val="Hyperlink"/>
                  <w:rFonts w:ascii="Calibri" w:hAnsi="Calibri" w:cs="Calibri"/>
                </w:rPr>
                <w:t>(c)(iv)</w:t>
              </w:r>
            </w:hyperlink>
            <w:r w:rsidRPr="00266ACD">
              <w:rPr>
                <w:rFonts w:ascii="Calibri" w:hAnsi="Calibri" w:cs="Calibri"/>
              </w:rPr>
              <w:t>)</w:t>
            </w:r>
          </w:p>
          <w:p w14:paraId="17D0BED2" w14:textId="28FD528C" w:rsidR="00B015C8" w:rsidRPr="00266ACD" w:rsidRDefault="00B015C8" w:rsidP="00D978E7">
            <w:pPr>
              <w:numPr>
                <w:ilvl w:val="0"/>
                <w:numId w:val="34"/>
              </w:numPr>
              <w:spacing w:after="0" w:line="240" w:lineRule="auto"/>
              <w:ind w:left="379" w:hanging="283"/>
              <w:jc w:val="both"/>
              <w:rPr>
                <w:rFonts w:ascii="Calibri" w:hAnsi="Calibri" w:cs="Calibri"/>
              </w:rPr>
            </w:pPr>
            <w:r w:rsidRPr="00266ACD">
              <w:rPr>
                <w:rFonts w:ascii="Calibri" w:hAnsi="Calibri" w:cs="Calibri"/>
              </w:rPr>
              <w:t xml:space="preserve">Patent box: </w:t>
            </w:r>
            <w:r w:rsidR="00BB0336" w:rsidRPr="00266ACD">
              <w:rPr>
                <w:rFonts w:ascii="Calibri" w:hAnsi="Calibri" w:cs="Calibri"/>
              </w:rPr>
              <w:t>No</w:t>
            </w:r>
            <w:r w:rsidR="003A295A" w:rsidRPr="00266ACD">
              <w:rPr>
                <w:rFonts w:ascii="Calibri" w:hAnsi="Calibri" w:cs="Calibri"/>
              </w:rPr>
              <w:t>, none as such</w:t>
            </w:r>
            <w:r w:rsidR="00BB0336" w:rsidRPr="00266ACD">
              <w:rPr>
                <w:rFonts w:ascii="Calibri" w:hAnsi="Calibri" w:cs="Calibri"/>
              </w:rPr>
              <w:t>.</w:t>
            </w:r>
          </w:p>
          <w:p w14:paraId="3E352A92" w14:textId="48B76258" w:rsidR="00B015C8" w:rsidRPr="00266ACD" w:rsidRDefault="00B015C8" w:rsidP="00D978E7">
            <w:pPr>
              <w:numPr>
                <w:ilvl w:val="0"/>
                <w:numId w:val="34"/>
              </w:numPr>
              <w:spacing w:after="0" w:line="240" w:lineRule="auto"/>
              <w:ind w:left="379" w:hanging="283"/>
              <w:jc w:val="both"/>
              <w:rPr>
                <w:rFonts w:ascii="Calibri" w:hAnsi="Calibri" w:cs="Calibri"/>
              </w:rPr>
            </w:pPr>
            <w:r w:rsidRPr="00266ACD">
              <w:rPr>
                <w:rFonts w:ascii="Calibri" w:hAnsi="Calibri" w:cs="Calibri"/>
              </w:rPr>
              <w:t xml:space="preserve">Enhanced depreciation / capital allowance: </w:t>
            </w:r>
            <w:r w:rsidR="00545E18" w:rsidRPr="00266ACD">
              <w:rPr>
                <w:rFonts w:ascii="Calibri" w:hAnsi="Calibri" w:cs="Calibri"/>
              </w:rPr>
              <w:t xml:space="preserve">Yes. </w:t>
            </w:r>
            <w:r w:rsidRPr="00266ACD">
              <w:rPr>
                <w:rFonts w:ascii="Calibri" w:hAnsi="Calibri" w:cs="Calibri"/>
              </w:rPr>
              <w:t>(</w:t>
            </w:r>
            <w:hyperlink r:id="rId39" w:anchor="section(5)(5)(f)_0" w:history="1">
              <w:r w:rsidR="0061561F" w:rsidRPr="00266ACD">
                <w:rPr>
                  <w:rStyle w:val="Hyperlink"/>
                  <w:rFonts w:ascii="Calibri" w:hAnsi="Calibri" w:cs="Calibri"/>
                </w:rPr>
                <w:t xml:space="preserve">Section </w:t>
              </w:r>
              <w:r w:rsidR="00704BD0" w:rsidRPr="00266ACD">
                <w:rPr>
                  <w:rStyle w:val="Hyperlink"/>
                  <w:rFonts w:ascii="Calibri" w:hAnsi="Calibri" w:cs="Calibri"/>
                </w:rPr>
                <w:t>05.B.5.f.</w:t>
              </w:r>
            </w:hyperlink>
            <w:r w:rsidR="00704BD0" w:rsidRPr="00266ACD">
              <w:rPr>
                <w:rFonts w:ascii="Calibri" w:hAnsi="Calibri" w:cs="Calibri"/>
              </w:rPr>
              <w:t xml:space="preserve"> </w:t>
            </w:r>
            <w:hyperlink r:id="rId40" w:anchor="section(13)(13)(g)(13)(g)(5)_0" w:history="1">
              <w:r w:rsidR="00704BD0" w:rsidRPr="00266ACD">
                <w:rPr>
                  <w:rFonts w:ascii="Calibri" w:hAnsi="Calibri" w:cs="Calibri"/>
                </w:rPr>
                <w:t xml:space="preserve">and </w:t>
              </w:r>
              <w:r w:rsidR="00704BD0" w:rsidRPr="00266ACD">
                <w:rPr>
                  <w:rStyle w:val="Hyperlink"/>
                  <w:rFonts w:ascii="Calibri" w:hAnsi="Calibri" w:cs="Calibri"/>
                </w:rPr>
                <w:t>Section 1</w:t>
              </w:r>
              <w:r w:rsidR="00545E18" w:rsidRPr="00266ACD">
                <w:rPr>
                  <w:rStyle w:val="Hyperlink"/>
                  <w:rFonts w:ascii="Calibri" w:hAnsi="Calibri" w:cs="Calibri"/>
                </w:rPr>
                <w:t>6.C.13.g.</w:t>
              </w:r>
              <w:r w:rsidR="00B11169" w:rsidRPr="00266ACD">
                <w:rPr>
                  <w:rStyle w:val="Hyperlink"/>
                  <w:rFonts w:ascii="Calibri" w:hAnsi="Calibri" w:cs="Calibri"/>
                </w:rPr>
                <w:t>(5)</w:t>
              </w:r>
            </w:hyperlink>
            <w:r w:rsidRPr="00266ACD">
              <w:rPr>
                <w:rFonts w:ascii="Calibri" w:hAnsi="Calibri" w:cs="Calibri"/>
              </w:rPr>
              <w:t>)</w:t>
            </w:r>
          </w:p>
          <w:p w14:paraId="18AF0A4B" w14:textId="5CBF6B8B" w:rsidR="00B015C8" w:rsidRPr="00266ACD" w:rsidRDefault="00B015C8" w:rsidP="00D978E7">
            <w:pPr>
              <w:numPr>
                <w:ilvl w:val="0"/>
                <w:numId w:val="34"/>
              </w:numPr>
              <w:spacing w:after="0" w:line="240" w:lineRule="auto"/>
              <w:ind w:left="379" w:hanging="283"/>
              <w:jc w:val="both"/>
              <w:textAlignment w:val="baseline"/>
              <w:rPr>
                <w:rFonts w:ascii="Calibri" w:eastAsiaTheme="majorEastAsia" w:hAnsi="Calibri" w:cs="Calibri"/>
              </w:rPr>
            </w:pPr>
            <w:r w:rsidRPr="00266ACD">
              <w:rPr>
                <w:rFonts w:ascii="Calibri" w:hAnsi="Calibri" w:cs="Calibri"/>
              </w:rPr>
              <w:t xml:space="preserve">Environmental: </w:t>
            </w:r>
            <w:r w:rsidR="00987F47" w:rsidRPr="00266ACD">
              <w:rPr>
                <w:rFonts w:ascii="Calibri" w:hAnsi="Calibri" w:cs="Calibri"/>
              </w:rPr>
              <w:t xml:space="preserve">Yes. </w:t>
            </w:r>
            <w:r w:rsidRPr="00266ACD">
              <w:rPr>
                <w:rFonts w:ascii="Calibri" w:hAnsi="Calibri" w:cs="Calibri"/>
              </w:rPr>
              <w:t>(</w:t>
            </w:r>
            <w:hyperlink r:id="rId41" w:anchor="section(14)_0" w:history="1">
              <w:r w:rsidR="00987F47" w:rsidRPr="00266ACD">
                <w:rPr>
                  <w:rStyle w:val="Hyperlink"/>
                  <w:rFonts w:ascii="Calibri" w:hAnsi="Calibri" w:cs="Calibri"/>
                </w:rPr>
                <w:t>16.C.14.</w:t>
              </w:r>
            </w:hyperlink>
            <w:r w:rsidRPr="00266ACD">
              <w:rPr>
                <w:rFonts w:ascii="Calibri" w:hAnsi="Calibri" w:cs="Calibri"/>
              </w:rPr>
              <w:t>)</w:t>
            </w:r>
          </w:p>
          <w:p w14:paraId="0E2A9E44" w14:textId="37FA0851" w:rsidR="00B015C8" w:rsidRPr="00266ACD" w:rsidRDefault="00B015C8" w:rsidP="00D978E7">
            <w:pPr>
              <w:numPr>
                <w:ilvl w:val="0"/>
                <w:numId w:val="34"/>
              </w:numPr>
              <w:spacing w:after="0" w:line="240" w:lineRule="auto"/>
              <w:ind w:left="379" w:hanging="283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kern w:val="0"/>
                <w14:ligatures w14:val="none"/>
              </w:rPr>
            </w:pPr>
            <w:r w:rsidRPr="00266ACD">
              <w:rPr>
                <w:rFonts w:ascii="Calibri" w:hAnsi="Calibri" w:cs="Calibri"/>
              </w:rPr>
              <w:t xml:space="preserve">Other: </w:t>
            </w:r>
            <w:r w:rsidR="00677E11" w:rsidRPr="00266ACD">
              <w:rPr>
                <w:rFonts w:ascii="Calibri" w:hAnsi="Calibri" w:cs="Calibri"/>
              </w:rPr>
              <w:t>Various c</w:t>
            </w:r>
            <w:r w:rsidRPr="00266ACD">
              <w:rPr>
                <w:rFonts w:ascii="Calibri" w:hAnsi="Calibri" w:cs="Calibri"/>
              </w:rPr>
              <w:t xml:space="preserve">oncessions </w:t>
            </w:r>
            <w:r w:rsidR="00677E11" w:rsidRPr="00266ACD">
              <w:rPr>
                <w:rFonts w:ascii="Calibri" w:hAnsi="Calibri" w:cs="Calibri"/>
              </w:rPr>
              <w:t>are available under the Puerto Rico Incentives Code.</w:t>
            </w:r>
            <w:r w:rsidRPr="00266ACD">
              <w:rPr>
                <w:rFonts w:ascii="Calibri" w:hAnsi="Calibri" w:cs="Calibri"/>
              </w:rPr>
              <w:t xml:space="preserve"> </w:t>
            </w:r>
            <w:r w:rsidRPr="00266ACD">
              <w:rPr>
                <w:rStyle w:val="normaltextrun"/>
                <w:rFonts w:ascii="Calibri" w:eastAsiaTheme="majorEastAsia" w:hAnsi="Calibri" w:cs="Calibri"/>
              </w:rPr>
              <w:t>(</w:t>
            </w:r>
            <w:hyperlink r:id="rId42" w:anchor="section(1)(1)(a)(1)(a)(3)_0" w:history="1">
              <w:r w:rsidR="00D97A1D" w:rsidRPr="00266ACD">
                <w:rPr>
                  <w:rStyle w:val="Hyperlink"/>
                  <w:rFonts w:ascii="Calibri" w:eastAsiaTheme="majorEastAsia" w:hAnsi="Calibri" w:cs="Calibri"/>
                </w:rPr>
                <w:t>Section 16.C.1.a.(</w:t>
              </w:r>
              <w:r w:rsidR="00677E11" w:rsidRPr="00266ACD">
                <w:rPr>
                  <w:rStyle w:val="Hyperlink"/>
                  <w:rFonts w:ascii="Calibri" w:eastAsiaTheme="majorEastAsia" w:hAnsi="Calibri" w:cs="Calibri"/>
                </w:rPr>
                <w:t>3</w:t>
              </w:r>
              <w:r w:rsidR="00D97A1D" w:rsidRPr="00266ACD">
                <w:rPr>
                  <w:rStyle w:val="Hyperlink"/>
                  <w:rFonts w:ascii="Calibri" w:eastAsiaTheme="majorEastAsia" w:hAnsi="Calibri" w:cs="Calibri"/>
                </w:rPr>
                <w:t>)</w:t>
              </w:r>
            </w:hyperlink>
            <w:r w:rsidRPr="00266ACD">
              <w:rPr>
                <w:rStyle w:val="normaltextrun"/>
                <w:rFonts w:ascii="Calibri" w:eastAsiaTheme="majorEastAsia" w:hAnsi="Calibri" w:cs="Calibri"/>
              </w:rPr>
              <w:t>)</w:t>
            </w:r>
          </w:p>
          <w:p w14:paraId="03239A22" w14:textId="77777777" w:rsidR="0077129E" w:rsidRPr="00266ACD" w:rsidRDefault="0077129E" w:rsidP="00BE26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</w:p>
          <w:p w14:paraId="1A0A9722" w14:textId="64A8CE18" w:rsidR="006C2FF5" w:rsidRPr="005836E5" w:rsidRDefault="0047311A" w:rsidP="00BE268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</w:t>
            </w:r>
            <w:r w:rsidR="004C3EC4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he </w:t>
            </w:r>
            <w:r w:rsidR="00E34CB8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Incentives </w:t>
            </w:r>
            <w:r w:rsidR="004C3EC4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Code</w:t>
            </w:r>
            <w:r w:rsidR="0036407B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of Puerto Rico </w:t>
            </w:r>
            <w:r w:rsidR="00D45C02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provides</w:t>
            </w:r>
            <w:r w:rsidR="0036407B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D45C02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for </w:t>
            </w:r>
            <w:r w:rsidR="00354C97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numerous</w:t>
            </w:r>
            <w:r w:rsidR="0036407B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incentives</w:t>
            </w:r>
            <w:r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, </w:t>
            </w:r>
            <w:r w:rsidR="009059AD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consisting of </w:t>
            </w:r>
            <w:r w:rsidR="00777DA1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preferential</w:t>
            </w:r>
            <w:r w:rsidR="000C38DD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tax rate</w:t>
            </w:r>
            <w:r w:rsidR="00EA5F33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s, </w:t>
            </w:r>
            <w:r w:rsidR="000C5CBB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tax </w:t>
            </w:r>
            <w:r w:rsidR="00EA5F33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credits</w:t>
            </w:r>
            <w:r w:rsidR="009B4BB9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(</w:t>
            </w:r>
            <w:proofErr w:type="gramStart"/>
            <w:r w:rsidR="009B4BB9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including for</w:t>
            </w:r>
            <w:proofErr w:type="gramEnd"/>
            <w:r w:rsidR="009B4BB9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R&amp;D)</w:t>
            </w:r>
            <w:r w:rsidR="00EA5F33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 special deductions</w:t>
            </w:r>
            <w:r w:rsidR="002344AB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</w:t>
            </w:r>
            <w:r w:rsidR="0020718C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and exemptions</w:t>
            </w:r>
            <w:r w:rsidR="00E80695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. </w:t>
            </w:r>
            <w:r w:rsidR="003A6852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V</w:t>
            </w:r>
            <w:r w:rsidR="001F498A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arious U.S. federal incentives </w:t>
            </w:r>
            <w:r w:rsidR="002E1E68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may</w:t>
            </w:r>
            <w:r w:rsidR="001F498A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also</w:t>
            </w:r>
            <w:r w:rsidR="00162913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be</w:t>
            </w:r>
            <w:r w:rsidR="001F498A" w:rsidRPr="00266AC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1F498A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lastRenderedPageBreak/>
              <w:t xml:space="preserve">available to companies </w:t>
            </w:r>
            <w:r w:rsidR="00BD7321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with </w:t>
            </w:r>
            <w:r w:rsidR="001F498A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operati</w:t>
            </w:r>
            <w:r w:rsidR="00BD7321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</w:t>
            </w:r>
            <w:r w:rsidR="001F498A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</w:t>
            </w:r>
            <w:r w:rsidR="00BD7321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</w:t>
            </w:r>
            <w:r w:rsidR="001F498A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in Puerto Rico. </w:t>
            </w:r>
            <w:r w:rsidR="006C2FF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43" w:history="1">
              <w:r w:rsidR="005454F6"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</w:t>
              </w:r>
              <w:r w:rsidR="00345F53"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</w:t>
              </w:r>
              <w:r w:rsidR="005454F6"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 </w:t>
              </w:r>
              <w:proofErr w:type="gramStart"/>
              <w:r w:rsidR="005454F6"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16.A</w:t>
              </w:r>
              <w:proofErr w:type="gramEnd"/>
            </w:hyperlink>
            <w:r w:rsidR="005454F6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. </w:t>
            </w:r>
            <w:r w:rsidR="00655D5B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–</w:t>
            </w:r>
            <w:r w:rsidR="00110DFC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467FDC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general</w:t>
            </w:r>
            <w:r w:rsidR="00655D5B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</w:t>
            </w:r>
            <w:r w:rsidR="005454F6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hyperlink r:id="rId44" w:history="1">
              <w:r w:rsidR="000F7D43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16.C.</w:t>
              </w:r>
            </w:hyperlink>
            <w:r w:rsidR="00A80C09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655D5B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–</w:t>
            </w:r>
            <w:r w:rsidR="00110DFC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A80C09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lo</w:t>
            </w:r>
            <w:r w:rsidR="0045543D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cal</w:t>
            </w:r>
            <w:r w:rsidR="00E60883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incentives</w:t>
            </w:r>
            <w:r w:rsidR="00655D5B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</w:t>
            </w:r>
            <w:r w:rsidR="00E42EA4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hyperlink r:id="rId45" w:history="1">
              <w:r w:rsidR="00964BC1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16.B.</w:t>
              </w:r>
            </w:hyperlink>
            <w:r w:rsidR="00A80C09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E60883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–</w:t>
            </w:r>
            <w:r w:rsidR="00110DFC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A80C09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federal</w:t>
            </w:r>
            <w:r w:rsidR="00E60883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incentives</w:t>
            </w:r>
            <w:r w:rsidR="00A80C09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</w:tc>
      </w:tr>
      <w:tr w:rsidR="006C2FF5" w14:paraId="0F35BC91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45D109" w14:textId="74A53C01" w:rsidR="006C2FF5" w:rsidRPr="000E1916" w:rsidRDefault="00E53D42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lastRenderedPageBreak/>
              <w:t xml:space="preserve">Participation exemption (or similar </w:t>
            </w:r>
            <w:r w:rsidR="006C2FF5" w:rsidRPr="000E1916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regime</w:t>
            </w: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)</w:t>
            </w:r>
            <w:r w:rsidR="006C2FF5" w:rsidRPr="000E1916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 </w:t>
            </w:r>
            <w:r w:rsidR="006C2FF5" w:rsidRPr="000E1916">
              <w:rPr>
                <w:rStyle w:val="eop"/>
                <w:rFonts w:ascii="Calibri" w:eastAsiaTheme="majorEastAsia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3B5353" w14:textId="5AC6C1FA" w:rsidR="00437C6C" w:rsidRPr="00B05E46" w:rsidRDefault="00B05E46" w:rsidP="00BE26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00B05E4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</w:t>
            </w:r>
            <w:r w:rsidRPr="00E8213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o, but dividends from</w:t>
            </w:r>
            <w:r w:rsidR="00872F4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F1452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qualified </w:t>
            </w:r>
            <w:r w:rsidR="00872F4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investments in Qualified Opportunity Zones </w:t>
            </w:r>
            <w:r w:rsidR="007A53CA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are </w:t>
            </w:r>
            <w:r w:rsidR="00F1452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fully </w:t>
            </w:r>
            <w:r w:rsidR="007A53CA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tax exempt. (</w:t>
            </w:r>
            <w:hyperlink r:id="rId46" w:anchor="section(3)_0" w:history="1">
              <w:r w:rsidR="007A53CA" w:rsidRPr="00EE2A39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00EE2A39" w:rsidRPr="00EE2A39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16.B.3.</w:t>
              </w:r>
            </w:hyperlink>
            <w:r w:rsidR="007A53CA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Pr="00E8213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</w:p>
          <w:p w14:paraId="2870ECB6" w14:textId="4DAD8714" w:rsidR="006C2FF5" w:rsidRPr="009C0EC0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  <w:tr w:rsidR="006C2FF5" w14:paraId="558AA6DC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8FC4DE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Tax consolidation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804958" w14:textId="34975DDD" w:rsidR="006C2FF5" w:rsidRPr="005836E5" w:rsidRDefault="00BF4D86" w:rsidP="00BE2689">
            <w:pPr>
              <w:pStyle w:val="paragraph"/>
              <w:spacing w:before="0" w:beforeAutospacing="0" w:after="0" w:afterAutospacing="0"/>
              <w:textAlignment w:val="baseline"/>
            </w:pP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No</w:t>
            </w:r>
            <w:r w:rsidR="006C2FF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(</w:t>
            </w:r>
            <w:hyperlink r:id="rId47" w:anchor="section(10)(10)(h)_0" w:history="1">
              <w:r w:rsidRPr="005836E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 05.B.10.h.</w:t>
              </w:r>
            </w:hyperlink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</w:tc>
      </w:tr>
      <w:tr w:rsidR="006C2FF5" w14:paraId="4CC14EBB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30235C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M&amp;A regime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98C150" w14:textId="725294C2" w:rsidR="00D157CC" w:rsidRPr="00D978E7" w:rsidRDefault="00D157CC" w:rsidP="00D978E7">
            <w:pPr>
              <w:numPr>
                <w:ilvl w:val="0"/>
                <w:numId w:val="35"/>
              </w:numPr>
              <w:spacing w:after="0" w:line="240" w:lineRule="auto"/>
              <w:ind w:left="379" w:hanging="379"/>
              <w:jc w:val="both"/>
              <w:rPr>
                <w:rFonts w:ascii="Calibri" w:hAnsi="Calibri" w:cs="Calibri"/>
              </w:rPr>
            </w:pPr>
            <w:r w:rsidRPr="00D978E7">
              <w:rPr>
                <w:rFonts w:ascii="Calibri" w:hAnsi="Calibri" w:cs="Calibri"/>
              </w:rPr>
              <w:t>Tax-free or tax-privileged transaction: Yes. (</w:t>
            </w:r>
            <w:hyperlink r:id="rId48" w:anchor="section(12)(12)(b)_0" w:tgtFrame="_blank" w:history="1">
              <w:r w:rsidR="00EF1208" w:rsidRPr="00D978E7">
                <w:rPr>
                  <w:rStyle w:val="normaltextrun"/>
                  <w:rFonts w:ascii="Calibri" w:eastAsiaTheme="majorEastAsia" w:hAnsi="Calibri" w:cs="Calibri"/>
                  <w:color w:val="0563C1"/>
                  <w:u w:val="single"/>
                </w:rPr>
                <w:t>Section 05.B.12.b.</w:t>
              </w:r>
            </w:hyperlink>
            <w:r w:rsidR="00EF1208" w:rsidRPr="00D978E7">
              <w:rPr>
                <w:rStyle w:val="normaltextrun"/>
                <w:rFonts w:ascii="Calibri" w:eastAsiaTheme="majorEastAsia" w:hAnsi="Calibri" w:cs="Calibri"/>
              </w:rPr>
              <w:t xml:space="preserve"> through </w:t>
            </w:r>
            <w:hyperlink r:id="rId49" w:anchor="section(12)(12)(f)_0" w:tgtFrame="_blank" w:history="1">
              <w:r w:rsidR="00EF1208" w:rsidRPr="00D978E7">
                <w:rPr>
                  <w:rStyle w:val="normaltextrun"/>
                  <w:rFonts w:ascii="Calibri" w:eastAsiaTheme="majorEastAsia" w:hAnsi="Calibri" w:cs="Calibri"/>
                  <w:color w:val="0563C1"/>
                  <w:u w:val="single"/>
                </w:rPr>
                <w:t>f.</w:t>
              </w:r>
            </w:hyperlink>
            <w:r w:rsidRPr="00D978E7">
              <w:rPr>
                <w:rFonts w:ascii="Calibri" w:hAnsi="Calibri" w:cs="Calibri"/>
              </w:rPr>
              <w:t>)</w:t>
            </w:r>
          </w:p>
          <w:p w14:paraId="1A3D1087" w14:textId="23A81834" w:rsidR="00D157CC" w:rsidRPr="00D978E7" w:rsidRDefault="00D157CC" w:rsidP="00D978E7">
            <w:pPr>
              <w:numPr>
                <w:ilvl w:val="0"/>
                <w:numId w:val="35"/>
              </w:numPr>
              <w:spacing w:after="0" w:line="240" w:lineRule="auto"/>
              <w:ind w:left="379" w:hanging="379"/>
              <w:jc w:val="both"/>
              <w:rPr>
                <w:rFonts w:ascii="Calibri" w:hAnsi="Calibri" w:cs="Calibri"/>
              </w:rPr>
            </w:pPr>
            <w:r w:rsidRPr="00D978E7">
              <w:rPr>
                <w:rFonts w:ascii="Calibri" w:hAnsi="Calibri" w:cs="Calibri"/>
              </w:rPr>
              <w:t>Stamp duty / share transfer taxes:</w:t>
            </w:r>
            <w:r w:rsidR="00CF60AC" w:rsidRPr="00D978E7">
              <w:rPr>
                <w:rFonts w:ascii="Calibri" w:hAnsi="Calibri" w:cs="Calibri"/>
              </w:rPr>
              <w:t xml:space="preserve"> </w:t>
            </w:r>
            <w:r w:rsidR="00190A50" w:rsidRPr="00D978E7">
              <w:rPr>
                <w:rFonts w:ascii="Calibri" w:hAnsi="Calibri" w:cs="Calibri"/>
              </w:rPr>
              <w:t>No</w:t>
            </w:r>
            <w:r w:rsidR="00915F6F" w:rsidRPr="00D978E7">
              <w:rPr>
                <w:rFonts w:ascii="Calibri" w:hAnsi="Calibri" w:cs="Calibri"/>
              </w:rPr>
              <w:t>,</w:t>
            </w:r>
            <w:r w:rsidR="00A40D36" w:rsidRPr="00D978E7">
              <w:rPr>
                <w:rFonts w:ascii="Calibri" w:hAnsi="Calibri" w:cs="Calibri"/>
              </w:rPr>
              <w:t xml:space="preserve"> </w:t>
            </w:r>
            <w:r w:rsidR="00190A50" w:rsidRPr="00D978E7">
              <w:rPr>
                <w:rFonts w:ascii="Calibri" w:hAnsi="Calibri" w:cs="Calibri"/>
              </w:rPr>
              <w:t>but recordation fees apply</w:t>
            </w:r>
            <w:r w:rsidR="00915F6F" w:rsidRPr="00D978E7">
              <w:rPr>
                <w:rFonts w:ascii="Calibri" w:hAnsi="Calibri" w:cs="Calibri"/>
              </w:rPr>
              <w:t xml:space="preserve"> to trans</w:t>
            </w:r>
            <w:r w:rsidR="00924CAB" w:rsidRPr="00D978E7">
              <w:rPr>
                <w:rFonts w:ascii="Calibri" w:hAnsi="Calibri" w:cs="Calibri"/>
              </w:rPr>
              <w:t>a</w:t>
            </w:r>
            <w:r w:rsidR="00915F6F" w:rsidRPr="00D978E7">
              <w:rPr>
                <w:rFonts w:ascii="Calibri" w:hAnsi="Calibri" w:cs="Calibri"/>
              </w:rPr>
              <w:t>ction</w:t>
            </w:r>
            <w:r w:rsidR="00924CAB" w:rsidRPr="00D978E7">
              <w:rPr>
                <w:rFonts w:ascii="Calibri" w:hAnsi="Calibri" w:cs="Calibri"/>
              </w:rPr>
              <w:t>s</w:t>
            </w:r>
            <w:r w:rsidR="00915F6F" w:rsidRPr="00D978E7">
              <w:rPr>
                <w:rFonts w:ascii="Calibri" w:hAnsi="Calibri" w:cs="Calibri"/>
              </w:rPr>
              <w:t xml:space="preserve"> involving the exchange of </w:t>
            </w:r>
            <w:r w:rsidR="0072134E" w:rsidRPr="00D978E7">
              <w:rPr>
                <w:rFonts w:ascii="Calibri" w:hAnsi="Calibri" w:cs="Calibri"/>
              </w:rPr>
              <w:t xml:space="preserve">Puerto Rico </w:t>
            </w:r>
            <w:r w:rsidR="00915F6F" w:rsidRPr="00D978E7">
              <w:rPr>
                <w:rFonts w:ascii="Calibri" w:hAnsi="Calibri" w:cs="Calibri"/>
              </w:rPr>
              <w:t>real property assets</w:t>
            </w:r>
            <w:r w:rsidR="00190A50" w:rsidRPr="00D978E7">
              <w:rPr>
                <w:rFonts w:ascii="Calibri" w:hAnsi="Calibri" w:cs="Calibri"/>
              </w:rPr>
              <w:t xml:space="preserve">. </w:t>
            </w:r>
            <w:r w:rsidR="00CF60AC" w:rsidRPr="00D978E7">
              <w:rPr>
                <w:rFonts w:ascii="Calibri" w:hAnsi="Calibri" w:cs="Calibri"/>
              </w:rPr>
              <w:t>(</w:t>
            </w:r>
            <w:hyperlink r:id="rId50" w:anchor="section(5)(5)(b)_0" w:history="1">
              <w:r w:rsidR="006B6B6D" w:rsidRPr="00D978E7">
                <w:rPr>
                  <w:rStyle w:val="Hyperlink"/>
                  <w:rFonts w:ascii="Calibri" w:hAnsi="Calibri" w:cs="Calibri"/>
                </w:rPr>
                <w:t>Section 05.B.</w:t>
              </w:r>
              <w:r w:rsidR="00190A50" w:rsidRPr="00D978E7">
                <w:rPr>
                  <w:rStyle w:val="Hyperlink"/>
                  <w:rFonts w:ascii="Calibri" w:hAnsi="Calibri" w:cs="Calibri"/>
                </w:rPr>
                <w:t>5.b</w:t>
              </w:r>
            </w:hyperlink>
            <w:r w:rsidR="00190A50" w:rsidRPr="00D978E7">
              <w:rPr>
                <w:rFonts w:ascii="Calibri" w:hAnsi="Calibri" w:cs="Calibri"/>
              </w:rPr>
              <w:t>.</w:t>
            </w:r>
            <w:r w:rsidR="00DC74AC" w:rsidRPr="00D978E7">
              <w:rPr>
                <w:rFonts w:ascii="Calibri" w:hAnsi="Calibri" w:cs="Calibri"/>
              </w:rPr>
              <w:t xml:space="preserve"> and </w:t>
            </w:r>
            <w:hyperlink r:id="rId51" w:anchor="section(6)_0" w:history="1">
              <w:r w:rsidR="00DC74AC" w:rsidRPr="00D978E7">
                <w:rPr>
                  <w:rStyle w:val="Hyperlink"/>
                  <w:rFonts w:ascii="Calibri" w:hAnsi="Calibri" w:cs="Calibri"/>
                </w:rPr>
                <w:t>Section 02.G.6.)</w:t>
              </w:r>
              <w:r w:rsidRPr="00D978E7">
                <w:rPr>
                  <w:rStyle w:val="Hyperlink"/>
                  <w:rFonts w:ascii="Calibri" w:hAnsi="Calibri" w:cs="Calibri"/>
                </w:rPr>
                <w:t xml:space="preserve">  </w:t>
              </w:r>
            </w:hyperlink>
            <w:r w:rsidRPr="00D978E7">
              <w:rPr>
                <w:rFonts w:ascii="Calibri" w:hAnsi="Calibri" w:cs="Calibri"/>
              </w:rPr>
              <w:t xml:space="preserve"> </w:t>
            </w:r>
          </w:p>
          <w:p w14:paraId="33AFC530" w14:textId="5884F733" w:rsidR="00D157CC" w:rsidRPr="00D978E7" w:rsidRDefault="00D157CC" w:rsidP="00D978E7">
            <w:pPr>
              <w:numPr>
                <w:ilvl w:val="0"/>
                <w:numId w:val="34"/>
              </w:numPr>
              <w:spacing w:after="0" w:line="240" w:lineRule="auto"/>
              <w:ind w:left="379" w:hanging="379"/>
              <w:jc w:val="both"/>
              <w:rPr>
                <w:rFonts w:ascii="Calibri" w:hAnsi="Calibri" w:cs="Calibri"/>
              </w:rPr>
            </w:pPr>
            <w:r w:rsidRPr="00D978E7">
              <w:rPr>
                <w:rFonts w:ascii="Calibri" w:hAnsi="Calibri" w:cs="Calibri"/>
              </w:rPr>
              <w:t>Limitation on pre-deal NOL carryforwards:</w:t>
            </w:r>
            <w:r w:rsidR="00CF60AC" w:rsidRPr="00D978E7">
              <w:rPr>
                <w:rFonts w:ascii="Calibri" w:hAnsi="Calibri" w:cs="Calibri"/>
              </w:rPr>
              <w:t xml:space="preserve"> </w:t>
            </w:r>
            <w:r w:rsidR="000F54B2" w:rsidRPr="00D978E7">
              <w:rPr>
                <w:rFonts w:ascii="Calibri" w:hAnsi="Calibri" w:cs="Calibri"/>
              </w:rPr>
              <w:t>N</w:t>
            </w:r>
            <w:r w:rsidR="0072134E" w:rsidRPr="00D978E7">
              <w:rPr>
                <w:rFonts w:ascii="Calibri" w:hAnsi="Calibri" w:cs="Calibri"/>
              </w:rPr>
              <w:t>OL</w:t>
            </w:r>
            <w:r w:rsidR="000A7089" w:rsidRPr="00D978E7">
              <w:rPr>
                <w:rFonts w:ascii="Calibri" w:hAnsi="Calibri" w:cs="Calibri"/>
              </w:rPr>
              <w:t xml:space="preserve">s </w:t>
            </w:r>
            <w:r w:rsidR="000F54B2" w:rsidRPr="00D978E7">
              <w:rPr>
                <w:rFonts w:ascii="Calibri" w:hAnsi="Calibri" w:cs="Calibri"/>
              </w:rPr>
              <w:t>may</w:t>
            </w:r>
            <w:r w:rsidR="000A7089" w:rsidRPr="00D978E7">
              <w:rPr>
                <w:rFonts w:ascii="Calibri" w:hAnsi="Calibri" w:cs="Calibri"/>
              </w:rPr>
              <w:t xml:space="preserve"> be carried forward for </w:t>
            </w:r>
            <w:r w:rsidR="002704B0" w:rsidRPr="00D978E7">
              <w:rPr>
                <w:rFonts w:ascii="Calibri" w:hAnsi="Calibri" w:cs="Calibri"/>
              </w:rPr>
              <w:t xml:space="preserve">up to </w:t>
            </w:r>
            <w:r w:rsidR="000A7089" w:rsidRPr="00D978E7">
              <w:rPr>
                <w:rFonts w:ascii="Calibri" w:hAnsi="Calibri" w:cs="Calibri"/>
              </w:rPr>
              <w:t>10 years</w:t>
            </w:r>
            <w:r w:rsidR="008B4375" w:rsidRPr="00D978E7">
              <w:rPr>
                <w:rFonts w:ascii="Calibri" w:hAnsi="Calibri" w:cs="Calibri"/>
              </w:rPr>
              <w:t xml:space="preserve">, </w:t>
            </w:r>
            <w:r w:rsidR="0036500C" w:rsidRPr="00D978E7">
              <w:rPr>
                <w:rFonts w:ascii="Calibri" w:hAnsi="Calibri" w:cs="Calibri"/>
              </w:rPr>
              <w:t xml:space="preserve">to </w:t>
            </w:r>
            <w:r w:rsidR="00FB2BCE" w:rsidRPr="00D978E7">
              <w:rPr>
                <w:rFonts w:ascii="Calibri" w:hAnsi="Calibri" w:cs="Calibri"/>
              </w:rPr>
              <w:t xml:space="preserve">offset up to </w:t>
            </w:r>
            <w:r w:rsidR="002704B0" w:rsidRPr="00D978E7">
              <w:rPr>
                <w:rFonts w:ascii="Calibri" w:hAnsi="Calibri" w:cs="Calibri"/>
              </w:rPr>
              <w:t>90% of net taxable income</w:t>
            </w:r>
            <w:r w:rsidR="00F020FA" w:rsidRPr="00D978E7">
              <w:rPr>
                <w:rFonts w:ascii="Calibri" w:hAnsi="Calibri" w:cs="Calibri"/>
              </w:rPr>
              <w:t xml:space="preserve"> per tax year</w:t>
            </w:r>
            <w:r w:rsidR="002704B0" w:rsidRPr="00D978E7">
              <w:rPr>
                <w:rFonts w:ascii="Calibri" w:hAnsi="Calibri" w:cs="Calibri"/>
              </w:rPr>
              <w:t>.</w:t>
            </w:r>
            <w:r w:rsidR="008B4375" w:rsidRPr="00D978E7">
              <w:rPr>
                <w:rFonts w:ascii="Calibri" w:hAnsi="Calibri" w:cs="Calibri"/>
              </w:rPr>
              <w:t xml:space="preserve"> </w:t>
            </w:r>
            <w:r w:rsidR="00CF60AC" w:rsidRPr="00D978E7">
              <w:rPr>
                <w:rFonts w:ascii="Calibri" w:hAnsi="Calibri" w:cs="Calibri"/>
              </w:rPr>
              <w:t>(</w:t>
            </w:r>
            <w:hyperlink r:id="rId52" w:anchor="section(7)_0" w:history="1">
              <w:r w:rsidR="000F54B2" w:rsidRPr="00D978E7">
                <w:rPr>
                  <w:rStyle w:val="Hyperlink"/>
                  <w:rFonts w:ascii="Calibri" w:hAnsi="Calibri" w:cs="Calibri"/>
                </w:rPr>
                <w:t>Section 05</w:t>
              </w:r>
              <w:r w:rsidR="004375E6" w:rsidRPr="00D978E7">
                <w:rPr>
                  <w:rStyle w:val="Hyperlink"/>
                  <w:rFonts w:ascii="Calibri" w:hAnsi="Calibri" w:cs="Calibri"/>
                </w:rPr>
                <w:t>.B.7.</w:t>
              </w:r>
            </w:hyperlink>
            <w:r w:rsidR="000F54B2" w:rsidRPr="00D978E7">
              <w:rPr>
                <w:rFonts w:ascii="Calibri" w:hAnsi="Calibri" w:cs="Calibri"/>
              </w:rPr>
              <w:t xml:space="preserve"> and </w:t>
            </w:r>
            <w:hyperlink r:id="rId53" w:anchor="section(12)(12)(b)_0" w:history="1">
              <w:r w:rsidR="000F54B2" w:rsidRPr="00D978E7">
                <w:rPr>
                  <w:rStyle w:val="Hyperlink"/>
                  <w:rFonts w:ascii="Calibri" w:hAnsi="Calibri" w:cs="Calibri"/>
                </w:rPr>
                <w:t>Section 05.</w:t>
              </w:r>
              <w:r w:rsidR="004375E6" w:rsidRPr="00D978E7">
                <w:rPr>
                  <w:rStyle w:val="Hyperlink"/>
                  <w:rFonts w:ascii="Calibri" w:hAnsi="Calibri" w:cs="Calibri"/>
                </w:rPr>
                <w:t>B.</w:t>
              </w:r>
              <w:r w:rsidR="009F3CBC" w:rsidRPr="00D978E7">
                <w:rPr>
                  <w:rStyle w:val="Hyperlink"/>
                  <w:rFonts w:ascii="Calibri" w:hAnsi="Calibri" w:cs="Calibri"/>
                </w:rPr>
                <w:t>12</w:t>
              </w:r>
            </w:hyperlink>
            <w:r w:rsidR="008F0AE9" w:rsidRPr="00D978E7">
              <w:rPr>
                <w:rFonts w:ascii="Calibri" w:hAnsi="Calibri" w:cs="Calibri"/>
              </w:rPr>
              <w:t>.</w:t>
            </w:r>
            <w:r w:rsidR="00A40D36" w:rsidRPr="00D978E7">
              <w:rPr>
                <w:rFonts w:ascii="Calibri" w:hAnsi="Calibri" w:cs="Calibri"/>
              </w:rPr>
              <w:t xml:space="preserve">; </w:t>
            </w:r>
            <w:hyperlink r:id="rId54" w:anchor="section(6)_0" w:history="1">
              <w:r w:rsidR="00A40D36" w:rsidRPr="00D978E7">
                <w:rPr>
                  <w:rStyle w:val="Hyperlink"/>
                  <w:rFonts w:ascii="Calibri" w:hAnsi="Calibri" w:cs="Calibri"/>
                </w:rPr>
                <w:t>Section 02.G.6.</w:t>
              </w:r>
            </w:hyperlink>
            <w:r w:rsidRPr="00D978E7">
              <w:rPr>
                <w:rFonts w:ascii="Calibri" w:hAnsi="Calibri" w:cs="Calibri"/>
              </w:rPr>
              <w:t xml:space="preserve">) </w:t>
            </w:r>
          </w:p>
          <w:p w14:paraId="28C9474E" w14:textId="4F50FCDF" w:rsidR="006C2FF5" w:rsidRPr="005836E5" w:rsidRDefault="006C2FF5" w:rsidP="00BE2689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6C2FF5" w14:paraId="14F31C0B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F63C25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OECD Pillars One and Two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6E139C" w14:textId="1FD70AB9" w:rsidR="006C2FF5" w:rsidRPr="005836E5" w:rsidRDefault="009D4503" w:rsidP="00BE2689">
            <w:pPr>
              <w:pStyle w:val="paragraph"/>
              <w:spacing w:before="0" w:beforeAutospacing="0" w:after="0" w:afterAutospacing="0"/>
              <w:textAlignment w:val="baseline"/>
            </w:pP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Puerto Rico</w:t>
            </w:r>
            <w:r w:rsidR="00A8480B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has </w:t>
            </w:r>
            <w:r w:rsidR="006C2FF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agreed to </w:t>
            </w:r>
            <w:r w:rsidR="00A5578A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implement </w:t>
            </w:r>
            <w:r w:rsidR="006C2FF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the Two Pillar Solution. (</w:t>
            </w:r>
            <w:hyperlink r:id="rId55" w:anchor="section(2)(2)(b)_0" w:tgtFrame="_blank" w:history="1">
              <w:r w:rsidR="006C2FF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 xml:space="preserve">Section </w:t>
              </w:r>
              <w:r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05</w:t>
              </w:r>
              <w:r w:rsidR="006C2FF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  <w:r w:rsidR="003A2788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B</w:t>
              </w:r>
              <w:r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.2</w:t>
              </w:r>
              <w:r w:rsidR="00FA4C52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.b</w:t>
              </w:r>
              <w:r w:rsidR="006C2FF5" w:rsidRPr="005836E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</w:hyperlink>
            <w:r w:rsidR="006C2FF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006C2FF5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03515C5C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8799B4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Controlled foreign company regime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2061B5" w14:textId="3B2C28CE" w:rsidR="006C2FF5" w:rsidRPr="005836E5" w:rsidRDefault="000256B0" w:rsidP="00BE2689">
            <w:pPr>
              <w:pStyle w:val="paragraph"/>
              <w:spacing w:before="0" w:beforeAutospacing="0" w:after="0" w:afterAutospacing="0"/>
              <w:textAlignment w:val="baseline"/>
            </w:pPr>
            <w:r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No</w:t>
            </w:r>
            <w:r w:rsidR="006C2FF5" w:rsidRPr="005836E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6C2FF5" w:rsidRPr="005836E5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0EB7D528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50F5B5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Transfer pricing regime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EF1B1D" w14:textId="5C942511" w:rsidR="006C2FF5" w:rsidRPr="00993B87" w:rsidRDefault="00BD5546" w:rsidP="00BE2689">
            <w:pPr>
              <w:pStyle w:val="paragraph"/>
              <w:spacing w:before="0" w:beforeAutospacing="0" w:after="0" w:afterAutospacing="0"/>
              <w:textAlignment w:val="baseline"/>
            </w:pPr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</w:t>
            </w:r>
            <w:r w:rsidR="002C6620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here is</w:t>
            </w:r>
            <w:r w:rsidR="007C4501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no</w:t>
            </w:r>
            <w:r w:rsidR="009406D5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F63214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comprehensive </w:t>
            </w:r>
            <w:r w:rsidR="00F352AB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transfer pricing </w:t>
            </w:r>
            <w:r w:rsidR="00F3418C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regime</w:t>
            </w:r>
            <w:r w:rsidR="007C4501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</w:t>
            </w:r>
            <w:r w:rsidR="00F352AB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F144EB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but </w:t>
            </w:r>
            <w:r w:rsidR="002C6620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 </w:t>
            </w:r>
            <w:r w:rsidR="007C4501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transfer pricing </w:t>
            </w:r>
            <w:r w:rsidR="002C6620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study must be prepared in </w:t>
            </w:r>
            <w:r w:rsidR="00F17FDD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accordance</w:t>
            </w:r>
            <w:r w:rsidR="002C6620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with </w:t>
            </w:r>
            <w:r w:rsidR="004905B3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the U.S. </w:t>
            </w:r>
            <w:r w:rsidR="000E2986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transfer pricing </w:t>
            </w:r>
            <w:r w:rsidR="004905B3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rules under IRC §</w:t>
            </w:r>
            <w:r w:rsidR="001623E9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482</w:t>
            </w:r>
            <w:r w:rsidR="00F144EB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for</w:t>
            </w:r>
            <w:r w:rsidR="0035295D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AE484F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certain </w:t>
            </w:r>
            <w:r w:rsidR="00C03A48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expenses</w:t>
            </w:r>
            <w:r w:rsidR="00E20A79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with related parties not en</w:t>
            </w:r>
            <w:r w:rsidR="0035295D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gaged in a Puerto Rico trade or business</w:t>
            </w:r>
            <w:r w:rsidR="007D1BB5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, otherwise </w:t>
            </w:r>
            <w:r w:rsidR="00AC0CDE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 taxpayer will be subject to a 51% </w:t>
            </w:r>
            <w:r w:rsidR="00171435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deduction </w:t>
            </w:r>
            <w:r w:rsidR="00AC0CDE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dis</w:t>
            </w:r>
            <w:r w:rsidR="00290041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</w:t>
            </w:r>
            <w:r w:rsidR="00AC0CDE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llowance</w:t>
            </w:r>
            <w:r w:rsidR="00290041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for </w:t>
            </w:r>
            <w:r w:rsidR="003043A0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such </w:t>
            </w:r>
            <w:r w:rsidR="00312CC5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expenses</w:t>
            </w:r>
            <w:r w:rsidR="00E20A79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6C2FF5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(</w:t>
            </w:r>
            <w:hyperlink r:id="rId56" w:tgtFrame="_blank" w:history="1">
              <w:r w:rsidR="006C2FF5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 xml:space="preserve">Section </w:t>
              </w:r>
              <w:proofErr w:type="gramStart"/>
              <w:r w:rsidR="00D276AE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14</w:t>
              </w:r>
              <w:r w:rsidR="00E45850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  <w:r w:rsidR="00D276AE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A</w:t>
              </w:r>
              <w:r w:rsidR="006C2FF5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  <w:proofErr w:type="gramEnd"/>
            </w:hyperlink>
            <w:r w:rsidR="006C2FF5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 </w:t>
            </w:r>
            <w:r w:rsidR="006C2FF5" w:rsidRPr="00993B87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  <w:p w14:paraId="0BA02CC9" w14:textId="77777777" w:rsidR="00D978E7" w:rsidRDefault="00D978E7" w:rsidP="00D978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333333"/>
                <w:sz w:val="22"/>
                <w:szCs w:val="22"/>
              </w:rPr>
            </w:pPr>
          </w:p>
          <w:p w14:paraId="71B3830F" w14:textId="1D456E2B" w:rsidR="006C2FF5" w:rsidRPr="00993B87" w:rsidRDefault="006C2FF5" w:rsidP="00D978E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93B87">
              <w:rPr>
                <w:rStyle w:val="normaltextrun"/>
                <w:rFonts w:ascii="Calibri" w:eastAsiaTheme="majorEastAsia" w:hAnsi="Calibri" w:cs="Calibri"/>
                <w:color w:val="333333"/>
                <w:sz w:val="22"/>
                <w:szCs w:val="22"/>
              </w:rPr>
              <w:t xml:space="preserve">Country-by-country report: </w:t>
            </w:r>
            <w:r w:rsidR="00AE4D10" w:rsidRPr="00993B87">
              <w:rPr>
                <w:rStyle w:val="normaltextrun"/>
                <w:rFonts w:ascii="Calibri" w:eastAsiaTheme="majorEastAsia" w:hAnsi="Calibri" w:cs="Calibri"/>
                <w:color w:val="333333"/>
                <w:sz w:val="22"/>
                <w:szCs w:val="22"/>
              </w:rPr>
              <w:t>No</w:t>
            </w:r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 (</w:t>
            </w:r>
            <w:hyperlink r:id="rId57" w:anchor="section(1)_0" w:tgtFrame="_blank" w:history="1">
              <w:r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 xml:space="preserve">Section </w:t>
              </w:r>
              <w:r w:rsidR="004C3EF3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14</w:t>
              </w:r>
              <w:r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  <w:r w:rsidR="0019255E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D</w:t>
              </w:r>
              <w:r w:rsidR="00AE4D10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.1</w:t>
              </w:r>
              <w:r w:rsidR="0019255E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</w:hyperlink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 </w:t>
            </w:r>
            <w:r w:rsidRPr="00993B87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2B6C0AB3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791900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General anti-avoidance rule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C0FB0D" w14:textId="0AE1C5A0" w:rsidR="006C2FF5" w:rsidRPr="00993B87" w:rsidRDefault="00545ACC" w:rsidP="007909F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No</w:t>
            </w:r>
            <w:r w:rsidR="006C2FF5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</w:p>
        </w:tc>
      </w:tr>
      <w:tr w:rsidR="006C2FF5" w14:paraId="3DB8EE72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E33ADC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Mandatory disclosure regime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55EEDA" w14:textId="2A2A54EF" w:rsidR="006C2FF5" w:rsidRPr="00993B87" w:rsidRDefault="00514188" w:rsidP="00BE2689">
            <w:pPr>
              <w:pStyle w:val="paragraph"/>
              <w:spacing w:before="0" w:beforeAutospacing="0" w:after="0" w:afterAutospacing="0"/>
              <w:textAlignment w:val="baseline"/>
            </w:pPr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No</w:t>
            </w:r>
            <w:r w:rsidR="006C2FF5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6C2FF5" w:rsidRPr="00993B87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393F88C9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A06FAA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Foreign tax relief 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E8CE4E" w14:textId="07A9E80D" w:rsidR="006C2FF5" w:rsidRPr="00993B87" w:rsidRDefault="006C2FF5" w:rsidP="00276CC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Relief may be granted</w:t>
            </w:r>
            <w:r w:rsidR="00702D58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, either </w:t>
            </w:r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by way of </w:t>
            </w:r>
            <w:r w:rsidR="009807C3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 </w:t>
            </w:r>
            <w:r w:rsidR="00702D58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credit </w:t>
            </w:r>
            <w:r w:rsidR="00492ADA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(subject to </w:t>
            </w:r>
            <w:r w:rsidR="006611B8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per country and overall limitations) </w:t>
            </w:r>
            <w:r w:rsidR="00702D58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or a </w:t>
            </w:r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deduction. (</w:t>
            </w:r>
            <w:hyperlink r:id="rId58" w:anchor="section(8)(8)(a)_0" w:tgtFrame="_blank" w:history="1">
              <w:r w:rsidR="00702D58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Section 05.B.8.a.</w:t>
              </w:r>
            </w:hyperlink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00151506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</w:p>
        </w:tc>
      </w:tr>
      <w:tr w:rsidR="006C2FF5" w14:paraId="2E4259D1" w14:textId="77777777" w:rsidTr="00331FC7">
        <w:trPr>
          <w:trHeight w:val="300"/>
        </w:trPr>
        <w:tc>
          <w:tcPr>
            <w:tcW w:w="1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14:paraId="556F6A00" w14:textId="77777777" w:rsidR="006C2FF5" w:rsidRPr="00BE2689" w:rsidRDefault="006C2FF5" w:rsidP="00BE2689">
            <w:pPr>
              <w:pStyle w:val="paragraph"/>
              <w:spacing w:before="120" w:beforeAutospacing="0" w:after="120" w:afterAutospacing="0"/>
              <w:textAlignment w:val="baseline"/>
            </w:pPr>
            <w:r w:rsidRPr="00BE2689">
              <w:rPr>
                <w:rStyle w:val="normaltextrun"/>
                <w:rFonts w:ascii="Calibri" w:eastAsiaTheme="majorEastAsia" w:hAnsi="Calibri" w:cs="Calibri"/>
                <w:b/>
                <w:bCs/>
                <w:color w:val="FFFFFF"/>
                <w:sz w:val="28"/>
                <w:szCs w:val="28"/>
              </w:rPr>
              <w:t>Individuals</w:t>
            </w:r>
            <w:r w:rsidRPr="00BE2689">
              <w:rPr>
                <w:rStyle w:val="eop"/>
                <w:rFonts w:ascii="Calibri" w:eastAsiaTheme="majorEastAsia" w:hAnsi="Calibri" w:cs="Calibri"/>
                <w:color w:val="FFFFFF"/>
                <w:sz w:val="28"/>
                <w:szCs w:val="28"/>
              </w:rPr>
              <w:t> </w:t>
            </w:r>
          </w:p>
        </w:tc>
      </w:tr>
      <w:tr w:rsidR="006C2FF5" w14:paraId="02E78724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C7C45" w14:textId="123E2EC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Personal income tax rates 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D49E2" w14:textId="701887EF" w:rsidR="002D1E82" w:rsidRPr="00993B87" w:rsidRDefault="00610648" w:rsidP="00901F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The standard </w:t>
            </w:r>
            <w:r w:rsidR="00901F6F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rates </w:t>
            </w:r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range from</w:t>
            </w:r>
            <w:r w:rsidR="00901F6F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0% on income up to </w:t>
            </w:r>
            <w:r w:rsidR="004B1C37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US$</w:t>
            </w:r>
            <w:r w:rsidR="00901F6F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4B1C37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9</w:t>
            </w:r>
            <w:r w:rsidR="00901F6F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,000 to </w:t>
            </w:r>
            <w:r w:rsidR="00343D79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33</w:t>
            </w:r>
            <w:r w:rsidR="00901F6F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% on income </w:t>
            </w:r>
            <w:r w:rsidR="00343D79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above </w:t>
            </w:r>
            <w:r w:rsidR="002D1E82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US$ 61</w:t>
            </w:r>
            <w:r w:rsidR="00901F6F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</w:t>
            </w:r>
            <w:r w:rsidR="002D1E82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5</w:t>
            </w:r>
            <w:r w:rsidR="00901F6F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00</w:t>
            </w:r>
            <w:r w:rsidR="00AE0BC4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, </w:t>
            </w:r>
            <w:r w:rsidR="00F04E75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F04E75" w:rsidRPr="00993B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14715" w:rsidRPr="00DD3C65">
              <w:rPr>
                <w:rFonts w:ascii="Calibri" w:hAnsi="Calibri" w:cs="Calibri"/>
                <w:sz w:val="22"/>
                <w:szCs w:val="22"/>
              </w:rPr>
              <w:t>A</w:t>
            </w:r>
            <w:r w:rsidR="00814715" w:rsidRPr="00E8213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04E75" w:rsidRPr="00DD3C65">
              <w:rPr>
                <w:rFonts w:ascii="Calibri" w:hAnsi="Calibri" w:cs="Calibri"/>
                <w:sz w:val="22"/>
                <w:szCs w:val="22"/>
              </w:rPr>
              <w:t xml:space="preserve">5% </w:t>
            </w:r>
            <w:r w:rsidR="00896C37" w:rsidRPr="00DD3C65">
              <w:rPr>
                <w:rFonts w:ascii="Calibri" w:hAnsi="Calibri" w:cs="Calibri"/>
                <w:sz w:val="22"/>
                <w:szCs w:val="22"/>
              </w:rPr>
              <w:t>s</w:t>
            </w:r>
            <w:r w:rsidR="00896C37" w:rsidRPr="00E8213D">
              <w:rPr>
                <w:rFonts w:ascii="Calibri" w:hAnsi="Calibri" w:cs="Calibri"/>
                <w:sz w:val="22"/>
                <w:szCs w:val="22"/>
              </w:rPr>
              <w:t>ur</w:t>
            </w:r>
            <w:r w:rsidR="00F04E75" w:rsidRPr="00DD3C65">
              <w:rPr>
                <w:rFonts w:ascii="Calibri" w:hAnsi="Calibri" w:cs="Calibri"/>
                <w:sz w:val="22"/>
                <w:szCs w:val="22"/>
              </w:rPr>
              <w:t xml:space="preserve">tax </w:t>
            </w:r>
            <w:r w:rsidR="00DD3C65" w:rsidRPr="00DD3C65">
              <w:rPr>
                <w:rFonts w:ascii="Calibri" w:hAnsi="Calibri" w:cs="Calibri"/>
                <w:sz w:val="22"/>
                <w:szCs w:val="22"/>
              </w:rPr>
              <w:t>a</w:t>
            </w:r>
            <w:r w:rsidR="00DD3C65" w:rsidRPr="00E8213D">
              <w:rPr>
                <w:rFonts w:ascii="Calibri" w:hAnsi="Calibri" w:cs="Calibri"/>
                <w:sz w:val="22"/>
                <w:szCs w:val="22"/>
              </w:rPr>
              <w:t xml:space="preserve">lso </w:t>
            </w:r>
            <w:r w:rsidR="00814715" w:rsidRPr="00DD3C65">
              <w:rPr>
                <w:rFonts w:ascii="Calibri" w:hAnsi="Calibri" w:cs="Calibri"/>
                <w:sz w:val="22"/>
                <w:szCs w:val="22"/>
              </w:rPr>
              <w:t>a</w:t>
            </w:r>
            <w:r w:rsidR="00814715" w:rsidRPr="00E8213D">
              <w:rPr>
                <w:rFonts w:ascii="Calibri" w:hAnsi="Calibri" w:cs="Calibri"/>
                <w:sz w:val="22"/>
                <w:szCs w:val="22"/>
              </w:rPr>
              <w:t xml:space="preserve">pplies to </w:t>
            </w:r>
            <w:r w:rsidR="00F26C1C" w:rsidRPr="00993B87">
              <w:rPr>
                <w:rFonts w:ascii="Calibri" w:hAnsi="Calibri" w:cs="Calibri"/>
                <w:sz w:val="22"/>
                <w:szCs w:val="22"/>
              </w:rPr>
              <w:t xml:space="preserve">individuals with </w:t>
            </w:r>
            <w:r w:rsidR="00F04E75" w:rsidRPr="00993B87">
              <w:rPr>
                <w:rFonts w:ascii="Calibri" w:hAnsi="Calibri" w:cs="Calibri"/>
                <w:sz w:val="22"/>
                <w:szCs w:val="22"/>
              </w:rPr>
              <w:t>net taxable income above US$ 500,000</w:t>
            </w:r>
            <w:r w:rsidR="004F1074" w:rsidRPr="00993B87">
              <w:rPr>
                <w:rFonts w:ascii="Calibri" w:hAnsi="Calibri" w:cs="Calibri"/>
                <w:sz w:val="22"/>
                <w:szCs w:val="22"/>
              </w:rPr>
              <w:t xml:space="preserve"> plus US$ 8,895</w:t>
            </w:r>
            <w:r w:rsidR="00F04E75" w:rsidRPr="00993B87">
              <w:rPr>
                <w:rFonts w:ascii="Calibri" w:hAnsi="Calibri" w:cs="Calibri"/>
                <w:sz w:val="22"/>
                <w:szCs w:val="22"/>
              </w:rPr>
              <w:t>,</w:t>
            </w:r>
            <w:r w:rsidR="00F26C1C" w:rsidRPr="00993B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2C52" w:rsidRPr="00993B87">
              <w:rPr>
                <w:rFonts w:ascii="Calibri" w:hAnsi="Calibri" w:cs="Calibri"/>
                <w:sz w:val="22"/>
                <w:szCs w:val="22"/>
              </w:rPr>
              <w:t xml:space="preserve">which is </w:t>
            </w:r>
            <w:r w:rsidR="00F04E75" w:rsidRPr="00993B87">
              <w:rPr>
                <w:rFonts w:ascii="Calibri" w:hAnsi="Calibri" w:cs="Calibri"/>
                <w:sz w:val="22"/>
                <w:szCs w:val="22"/>
              </w:rPr>
              <w:t xml:space="preserve">limited to 33% of </w:t>
            </w:r>
            <w:r w:rsidR="003B1DC9">
              <w:rPr>
                <w:rFonts w:ascii="Calibri" w:hAnsi="Calibri" w:cs="Calibri"/>
                <w:sz w:val="22"/>
                <w:szCs w:val="22"/>
              </w:rPr>
              <w:t>an individual</w:t>
            </w:r>
            <w:r w:rsidR="00F04E75" w:rsidRPr="00993B87">
              <w:rPr>
                <w:rFonts w:ascii="Calibri" w:hAnsi="Calibri" w:cs="Calibri"/>
                <w:sz w:val="22"/>
                <w:szCs w:val="22"/>
              </w:rPr>
              <w:t>’s personal and dependent exemptions</w:t>
            </w:r>
            <w:r w:rsidR="00901F6F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901F6F" w:rsidRPr="00993B87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  <w:r w:rsidR="003D3CC1" w:rsidRPr="00993B87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59" w:anchor="section(1)_0" w:history="1">
              <w:r w:rsidR="003D3CC1" w:rsidRPr="00993B87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 10.F.1.</w:t>
              </w:r>
            </w:hyperlink>
            <w:r w:rsidR="003D3CC1" w:rsidRPr="00993B87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) </w:t>
            </w:r>
          </w:p>
          <w:p w14:paraId="4D1B9437" w14:textId="77777777" w:rsidR="00767700" w:rsidRDefault="00767700" w:rsidP="0076770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0C245F1" w14:textId="0B8D7704" w:rsidR="00822980" w:rsidRPr="00993B87" w:rsidRDefault="00951B8E" w:rsidP="0076770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93B87">
              <w:rPr>
                <w:rFonts w:ascii="Calibri" w:hAnsi="Calibri" w:cs="Calibri"/>
                <w:sz w:val="22"/>
                <w:szCs w:val="22"/>
              </w:rPr>
              <w:t>Furthermore, a</w:t>
            </w:r>
            <w:r w:rsidR="00EA49F8" w:rsidRPr="00993B87">
              <w:rPr>
                <w:rFonts w:ascii="Calibri" w:hAnsi="Calibri" w:cs="Calibri"/>
                <w:sz w:val="22"/>
                <w:szCs w:val="22"/>
              </w:rPr>
              <w:t>lternative basic tax</w:t>
            </w:r>
            <w:r w:rsidR="0077608A" w:rsidRPr="00993B87">
              <w:rPr>
                <w:rFonts w:ascii="Calibri" w:hAnsi="Calibri" w:cs="Calibri"/>
                <w:sz w:val="22"/>
                <w:szCs w:val="22"/>
              </w:rPr>
              <w:t xml:space="preserve"> (ABT) </w:t>
            </w:r>
            <w:r w:rsidR="005455A1" w:rsidRPr="00993B87">
              <w:rPr>
                <w:rFonts w:ascii="Calibri" w:hAnsi="Calibri" w:cs="Calibri"/>
                <w:sz w:val="22"/>
                <w:szCs w:val="22"/>
              </w:rPr>
              <w:t>must</w:t>
            </w:r>
            <w:r w:rsidR="00DC5223" w:rsidRPr="00993B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55A1" w:rsidRPr="00993B87">
              <w:rPr>
                <w:rFonts w:ascii="Calibri" w:hAnsi="Calibri" w:cs="Calibri"/>
                <w:sz w:val="22"/>
                <w:szCs w:val="22"/>
              </w:rPr>
              <w:t>be</w:t>
            </w:r>
            <w:r w:rsidR="00074FEA" w:rsidRPr="00993B87">
              <w:rPr>
                <w:rFonts w:ascii="Calibri" w:hAnsi="Calibri" w:cs="Calibri"/>
                <w:sz w:val="22"/>
                <w:szCs w:val="22"/>
              </w:rPr>
              <w:t xml:space="preserve"> computed </w:t>
            </w:r>
            <w:r w:rsidR="005455A1" w:rsidRPr="00993B87">
              <w:rPr>
                <w:rFonts w:ascii="Calibri" w:hAnsi="Calibri" w:cs="Calibri"/>
                <w:sz w:val="22"/>
                <w:szCs w:val="22"/>
              </w:rPr>
              <w:t xml:space="preserve">by adding back certain </w:t>
            </w:r>
            <w:r w:rsidR="00E73786" w:rsidRPr="00993B87">
              <w:rPr>
                <w:rFonts w:ascii="Calibri" w:hAnsi="Calibri" w:cs="Calibri"/>
                <w:sz w:val="22"/>
                <w:szCs w:val="22"/>
              </w:rPr>
              <w:t xml:space="preserve">income </w:t>
            </w:r>
            <w:r w:rsidR="005455A1" w:rsidRPr="00993B87">
              <w:rPr>
                <w:rFonts w:ascii="Calibri" w:hAnsi="Calibri" w:cs="Calibri"/>
                <w:sz w:val="22"/>
                <w:szCs w:val="22"/>
              </w:rPr>
              <w:t>items</w:t>
            </w:r>
            <w:r w:rsidR="009D6F46" w:rsidRPr="00993B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25309" w:rsidRPr="00993B87">
              <w:rPr>
                <w:rFonts w:ascii="Calibri" w:hAnsi="Calibri" w:cs="Calibri"/>
                <w:sz w:val="22"/>
                <w:szCs w:val="22"/>
              </w:rPr>
              <w:t xml:space="preserve">to gross income </w:t>
            </w:r>
            <w:r w:rsidR="009D6F46" w:rsidRPr="00993B87">
              <w:rPr>
                <w:rFonts w:ascii="Calibri" w:hAnsi="Calibri" w:cs="Calibri"/>
                <w:sz w:val="22"/>
                <w:szCs w:val="22"/>
              </w:rPr>
              <w:t xml:space="preserve">and calculated </w:t>
            </w:r>
            <w:r w:rsidR="00E77FE0" w:rsidRPr="00993B87">
              <w:rPr>
                <w:rFonts w:ascii="Calibri" w:hAnsi="Calibri" w:cs="Calibri"/>
                <w:sz w:val="22"/>
                <w:szCs w:val="22"/>
              </w:rPr>
              <w:t>based on</w:t>
            </w:r>
            <w:r w:rsidR="009D6F46" w:rsidRPr="00993B87">
              <w:rPr>
                <w:rFonts w:ascii="Calibri" w:hAnsi="Calibri" w:cs="Calibri"/>
                <w:sz w:val="22"/>
                <w:szCs w:val="22"/>
              </w:rPr>
              <w:t xml:space="preserve"> ABT rates ranging from 1% </w:t>
            </w:r>
            <w:r w:rsidR="00825309" w:rsidRPr="00993B87">
              <w:rPr>
                <w:rFonts w:ascii="Calibri" w:hAnsi="Calibri" w:cs="Calibri"/>
                <w:sz w:val="22"/>
                <w:szCs w:val="22"/>
              </w:rPr>
              <w:t xml:space="preserve">on income </w:t>
            </w:r>
            <w:r w:rsidR="002B59D4" w:rsidRPr="00993B87">
              <w:rPr>
                <w:rFonts w:ascii="Calibri" w:hAnsi="Calibri" w:cs="Calibri"/>
                <w:sz w:val="22"/>
                <w:szCs w:val="22"/>
              </w:rPr>
              <w:t xml:space="preserve">above US$ 25,000 to </w:t>
            </w:r>
            <w:r w:rsidR="00E77FE0" w:rsidRPr="00993B87">
              <w:rPr>
                <w:rFonts w:ascii="Calibri" w:hAnsi="Calibri" w:cs="Calibri"/>
                <w:sz w:val="22"/>
                <w:szCs w:val="22"/>
              </w:rPr>
              <w:t xml:space="preserve">US$ </w:t>
            </w:r>
            <w:r w:rsidR="002B59D4" w:rsidRPr="00993B87">
              <w:rPr>
                <w:rFonts w:ascii="Calibri" w:hAnsi="Calibri" w:cs="Calibri"/>
                <w:sz w:val="22"/>
                <w:szCs w:val="22"/>
              </w:rPr>
              <w:t xml:space="preserve">50,000 and </w:t>
            </w:r>
            <w:r w:rsidR="00287A76" w:rsidRPr="00993B87">
              <w:rPr>
                <w:rFonts w:ascii="Calibri" w:hAnsi="Calibri" w:cs="Calibri"/>
                <w:sz w:val="22"/>
                <w:szCs w:val="22"/>
              </w:rPr>
              <w:t>24% on income above US$ 250,000.</w:t>
            </w:r>
            <w:r w:rsidR="00EA49F8" w:rsidRPr="00993B8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hyperlink r:id="rId60" w:anchor="section(3)_0" w:history="1">
              <w:r w:rsidR="00EA49F8" w:rsidRPr="00993B87">
                <w:rPr>
                  <w:rStyle w:val="Hyperlink"/>
                  <w:rFonts w:ascii="Calibri" w:hAnsi="Calibri" w:cs="Calibri"/>
                  <w:sz w:val="22"/>
                  <w:szCs w:val="22"/>
                </w:rPr>
                <w:t>Section 10.F.3.</w:t>
              </w:r>
            </w:hyperlink>
            <w:r w:rsidR="00EA49F8" w:rsidRPr="00993B87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97AD2CF" w14:textId="77777777" w:rsidR="00767700" w:rsidRDefault="00767700" w:rsidP="0076770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6CB78BE" w14:textId="3611F1ED" w:rsidR="00DC5223" w:rsidRPr="00993B87" w:rsidRDefault="00C20445" w:rsidP="0076770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93B87">
              <w:rPr>
                <w:rFonts w:ascii="Calibri" w:hAnsi="Calibri" w:cs="Calibri"/>
                <w:sz w:val="22"/>
                <w:szCs w:val="22"/>
              </w:rPr>
              <w:t>F</w:t>
            </w:r>
            <w:r w:rsidR="00DF535E" w:rsidRPr="00993B87">
              <w:rPr>
                <w:rFonts w:ascii="Calibri" w:hAnsi="Calibri" w:cs="Calibri"/>
                <w:sz w:val="22"/>
                <w:szCs w:val="22"/>
              </w:rPr>
              <w:t xml:space="preserve">inal </w:t>
            </w:r>
            <w:r w:rsidR="00822980" w:rsidRPr="00993B87">
              <w:rPr>
                <w:rFonts w:ascii="Calibri" w:hAnsi="Calibri" w:cs="Calibri"/>
                <w:sz w:val="22"/>
                <w:szCs w:val="22"/>
              </w:rPr>
              <w:t xml:space="preserve">tax liability </w:t>
            </w:r>
            <w:r w:rsidRPr="00993B87">
              <w:rPr>
                <w:rFonts w:ascii="Calibri" w:hAnsi="Calibri" w:cs="Calibri"/>
                <w:sz w:val="22"/>
                <w:szCs w:val="22"/>
              </w:rPr>
              <w:t>is either</w:t>
            </w:r>
            <w:r w:rsidR="00DF535E" w:rsidRPr="00993B87">
              <w:rPr>
                <w:rFonts w:ascii="Calibri" w:hAnsi="Calibri" w:cs="Calibri"/>
                <w:sz w:val="22"/>
                <w:szCs w:val="22"/>
              </w:rPr>
              <w:t xml:space="preserve"> 92% </w:t>
            </w:r>
            <w:r w:rsidR="005D6545" w:rsidRPr="00993B87">
              <w:rPr>
                <w:rFonts w:ascii="Calibri" w:hAnsi="Calibri" w:cs="Calibri"/>
                <w:sz w:val="22"/>
                <w:szCs w:val="22"/>
              </w:rPr>
              <w:t xml:space="preserve">of the aggregate amounts as </w:t>
            </w:r>
            <w:r w:rsidR="00CB1B0D" w:rsidRPr="00993B87">
              <w:rPr>
                <w:rFonts w:ascii="Calibri" w:hAnsi="Calibri" w:cs="Calibri"/>
                <w:sz w:val="22"/>
                <w:szCs w:val="22"/>
              </w:rPr>
              <w:t>determin</w:t>
            </w:r>
            <w:r w:rsidR="005D6545" w:rsidRPr="00993B87">
              <w:rPr>
                <w:rFonts w:ascii="Calibri" w:hAnsi="Calibri" w:cs="Calibri"/>
                <w:sz w:val="22"/>
                <w:szCs w:val="22"/>
              </w:rPr>
              <w:t>ed</w:t>
            </w:r>
            <w:r w:rsidRPr="00993B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1B0D" w:rsidRPr="00993B87">
              <w:rPr>
                <w:rFonts w:ascii="Calibri" w:hAnsi="Calibri" w:cs="Calibri"/>
                <w:sz w:val="22"/>
                <w:szCs w:val="22"/>
              </w:rPr>
              <w:t xml:space="preserve">using </w:t>
            </w:r>
            <w:r w:rsidR="00601451" w:rsidRPr="00993B87">
              <w:rPr>
                <w:rFonts w:ascii="Calibri" w:hAnsi="Calibri" w:cs="Calibri"/>
                <w:sz w:val="22"/>
                <w:szCs w:val="22"/>
              </w:rPr>
              <w:t xml:space="preserve">the regular </w:t>
            </w:r>
            <w:r w:rsidR="00AF0FF0" w:rsidRPr="00993B87">
              <w:rPr>
                <w:rFonts w:ascii="Calibri" w:hAnsi="Calibri" w:cs="Calibri"/>
                <w:sz w:val="22"/>
                <w:szCs w:val="22"/>
              </w:rPr>
              <w:t xml:space="preserve">income </w:t>
            </w:r>
            <w:r w:rsidR="00601451" w:rsidRPr="00993B87">
              <w:rPr>
                <w:rFonts w:ascii="Calibri" w:hAnsi="Calibri" w:cs="Calibri"/>
                <w:sz w:val="22"/>
                <w:szCs w:val="22"/>
              </w:rPr>
              <w:t xml:space="preserve">tax </w:t>
            </w:r>
            <w:r w:rsidR="00CB1B0D" w:rsidRPr="00993B87">
              <w:rPr>
                <w:rFonts w:ascii="Calibri" w:hAnsi="Calibri" w:cs="Calibri"/>
                <w:sz w:val="22"/>
                <w:szCs w:val="22"/>
              </w:rPr>
              <w:t xml:space="preserve">rates </w:t>
            </w:r>
            <w:r w:rsidR="00601451" w:rsidRPr="00993B87">
              <w:rPr>
                <w:rFonts w:ascii="Calibri" w:hAnsi="Calibri" w:cs="Calibri"/>
                <w:sz w:val="22"/>
                <w:szCs w:val="22"/>
              </w:rPr>
              <w:t>plus</w:t>
            </w:r>
            <w:r w:rsidR="00272D52" w:rsidRPr="00993B87">
              <w:rPr>
                <w:rFonts w:ascii="Calibri" w:hAnsi="Calibri" w:cs="Calibri"/>
                <w:sz w:val="22"/>
                <w:szCs w:val="22"/>
              </w:rPr>
              <w:t xml:space="preserve"> the gradual adjustment</w:t>
            </w:r>
            <w:r w:rsidR="00601451" w:rsidRPr="00993B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F0FF0" w:rsidRPr="00993B87">
              <w:rPr>
                <w:rFonts w:ascii="Calibri" w:hAnsi="Calibri" w:cs="Calibri"/>
                <w:sz w:val="22"/>
                <w:szCs w:val="22"/>
              </w:rPr>
              <w:t>or 95%</w:t>
            </w:r>
            <w:r w:rsidR="00CB1B0D" w:rsidRPr="00993B87">
              <w:rPr>
                <w:rFonts w:ascii="Calibri" w:hAnsi="Calibri" w:cs="Calibri"/>
                <w:sz w:val="22"/>
                <w:szCs w:val="22"/>
              </w:rPr>
              <w:t xml:space="preserve"> of such amount </w:t>
            </w:r>
            <w:r w:rsidR="003B1DC9">
              <w:rPr>
                <w:rFonts w:ascii="Calibri" w:hAnsi="Calibri" w:cs="Calibri"/>
                <w:sz w:val="22"/>
                <w:szCs w:val="22"/>
              </w:rPr>
              <w:t>for</w:t>
            </w:r>
            <w:r w:rsidR="003B1DC9" w:rsidRPr="00993B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1B0D" w:rsidRPr="00993B87">
              <w:rPr>
                <w:rFonts w:ascii="Calibri" w:hAnsi="Calibri" w:cs="Calibri"/>
                <w:sz w:val="22"/>
                <w:szCs w:val="22"/>
              </w:rPr>
              <w:t>taxpayer</w:t>
            </w:r>
            <w:r w:rsidR="0095359E" w:rsidRPr="00993B87">
              <w:rPr>
                <w:rFonts w:ascii="Calibri" w:hAnsi="Calibri" w:cs="Calibri"/>
                <w:sz w:val="22"/>
                <w:szCs w:val="22"/>
              </w:rPr>
              <w:t>s with gross income above US$ 100,000.</w:t>
            </w:r>
            <w:r w:rsidR="005D6545" w:rsidRPr="00993B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22980" w:rsidRPr="00993B87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DC5223" w:rsidRPr="00993B8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FD32121" w14:textId="2B5BFA6E" w:rsidR="00B42CEB" w:rsidRPr="00B33872" w:rsidRDefault="00901F6F" w:rsidP="00B42CE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</w:pPr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Nonresident individuals</w:t>
            </w:r>
            <w:r w:rsidR="00137948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are subject to </w:t>
            </w:r>
            <w:r w:rsidR="009408A8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tax </w:t>
            </w:r>
            <w:r w:rsidR="00493645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at the standard rates </w:t>
            </w:r>
            <w:r w:rsidR="009408A8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only on Puerto Rico source</w:t>
            </w:r>
            <w:r w:rsidR="00FC5DC3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income</w:t>
            </w:r>
            <w:r w:rsidR="009408A8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9408A8" w:rsidRPr="00B3387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</w:p>
          <w:p w14:paraId="5C27EE22" w14:textId="57E6FCEC" w:rsidR="00901F6F" w:rsidRPr="00BE2689" w:rsidRDefault="00901F6F" w:rsidP="00BE268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2FF5" w14:paraId="2C99074B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81C11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lastRenderedPageBreak/>
              <w:t>Equity incentives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95D32" w14:textId="1CB61AEE" w:rsidR="006C2FF5" w:rsidRPr="00FA38D2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Yes. </w:t>
            </w:r>
            <w:r w:rsidR="008C796D"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61" w:anchor="section(2)(2)(h)_0" w:history="1">
              <w:r w:rsidR="00DC511E" w:rsidRPr="00D30828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006D7E70" w:rsidRPr="00D30828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10</w:t>
              </w:r>
              <w:r w:rsidR="00DC511E" w:rsidRPr="00D30828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006D7E70" w:rsidRPr="00D30828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F</w:t>
              </w:r>
              <w:r w:rsidR="00DC511E" w:rsidRPr="00D30828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006D7E70" w:rsidRPr="00D30828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2.h</w:t>
              </w:r>
              <w:r w:rsidR="00DC511E" w:rsidRPr="00D30828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</w:hyperlink>
            <w:r w:rsidR="005B7C46" w:rsidRPr="00D30828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</w:tc>
      </w:tr>
      <w:tr w:rsidR="006C2FF5" w14:paraId="68E67648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9A56C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Foreign tax relief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BE1E9" w14:textId="0BAC169A" w:rsidR="006C2FF5" w:rsidRPr="00993B87" w:rsidRDefault="006C2FF5" w:rsidP="00BE2689">
            <w:pPr>
              <w:pStyle w:val="paragraph"/>
              <w:spacing w:before="0" w:beforeAutospacing="0" w:after="0" w:afterAutospacing="0"/>
              <w:textAlignment w:val="baseline"/>
            </w:pPr>
            <w:proofErr w:type="gramStart"/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Yes</w:t>
            </w:r>
            <w:r w:rsidR="00D30828"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,</w:t>
            </w:r>
            <w:proofErr w:type="gramEnd"/>
            <w:r w:rsidR="00D30828" w:rsidRPr="001861D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by way of credit or deduction</w:t>
            </w:r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 (</w:t>
            </w:r>
            <w:hyperlink r:id="rId62" w:anchor="section(8)(8)(a)_0" w:tgtFrame="_blank" w:history="1">
              <w:r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 xml:space="preserve">Section </w:t>
              </w:r>
              <w:r w:rsidR="00767F20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05</w:t>
              </w:r>
              <w:r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.B</w:t>
              </w:r>
              <w:r w:rsidR="00767F20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.8.a</w:t>
              </w:r>
              <w:r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</w:hyperlink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 </w:t>
            </w:r>
            <w:r w:rsidRPr="00993B87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22B3C80B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D697D7" w14:textId="3360FEC4" w:rsidR="006C2FF5" w:rsidRPr="000E1916" w:rsidRDefault="006C2FF5" w:rsidP="00085D2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Wealth tax</w:t>
            </w:r>
            <w:r w:rsidR="00A874CD"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/e</w:t>
            </w: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state</w:t>
            </w:r>
            <w:r w:rsidR="00A874CD"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6A180E"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</w:rPr>
              <w:t>or</w:t>
            </w:r>
            <w:r w:rsidR="00A874CD"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</w:rPr>
              <w:t xml:space="preserve"> </w:t>
            </w: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inheritance taxes</w:t>
            </w:r>
            <w:r w:rsidR="00085D2B"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/g</w:t>
            </w: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ift tax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BDB09" w14:textId="1838C3C5" w:rsidR="006C2FF5" w:rsidRPr="002D1314" w:rsidRDefault="006C2FF5" w:rsidP="00BE2689">
            <w:pPr>
              <w:pStyle w:val="paragraph"/>
              <w:numPr>
                <w:ilvl w:val="0"/>
                <w:numId w:val="1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2D131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No</w:t>
            </w:r>
            <w:r w:rsidR="00085D2B" w:rsidRPr="002D131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wealth tax</w:t>
            </w:r>
            <w:r w:rsidRPr="002D131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.  </w:t>
            </w:r>
            <w:r w:rsidRPr="002D1314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  <w:p w14:paraId="635EE77F" w14:textId="292934D4" w:rsidR="006C2FF5" w:rsidRPr="00993B87" w:rsidRDefault="00580159" w:rsidP="00BE2689">
            <w:pPr>
              <w:pStyle w:val="paragraph"/>
              <w:numPr>
                <w:ilvl w:val="0"/>
                <w:numId w:val="1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2D131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No</w:t>
            </w:r>
            <w:r w:rsidR="007C6C7C" w:rsidRPr="002D131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estate tax</w:t>
            </w:r>
            <w:r w:rsidR="006C2FF5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 (</w:t>
            </w:r>
            <w:hyperlink r:id="rId63" w:history="1">
              <w:r w:rsidR="00ED7ED5" w:rsidRPr="00993B87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</w:t>
              </w:r>
              <w:r w:rsidR="008C5713" w:rsidRPr="00993B87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</w:t>
              </w:r>
              <w:r w:rsidR="00ED7ED5" w:rsidRPr="00993B87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 04.C.</w:t>
              </w:r>
            </w:hyperlink>
            <w:r w:rsidR="008C5713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and</w:t>
            </w:r>
            <w:r w:rsidR="00ED7ED5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hyperlink r:id="rId64" w:tgtFrame="_blank" w:history="1">
              <w:r w:rsidR="00810DBA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shd w:val="clear" w:color="auto" w:fill="FFFFFF"/>
                </w:rPr>
                <w:t>13</w:t>
              </w:r>
              <w:r w:rsidR="00EE5C13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shd w:val="clear" w:color="auto" w:fill="FFFFFF"/>
                </w:rPr>
                <w:t>.</w:t>
              </w:r>
              <w:r w:rsidR="00810DBA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shd w:val="clear" w:color="auto" w:fill="FFFFFF"/>
                </w:rPr>
                <w:t>A</w:t>
              </w:r>
              <w:r w:rsidR="00C80995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shd w:val="clear" w:color="auto" w:fill="FFFFFF"/>
                </w:rPr>
                <w:t>.</w:t>
              </w:r>
            </w:hyperlink>
            <w:r w:rsidR="003E4170" w:rsidRPr="00993B87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  <w:p w14:paraId="4AE3DD76" w14:textId="112481CB" w:rsidR="006C2FF5" w:rsidRPr="00993B87" w:rsidRDefault="0054422B" w:rsidP="00BE2689">
            <w:pPr>
              <w:pStyle w:val="paragraph"/>
              <w:numPr>
                <w:ilvl w:val="0"/>
                <w:numId w:val="15"/>
              </w:numPr>
              <w:spacing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2D1314">
              <w:rPr>
                <w:rStyle w:val="normaltextrun"/>
                <w:rFonts w:ascii="Calibri" w:eastAsiaTheme="majorEastAsia" w:hAnsi="Calibri" w:cs="Calibri"/>
                <w:sz w:val="22"/>
                <w:szCs w:val="22"/>
                <w:shd w:val="clear" w:color="auto" w:fill="FFFFFF"/>
              </w:rPr>
              <w:t>No</w:t>
            </w:r>
            <w:r w:rsidR="002D1314" w:rsidRPr="002D1314">
              <w:rPr>
                <w:rStyle w:val="normaltextrun"/>
                <w:rFonts w:ascii="Calibri" w:eastAsiaTheme="majorEastAsia" w:hAnsi="Calibri" w:cs="Calibri"/>
                <w:sz w:val="22"/>
                <w:szCs w:val="22"/>
                <w:shd w:val="clear" w:color="auto" w:fill="FFFFFF"/>
              </w:rPr>
              <w:t xml:space="preserve"> gift tax</w:t>
            </w:r>
            <w:r w:rsidR="006C2FF5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  <w:shd w:val="clear" w:color="auto" w:fill="FFFFFF"/>
              </w:rPr>
              <w:t>. (</w:t>
            </w:r>
            <w:hyperlink r:id="rId65" w:history="1">
              <w:r w:rsidR="008C5713" w:rsidRPr="00993B87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Sections 04.C.</w:t>
              </w:r>
            </w:hyperlink>
            <w:r w:rsidR="008C5713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8C5713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  <w:shd w:val="clear" w:color="auto" w:fill="FFFFFF"/>
              </w:rPr>
              <w:t xml:space="preserve">and </w:t>
            </w:r>
            <w:hyperlink r:id="rId66" w:tgtFrame="_blank" w:history="1">
              <w:r w:rsidR="003107CD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13</w:t>
              </w:r>
              <w:r w:rsidR="006C2FF5"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.</w:t>
              </w:r>
              <w:r w:rsidRPr="00993B87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B.</w:t>
              </w:r>
            </w:hyperlink>
            <w:r w:rsidR="006C2FF5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  <w:shd w:val="clear" w:color="auto" w:fill="FFFFFF"/>
              </w:rPr>
              <w:t>)</w:t>
            </w:r>
            <w:r w:rsidR="006C2FF5" w:rsidRPr="00993B87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2A4051FB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E0F1B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Exit tax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67917" w14:textId="035A44CA" w:rsidR="006C2FF5" w:rsidRPr="00993B87" w:rsidRDefault="006C2FF5" w:rsidP="00BE2689">
            <w:pPr>
              <w:pStyle w:val="paragraph"/>
              <w:spacing w:before="0" w:beforeAutospacing="0" w:after="0" w:afterAutospacing="0"/>
              <w:textAlignment w:val="baseline"/>
            </w:pPr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No. </w:t>
            </w:r>
            <w:r w:rsidRPr="00993B87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0E544EA5" w14:textId="77777777" w:rsidTr="00331FC7">
        <w:trPr>
          <w:trHeight w:val="300"/>
        </w:trPr>
        <w:tc>
          <w:tcPr>
            <w:tcW w:w="1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14:paraId="0095CFDF" w14:textId="77777777" w:rsidR="006C2FF5" w:rsidRDefault="006C2FF5" w:rsidP="00BE2689">
            <w:pPr>
              <w:pStyle w:val="paragraph"/>
              <w:spacing w:before="120" w:beforeAutospacing="0" w:after="12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FFFFFF"/>
                <w:sz w:val="28"/>
                <w:szCs w:val="28"/>
              </w:rPr>
              <w:t>Other Taxes</w:t>
            </w:r>
            <w:r>
              <w:rPr>
                <w:rStyle w:val="eop"/>
                <w:rFonts w:ascii="Calibri" w:eastAsiaTheme="majorEastAsia" w:hAnsi="Calibri" w:cs="Calibri"/>
                <w:color w:val="FFFFFF"/>
                <w:sz w:val="28"/>
                <w:szCs w:val="28"/>
              </w:rPr>
              <w:t> </w:t>
            </w:r>
          </w:p>
        </w:tc>
      </w:tr>
      <w:tr w:rsidR="006C2FF5" w14:paraId="5F708F5A" w14:textId="77777777" w:rsidTr="008F4122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9BEFF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VAT/GST/Sales tax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C70B96" w14:textId="3CA48057" w:rsidR="008F4122" w:rsidRPr="00993B87" w:rsidRDefault="001F2AD6" w:rsidP="00BE26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Sales and use tax</w:t>
            </w:r>
            <w:r w:rsidR="00605CDD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2F0537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(SUT) </w:t>
            </w:r>
            <w:r w:rsidR="00D0375C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of </w:t>
            </w:r>
            <w:r w:rsidR="003811EF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11.5% (</w:t>
            </w:r>
            <w:r w:rsidR="001547D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1</w:t>
            </w:r>
            <w:r w:rsidR="00D0375C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0.5%</w:t>
            </w:r>
            <w:r w:rsidR="006643B4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1452EF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st</w:t>
            </w:r>
            <w:r w:rsidR="006643B4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ate </w:t>
            </w:r>
            <w:r w:rsidR="001452EF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rate</w:t>
            </w:r>
            <w:r w:rsidR="009D78CB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 plus</w:t>
            </w:r>
            <w:r w:rsidR="00D94669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9D78CB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1%</w:t>
            </w:r>
            <w:r w:rsidR="00D0375C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D94669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municipal </w:t>
            </w:r>
            <w:r w:rsidR="001452EF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rate</w:t>
            </w:r>
            <w:r w:rsidR="00DB2823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00D94669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D0375C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is charged on</w:t>
            </w:r>
            <w:r w:rsidR="00103D7D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all </w:t>
            </w:r>
            <w:r w:rsidR="00173627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supplies of </w:t>
            </w:r>
            <w:r w:rsidR="00103D7D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taxable items/services</w:t>
            </w:r>
            <w:r w:rsidR="009D6EAC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 but</w:t>
            </w:r>
            <w:r w:rsidR="00B63AA7" w:rsidRPr="00993B87">
              <w:rPr>
                <w:rFonts w:ascii="Calibri" w:hAnsi="Calibri" w:cs="Calibri"/>
                <w:sz w:val="22"/>
                <w:szCs w:val="22"/>
              </w:rPr>
              <w:t xml:space="preserve"> certain </w:t>
            </w:r>
            <w:r w:rsidR="00081E34" w:rsidRPr="00993B87">
              <w:rPr>
                <w:rFonts w:ascii="Calibri" w:hAnsi="Calibri" w:cs="Calibri"/>
                <w:sz w:val="22"/>
                <w:szCs w:val="22"/>
              </w:rPr>
              <w:t>business to business</w:t>
            </w:r>
            <w:r w:rsidR="00B63AA7" w:rsidRPr="00993B87">
              <w:rPr>
                <w:rFonts w:ascii="Calibri" w:hAnsi="Calibri" w:cs="Calibri"/>
                <w:sz w:val="22"/>
                <w:szCs w:val="22"/>
              </w:rPr>
              <w:t xml:space="preserve"> and professional services</w:t>
            </w:r>
            <w:r w:rsidR="009D6EAC" w:rsidRPr="00993B87">
              <w:rPr>
                <w:rFonts w:ascii="Calibri" w:hAnsi="Calibri" w:cs="Calibri"/>
                <w:sz w:val="22"/>
                <w:szCs w:val="22"/>
              </w:rPr>
              <w:t xml:space="preserve"> are subject to a 4% rate</w:t>
            </w:r>
            <w:r w:rsidR="00FB2B69" w:rsidRPr="00993B87">
              <w:rPr>
                <w:rFonts w:ascii="Calibri" w:hAnsi="Calibri" w:cs="Calibri"/>
                <w:sz w:val="22"/>
                <w:szCs w:val="22"/>
              </w:rPr>
              <w:t>.</w:t>
            </w:r>
            <w:r w:rsidR="00B63AA7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V</w:t>
            </w:r>
            <w:r w:rsidR="00103D7D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arious exemption</w:t>
            </w:r>
            <w:r w:rsidR="00B63AA7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 apply</w:t>
            </w:r>
            <w:r w:rsidR="00FD2092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(</w:t>
            </w:r>
            <w:hyperlink r:id="rId67" w:history="1">
              <w:r w:rsidRPr="00993B87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proofErr w:type="gramStart"/>
              <w:r w:rsidRPr="00993B87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04.</w:t>
              </w:r>
              <w:r w:rsidR="00605CDD" w:rsidRPr="00993B87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E.</w:t>
              </w:r>
              <w:proofErr w:type="gramEnd"/>
            </w:hyperlink>
            <w:r w:rsidR="00605CDD" w:rsidRPr="00993B8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  <w:p w14:paraId="77E12E2B" w14:textId="77777777" w:rsidR="00C630E2" w:rsidRDefault="00C630E2" w:rsidP="00C630E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96E16E2" w14:textId="0A36EAFA" w:rsidR="006C2FF5" w:rsidRPr="00993B87" w:rsidRDefault="009367EC" w:rsidP="00C630E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93B87">
              <w:rPr>
                <w:rFonts w:ascii="Calibri" w:hAnsi="Calibri" w:cs="Calibri"/>
                <w:sz w:val="22"/>
                <w:szCs w:val="22"/>
              </w:rPr>
              <w:t xml:space="preserve">All merchants </w:t>
            </w:r>
            <w:r w:rsidR="00CB39A9" w:rsidRPr="00993B87">
              <w:rPr>
                <w:rFonts w:ascii="Calibri" w:hAnsi="Calibri" w:cs="Calibri"/>
                <w:sz w:val="22"/>
                <w:szCs w:val="22"/>
              </w:rPr>
              <w:t xml:space="preserve">with a trade or business in Puerto Rico must be </w:t>
            </w:r>
            <w:r w:rsidRPr="00993B87">
              <w:rPr>
                <w:rFonts w:ascii="Calibri" w:hAnsi="Calibri" w:cs="Calibri"/>
                <w:sz w:val="22"/>
                <w:szCs w:val="22"/>
              </w:rPr>
              <w:t>register</w:t>
            </w:r>
            <w:r w:rsidR="002F0537" w:rsidRPr="00993B87">
              <w:rPr>
                <w:rFonts w:ascii="Calibri" w:hAnsi="Calibri" w:cs="Calibri"/>
                <w:sz w:val="22"/>
                <w:szCs w:val="22"/>
              </w:rPr>
              <w:t>ed for SUT</w:t>
            </w:r>
            <w:r w:rsidR="00484EF9" w:rsidRPr="00993B87">
              <w:rPr>
                <w:rFonts w:ascii="Calibri" w:hAnsi="Calibri" w:cs="Calibri"/>
                <w:sz w:val="22"/>
                <w:szCs w:val="22"/>
              </w:rPr>
              <w:t>.</w:t>
            </w:r>
            <w:r w:rsidR="002F0537" w:rsidRPr="00993B87">
              <w:t xml:space="preserve"> </w:t>
            </w:r>
            <w:r w:rsidR="00B01F55" w:rsidRPr="00993B87">
              <w:rPr>
                <w:rFonts w:ascii="Calibri" w:hAnsi="Calibri" w:cs="Calibri"/>
                <w:sz w:val="22"/>
                <w:szCs w:val="22"/>
              </w:rPr>
              <w:t>(</w:t>
            </w:r>
            <w:hyperlink r:id="rId68" w:anchor="section(7)_0" w:history="1">
              <w:r w:rsidR="00B01F55" w:rsidRPr="00993B87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Section </w:t>
              </w:r>
              <w:r w:rsidRPr="00993B87">
                <w:rPr>
                  <w:rStyle w:val="Hyperlink"/>
                  <w:rFonts w:ascii="Calibri" w:hAnsi="Calibri" w:cs="Calibri"/>
                  <w:sz w:val="22"/>
                  <w:szCs w:val="22"/>
                </w:rPr>
                <w:t>04.E.7.</w:t>
              </w:r>
            </w:hyperlink>
            <w:r w:rsidRPr="00993B8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6C2FF5" w14:paraId="60A2B908" w14:textId="77777777" w:rsidTr="008F4122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852D2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Digital services tax 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E4E68" w14:textId="365442C2" w:rsidR="006C2FF5" w:rsidRPr="00D30828" w:rsidRDefault="00D30828" w:rsidP="00BE268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</w:t>
            </w:r>
            <w:r w:rsidRPr="002C123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 digital services tax as such, but d</w:t>
            </w:r>
            <w:r w:rsidR="00E577E4"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igital </w:t>
            </w:r>
            <w:r w:rsidR="00CB3DF7"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goods and </w:t>
            </w:r>
            <w:r w:rsidR="00E577E4"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services </w:t>
            </w:r>
            <w:r w:rsidR="00CB3DF7"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are</w:t>
            </w:r>
            <w:r w:rsidR="00E577E4"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993B87"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‘</w:t>
            </w:r>
            <w:r w:rsidR="00CB3DF7"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taxable items</w:t>
            </w:r>
            <w:r w:rsidR="00993B87"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’</w:t>
            </w:r>
            <w:r w:rsidR="00CB3DF7"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E577E4"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subject to </w:t>
            </w:r>
            <w:r w:rsidR="007C6708"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SUT</w:t>
            </w:r>
            <w:r w:rsidR="00E577E4"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(see above)</w:t>
            </w:r>
            <w:r w:rsidR="006C2FF5"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 </w:t>
            </w:r>
            <w:r w:rsidR="009E2B89"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69" w:anchor="section(3)_0" w:history="1">
              <w:r w:rsidR="00305769" w:rsidRPr="009D1B3F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009D1B3F" w:rsidRPr="009D1B3F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04.E.3.</w:t>
              </w:r>
            </w:hyperlink>
            <w:r w:rsidR="003114AB" w:rsidRPr="00D3082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</w:tc>
      </w:tr>
      <w:tr w:rsidR="006C2FF5" w14:paraId="0FB7ADA5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14C29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Local taxes 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4C80A" w14:textId="7B3E0CA2" w:rsidR="00CD1A1D" w:rsidRDefault="006858B3" w:rsidP="006F6D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00142269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t>P</w:t>
            </w:r>
            <w:r w:rsidR="00044F89" w:rsidRPr="00142269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t>ersonal</w:t>
            </w:r>
            <w:r w:rsidR="0096591D" w:rsidRPr="00142269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t xml:space="preserve"> </w:t>
            </w:r>
            <w:r w:rsidR="00544D99" w:rsidRPr="00142269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t>property tax</w:t>
            </w:r>
            <w:r w:rsidR="00544D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: </w:t>
            </w:r>
            <w:r w:rsidR="00EF65E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every</w:t>
            </w:r>
            <w:r w:rsidR="00CD1A1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corporation</w:t>
            </w:r>
            <w:r w:rsidR="00EF65E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i</w:t>
            </w:r>
            <w:r w:rsidR="00CD1A1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s subject to </w:t>
            </w:r>
            <w:r w:rsidR="00D82AA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an </w:t>
            </w:r>
            <w:r w:rsidR="00CD1A1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annual </w:t>
            </w:r>
            <w:r w:rsidR="00D459D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tax on </w:t>
            </w:r>
            <w:r w:rsidR="0099474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the appraised value of </w:t>
            </w:r>
            <w:r w:rsidR="00D459D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all </w:t>
            </w:r>
            <w:r w:rsidR="00A4576E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personal </w:t>
            </w:r>
            <w:r w:rsidR="00CD1A1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property </w:t>
            </w:r>
            <w:r w:rsidR="00D459D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used in</w:t>
            </w:r>
            <w:r w:rsidR="00D82AA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EF65E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its</w:t>
            </w:r>
            <w:r w:rsidR="00D82AA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Puerto Rico trade or business </w:t>
            </w:r>
            <w:r w:rsidR="00CD1A1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based on rates ranging from </w:t>
            </w:r>
            <w:r w:rsidR="00D82AA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5.80% to 9.83%</w:t>
            </w:r>
            <w:r w:rsidR="006C2FF5" w:rsidRPr="00BE268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182ECA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6C2FF5" w:rsidRPr="00BE268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70" w:anchor="section(1)_0" w:history="1">
              <w:r w:rsidR="00182ECA" w:rsidRPr="00AD044B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00AD044B" w:rsidRPr="00AD044B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04.I.</w:t>
              </w:r>
            </w:hyperlink>
            <w:r w:rsidR="00182ECA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) </w:t>
            </w:r>
          </w:p>
          <w:p w14:paraId="665AB5A7" w14:textId="77777777" w:rsidR="006F6DEE" w:rsidRDefault="006F6DEE" w:rsidP="006F6D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</w:pPr>
          </w:p>
          <w:p w14:paraId="5AC6DC7B" w14:textId="1C8646E6" w:rsidR="004801D5" w:rsidRPr="004801D5" w:rsidRDefault="004801D5" w:rsidP="006F6D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004801D5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t>Real property tax</w:t>
            </w:r>
            <w:r w:rsidRPr="004801D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:</w:t>
            </w:r>
            <w:r w:rsidR="00EC5918" w:rsidRPr="004801D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A4576E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every corporation is subject to an annual tax on </w:t>
            </w:r>
            <w:r w:rsidR="0099474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the </w:t>
            </w:r>
            <w:r w:rsidR="005B6F1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1957 </w:t>
            </w:r>
            <w:r w:rsidR="0025419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hyp</w:t>
            </w:r>
            <w:r w:rsidR="003A7B1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othetical fair market value</w:t>
            </w:r>
            <w:r w:rsidR="008860D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3A7B1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of its </w:t>
            </w:r>
            <w:r w:rsidR="00A4576E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real property </w:t>
            </w:r>
            <w:r w:rsidR="003A7B1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in</w:t>
            </w:r>
            <w:r w:rsidR="00A4576E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Puerto Rico based on rates ranging from </w:t>
            </w:r>
            <w:r w:rsidR="00052FE1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8</w:t>
            </w:r>
            <w:r w:rsidR="00A4576E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.0</w:t>
            </w:r>
            <w:r w:rsidR="00052FE1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3</w:t>
            </w:r>
            <w:r w:rsidR="00A4576E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% to </w:t>
            </w:r>
            <w:r w:rsidR="00052FE1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11</w:t>
            </w:r>
            <w:r w:rsidR="00A4576E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.83%</w:t>
            </w:r>
            <w:r w:rsidR="00A4576E" w:rsidRPr="00BE268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. </w:t>
            </w:r>
            <w:r w:rsidR="00044F89" w:rsidRPr="004801D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Pr="004801D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71" w:tgtFrame="_blank" w:history="1">
              <w:r w:rsidRPr="004801D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 xml:space="preserve">Section </w:t>
              </w:r>
              <w:proofErr w:type="gramStart"/>
              <w:r w:rsidRPr="004801D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04.I.</w:t>
              </w:r>
              <w:proofErr w:type="gramEnd"/>
            </w:hyperlink>
            <w:r w:rsidRPr="004801D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  <w:p w14:paraId="464893E9" w14:textId="77777777" w:rsidR="00426B3B" w:rsidRDefault="00426B3B" w:rsidP="00426B3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FF39C16" w14:textId="0A397005" w:rsidR="006C2FF5" w:rsidRPr="00044F89" w:rsidRDefault="004801D5" w:rsidP="00426B3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4801D5">
              <w:rPr>
                <w:rFonts w:ascii="Calibri" w:hAnsi="Calibri" w:cs="Calibri"/>
                <w:sz w:val="22"/>
                <w:szCs w:val="22"/>
                <w:u w:val="single"/>
              </w:rPr>
              <w:t>Municipal license tax</w:t>
            </w:r>
            <w:r w:rsidRPr="004801D5">
              <w:rPr>
                <w:rFonts w:ascii="Calibri" w:hAnsi="Calibri" w:cs="Calibri"/>
                <w:sz w:val="22"/>
                <w:szCs w:val="22"/>
              </w:rPr>
              <w:t>:</w:t>
            </w:r>
            <w:r w:rsidR="002A29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1CF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every corporation is subject to an annual</w:t>
            </w:r>
            <w:r w:rsidR="006410BE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municipal license tax based </w:t>
            </w:r>
            <w:proofErr w:type="gramStart"/>
            <w:r w:rsidR="006410BE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on  volume</w:t>
            </w:r>
            <w:proofErr w:type="gramEnd"/>
            <w:r w:rsidR="006410BE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of business</w:t>
            </w:r>
            <w:r w:rsidR="00DC104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D13D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in terms of gross income </w:t>
            </w:r>
            <w:r w:rsidR="00DC104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at maximum rates of </w:t>
            </w:r>
            <w:r w:rsidR="00B9641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0.5% for non-financial businesses </w:t>
            </w:r>
            <w:r w:rsidR="00DF4D63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and 1.5% for financial services </w:t>
            </w:r>
            <w:r w:rsidR="00D13D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firms.</w:t>
            </w:r>
            <w:r w:rsidRPr="004801D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4F89" w:rsidRPr="004801D5">
              <w:rPr>
                <w:rFonts w:ascii="Calibri" w:hAnsi="Calibri" w:cs="Calibri"/>
                <w:sz w:val="22"/>
                <w:szCs w:val="22"/>
              </w:rPr>
              <w:t>(</w:t>
            </w:r>
            <w:hyperlink r:id="rId72" w:tgtFrame="_blank" w:history="1">
              <w:r w:rsidR="006C2FF5" w:rsidRPr="004801D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 xml:space="preserve">Section </w:t>
              </w:r>
              <w:r w:rsidR="00800C4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04</w:t>
              </w:r>
              <w:r w:rsidR="006C2FF5" w:rsidRPr="004801D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  <w:r w:rsidR="00800C4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J</w:t>
              </w:r>
              <w:r w:rsidR="006C2FF5" w:rsidRPr="004801D5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</w:hyperlink>
            <w:r w:rsidR="00DD293B" w:rsidRPr="004801D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006C2FF5" w:rsidRPr="00044F89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0B23C4ED" w14:textId="77777777" w:rsidTr="00331FC7">
        <w:trPr>
          <w:trHeight w:val="300"/>
        </w:trPr>
        <w:tc>
          <w:tcPr>
            <w:tcW w:w="1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14:paraId="148D4885" w14:textId="77777777" w:rsidR="006C2FF5" w:rsidRPr="00BE2689" w:rsidRDefault="006C2FF5" w:rsidP="00BE2689">
            <w:pPr>
              <w:pStyle w:val="paragraph"/>
              <w:spacing w:before="120" w:beforeAutospacing="0" w:after="120" w:afterAutospacing="0"/>
              <w:textAlignment w:val="baseline"/>
            </w:pPr>
            <w:r w:rsidRPr="00BE2689">
              <w:rPr>
                <w:rStyle w:val="normaltextrun"/>
                <w:rFonts w:ascii="Calibri" w:eastAsiaTheme="majorEastAsia" w:hAnsi="Calibri" w:cs="Calibri"/>
                <w:b/>
                <w:bCs/>
                <w:color w:val="FFFFFF"/>
                <w:sz w:val="28"/>
                <w:szCs w:val="28"/>
              </w:rPr>
              <w:t>Administrative</w:t>
            </w:r>
            <w:r w:rsidRPr="00BE2689">
              <w:rPr>
                <w:rStyle w:val="eop"/>
                <w:rFonts w:ascii="Calibri" w:eastAsiaTheme="majorEastAsia" w:hAnsi="Calibri" w:cs="Calibri"/>
                <w:color w:val="FFFFFF"/>
                <w:sz w:val="28"/>
                <w:szCs w:val="28"/>
              </w:rPr>
              <w:t> </w:t>
            </w:r>
          </w:p>
        </w:tc>
      </w:tr>
      <w:tr w:rsidR="006C2FF5" w14:paraId="46B1DD05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66AD2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Standard tax return filing dates 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CF95F" w14:textId="1FF8E10C" w:rsidR="006C2FF5" w:rsidRPr="00153D90" w:rsidRDefault="006C2FF5" w:rsidP="00332531">
            <w:pPr>
              <w:pStyle w:val="paragraph"/>
              <w:spacing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t>Corporations</w:t>
            </w:r>
            <w:r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: </w:t>
            </w:r>
            <w:r w:rsidR="00B5429C"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by</w:t>
            </w:r>
            <w:r w:rsidR="00170D45"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B83478"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the </w:t>
            </w:r>
            <w:r w:rsidR="00B9183A"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15th</w:t>
            </w:r>
            <w:r w:rsidR="00B5429C"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B9183A"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day of the fourth month </w:t>
            </w:r>
            <w:r w:rsidR="008E395C"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following the </w:t>
            </w:r>
            <w:r w:rsidR="00B9183A"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close of </w:t>
            </w:r>
            <w:r w:rsidR="00B83312"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the</w:t>
            </w:r>
            <w:r w:rsidR="008E395C"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tax year</w:t>
            </w:r>
            <w:r w:rsidR="00131DBC">
              <w:rPr>
                <w:rStyle w:val="eop"/>
                <w:rFonts w:eastAsiaTheme="majorEastAsia"/>
              </w:rPr>
              <w:t xml:space="preserve">. </w:t>
            </w:r>
            <w:r w:rsidR="00B37A7F"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73" w:anchor="section(10)(10)(b)_0" w:history="1">
              <w:r w:rsidR="00B37A7F" w:rsidRPr="00153D90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</w:t>
              </w:r>
            </w:hyperlink>
            <w:r w:rsidR="00B37A7F" w:rsidRPr="00153D90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 xml:space="preserve"> 0</w:t>
            </w:r>
            <w:r w:rsidR="005467AF" w:rsidRPr="00153D90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>5</w:t>
            </w:r>
            <w:r w:rsidR="00B37A7F" w:rsidRPr="00153D90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>.</w:t>
            </w:r>
            <w:r w:rsidR="005467AF" w:rsidRPr="00153D90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>B</w:t>
            </w:r>
            <w:r w:rsidR="00B37A7F" w:rsidRPr="00153D90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>.</w:t>
            </w:r>
            <w:r w:rsidR="005467AF" w:rsidRPr="00153D90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>10.b.</w:t>
            </w:r>
            <w:r w:rsidR="00B37A7F"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00521C32" w:rsidRPr="00153D90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</w:p>
          <w:p w14:paraId="4B58A0B7" w14:textId="77777777" w:rsidR="00332531" w:rsidRDefault="00332531" w:rsidP="003325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</w:pPr>
          </w:p>
          <w:p w14:paraId="16C60B72" w14:textId="39A6B41D" w:rsidR="006C2FF5" w:rsidRPr="00153D90" w:rsidRDefault="006C2FF5" w:rsidP="0033253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lastRenderedPageBreak/>
              <w:t>Individuals</w:t>
            </w:r>
            <w:r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: </w:t>
            </w:r>
            <w:r w:rsidR="008E395C"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by April 15</w:t>
            </w:r>
            <w:r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 (</w:t>
            </w:r>
            <w:hyperlink r:id="rId74" w:anchor="section(2)_0" w:history="1">
              <w:r w:rsidRPr="00153D90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</w:t>
              </w:r>
            </w:hyperlink>
            <w:r w:rsidRPr="00153D90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 xml:space="preserve"> </w:t>
            </w:r>
            <w:r w:rsidR="00B37A7F" w:rsidRPr="00153D90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>10</w:t>
            </w:r>
            <w:r w:rsidRPr="00153D90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>.</w:t>
            </w:r>
            <w:r w:rsidR="00B37A7F" w:rsidRPr="00153D90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>G.2.</w:t>
            </w:r>
            <w:r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</w:tc>
      </w:tr>
      <w:tr w:rsidR="006C2FF5" w14:paraId="605B26B3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8E308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lastRenderedPageBreak/>
              <w:t>Limitations period for assessment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A780F" w14:textId="12369F8B" w:rsidR="006C2FF5" w:rsidRPr="00153D90" w:rsidRDefault="00076155" w:rsidP="00FC36B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Up to 4 years from the date an original return is </w:t>
            </w:r>
            <w:proofErr w:type="gramStart"/>
            <w:r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filed</w:t>
            </w:r>
            <w:r w:rsidR="006C2FF5"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;</w:t>
            </w:r>
            <w:proofErr w:type="gramEnd"/>
          </w:p>
          <w:p w14:paraId="494DCDAD" w14:textId="715C246A" w:rsidR="001B5B28" w:rsidRPr="00153D90" w:rsidRDefault="00680CDA" w:rsidP="00FC36B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53D90">
              <w:rPr>
                <w:rFonts w:ascii="Calibri" w:hAnsi="Calibri" w:cs="Calibri"/>
                <w:sz w:val="22"/>
                <w:szCs w:val="22"/>
              </w:rPr>
              <w:t>U</w:t>
            </w:r>
            <w:r w:rsidR="001B5B28" w:rsidRPr="00153D90">
              <w:rPr>
                <w:rFonts w:ascii="Calibri" w:hAnsi="Calibri" w:cs="Calibri"/>
                <w:sz w:val="22"/>
                <w:szCs w:val="22"/>
              </w:rPr>
              <w:t xml:space="preserve">p to 6 years </w:t>
            </w:r>
            <w:r w:rsidR="00482D6E" w:rsidRPr="00153D90">
              <w:rPr>
                <w:rFonts w:ascii="Calibri" w:hAnsi="Calibri" w:cs="Calibri"/>
                <w:sz w:val="22"/>
                <w:szCs w:val="22"/>
              </w:rPr>
              <w:t xml:space="preserve">where </w:t>
            </w:r>
            <w:r w:rsidR="001567E3" w:rsidRPr="00153D90">
              <w:rPr>
                <w:rFonts w:ascii="Calibri" w:hAnsi="Calibri" w:cs="Calibri"/>
                <w:sz w:val="22"/>
                <w:szCs w:val="22"/>
              </w:rPr>
              <w:t>taxable</w:t>
            </w:r>
            <w:r w:rsidR="00482D6E" w:rsidRPr="00153D90">
              <w:rPr>
                <w:rFonts w:ascii="Calibri" w:hAnsi="Calibri" w:cs="Calibri"/>
                <w:sz w:val="22"/>
                <w:szCs w:val="22"/>
              </w:rPr>
              <w:t xml:space="preserve"> income of more than 25% of the gross income reported </w:t>
            </w:r>
            <w:r w:rsidR="001567E3" w:rsidRPr="00153D90">
              <w:rPr>
                <w:rFonts w:ascii="Calibri" w:hAnsi="Calibri" w:cs="Calibri"/>
                <w:sz w:val="22"/>
                <w:szCs w:val="22"/>
              </w:rPr>
              <w:t>was</w:t>
            </w:r>
            <w:r w:rsidR="00482D6E" w:rsidRPr="00153D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482D6E" w:rsidRPr="00153D90">
              <w:rPr>
                <w:rFonts w:ascii="Calibri" w:hAnsi="Calibri" w:cs="Calibri"/>
                <w:sz w:val="22"/>
                <w:szCs w:val="22"/>
              </w:rPr>
              <w:t>omitted;</w:t>
            </w:r>
            <w:proofErr w:type="gramEnd"/>
          </w:p>
          <w:p w14:paraId="25BCE8DD" w14:textId="711BA95F" w:rsidR="00B83478" w:rsidRPr="006771DB" w:rsidRDefault="00324118" w:rsidP="00FC36B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771D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Ind</w:t>
            </w:r>
            <w:r w:rsidR="00545425" w:rsidRPr="006771D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e</w:t>
            </w:r>
            <w:r w:rsidRPr="006771D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finite </w:t>
            </w:r>
            <w:r w:rsidR="006C2FF5" w:rsidRPr="006771D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where </w:t>
            </w:r>
            <w:r w:rsidR="00131DBC" w:rsidRPr="006771D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no return or </w:t>
            </w:r>
            <w:r w:rsidR="00545425" w:rsidRPr="006771D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 false or </w:t>
            </w:r>
            <w:r w:rsidR="008C180B" w:rsidRPr="006771D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fraud</w:t>
            </w:r>
            <w:r w:rsidR="00545425" w:rsidRPr="006771D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ulent</w:t>
            </w:r>
            <w:r w:rsidR="008C180B" w:rsidRPr="006771D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131DBC" w:rsidRPr="006771D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return </w:t>
            </w:r>
            <w:r w:rsidR="00545425" w:rsidRPr="006771D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is filed</w:t>
            </w:r>
            <w:r w:rsidR="006C2FF5" w:rsidRPr="006771D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927387" w:rsidRPr="006771D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</w:p>
          <w:p w14:paraId="7A9279E4" w14:textId="7484CD17" w:rsidR="006C2FF5" w:rsidRPr="002E5BCF" w:rsidRDefault="00927387" w:rsidP="00B8347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75" w:anchor="section(10)(10)(a)_0" w:history="1">
              <w:r w:rsidR="00FC36B8" w:rsidRPr="00153D90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Sections 05.B.10a.</w:t>
              </w:r>
            </w:hyperlink>
            <w:r w:rsidR="00FC36B8"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and </w:t>
            </w:r>
            <w:hyperlink r:id="rId76" w:anchor="section(1)_0" w:history="1">
              <w:r w:rsidRPr="00153D90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X.G.</w:t>
              </w:r>
              <w:r w:rsidR="00FB2BDB" w:rsidRPr="00153D90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1</w:t>
              </w:r>
              <w:r w:rsidR="00FB2BDB" w:rsidRPr="00153D90">
                <w:rPr>
                  <w:rStyle w:val="Hyperlink"/>
                  <w:rFonts w:eastAsiaTheme="majorEastAsia"/>
                </w:rPr>
                <w:t>.</w:t>
              </w:r>
            </w:hyperlink>
            <w:r w:rsidR="00FB2BDB" w:rsidRPr="00153D90">
              <w:rPr>
                <w:rStyle w:val="normaltextrun"/>
                <w:rFonts w:eastAsiaTheme="majorEastAsia"/>
              </w:rPr>
              <w:t>)</w:t>
            </w:r>
            <w:r w:rsidR="006C2FF5"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 </w:t>
            </w:r>
            <w:r w:rsidR="006C2FF5" w:rsidRPr="00153D90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551AFDCD" w14:textId="77777777" w:rsidTr="00331FC7">
        <w:trPr>
          <w:trHeight w:val="300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87912" w14:textId="77777777" w:rsidR="006C2FF5" w:rsidRPr="000E1916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E1916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Advance tax rulings </w:t>
            </w:r>
            <w:r w:rsidRPr="000E1916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96B6D" w14:textId="14593E22" w:rsidR="006C2FF5" w:rsidRPr="00153D90" w:rsidRDefault="006C2FF5" w:rsidP="00BE2689">
            <w:pPr>
              <w:pStyle w:val="paragraph"/>
              <w:spacing w:before="0" w:beforeAutospacing="0" w:after="0" w:afterAutospacing="0"/>
              <w:textAlignment w:val="baseline"/>
            </w:pPr>
            <w:r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Yes. (</w:t>
            </w:r>
            <w:hyperlink r:id="rId77" w:anchor="section(13)_0" w:tgtFrame="_blank" w:history="1">
              <w:r w:rsidRPr="00153D90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 xml:space="preserve">Section </w:t>
              </w:r>
              <w:r w:rsidR="002476B4" w:rsidRPr="00153D90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05.B.13</w:t>
              </w:r>
              <w:r w:rsidR="00A66CE7" w:rsidRPr="00153D90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.</w:t>
              </w:r>
            </w:hyperlink>
            <w:r w:rsidRPr="00153D9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Pr="00153D90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</w:tbl>
    <w:p w14:paraId="69C9A591" w14:textId="2E657C7A" w:rsidR="00505A7A" w:rsidRDefault="00505A7A" w:rsidP="00BE2689">
      <w:r>
        <w:t xml:space="preserve"> </w:t>
      </w:r>
    </w:p>
    <w:sectPr w:rsidR="00505A7A" w:rsidSect="00DF12CA">
      <w:headerReference w:type="default" r:id="rId7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AA13" w14:textId="77777777" w:rsidR="000F6006" w:rsidRDefault="000F6006" w:rsidP="006C2FF5">
      <w:pPr>
        <w:spacing w:after="0" w:line="240" w:lineRule="auto"/>
      </w:pPr>
      <w:r>
        <w:separator/>
      </w:r>
    </w:p>
  </w:endnote>
  <w:endnote w:type="continuationSeparator" w:id="0">
    <w:p w14:paraId="581AADFA" w14:textId="77777777" w:rsidR="000F6006" w:rsidRDefault="000F6006" w:rsidP="006C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B3D5" w14:textId="77777777" w:rsidR="000F6006" w:rsidRDefault="000F6006" w:rsidP="006C2FF5">
      <w:pPr>
        <w:spacing w:after="0" w:line="240" w:lineRule="auto"/>
      </w:pPr>
      <w:r>
        <w:separator/>
      </w:r>
    </w:p>
  </w:footnote>
  <w:footnote w:type="continuationSeparator" w:id="0">
    <w:p w14:paraId="221F458C" w14:textId="77777777" w:rsidR="000F6006" w:rsidRDefault="000F6006" w:rsidP="006C2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4795" w14:textId="21942461" w:rsidR="006C2FF5" w:rsidRPr="006C2FF5" w:rsidRDefault="003D695A" w:rsidP="006C2FF5">
    <w:pPr>
      <w:pStyle w:val="paragraph"/>
      <w:spacing w:before="0" w:beforeAutospacing="0" w:after="160" w:afterAutospacing="0"/>
      <w:textAlignment w:val="baseline"/>
    </w:pPr>
    <w:r>
      <w:rPr>
        <w:rStyle w:val="normaltextrun"/>
        <w:rFonts w:ascii="Calibri" w:eastAsiaTheme="majorEastAsia" w:hAnsi="Calibri" w:cs="Calibri"/>
        <w:b/>
        <w:bCs/>
        <w:sz w:val="32"/>
        <w:szCs w:val="32"/>
      </w:rPr>
      <w:t xml:space="preserve">Puerto Rico </w:t>
    </w:r>
    <w:r w:rsidR="006C2FF5">
      <w:rPr>
        <w:rStyle w:val="normaltextrun"/>
        <w:rFonts w:ascii="Calibri" w:eastAsiaTheme="majorEastAsia" w:hAnsi="Calibri" w:cs="Calibri"/>
        <w:b/>
        <w:bCs/>
        <w:sz w:val="32"/>
        <w:szCs w:val="32"/>
      </w:rPr>
      <w:t>– Tax System Overview</w:t>
    </w:r>
    <w:r w:rsidR="006C2FF5">
      <w:rPr>
        <w:rStyle w:val="eop"/>
        <w:rFonts w:ascii="Calibri" w:eastAsiaTheme="majorEastAsia" w:hAnsi="Calibri" w:cs="Calibri"/>
        <w:sz w:val="32"/>
        <w:szCs w:val="3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09C"/>
    <w:multiLevelType w:val="hybridMultilevel"/>
    <w:tmpl w:val="10D05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6370E"/>
    <w:multiLevelType w:val="multilevel"/>
    <w:tmpl w:val="85DCE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82DA6"/>
    <w:multiLevelType w:val="multilevel"/>
    <w:tmpl w:val="E4AE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910A2"/>
    <w:multiLevelType w:val="hybridMultilevel"/>
    <w:tmpl w:val="9BE42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669EA"/>
    <w:multiLevelType w:val="multilevel"/>
    <w:tmpl w:val="2344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97457"/>
    <w:multiLevelType w:val="hybridMultilevel"/>
    <w:tmpl w:val="6D62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A6DEB"/>
    <w:multiLevelType w:val="multilevel"/>
    <w:tmpl w:val="417E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D1847"/>
    <w:multiLevelType w:val="multilevel"/>
    <w:tmpl w:val="06C0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C7062"/>
    <w:multiLevelType w:val="multilevel"/>
    <w:tmpl w:val="452E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73349"/>
    <w:multiLevelType w:val="hybridMultilevel"/>
    <w:tmpl w:val="7A0C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F5322"/>
    <w:multiLevelType w:val="multilevel"/>
    <w:tmpl w:val="FA60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B2A1B"/>
    <w:multiLevelType w:val="multilevel"/>
    <w:tmpl w:val="EB2A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60124"/>
    <w:multiLevelType w:val="hybridMultilevel"/>
    <w:tmpl w:val="096260D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3D5B0251"/>
    <w:multiLevelType w:val="multilevel"/>
    <w:tmpl w:val="2DB4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ED6027"/>
    <w:multiLevelType w:val="multilevel"/>
    <w:tmpl w:val="F1D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D4766C"/>
    <w:multiLevelType w:val="hybridMultilevel"/>
    <w:tmpl w:val="DCCE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E2BAA"/>
    <w:multiLevelType w:val="hybridMultilevel"/>
    <w:tmpl w:val="33882FF8"/>
    <w:lvl w:ilvl="0" w:tplc="3AD6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7697B"/>
    <w:multiLevelType w:val="hybridMultilevel"/>
    <w:tmpl w:val="C760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55A4D"/>
    <w:multiLevelType w:val="hybridMultilevel"/>
    <w:tmpl w:val="FC82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524A0"/>
    <w:multiLevelType w:val="hybridMultilevel"/>
    <w:tmpl w:val="75B2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E279F"/>
    <w:multiLevelType w:val="multilevel"/>
    <w:tmpl w:val="805E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E02407"/>
    <w:multiLevelType w:val="hybridMultilevel"/>
    <w:tmpl w:val="B5E6D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B09E1"/>
    <w:multiLevelType w:val="multilevel"/>
    <w:tmpl w:val="717A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3334D4"/>
    <w:multiLevelType w:val="hybridMultilevel"/>
    <w:tmpl w:val="E67C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A6EDF"/>
    <w:multiLevelType w:val="hybridMultilevel"/>
    <w:tmpl w:val="3BEEA39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607C2EEE"/>
    <w:multiLevelType w:val="multilevel"/>
    <w:tmpl w:val="45A4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0E2758"/>
    <w:multiLevelType w:val="hybridMultilevel"/>
    <w:tmpl w:val="D210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62360"/>
    <w:multiLevelType w:val="hybridMultilevel"/>
    <w:tmpl w:val="B0BC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26895"/>
    <w:multiLevelType w:val="hybridMultilevel"/>
    <w:tmpl w:val="F234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47FBA"/>
    <w:multiLevelType w:val="hybridMultilevel"/>
    <w:tmpl w:val="94E6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95A77"/>
    <w:multiLevelType w:val="hybridMultilevel"/>
    <w:tmpl w:val="8DAEEE7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77F65CF9"/>
    <w:multiLevelType w:val="multilevel"/>
    <w:tmpl w:val="22F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0A75D9"/>
    <w:multiLevelType w:val="multilevel"/>
    <w:tmpl w:val="CD2C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AF1EBF"/>
    <w:multiLevelType w:val="hybridMultilevel"/>
    <w:tmpl w:val="7B50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63E1C"/>
    <w:multiLevelType w:val="hybridMultilevel"/>
    <w:tmpl w:val="D88E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398542">
    <w:abstractNumId w:val="20"/>
  </w:num>
  <w:num w:numId="2" w16cid:durableId="562790083">
    <w:abstractNumId w:val="6"/>
  </w:num>
  <w:num w:numId="3" w16cid:durableId="230162432">
    <w:abstractNumId w:val="8"/>
  </w:num>
  <w:num w:numId="4" w16cid:durableId="1050153657">
    <w:abstractNumId w:val="13"/>
  </w:num>
  <w:num w:numId="5" w16cid:durableId="1050883735">
    <w:abstractNumId w:val="2"/>
  </w:num>
  <w:num w:numId="6" w16cid:durableId="669524404">
    <w:abstractNumId w:val="1"/>
  </w:num>
  <w:num w:numId="7" w16cid:durableId="2103143047">
    <w:abstractNumId w:val="25"/>
  </w:num>
  <w:num w:numId="8" w16cid:durableId="285165141">
    <w:abstractNumId w:val="11"/>
  </w:num>
  <w:num w:numId="9" w16cid:durableId="608704609">
    <w:abstractNumId w:val="14"/>
  </w:num>
  <w:num w:numId="10" w16cid:durableId="1551576261">
    <w:abstractNumId w:val="32"/>
  </w:num>
  <w:num w:numId="11" w16cid:durableId="2062049385">
    <w:abstractNumId w:val="7"/>
  </w:num>
  <w:num w:numId="12" w16cid:durableId="1714425478">
    <w:abstractNumId w:val="10"/>
  </w:num>
  <w:num w:numId="13" w16cid:durableId="1496261675">
    <w:abstractNumId w:val="4"/>
  </w:num>
  <w:num w:numId="14" w16cid:durableId="987396690">
    <w:abstractNumId w:val="28"/>
  </w:num>
  <w:num w:numId="15" w16cid:durableId="2128890350">
    <w:abstractNumId w:val="26"/>
  </w:num>
  <w:num w:numId="16" w16cid:durableId="2006014665">
    <w:abstractNumId w:val="3"/>
  </w:num>
  <w:num w:numId="17" w16cid:durableId="1783108552">
    <w:abstractNumId w:val="5"/>
  </w:num>
  <w:num w:numId="18" w16cid:durableId="1959988185">
    <w:abstractNumId w:val="17"/>
  </w:num>
  <w:num w:numId="19" w16cid:durableId="1471945673">
    <w:abstractNumId w:val="9"/>
  </w:num>
  <w:num w:numId="20" w16cid:durableId="163671349">
    <w:abstractNumId w:val="23"/>
  </w:num>
  <w:num w:numId="21" w16cid:durableId="1623148264">
    <w:abstractNumId w:val="33"/>
  </w:num>
  <w:num w:numId="22" w16cid:durableId="1107428994">
    <w:abstractNumId w:val="24"/>
  </w:num>
  <w:num w:numId="23" w16cid:durableId="333534853">
    <w:abstractNumId w:val="30"/>
  </w:num>
  <w:num w:numId="24" w16cid:durableId="326566427">
    <w:abstractNumId w:val="29"/>
  </w:num>
  <w:num w:numId="25" w16cid:durableId="893390396">
    <w:abstractNumId w:val="12"/>
  </w:num>
  <w:num w:numId="26" w16cid:durableId="2009745098">
    <w:abstractNumId w:val="31"/>
  </w:num>
  <w:num w:numId="27" w16cid:durableId="1867865142">
    <w:abstractNumId w:val="15"/>
  </w:num>
  <w:num w:numId="28" w16cid:durableId="305665600">
    <w:abstractNumId w:val="21"/>
  </w:num>
  <w:num w:numId="29" w16cid:durableId="1727953142">
    <w:abstractNumId w:val="22"/>
  </w:num>
  <w:num w:numId="30" w16cid:durableId="2104765358">
    <w:abstractNumId w:val="34"/>
  </w:num>
  <w:num w:numId="31" w16cid:durableId="1351562993">
    <w:abstractNumId w:val="0"/>
  </w:num>
  <w:num w:numId="32" w16cid:durableId="1592618323">
    <w:abstractNumId w:val="19"/>
  </w:num>
  <w:num w:numId="33" w16cid:durableId="129371341">
    <w:abstractNumId w:val="18"/>
  </w:num>
  <w:num w:numId="34" w16cid:durableId="27268990">
    <w:abstractNumId w:val="16"/>
  </w:num>
  <w:num w:numId="35" w16cid:durableId="2127406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F5"/>
    <w:rsid w:val="000022D0"/>
    <w:rsid w:val="000033BB"/>
    <w:rsid w:val="00003FF1"/>
    <w:rsid w:val="000053B0"/>
    <w:rsid w:val="000072CF"/>
    <w:rsid w:val="000119C5"/>
    <w:rsid w:val="00011F9A"/>
    <w:rsid w:val="00012796"/>
    <w:rsid w:val="00013E29"/>
    <w:rsid w:val="00014B1D"/>
    <w:rsid w:val="00015837"/>
    <w:rsid w:val="00020F0B"/>
    <w:rsid w:val="0002116B"/>
    <w:rsid w:val="0002156D"/>
    <w:rsid w:val="000256B0"/>
    <w:rsid w:val="0002599D"/>
    <w:rsid w:val="000259F6"/>
    <w:rsid w:val="0002635D"/>
    <w:rsid w:val="0004204F"/>
    <w:rsid w:val="00042341"/>
    <w:rsid w:val="00044AB2"/>
    <w:rsid w:val="00044F89"/>
    <w:rsid w:val="00050595"/>
    <w:rsid w:val="00051BA0"/>
    <w:rsid w:val="00051D42"/>
    <w:rsid w:val="00052FE1"/>
    <w:rsid w:val="00055380"/>
    <w:rsid w:val="00056D84"/>
    <w:rsid w:val="00056ED1"/>
    <w:rsid w:val="000579DF"/>
    <w:rsid w:val="000616B4"/>
    <w:rsid w:val="000623C1"/>
    <w:rsid w:val="000635D3"/>
    <w:rsid w:val="00072FBD"/>
    <w:rsid w:val="00074FEA"/>
    <w:rsid w:val="00076155"/>
    <w:rsid w:val="0007623D"/>
    <w:rsid w:val="00077475"/>
    <w:rsid w:val="00077677"/>
    <w:rsid w:val="000800B7"/>
    <w:rsid w:val="00081E34"/>
    <w:rsid w:val="00081E9C"/>
    <w:rsid w:val="00083A58"/>
    <w:rsid w:val="00085D2B"/>
    <w:rsid w:val="00090438"/>
    <w:rsid w:val="0009254C"/>
    <w:rsid w:val="000934A5"/>
    <w:rsid w:val="000958C9"/>
    <w:rsid w:val="00096FE8"/>
    <w:rsid w:val="000A01B5"/>
    <w:rsid w:val="000A04EF"/>
    <w:rsid w:val="000A241D"/>
    <w:rsid w:val="000A4660"/>
    <w:rsid w:val="000A587F"/>
    <w:rsid w:val="000A7089"/>
    <w:rsid w:val="000A77CE"/>
    <w:rsid w:val="000B1F21"/>
    <w:rsid w:val="000B5102"/>
    <w:rsid w:val="000B5E0E"/>
    <w:rsid w:val="000B7755"/>
    <w:rsid w:val="000C0029"/>
    <w:rsid w:val="000C0AD7"/>
    <w:rsid w:val="000C1E96"/>
    <w:rsid w:val="000C21B7"/>
    <w:rsid w:val="000C28B7"/>
    <w:rsid w:val="000C3359"/>
    <w:rsid w:val="000C38DD"/>
    <w:rsid w:val="000C4516"/>
    <w:rsid w:val="000C4BFB"/>
    <w:rsid w:val="000C5CBB"/>
    <w:rsid w:val="000C6D10"/>
    <w:rsid w:val="000D0AF5"/>
    <w:rsid w:val="000D0E45"/>
    <w:rsid w:val="000D1B9B"/>
    <w:rsid w:val="000D2FCA"/>
    <w:rsid w:val="000D669E"/>
    <w:rsid w:val="000E1916"/>
    <w:rsid w:val="000E2986"/>
    <w:rsid w:val="000E33A0"/>
    <w:rsid w:val="000E3F73"/>
    <w:rsid w:val="000E5A0B"/>
    <w:rsid w:val="000F0047"/>
    <w:rsid w:val="000F0674"/>
    <w:rsid w:val="000F445F"/>
    <w:rsid w:val="000F54B2"/>
    <w:rsid w:val="000F6006"/>
    <w:rsid w:val="000F6AA3"/>
    <w:rsid w:val="000F7D43"/>
    <w:rsid w:val="001014F7"/>
    <w:rsid w:val="00103D7D"/>
    <w:rsid w:val="00105660"/>
    <w:rsid w:val="0010630F"/>
    <w:rsid w:val="00107224"/>
    <w:rsid w:val="00110DFC"/>
    <w:rsid w:val="001125A9"/>
    <w:rsid w:val="0011482F"/>
    <w:rsid w:val="00114C24"/>
    <w:rsid w:val="001165D5"/>
    <w:rsid w:val="00123279"/>
    <w:rsid w:val="00131DBC"/>
    <w:rsid w:val="00132D18"/>
    <w:rsid w:val="0013453A"/>
    <w:rsid w:val="00137948"/>
    <w:rsid w:val="00142269"/>
    <w:rsid w:val="001452EF"/>
    <w:rsid w:val="0015080F"/>
    <w:rsid w:val="00151506"/>
    <w:rsid w:val="00153D90"/>
    <w:rsid w:val="001547D4"/>
    <w:rsid w:val="001548C6"/>
    <w:rsid w:val="00154FB1"/>
    <w:rsid w:val="0015548F"/>
    <w:rsid w:val="00155AD6"/>
    <w:rsid w:val="001567E3"/>
    <w:rsid w:val="00160A48"/>
    <w:rsid w:val="001623E9"/>
    <w:rsid w:val="00162913"/>
    <w:rsid w:val="00166B95"/>
    <w:rsid w:val="00170D45"/>
    <w:rsid w:val="00171435"/>
    <w:rsid w:val="001722FE"/>
    <w:rsid w:val="00173627"/>
    <w:rsid w:val="00174AAD"/>
    <w:rsid w:val="0017603D"/>
    <w:rsid w:val="0018144A"/>
    <w:rsid w:val="00181D95"/>
    <w:rsid w:val="00182ECA"/>
    <w:rsid w:val="001831C5"/>
    <w:rsid w:val="00183448"/>
    <w:rsid w:val="00183DA9"/>
    <w:rsid w:val="00190A50"/>
    <w:rsid w:val="0019255E"/>
    <w:rsid w:val="001927E6"/>
    <w:rsid w:val="00192DFB"/>
    <w:rsid w:val="00193032"/>
    <w:rsid w:val="0019518E"/>
    <w:rsid w:val="001A65D9"/>
    <w:rsid w:val="001B5B28"/>
    <w:rsid w:val="001B5EBF"/>
    <w:rsid w:val="001B66B4"/>
    <w:rsid w:val="001B7279"/>
    <w:rsid w:val="001C18E6"/>
    <w:rsid w:val="001C3E93"/>
    <w:rsid w:val="001C59FE"/>
    <w:rsid w:val="001D0529"/>
    <w:rsid w:val="001D08C7"/>
    <w:rsid w:val="001D269A"/>
    <w:rsid w:val="001D5A56"/>
    <w:rsid w:val="001D5C0C"/>
    <w:rsid w:val="001D6F45"/>
    <w:rsid w:val="001E57B7"/>
    <w:rsid w:val="001F1BFA"/>
    <w:rsid w:val="001F2AD6"/>
    <w:rsid w:val="001F31E8"/>
    <w:rsid w:val="001F498A"/>
    <w:rsid w:val="001F4A9B"/>
    <w:rsid w:val="00203EF3"/>
    <w:rsid w:val="00205781"/>
    <w:rsid w:val="0020718C"/>
    <w:rsid w:val="00211B31"/>
    <w:rsid w:val="00214A77"/>
    <w:rsid w:val="002156AD"/>
    <w:rsid w:val="00215DD2"/>
    <w:rsid w:val="002229D7"/>
    <w:rsid w:val="00224FDA"/>
    <w:rsid w:val="0022784A"/>
    <w:rsid w:val="00233DAA"/>
    <w:rsid w:val="002344AB"/>
    <w:rsid w:val="002363AC"/>
    <w:rsid w:val="00236441"/>
    <w:rsid w:val="00241134"/>
    <w:rsid w:val="00243354"/>
    <w:rsid w:val="002476B4"/>
    <w:rsid w:val="00250BA2"/>
    <w:rsid w:val="00252C02"/>
    <w:rsid w:val="0025381B"/>
    <w:rsid w:val="00254196"/>
    <w:rsid w:val="002565F7"/>
    <w:rsid w:val="0025678C"/>
    <w:rsid w:val="0025697C"/>
    <w:rsid w:val="00257A87"/>
    <w:rsid w:val="0026230F"/>
    <w:rsid w:val="00263640"/>
    <w:rsid w:val="00264330"/>
    <w:rsid w:val="00264733"/>
    <w:rsid w:val="00266ACD"/>
    <w:rsid w:val="00266DA1"/>
    <w:rsid w:val="0027022C"/>
    <w:rsid w:val="002704B0"/>
    <w:rsid w:val="002720DF"/>
    <w:rsid w:val="00272D52"/>
    <w:rsid w:val="00273A59"/>
    <w:rsid w:val="00274449"/>
    <w:rsid w:val="00276CCB"/>
    <w:rsid w:val="0028072B"/>
    <w:rsid w:val="00281285"/>
    <w:rsid w:val="00282A44"/>
    <w:rsid w:val="00282AE0"/>
    <w:rsid w:val="002849BD"/>
    <w:rsid w:val="002859BD"/>
    <w:rsid w:val="00286318"/>
    <w:rsid w:val="00287A76"/>
    <w:rsid w:val="00290041"/>
    <w:rsid w:val="002941BC"/>
    <w:rsid w:val="00296C2D"/>
    <w:rsid w:val="002A29D9"/>
    <w:rsid w:val="002A45C8"/>
    <w:rsid w:val="002B01C0"/>
    <w:rsid w:val="002B026E"/>
    <w:rsid w:val="002B12C5"/>
    <w:rsid w:val="002B1929"/>
    <w:rsid w:val="002B2E38"/>
    <w:rsid w:val="002B4C69"/>
    <w:rsid w:val="002B59D4"/>
    <w:rsid w:val="002C0607"/>
    <w:rsid w:val="002C1232"/>
    <w:rsid w:val="002C2F56"/>
    <w:rsid w:val="002C6100"/>
    <w:rsid w:val="002C6620"/>
    <w:rsid w:val="002C7A8D"/>
    <w:rsid w:val="002D0B92"/>
    <w:rsid w:val="002D1314"/>
    <w:rsid w:val="002D1E82"/>
    <w:rsid w:val="002D2134"/>
    <w:rsid w:val="002D24B3"/>
    <w:rsid w:val="002D3C19"/>
    <w:rsid w:val="002D3D12"/>
    <w:rsid w:val="002D7262"/>
    <w:rsid w:val="002E1658"/>
    <w:rsid w:val="002E19B2"/>
    <w:rsid w:val="002E1E68"/>
    <w:rsid w:val="002E32EC"/>
    <w:rsid w:val="002E37AE"/>
    <w:rsid w:val="002E56C3"/>
    <w:rsid w:val="002E5BCF"/>
    <w:rsid w:val="002E730A"/>
    <w:rsid w:val="002E7F23"/>
    <w:rsid w:val="002F0537"/>
    <w:rsid w:val="002F0AC9"/>
    <w:rsid w:val="002F1CD8"/>
    <w:rsid w:val="002F4E96"/>
    <w:rsid w:val="002F7855"/>
    <w:rsid w:val="00300F6F"/>
    <w:rsid w:val="00303824"/>
    <w:rsid w:val="003043A0"/>
    <w:rsid w:val="00305769"/>
    <w:rsid w:val="003107CD"/>
    <w:rsid w:val="003114AB"/>
    <w:rsid w:val="00312CC5"/>
    <w:rsid w:val="00313564"/>
    <w:rsid w:val="00317107"/>
    <w:rsid w:val="0032065B"/>
    <w:rsid w:val="003211DD"/>
    <w:rsid w:val="00324118"/>
    <w:rsid w:val="00325527"/>
    <w:rsid w:val="00325E2C"/>
    <w:rsid w:val="0033104D"/>
    <w:rsid w:val="00331FC7"/>
    <w:rsid w:val="00332531"/>
    <w:rsid w:val="00333005"/>
    <w:rsid w:val="003340BE"/>
    <w:rsid w:val="00343D79"/>
    <w:rsid w:val="00344737"/>
    <w:rsid w:val="003449BA"/>
    <w:rsid w:val="00345F53"/>
    <w:rsid w:val="0035295D"/>
    <w:rsid w:val="00354C97"/>
    <w:rsid w:val="00354CA3"/>
    <w:rsid w:val="00355037"/>
    <w:rsid w:val="003624F0"/>
    <w:rsid w:val="00362D5C"/>
    <w:rsid w:val="0036407B"/>
    <w:rsid w:val="0036500C"/>
    <w:rsid w:val="00365E1A"/>
    <w:rsid w:val="003676B9"/>
    <w:rsid w:val="00373800"/>
    <w:rsid w:val="003811EF"/>
    <w:rsid w:val="0038504F"/>
    <w:rsid w:val="003859E1"/>
    <w:rsid w:val="00386384"/>
    <w:rsid w:val="003878AE"/>
    <w:rsid w:val="003909F9"/>
    <w:rsid w:val="003920C2"/>
    <w:rsid w:val="003935C4"/>
    <w:rsid w:val="00396A11"/>
    <w:rsid w:val="003977AD"/>
    <w:rsid w:val="00397EAF"/>
    <w:rsid w:val="003A2788"/>
    <w:rsid w:val="003A295A"/>
    <w:rsid w:val="003A6852"/>
    <w:rsid w:val="003A7B15"/>
    <w:rsid w:val="003B1DC9"/>
    <w:rsid w:val="003B783E"/>
    <w:rsid w:val="003C433C"/>
    <w:rsid w:val="003C43AA"/>
    <w:rsid w:val="003C51D5"/>
    <w:rsid w:val="003D1A76"/>
    <w:rsid w:val="003D3CC1"/>
    <w:rsid w:val="003D6910"/>
    <w:rsid w:val="003D695A"/>
    <w:rsid w:val="003E4170"/>
    <w:rsid w:val="003E41FF"/>
    <w:rsid w:val="003E63A6"/>
    <w:rsid w:val="003F42D5"/>
    <w:rsid w:val="003F490E"/>
    <w:rsid w:val="003F6515"/>
    <w:rsid w:val="003F7D2D"/>
    <w:rsid w:val="00411C81"/>
    <w:rsid w:val="0041395D"/>
    <w:rsid w:val="00415EBD"/>
    <w:rsid w:val="004223C9"/>
    <w:rsid w:val="00423A4B"/>
    <w:rsid w:val="00425006"/>
    <w:rsid w:val="00426B3B"/>
    <w:rsid w:val="004275CE"/>
    <w:rsid w:val="00430BC7"/>
    <w:rsid w:val="0043233D"/>
    <w:rsid w:val="00432E66"/>
    <w:rsid w:val="00435DC8"/>
    <w:rsid w:val="00437323"/>
    <w:rsid w:val="00437469"/>
    <w:rsid w:val="004375E6"/>
    <w:rsid w:val="00437C6C"/>
    <w:rsid w:val="00440A02"/>
    <w:rsid w:val="00440E37"/>
    <w:rsid w:val="004425C5"/>
    <w:rsid w:val="00451385"/>
    <w:rsid w:val="0045543D"/>
    <w:rsid w:val="0045758C"/>
    <w:rsid w:val="00457C06"/>
    <w:rsid w:val="004608E0"/>
    <w:rsid w:val="0046154B"/>
    <w:rsid w:val="0046351A"/>
    <w:rsid w:val="00463D87"/>
    <w:rsid w:val="00464702"/>
    <w:rsid w:val="00466980"/>
    <w:rsid w:val="00467FDC"/>
    <w:rsid w:val="0047311A"/>
    <w:rsid w:val="00477234"/>
    <w:rsid w:val="004801D5"/>
    <w:rsid w:val="004802F2"/>
    <w:rsid w:val="00480D6F"/>
    <w:rsid w:val="00480E0F"/>
    <w:rsid w:val="004810B0"/>
    <w:rsid w:val="00482D6E"/>
    <w:rsid w:val="00483F34"/>
    <w:rsid w:val="00484EF9"/>
    <w:rsid w:val="004905B3"/>
    <w:rsid w:val="00491121"/>
    <w:rsid w:val="0049237E"/>
    <w:rsid w:val="00492ADA"/>
    <w:rsid w:val="00493645"/>
    <w:rsid w:val="00494004"/>
    <w:rsid w:val="00496D07"/>
    <w:rsid w:val="00497B5E"/>
    <w:rsid w:val="004A042D"/>
    <w:rsid w:val="004A1AEB"/>
    <w:rsid w:val="004B1C37"/>
    <w:rsid w:val="004C102C"/>
    <w:rsid w:val="004C211E"/>
    <w:rsid w:val="004C33B4"/>
    <w:rsid w:val="004C3EC4"/>
    <w:rsid w:val="004C3EF3"/>
    <w:rsid w:val="004D00FF"/>
    <w:rsid w:val="004D2CBD"/>
    <w:rsid w:val="004D6C4F"/>
    <w:rsid w:val="004E3021"/>
    <w:rsid w:val="004E6F8A"/>
    <w:rsid w:val="004F1074"/>
    <w:rsid w:val="004F37AA"/>
    <w:rsid w:val="004F3BED"/>
    <w:rsid w:val="004F7731"/>
    <w:rsid w:val="004F7C43"/>
    <w:rsid w:val="0050050F"/>
    <w:rsid w:val="00501086"/>
    <w:rsid w:val="005028A3"/>
    <w:rsid w:val="0050357C"/>
    <w:rsid w:val="00505A7A"/>
    <w:rsid w:val="00506D56"/>
    <w:rsid w:val="00507027"/>
    <w:rsid w:val="00512046"/>
    <w:rsid w:val="00514188"/>
    <w:rsid w:val="00515E45"/>
    <w:rsid w:val="00517AC5"/>
    <w:rsid w:val="00520224"/>
    <w:rsid w:val="00521C32"/>
    <w:rsid w:val="00523092"/>
    <w:rsid w:val="005243E7"/>
    <w:rsid w:val="00524569"/>
    <w:rsid w:val="005254AC"/>
    <w:rsid w:val="005343AA"/>
    <w:rsid w:val="00536C06"/>
    <w:rsid w:val="00541BC8"/>
    <w:rsid w:val="0054245B"/>
    <w:rsid w:val="005425CF"/>
    <w:rsid w:val="00543B45"/>
    <w:rsid w:val="0054422B"/>
    <w:rsid w:val="00544D99"/>
    <w:rsid w:val="00545425"/>
    <w:rsid w:val="005454F6"/>
    <w:rsid w:val="005455A1"/>
    <w:rsid w:val="00545ACC"/>
    <w:rsid w:val="00545E18"/>
    <w:rsid w:val="005467AF"/>
    <w:rsid w:val="00547905"/>
    <w:rsid w:val="005537F8"/>
    <w:rsid w:val="00553A6B"/>
    <w:rsid w:val="00556F60"/>
    <w:rsid w:val="005608F9"/>
    <w:rsid w:val="00564F06"/>
    <w:rsid w:val="00565361"/>
    <w:rsid w:val="00567206"/>
    <w:rsid w:val="005676B3"/>
    <w:rsid w:val="00571A85"/>
    <w:rsid w:val="00572596"/>
    <w:rsid w:val="00572A08"/>
    <w:rsid w:val="005753AF"/>
    <w:rsid w:val="0057558A"/>
    <w:rsid w:val="0057636D"/>
    <w:rsid w:val="00577100"/>
    <w:rsid w:val="00580159"/>
    <w:rsid w:val="005834CD"/>
    <w:rsid w:val="005836E5"/>
    <w:rsid w:val="005836FF"/>
    <w:rsid w:val="00584E2C"/>
    <w:rsid w:val="00587C35"/>
    <w:rsid w:val="00590642"/>
    <w:rsid w:val="00590B9D"/>
    <w:rsid w:val="00594B2E"/>
    <w:rsid w:val="00594F4D"/>
    <w:rsid w:val="005A352E"/>
    <w:rsid w:val="005A58DD"/>
    <w:rsid w:val="005B1085"/>
    <w:rsid w:val="005B3F2A"/>
    <w:rsid w:val="005B6F18"/>
    <w:rsid w:val="005B7C46"/>
    <w:rsid w:val="005C27DD"/>
    <w:rsid w:val="005C477E"/>
    <w:rsid w:val="005C4CAE"/>
    <w:rsid w:val="005C6949"/>
    <w:rsid w:val="005C749D"/>
    <w:rsid w:val="005D2419"/>
    <w:rsid w:val="005D6545"/>
    <w:rsid w:val="005E17A5"/>
    <w:rsid w:val="005E5E84"/>
    <w:rsid w:val="005E612A"/>
    <w:rsid w:val="005E6E6B"/>
    <w:rsid w:val="005E72CD"/>
    <w:rsid w:val="005F016E"/>
    <w:rsid w:val="005F7BB0"/>
    <w:rsid w:val="00601451"/>
    <w:rsid w:val="006041FA"/>
    <w:rsid w:val="00605A03"/>
    <w:rsid w:val="00605CDD"/>
    <w:rsid w:val="006074FE"/>
    <w:rsid w:val="00610648"/>
    <w:rsid w:val="0061289B"/>
    <w:rsid w:val="00612DFF"/>
    <w:rsid w:val="00613730"/>
    <w:rsid w:val="00614017"/>
    <w:rsid w:val="0061561F"/>
    <w:rsid w:val="006171EC"/>
    <w:rsid w:val="006238A3"/>
    <w:rsid w:val="00633428"/>
    <w:rsid w:val="006362FA"/>
    <w:rsid w:val="006364CC"/>
    <w:rsid w:val="006366FA"/>
    <w:rsid w:val="00636E9B"/>
    <w:rsid w:val="006370A6"/>
    <w:rsid w:val="00637143"/>
    <w:rsid w:val="00640C79"/>
    <w:rsid w:val="006410BE"/>
    <w:rsid w:val="006460D7"/>
    <w:rsid w:val="006478F0"/>
    <w:rsid w:val="00651BD5"/>
    <w:rsid w:val="00651BD8"/>
    <w:rsid w:val="006533C3"/>
    <w:rsid w:val="00654293"/>
    <w:rsid w:val="00655D5B"/>
    <w:rsid w:val="006565C7"/>
    <w:rsid w:val="00660F35"/>
    <w:rsid w:val="006611B8"/>
    <w:rsid w:val="00662728"/>
    <w:rsid w:val="00663D1C"/>
    <w:rsid w:val="006643B4"/>
    <w:rsid w:val="00667612"/>
    <w:rsid w:val="006718A9"/>
    <w:rsid w:val="00674E22"/>
    <w:rsid w:val="006750C9"/>
    <w:rsid w:val="0067555D"/>
    <w:rsid w:val="0067588E"/>
    <w:rsid w:val="00675EA4"/>
    <w:rsid w:val="006771DB"/>
    <w:rsid w:val="00677E11"/>
    <w:rsid w:val="00680CDA"/>
    <w:rsid w:val="00681111"/>
    <w:rsid w:val="006839E9"/>
    <w:rsid w:val="00684C56"/>
    <w:rsid w:val="006858B3"/>
    <w:rsid w:val="0068681B"/>
    <w:rsid w:val="00687179"/>
    <w:rsid w:val="00687C23"/>
    <w:rsid w:val="006918DA"/>
    <w:rsid w:val="00694A66"/>
    <w:rsid w:val="00695B80"/>
    <w:rsid w:val="00695F25"/>
    <w:rsid w:val="00696422"/>
    <w:rsid w:val="006A180E"/>
    <w:rsid w:val="006A35AF"/>
    <w:rsid w:val="006B5DF6"/>
    <w:rsid w:val="006B60AF"/>
    <w:rsid w:val="006B624C"/>
    <w:rsid w:val="006B67DA"/>
    <w:rsid w:val="006B6B6D"/>
    <w:rsid w:val="006B754E"/>
    <w:rsid w:val="006B7F0B"/>
    <w:rsid w:val="006C0B08"/>
    <w:rsid w:val="006C1060"/>
    <w:rsid w:val="006C1946"/>
    <w:rsid w:val="006C2FF5"/>
    <w:rsid w:val="006C6D0A"/>
    <w:rsid w:val="006D36F1"/>
    <w:rsid w:val="006D56C0"/>
    <w:rsid w:val="006D7E70"/>
    <w:rsid w:val="006F0F82"/>
    <w:rsid w:val="006F1FDD"/>
    <w:rsid w:val="006F6DEE"/>
    <w:rsid w:val="006F7B09"/>
    <w:rsid w:val="00701E31"/>
    <w:rsid w:val="007024F4"/>
    <w:rsid w:val="00702D58"/>
    <w:rsid w:val="00704BD0"/>
    <w:rsid w:val="007077F9"/>
    <w:rsid w:val="00713855"/>
    <w:rsid w:val="00717CDF"/>
    <w:rsid w:val="00721103"/>
    <w:rsid w:val="0072134E"/>
    <w:rsid w:val="0072200E"/>
    <w:rsid w:val="00726955"/>
    <w:rsid w:val="00727136"/>
    <w:rsid w:val="00736397"/>
    <w:rsid w:val="00737DDE"/>
    <w:rsid w:val="007412F7"/>
    <w:rsid w:val="0074638D"/>
    <w:rsid w:val="007477C2"/>
    <w:rsid w:val="00753BFF"/>
    <w:rsid w:val="0075415E"/>
    <w:rsid w:val="007619B5"/>
    <w:rsid w:val="007634C9"/>
    <w:rsid w:val="0076511E"/>
    <w:rsid w:val="00767700"/>
    <w:rsid w:val="00767F20"/>
    <w:rsid w:val="0077129E"/>
    <w:rsid w:val="00771B6F"/>
    <w:rsid w:val="007723CB"/>
    <w:rsid w:val="0077608A"/>
    <w:rsid w:val="00776281"/>
    <w:rsid w:val="00777B13"/>
    <w:rsid w:val="00777DA1"/>
    <w:rsid w:val="00781227"/>
    <w:rsid w:val="0078361D"/>
    <w:rsid w:val="00787161"/>
    <w:rsid w:val="007909FE"/>
    <w:rsid w:val="00791AAE"/>
    <w:rsid w:val="007922BB"/>
    <w:rsid w:val="00793D59"/>
    <w:rsid w:val="007965AC"/>
    <w:rsid w:val="00796822"/>
    <w:rsid w:val="007A2221"/>
    <w:rsid w:val="007A476D"/>
    <w:rsid w:val="007A4D69"/>
    <w:rsid w:val="007A4F7A"/>
    <w:rsid w:val="007A53CA"/>
    <w:rsid w:val="007A5EFD"/>
    <w:rsid w:val="007B2658"/>
    <w:rsid w:val="007B545C"/>
    <w:rsid w:val="007C0AB4"/>
    <w:rsid w:val="007C4501"/>
    <w:rsid w:val="007C4CBC"/>
    <w:rsid w:val="007C4D74"/>
    <w:rsid w:val="007C6708"/>
    <w:rsid w:val="007C6BB4"/>
    <w:rsid w:val="007C6C7C"/>
    <w:rsid w:val="007C6DBD"/>
    <w:rsid w:val="007D1BB5"/>
    <w:rsid w:val="007D44E1"/>
    <w:rsid w:val="007D4EA9"/>
    <w:rsid w:val="007D4EF1"/>
    <w:rsid w:val="007D56A3"/>
    <w:rsid w:val="007E04BA"/>
    <w:rsid w:val="007E176B"/>
    <w:rsid w:val="007E24EF"/>
    <w:rsid w:val="007E25E6"/>
    <w:rsid w:val="007E2873"/>
    <w:rsid w:val="007E3F44"/>
    <w:rsid w:val="007F0890"/>
    <w:rsid w:val="007F101D"/>
    <w:rsid w:val="007F1A8F"/>
    <w:rsid w:val="00800C45"/>
    <w:rsid w:val="00800DFF"/>
    <w:rsid w:val="00805C9A"/>
    <w:rsid w:val="00805DF8"/>
    <w:rsid w:val="00810DBA"/>
    <w:rsid w:val="00811183"/>
    <w:rsid w:val="00811C4E"/>
    <w:rsid w:val="00814715"/>
    <w:rsid w:val="008175C0"/>
    <w:rsid w:val="00820A1F"/>
    <w:rsid w:val="00821533"/>
    <w:rsid w:val="00821889"/>
    <w:rsid w:val="00822980"/>
    <w:rsid w:val="00823F3D"/>
    <w:rsid w:val="00824945"/>
    <w:rsid w:val="00825309"/>
    <w:rsid w:val="008258C1"/>
    <w:rsid w:val="00825A20"/>
    <w:rsid w:val="00830714"/>
    <w:rsid w:val="0083175B"/>
    <w:rsid w:val="008329A3"/>
    <w:rsid w:val="008436C5"/>
    <w:rsid w:val="00844063"/>
    <w:rsid w:val="0084748F"/>
    <w:rsid w:val="00850C8E"/>
    <w:rsid w:val="00857C5C"/>
    <w:rsid w:val="0086164B"/>
    <w:rsid w:val="00861A08"/>
    <w:rsid w:val="00864CD6"/>
    <w:rsid w:val="008671C3"/>
    <w:rsid w:val="008678A5"/>
    <w:rsid w:val="00872F44"/>
    <w:rsid w:val="00873A72"/>
    <w:rsid w:val="00881CB0"/>
    <w:rsid w:val="008860DC"/>
    <w:rsid w:val="00893D59"/>
    <w:rsid w:val="008957BA"/>
    <w:rsid w:val="00896C37"/>
    <w:rsid w:val="008A001A"/>
    <w:rsid w:val="008A34EB"/>
    <w:rsid w:val="008B24B4"/>
    <w:rsid w:val="008B2B0F"/>
    <w:rsid w:val="008B4375"/>
    <w:rsid w:val="008B4F85"/>
    <w:rsid w:val="008B5027"/>
    <w:rsid w:val="008B62A0"/>
    <w:rsid w:val="008C15AD"/>
    <w:rsid w:val="008C180B"/>
    <w:rsid w:val="008C2ED5"/>
    <w:rsid w:val="008C3AFC"/>
    <w:rsid w:val="008C3E16"/>
    <w:rsid w:val="008C5713"/>
    <w:rsid w:val="008C7274"/>
    <w:rsid w:val="008C796D"/>
    <w:rsid w:val="008E1A9C"/>
    <w:rsid w:val="008E2AAB"/>
    <w:rsid w:val="008E356E"/>
    <w:rsid w:val="008E395C"/>
    <w:rsid w:val="008E4AF9"/>
    <w:rsid w:val="008F0AE9"/>
    <w:rsid w:val="008F2A85"/>
    <w:rsid w:val="008F4122"/>
    <w:rsid w:val="008F5A70"/>
    <w:rsid w:val="008F6C82"/>
    <w:rsid w:val="00901F6F"/>
    <w:rsid w:val="00904881"/>
    <w:rsid w:val="00904904"/>
    <w:rsid w:val="009059AD"/>
    <w:rsid w:val="00910DEC"/>
    <w:rsid w:val="00912F6E"/>
    <w:rsid w:val="009143A7"/>
    <w:rsid w:val="00915F6F"/>
    <w:rsid w:val="009217F5"/>
    <w:rsid w:val="00922F53"/>
    <w:rsid w:val="00924CAB"/>
    <w:rsid w:val="00926CCB"/>
    <w:rsid w:val="00927387"/>
    <w:rsid w:val="00927AEC"/>
    <w:rsid w:val="009315A6"/>
    <w:rsid w:val="00932CA1"/>
    <w:rsid w:val="0093324B"/>
    <w:rsid w:val="009367EC"/>
    <w:rsid w:val="009406D5"/>
    <w:rsid w:val="009408A8"/>
    <w:rsid w:val="009418F3"/>
    <w:rsid w:val="00946F61"/>
    <w:rsid w:val="00946F8F"/>
    <w:rsid w:val="00947521"/>
    <w:rsid w:val="00951B8E"/>
    <w:rsid w:val="0095359E"/>
    <w:rsid w:val="00953FB6"/>
    <w:rsid w:val="00953FF8"/>
    <w:rsid w:val="00955004"/>
    <w:rsid w:val="0095761C"/>
    <w:rsid w:val="00960497"/>
    <w:rsid w:val="00960B9D"/>
    <w:rsid w:val="00962797"/>
    <w:rsid w:val="009630BF"/>
    <w:rsid w:val="00964BC1"/>
    <w:rsid w:val="0096591D"/>
    <w:rsid w:val="0097075E"/>
    <w:rsid w:val="009719B9"/>
    <w:rsid w:val="00976E2A"/>
    <w:rsid w:val="00976FBD"/>
    <w:rsid w:val="00976FD1"/>
    <w:rsid w:val="009807C3"/>
    <w:rsid w:val="009821CD"/>
    <w:rsid w:val="00984CC5"/>
    <w:rsid w:val="00987F47"/>
    <w:rsid w:val="00993B13"/>
    <w:rsid w:val="00993B87"/>
    <w:rsid w:val="0099474F"/>
    <w:rsid w:val="00994DD2"/>
    <w:rsid w:val="00996493"/>
    <w:rsid w:val="0099783E"/>
    <w:rsid w:val="009B4BB9"/>
    <w:rsid w:val="009B6716"/>
    <w:rsid w:val="009C055E"/>
    <w:rsid w:val="009C0EC0"/>
    <w:rsid w:val="009C23A9"/>
    <w:rsid w:val="009C51EB"/>
    <w:rsid w:val="009C6133"/>
    <w:rsid w:val="009D1B3F"/>
    <w:rsid w:val="009D1E82"/>
    <w:rsid w:val="009D275F"/>
    <w:rsid w:val="009D2B40"/>
    <w:rsid w:val="009D4503"/>
    <w:rsid w:val="009D6EAC"/>
    <w:rsid w:val="009D6F46"/>
    <w:rsid w:val="009D78CB"/>
    <w:rsid w:val="009D7A84"/>
    <w:rsid w:val="009E2ACD"/>
    <w:rsid w:val="009E2B6E"/>
    <w:rsid w:val="009E2B89"/>
    <w:rsid w:val="009E2D5D"/>
    <w:rsid w:val="009E76B1"/>
    <w:rsid w:val="009F0CE0"/>
    <w:rsid w:val="009F3CBC"/>
    <w:rsid w:val="009F60C3"/>
    <w:rsid w:val="009F6710"/>
    <w:rsid w:val="00A03B9D"/>
    <w:rsid w:val="00A061F7"/>
    <w:rsid w:val="00A10A23"/>
    <w:rsid w:val="00A122D5"/>
    <w:rsid w:val="00A12C52"/>
    <w:rsid w:val="00A14B63"/>
    <w:rsid w:val="00A21133"/>
    <w:rsid w:val="00A248B9"/>
    <w:rsid w:val="00A262B0"/>
    <w:rsid w:val="00A27B03"/>
    <w:rsid w:val="00A27D44"/>
    <w:rsid w:val="00A32324"/>
    <w:rsid w:val="00A36B64"/>
    <w:rsid w:val="00A3762B"/>
    <w:rsid w:val="00A40D36"/>
    <w:rsid w:val="00A42718"/>
    <w:rsid w:val="00A4576E"/>
    <w:rsid w:val="00A45900"/>
    <w:rsid w:val="00A51330"/>
    <w:rsid w:val="00A5486A"/>
    <w:rsid w:val="00A5578A"/>
    <w:rsid w:val="00A56590"/>
    <w:rsid w:val="00A565ED"/>
    <w:rsid w:val="00A6393F"/>
    <w:rsid w:val="00A64D66"/>
    <w:rsid w:val="00A66CE7"/>
    <w:rsid w:val="00A66E04"/>
    <w:rsid w:val="00A74A06"/>
    <w:rsid w:val="00A74A8A"/>
    <w:rsid w:val="00A74E9B"/>
    <w:rsid w:val="00A76979"/>
    <w:rsid w:val="00A76AD9"/>
    <w:rsid w:val="00A76EEC"/>
    <w:rsid w:val="00A80A2E"/>
    <w:rsid w:val="00A80A67"/>
    <w:rsid w:val="00A80C09"/>
    <w:rsid w:val="00A84266"/>
    <w:rsid w:val="00A8480B"/>
    <w:rsid w:val="00A84AF0"/>
    <w:rsid w:val="00A84BEF"/>
    <w:rsid w:val="00A874CD"/>
    <w:rsid w:val="00A875D5"/>
    <w:rsid w:val="00A9334F"/>
    <w:rsid w:val="00A93E4B"/>
    <w:rsid w:val="00AA041A"/>
    <w:rsid w:val="00AA1CFB"/>
    <w:rsid w:val="00AA3373"/>
    <w:rsid w:val="00AA4365"/>
    <w:rsid w:val="00AA6003"/>
    <w:rsid w:val="00AB162D"/>
    <w:rsid w:val="00AB28B0"/>
    <w:rsid w:val="00AB2CB9"/>
    <w:rsid w:val="00AB43B8"/>
    <w:rsid w:val="00AB57A7"/>
    <w:rsid w:val="00AB5CF5"/>
    <w:rsid w:val="00AB7B71"/>
    <w:rsid w:val="00AC0CDE"/>
    <w:rsid w:val="00AC2E6A"/>
    <w:rsid w:val="00AC38A3"/>
    <w:rsid w:val="00AC48E0"/>
    <w:rsid w:val="00AC4A85"/>
    <w:rsid w:val="00AC7784"/>
    <w:rsid w:val="00AC7BFB"/>
    <w:rsid w:val="00AD044B"/>
    <w:rsid w:val="00AD49C3"/>
    <w:rsid w:val="00AD643E"/>
    <w:rsid w:val="00AE06BB"/>
    <w:rsid w:val="00AE0BC4"/>
    <w:rsid w:val="00AE3FBD"/>
    <w:rsid w:val="00AE484F"/>
    <w:rsid w:val="00AE4D10"/>
    <w:rsid w:val="00AE79BB"/>
    <w:rsid w:val="00AF0FF0"/>
    <w:rsid w:val="00AF25DB"/>
    <w:rsid w:val="00AF38A0"/>
    <w:rsid w:val="00AF4C8D"/>
    <w:rsid w:val="00AF6894"/>
    <w:rsid w:val="00AF6F15"/>
    <w:rsid w:val="00B00E14"/>
    <w:rsid w:val="00B015C8"/>
    <w:rsid w:val="00B01F55"/>
    <w:rsid w:val="00B05BBB"/>
    <w:rsid w:val="00B05E46"/>
    <w:rsid w:val="00B068C5"/>
    <w:rsid w:val="00B11169"/>
    <w:rsid w:val="00B133FC"/>
    <w:rsid w:val="00B16202"/>
    <w:rsid w:val="00B25176"/>
    <w:rsid w:val="00B263A3"/>
    <w:rsid w:val="00B271D1"/>
    <w:rsid w:val="00B3239F"/>
    <w:rsid w:val="00B33872"/>
    <w:rsid w:val="00B37A15"/>
    <w:rsid w:val="00B37A7F"/>
    <w:rsid w:val="00B414D5"/>
    <w:rsid w:val="00B42CEB"/>
    <w:rsid w:val="00B47D33"/>
    <w:rsid w:val="00B52FA1"/>
    <w:rsid w:val="00B5429C"/>
    <w:rsid w:val="00B62CB6"/>
    <w:rsid w:val="00B63AA7"/>
    <w:rsid w:val="00B66273"/>
    <w:rsid w:val="00B67317"/>
    <w:rsid w:val="00B722E1"/>
    <w:rsid w:val="00B77F93"/>
    <w:rsid w:val="00B819F1"/>
    <w:rsid w:val="00B83312"/>
    <w:rsid w:val="00B83478"/>
    <w:rsid w:val="00B85DFA"/>
    <w:rsid w:val="00B861FA"/>
    <w:rsid w:val="00B87B9F"/>
    <w:rsid w:val="00B9183A"/>
    <w:rsid w:val="00B95C84"/>
    <w:rsid w:val="00B9641F"/>
    <w:rsid w:val="00B971F3"/>
    <w:rsid w:val="00BA2153"/>
    <w:rsid w:val="00BA5FF9"/>
    <w:rsid w:val="00BA6F95"/>
    <w:rsid w:val="00BA7030"/>
    <w:rsid w:val="00BB0013"/>
    <w:rsid w:val="00BB0336"/>
    <w:rsid w:val="00BB37F1"/>
    <w:rsid w:val="00BB6782"/>
    <w:rsid w:val="00BC004F"/>
    <w:rsid w:val="00BC0330"/>
    <w:rsid w:val="00BC205B"/>
    <w:rsid w:val="00BC34FE"/>
    <w:rsid w:val="00BC4581"/>
    <w:rsid w:val="00BC493F"/>
    <w:rsid w:val="00BC4EB9"/>
    <w:rsid w:val="00BC50C4"/>
    <w:rsid w:val="00BD00CB"/>
    <w:rsid w:val="00BD5109"/>
    <w:rsid w:val="00BD5546"/>
    <w:rsid w:val="00BD7321"/>
    <w:rsid w:val="00BE0087"/>
    <w:rsid w:val="00BE1D0F"/>
    <w:rsid w:val="00BE2689"/>
    <w:rsid w:val="00BE26A2"/>
    <w:rsid w:val="00BE4E0E"/>
    <w:rsid w:val="00BE61B0"/>
    <w:rsid w:val="00BE64FA"/>
    <w:rsid w:val="00BF1DDF"/>
    <w:rsid w:val="00BF4D86"/>
    <w:rsid w:val="00C03A48"/>
    <w:rsid w:val="00C066A8"/>
    <w:rsid w:val="00C107ED"/>
    <w:rsid w:val="00C14035"/>
    <w:rsid w:val="00C14EDE"/>
    <w:rsid w:val="00C17AC3"/>
    <w:rsid w:val="00C20445"/>
    <w:rsid w:val="00C22316"/>
    <w:rsid w:val="00C274AF"/>
    <w:rsid w:val="00C3599D"/>
    <w:rsid w:val="00C404FA"/>
    <w:rsid w:val="00C42629"/>
    <w:rsid w:val="00C43048"/>
    <w:rsid w:val="00C452D5"/>
    <w:rsid w:val="00C45976"/>
    <w:rsid w:val="00C56052"/>
    <w:rsid w:val="00C5666B"/>
    <w:rsid w:val="00C57E01"/>
    <w:rsid w:val="00C62ED8"/>
    <w:rsid w:val="00C630E2"/>
    <w:rsid w:val="00C64749"/>
    <w:rsid w:val="00C65548"/>
    <w:rsid w:val="00C7047D"/>
    <w:rsid w:val="00C72C92"/>
    <w:rsid w:val="00C73181"/>
    <w:rsid w:val="00C732F4"/>
    <w:rsid w:val="00C73555"/>
    <w:rsid w:val="00C74F10"/>
    <w:rsid w:val="00C76F0F"/>
    <w:rsid w:val="00C778B0"/>
    <w:rsid w:val="00C80995"/>
    <w:rsid w:val="00C81875"/>
    <w:rsid w:val="00C82449"/>
    <w:rsid w:val="00C83DD0"/>
    <w:rsid w:val="00C85533"/>
    <w:rsid w:val="00C864DD"/>
    <w:rsid w:val="00C86FCD"/>
    <w:rsid w:val="00C8704D"/>
    <w:rsid w:val="00C87C99"/>
    <w:rsid w:val="00C87D08"/>
    <w:rsid w:val="00C91D31"/>
    <w:rsid w:val="00C91DCC"/>
    <w:rsid w:val="00C94377"/>
    <w:rsid w:val="00C95236"/>
    <w:rsid w:val="00C955B8"/>
    <w:rsid w:val="00C95616"/>
    <w:rsid w:val="00C95854"/>
    <w:rsid w:val="00CA1DBC"/>
    <w:rsid w:val="00CA229E"/>
    <w:rsid w:val="00CA32C1"/>
    <w:rsid w:val="00CA49CD"/>
    <w:rsid w:val="00CB0A02"/>
    <w:rsid w:val="00CB1381"/>
    <w:rsid w:val="00CB167E"/>
    <w:rsid w:val="00CB1B0D"/>
    <w:rsid w:val="00CB1C0A"/>
    <w:rsid w:val="00CB1FA4"/>
    <w:rsid w:val="00CB39A9"/>
    <w:rsid w:val="00CB3DF7"/>
    <w:rsid w:val="00CB6E83"/>
    <w:rsid w:val="00CC2F83"/>
    <w:rsid w:val="00CC3DF4"/>
    <w:rsid w:val="00CC686D"/>
    <w:rsid w:val="00CD1A1D"/>
    <w:rsid w:val="00CD24B1"/>
    <w:rsid w:val="00CD387E"/>
    <w:rsid w:val="00CD4C16"/>
    <w:rsid w:val="00CE3C7F"/>
    <w:rsid w:val="00CE4836"/>
    <w:rsid w:val="00CE512E"/>
    <w:rsid w:val="00CE6A6C"/>
    <w:rsid w:val="00CF09CC"/>
    <w:rsid w:val="00CF1D38"/>
    <w:rsid w:val="00CF25FA"/>
    <w:rsid w:val="00CF2CE2"/>
    <w:rsid w:val="00CF3117"/>
    <w:rsid w:val="00CF5D07"/>
    <w:rsid w:val="00CF60AC"/>
    <w:rsid w:val="00D00571"/>
    <w:rsid w:val="00D0375C"/>
    <w:rsid w:val="00D05647"/>
    <w:rsid w:val="00D07FF3"/>
    <w:rsid w:val="00D10AE1"/>
    <w:rsid w:val="00D10D1B"/>
    <w:rsid w:val="00D13D1C"/>
    <w:rsid w:val="00D14999"/>
    <w:rsid w:val="00D15046"/>
    <w:rsid w:val="00D157CC"/>
    <w:rsid w:val="00D160DA"/>
    <w:rsid w:val="00D2068B"/>
    <w:rsid w:val="00D24B30"/>
    <w:rsid w:val="00D26C5D"/>
    <w:rsid w:val="00D276AE"/>
    <w:rsid w:val="00D27E2B"/>
    <w:rsid w:val="00D30828"/>
    <w:rsid w:val="00D335D1"/>
    <w:rsid w:val="00D33F01"/>
    <w:rsid w:val="00D360D2"/>
    <w:rsid w:val="00D3640A"/>
    <w:rsid w:val="00D37326"/>
    <w:rsid w:val="00D401D1"/>
    <w:rsid w:val="00D41D3B"/>
    <w:rsid w:val="00D459DC"/>
    <w:rsid w:val="00D45C02"/>
    <w:rsid w:val="00D46A75"/>
    <w:rsid w:val="00D52D1A"/>
    <w:rsid w:val="00D53552"/>
    <w:rsid w:val="00D57A65"/>
    <w:rsid w:val="00D71C12"/>
    <w:rsid w:val="00D73594"/>
    <w:rsid w:val="00D76373"/>
    <w:rsid w:val="00D779CC"/>
    <w:rsid w:val="00D80BF7"/>
    <w:rsid w:val="00D81E58"/>
    <w:rsid w:val="00D82AA8"/>
    <w:rsid w:val="00D928A6"/>
    <w:rsid w:val="00D93E32"/>
    <w:rsid w:val="00D94669"/>
    <w:rsid w:val="00D978E7"/>
    <w:rsid w:val="00D97A1D"/>
    <w:rsid w:val="00D97A5F"/>
    <w:rsid w:val="00DA1BC7"/>
    <w:rsid w:val="00DA4685"/>
    <w:rsid w:val="00DA5443"/>
    <w:rsid w:val="00DA5E82"/>
    <w:rsid w:val="00DA60B8"/>
    <w:rsid w:val="00DB000E"/>
    <w:rsid w:val="00DB02C1"/>
    <w:rsid w:val="00DB2823"/>
    <w:rsid w:val="00DB4330"/>
    <w:rsid w:val="00DB43E8"/>
    <w:rsid w:val="00DB67B2"/>
    <w:rsid w:val="00DB68E0"/>
    <w:rsid w:val="00DC0732"/>
    <w:rsid w:val="00DC1042"/>
    <w:rsid w:val="00DC3293"/>
    <w:rsid w:val="00DC44C5"/>
    <w:rsid w:val="00DC511E"/>
    <w:rsid w:val="00DC5223"/>
    <w:rsid w:val="00DC5988"/>
    <w:rsid w:val="00DC681D"/>
    <w:rsid w:val="00DC6C59"/>
    <w:rsid w:val="00DC74AC"/>
    <w:rsid w:val="00DC799A"/>
    <w:rsid w:val="00DD0071"/>
    <w:rsid w:val="00DD13D9"/>
    <w:rsid w:val="00DD293B"/>
    <w:rsid w:val="00DD3738"/>
    <w:rsid w:val="00DD3C65"/>
    <w:rsid w:val="00DD4820"/>
    <w:rsid w:val="00DD5DF4"/>
    <w:rsid w:val="00DD708A"/>
    <w:rsid w:val="00DD7AD9"/>
    <w:rsid w:val="00DE26C3"/>
    <w:rsid w:val="00DE50FF"/>
    <w:rsid w:val="00DE58D6"/>
    <w:rsid w:val="00DF12CA"/>
    <w:rsid w:val="00DF4851"/>
    <w:rsid w:val="00DF4D63"/>
    <w:rsid w:val="00DF535E"/>
    <w:rsid w:val="00DF5E8C"/>
    <w:rsid w:val="00DF6CFD"/>
    <w:rsid w:val="00E0025E"/>
    <w:rsid w:val="00E017F0"/>
    <w:rsid w:val="00E02384"/>
    <w:rsid w:val="00E049DA"/>
    <w:rsid w:val="00E111FA"/>
    <w:rsid w:val="00E1457F"/>
    <w:rsid w:val="00E17550"/>
    <w:rsid w:val="00E20A79"/>
    <w:rsid w:val="00E20ED2"/>
    <w:rsid w:val="00E23110"/>
    <w:rsid w:val="00E24CA1"/>
    <w:rsid w:val="00E27DEA"/>
    <w:rsid w:val="00E30088"/>
    <w:rsid w:val="00E30417"/>
    <w:rsid w:val="00E31672"/>
    <w:rsid w:val="00E31C5B"/>
    <w:rsid w:val="00E34CB8"/>
    <w:rsid w:val="00E35884"/>
    <w:rsid w:val="00E36645"/>
    <w:rsid w:val="00E42EA4"/>
    <w:rsid w:val="00E45739"/>
    <w:rsid w:val="00E45850"/>
    <w:rsid w:val="00E46ACF"/>
    <w:rsid w:val="00E472F0"/>
    <w:rsid w:val="00E53D42"/>
    <w:rsid w:val="00E54A4B"/>
    <w:rsid w:val="00E5607F"/>
    <w:rsid w:val="00E577E4"/>
    <w:rsid w:val="00E60883"/>
    <w:rsid w:val="00E61482"/>
    <w:rsid w:val="00E6716D"/>
    <w:rsid w:val="00E7139A"/>
    <w:rsid w:val="00E73786"/>
    <w:rsid w:val="00E759A0"/>
    <w:rsid w:val="00E76B65"/>
    <w:rsid w:val="00E77FE0"/>
    <w:rsid w:val="00E80695"/>
    <w:rsid w:val="00E80B58"/>
    <w:rsid w:val="00E8213D"/>
    <w:rsid w:val="00E82F4B"/>
    <w:rsid w:val="00E83890"/>
    <w:rsid w:val="00E83C46"/>
    <w:rsid w:val="00E84BB4"/>
    <w:rsid w:val="00E85C99"/>
    <w:rsid w:val="00E9790F"/>
    <w:rsid w:val="00E97CBC"/>
    <w:rsid w:val="00EA2DE9"/>
    <w:rsid w:val="00EA49F8"/>
    <w:rsid w:val="00EA5BAD"/>
    <w:rsid w:val="00EA5BE2"/>
    <w:rsid w:val="00EA5F33"/>
    <w:rsid w:val="00EB3758"/>
    <w:rsid w:val="00EB54B6"/>
    <w:rsid w:val="00EC0343"/>
    <w:rsid w:val="00EC1E4A"/>
    <w:rsid w:val="00EC20C9"/>
    <w:rsid w:val="00EC305F"/>
    <w:rsid w:val="00EC39B1"/>
    <w:rsid w:val="00EC4AD0"/>
    <w:rsid w:val="00EC5918"/>
    <w:rsid w:val="00ED1459"/>
    <w:rsid w:val="00ED255C"/>
    <w:rsid w:val="00ED3238"/>
    <w:rsid w:val="00ED7ED5"/>
    <w:rsid w:val="00EE2A39"/>
    <w:rsid w:val="00EE2B10"/>
    <w:rsid w:val="00EE3CE7"/>
    <w:rsid w:val="00EE5C13"/>
    <w:rsid w:val="00EF0AE9"/>
    <w:rsid w:val="00EF1208"/>
    <w:rsid w:val="00EF35EA"/>
    <w:rsid w:val="00EF65E4"/>
    <w:rsid w:val="00F01601"/>
    <w:rsid w:val="00F020FA"/>
    <w:rsid w:val="00F02819"/>
    <w:rsid w:val="00F03243"/>
    <w:rsid w:val="00F04E75"/>
    <w:rsid w:val="00F061B0"/>
    <w:rsid w:val="00F11F8F"/>
    <w:rsid w:val="00F12984"/>
    <w:rsid w:val="00F144EB"/>
    <w:rsid w:val="00F14527"/>
    <w:rsid w:val="00F17FDD"/>
    <w:rsid w:val="00F26C1C"/>
    <w:rsid w:val="00F300E1"/>
    <w:rsid w:val="00F31190"/>
    <w:rsid w:val="00F311EB"/>
    <w:rsid w:val="00F324B0"/>
    <w:rsid w:val="00F33D27"/>
    <w:rsid w:val="00F3418C"/>
    <w:rsid w:val="00F352AB"/>
    <w:rsid w:val="00F37E94"/>
    <w:rsid w:val="00F4498F"/>
    <w:rsid w:val="00F4606A"/>
    <w:rsid w:val="00F503B1"/>
    <w:rsid w:val="00F50B5E"/>
    <w:rsid w:val="00F5133D"/>
    <w:rsid w:val="00F538CE"/>
    <w:rsid w:val="00F61B6E"/>
    <w:rsid w:val="00F62B83"/>
    <w:rsid w:val="00F63214"/>
    <w:rsid w:val="00F65B58"/>
    <w:rsid w:val="00F70C6D"/>
    <w:rsid w:val="00F70E0E"/>
    <w:rsid w:val="00F769A3"/>
    <w:rsid w:val="00F771AF"/>
    <w:rsid w:val="00F867C2"/>
    <w:rsid w:val="00F928D0"/>
    <w:rsid w:val="00F93D59"/>
    <w:rsid w:val="00F95ECB"/>
    <w:rsid w:val="00FA012E"/>
    <w:rsid w:val="00FA01CD"/>
    <w:rsid w:val="00FA1ADE"/>
    <w:rsid w:val="00FA34BA"/>
    <w:rsid w:val="00FA38D2"/>
    <w:rsid w:val="00FA4C52"/>
    <w:rsid w:val="00FA4DDE"/>
    <w:rsid w:val="00FA50EA"/>
    <w:rsid w:val="00FA5B0D"/>
    <w:rsid w:val="00FA757C"/>
    <w:rsid w:val="00FB2B69"/>
    <w:rsid w:val="00FB2BCE"/>
    <w:rsid w:val="00FB2BDB"/>
    <w:rsid w:val="00FB45D2"/>
    <w:rsid w:val="00FB6F78"/>
    <w:rsid w:val="00FC1A1B"/>
    <w:rsid w:val="00FC36B8"/>
    <w:rsid w:val="00FC5514"/>
    <w:rsid w:val="00FC5681"/>
    <w:rsid w:val="00FC57D4"/>
    <w:rsid w:val="00FC5DC3"/>
    <w:rsid w:val="00FC7843"/>
    <w:rsid w:val="00FD2092"/>
    <w:rsid w:val="00FD4ECD"/>
    <w:rsid w:val="00FD7269"/>
    <w:rsid w:val="00FE0FC8"/>
    <w:rsid w:val="00FE46F4"/>
    <w:rsid w:val="00FE5581"/>
    <w:rsid w:val="00FE5EE4"/>
    <w:rsid w:val="00FE7E84"/>
    <w:rsid w:val="00FF0257"/>
    <w:rsid w:val="00FF04DC"/>
    <w:rsid w:val="00FF435F"/>
    <w:rsid w:val="00FF47EC"/>
    <w:rsid w:val="00FF5BCD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03CD"/>
  <w15:chartTrackingRefBased/>
  <w15:docId w15:val="{DFF232F6-85A5-407B-B2DD-F2D692F1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FF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C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C2FF5"/>
  </w:style>
  <w:style w:type="character" w:customStyle="1" w:styleId="eop">
    <w:name w:val="eop"/>
    <w:basedOn w:val="DefaultParagraphFont"/>
    <w:rsid w:val="006C2FF5"/>
  </w:style>
  <w:style w:type="paragraph" w:styleId="Header">
    <w:name w:val="header"/>
    <w:basedOn w:val="Normal"/>
    <w:link w:val="HeaderChar"/>
    <w:uiPriority w:val="99"/>
    <w:unhideWhenUsed/>
    <w:rsid w:val="006C2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FF5"/>
  </w:style>
  <w:style w:type="paragraph" w:styleId="Footer">
    <w:name w:val="footer"/>
    <w:basedOn w:val="Normal"/>
    <w:link w:val="FooterChar"/>
    <w:uiPriority w:val="99"/>
    <w:unhideWhenUsed/>
    <w:rsid w:val="006C2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F5"/>
  </w:style>
  <w:style w:type="character" w:customStyle="1" w:styleId="lrzxr">
    <w:name w:val="lrzxr"/>
    <w:basedOn w:val="DefaultParagraphFont"/>
    <w:rsid w:val="00713855"/>
  </w:style>
  <w:style w:type="character" w:styleId="Hyperlink">
    <w:name w:val="Hyperlink"/>
    <w:basedOn w:val="DefaultParagraphFont"/>
    <w:uiPriority w:val="99"/>
    <w:unhideWhenUsed/>
    <w:rsid w:val="00233D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D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E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60D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4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64D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7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8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47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5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4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8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7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4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2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3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5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1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2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8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9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8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33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4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1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3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1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14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8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7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3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3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97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0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1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58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7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1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2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55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9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8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8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1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1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3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3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4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56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1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2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1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9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70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2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3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58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1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78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3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3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0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25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71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8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1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6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82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6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9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4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1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2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5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0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24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2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2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89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7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83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4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2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31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94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6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4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0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22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7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9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46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1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7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3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1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9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7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4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76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25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6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9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2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13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loomberglaw.com/product/tax/document/XPV27N18" TargetMode="External"/><Relationship Id="rId21" Type="http://schemas.openxmlformats.org/officeDocument/2006/relationships/hyperlink" Target="https://www.bloomberglaw.com/product/tax/document/27886097448" TargetMode="External"/><Relationship Id="rId42" Type="http://schemas.openxmlformats.org/officeDocument/2006/relationships/hyperlink" Target="https://go.bloombergtax.com/product/tax/document/spa/XULGTU18" TargetMode="External"/><Relationship Id="rId47" Type="http://schemas.openxmlformats.org/officeDocument/2006/relationships/hyperlink" Target="https://www.bloomberglaw.com/product/tax/document/XPV287H8" TargetMode="External"/><Relationship Id="rId63" Type="http://schemas.openxmlformats.org/officeDocument/2006/relationships/hyperlink" Target="https://www.bloomberglaw.com/product/tax/document/27886075432" TargetMode="External"/><Relationship Id="rId68" Type="http://schemas.openxmlformats.org/officeDocument/2006/relationships/hyperlink" Target="https://www.bloomberglaw.com/product/tax/document/XPV27GH8" TargetMode="External"/><Relationship Id="rId16" Type="http://schemas.openxmlformats.org/officeDocument/2006/relationships/hyperlink" Target="https://www.bloomberglaw.com/product/tax/document/27886084648" TargetMode="External"/><Relationship Id="rId11" Type="http://schemas.openxmlformats.org/officeDocument/2006/relationships/hyperlink" Target="https://hacienda.pr.gov/" TargetMode="External"/><Relationship Id="rId24" Type="http://schemas.openxmlformats.org/officeDocument/2006/relationships/hyperlink" Target="https://www.bloomberglaw.com/product/tax/document/XPV27N18" TargetMode="External"/><Relationship Id="rId32" Type="http://schemas.openxmlformats.org/officeDocument/2006/relationships/hyperlink" Target="https://www.bloomberglaw.com/product/tax/document/XPV287H8" TargetMode="External"/><Relationship Id="rId37" Type="http://schemas.openxmlformats.org/officeDocument/2006/relationships/hyperlink" Target="https://go.bloombergtax.com/product/tax/document/spa/XULGTU18" TargetMode="External"/><Relationship Id="rId40" Type="http://schemas.openxmlformats.org/officeDocument/2006/relationships/hyperlink" Target="https://go.bloombergtax.com/product/tax/document/spa/XULGTU18" TargetMode="External"/><Relationship Id="rId45" Type="http://schemas.openxmlformats.org/officeDocument/2006/relationships/hyperlink" Target="https://www.bloomberglaw.com/product/tax/document/32934655528" TargetMode="External"/><Relationship Id="rId53" Type="http://schemas.openxmlformats.org/officeDocument/2006/relationships/hyperlink" Target="https://go.bloombergtax.com/product/tax/document/spa/XPV287H8" TargetMode="External"/><Relationship Id="rId58" Type="http://schemas.openxmlformats.org/officeDocument/2006/relationships/hyperlink" Target="https://www.bloomberglaw.com/product/tax/document/XPV287H8" TargetMode="External"/><Relationship Id="rId66" Type="http://schemas.openxmlformats.org/officeDocument/2006/relationships/hyperlink" Target="https://www.bloomberglaw.com/product/tax/document/27886098984" TargetMode="External"/><Relationship Id="rId74" Type="http://schemas.openxmlformats.org/officeDocument/2006/relationships/hyperlink" Target="https://www.bloomberglaw.com/product/tax/document/XPV27B18" TargetMode="External"/><Relationship Id="rId79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s://www.bloomberglaw.com/product/tax/document/XPV27BH8" TargetMode="External"/><Relationship Id="rId19" Type="http://schemas.openxmlformats.org/officeDocument/2006/relationships/hyperlink" Target="https://www.bloomberglaw.com/product/tax/document/27886069288" TargetMode="External"/><Relationship Id="rId14" Type="http://schemas.openxmlformats.org/officeDocument/2006/relationships/hyperlink" Target="https://www.bloomberglaw.com/product/tax/document/XPV27M18" TargetMode="External"/><Relationship Id="rId22" Type="http://schemas.openxmlformats.org/officeDocument/2006/relationships/hyperlink" Target="https://www.bloomberglaw.com/product/tax/document/XPV287H8" TargetMode="External"/><Relationship Id="rId27" Type="http://schemas.openxmlformats.org/officeDocument/2006/relationships/hyperlink" Target="https://www.bloomberglaw.com/product/tax/document/XPV27N18" TargetMode="External"/><Relationship Id="rId30" Type="http://schemas.openxmlformats.org/officeDocument/2006/relationships/hyperlink" Target="https://www.bloomberglaw.com/product/tax/bbna/chart/3/10092" TargetMode="External"/><Relationship Id="rId35" Type="http://schemas.openxmlformats.org/officeDocument/2006/relationships/hyperlink" Target="https://www.bloomberglaw.com/product/tax/document/XPV27VH8" TargetMode="External"/><Relationship Id="rId43" Type="http://schemas.openxmlformats.org/officeDocument/2006/relationships/hyperlink" Target="https://www.bloomberglaw.com/product/tax/document/32934655016" TargetMode="External"/><Relationship Id="rId48" Type="http://schemas.openxmlformats.org/officeDocument/2006/relationships/hyperlink" Target="https://www.bloomberglaw.com/product/tax/document/XPV287H8" TargetMode="External"/><Relationship Id="rId56" Type="http://schemas.openxmlformats.org/officeDocument/2006/relationships/hyperlink" Target="https://www.bloomberglaw.com/product/tax/document/27886085160" TargetMode="External"/><Relationship Id="rId64" Type="http://schemas.openxmlformats.org/officeDocument/2006/relationships/hyperlink" Target="https://www.bloomberglaw.com/product/tax/document/27886099496" TargetMode="External"/><Relationship Id="rId69" Type="http://schemas.openxmlformats.org/officeDocument/2006/relationships/hyperlink" Target="https://www.bloomberglaw.com/product/tax/document/XPV27GH8" TargetMode="External"/><Relationship Id="rId77" Type="http://schemas.openxmlformats.org/officeDocument/2006/relationships/hyperlink" Target="https://www.bloomberglaw.com/product/tax/document/XPV287H8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go.bloombergtax.com/product/tax/document/spa/XPV275H8" TargetMode="External"/><Relationship Id="rId72" Type="http://schemas.openxmlformats.org/officeDocument/2006/relationships/hyperlink" Target="https://www.bloomberglaw.com/product/tax/toc_view_menu/157963008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bloomberglaw.com/product/tax/document/XPV287H8" TargetMode="External"/><Relationship Id="rId17" Type="http://schemas.openxmlformats.org/officeDocument/2006/relationships/hyperlink" Target="https://www.bloomberglaw.com/product/tax/document/27886094376" TargetMode="External"/><Relationship Id="rId25" Type="http://schemas.openxmlformats.org/officeDocument/2006/relationships/hyperlink" Target="https://www.bloomberglaw.com/product/tax/document/XPV27N18" TargetMode="External"/><Relationship Id="rId33" Type="http://schemas.openxmlformats.org/officeDocument/2006/relationships/hyperlink" Target="https://www.bloomberglaw.com/product/tax/document/XPV287H8" TargetMode="External"/><Relationship Id="rId38" Type="http://schemas.openxmlformats.org/officeDocument/2006/relationships/hyperlink" Target="https://go.bloombergtax.com/product/tax/document/spa/XULGTU18" TargetMode="External"/><Relationship Id="rId46" Type="http://schemas.openxmlformats.org/officeDocument/2006/relationships/hyperlink" Target="https://go.bloombergtax.com/product/tax/document/spa/XULGTTH8" TargetMode="External"/><Relationship Id="rId59" Type="http://schemas.openxmlformats.org/officeDocument/2006/relationships/hyperlink" Target="https://www.bloomberglaw.com/product/tax/document/XPV27BH8" TargetMode="External"/><Relationship Id="rId67" Type="http://schemas.openxmlformats.org/officeDocument/2006/relationships/hyperlink" Target="https://www.bloomberglaw.com/product/tax/document/27886076456" TargetMode="External"/><Relationship Id="rId20" Type="http://schemas.openxmlformats.org/officeDocument/2006/relationships/hyperlink" Target="https://www.bloomberglaw.com/product/tax/document/27886084648" TargetMode="External"/><Relationship Id="rId41" Type="http://schemas.openxmlformats.org/officeDocument/2006/relationships/hyperlink" Target="https://go.bloombergtax.com/product/tax/document/spa/XULGTU18" TargetMode="External"/><Relationship Id="rId54" Type="http://schemas.openxmlformats.org/officeDocument/2006/relationships/hyperlink" Target="https://go.bloombergtax.com/product/tax/document/spa/XPV275H8" TargetMode="External"/><Relationship Id="rId62" Type="http://schemas.openxmlformats.org/officeDocument/2006/relationships/hyperlink" Target="https://www.bloomberglaw.com/product/tax/document/XPV287H8" TargetMode="External"/><Relationship Id="rId70" Type="http://schemas.openxmlformats.org/officeDocument/2006/relationships/hyperlink" Target="https://www.bloomberglaw.com/product/tax/document/XPV27J18" TargetMode="External"/><Relationship Id="rId75" Type="http://schemas.openxmlformats.org/officeDocument/2006/relationships/hyperlink" Target="https://www.bloomberglaw.com/product/tax/document/XPV287H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bloomberglaw.com/product/tax/document/XPV27M18" TargetMode="External"/><Relationship Id="rId23" Type="http://schemas.openxmlformats.org/officeDocument/2006/relationships/hyperlink" Target="https://www.bloomberglaw.com/product/tax/document/XPV27N18" TargetMode="External"/><Relationship Id="rId28" Type="http://schemas.openxmlformats.org/officeDocument/2006/relationships/hyperlink" Target="https://www.bloomberglaw.com/product/tax/document/XPV27N18" TargetMode="External"/><Relationship Id="rId36" Type="http://schemas.openxmlformats.org/officeDocument/2006/relationships/hyperlink" Target="https://www.bloomberglaw.com/product/tax/document/27886102568" TargetMode="External"/><Relationship Id="rId49" Type="http://schemas.openxmlformats.org/officeDocument/2006/relationships/hyperlink" Target="https://www.bloomberglaw.com/product/tax/document/XPV287H8" TargetMode="External"/><Relationship Id="rId57" Type="http://schemas.openxmlformats.org/officeDocument/2006/relationships/hyperlink" Target="https://www.bloomberglaw.com/product/tax/document/XULGUG18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bloomberglaw.com/product/tax/document/XPV287H8" TargetMode="External"/><Relationship Id="rId44" Type="http://schemas.openxmlformats.org/officeDocument/2006/relationships/hyperlink" Target="https://www.bloomberglaw.com/product/tax/document/32934656040" TargetMode="External"/><Relationship Id="rId52" Type="http://schemas.openxmlformats.org/officeDocument/2006/relationships/hyperlink" Target="https://go.bloombergtax.com/product/tax/document/spa/XPV287H8" TargetMode="External"/><Relationship Id="rId60" Type="http://schemas.openxmlformats.org/officeDocument/2006/relationships/hyperlink" Target="https://www.bloomberglaw.com/product/tax/document/XPV27BH8" TargetMode="External"/><Relationship Id="rId65" Type="http://schemas.openxmlformats.org/officeDocument/2006/relationships/hyperlink" Target="https://www.bloomberglaw.com/product/tax/document/27886075432" TargetMode="External"/><Relationship Id="rId73" Type="http://schemas.openxmlformats.org/officeDocument/2006/relationships/hyperlink" Target="https://www.bloomberglaw.com/product/tax/document/XPV287H8" TargetMode="External"/><Relationship Id="rId78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bloomberglaw.com/product/tax/document/27886068264" TargetMode="External"/><Relationship Id="rId18" Type="http://schemas.openxmlformats.org/officeDocument/2006/relationships/hyperlink" Target="https://www.bloomberglaw.com/product/tax/document/27886100520" TargetMode="External"/><Relationship Id="rId39" Type="http://schemas.openxmlformats.org/officeDocument/2006/relationships/hyperlink" Target="https://go.bloombergtax.com/product/tax/document/spa/XPV287H8" TargetMode="External"/><Relationship Id="rId34" Type="http://schemas.openxmlformats.org/officeDocument/2006/relationships/hyperlink" Target="https://www.bloomberglaw.com/product/tax/document/XPV287H8" TargetMode="External"/><Relationship Id="rId50" Type="http://schemas.openxmlformats.org/officeDocument/2006/relationships/hyperlink" Target="https://go.bloombergtax.com/product/tax/document/spa/XPV287H8" TargetMode="External"/><Relationship Id="rId55" Type="http://schemas.openxmlformats.org/officeDocument/2006/relationships/hyperlink" Target="https://www.bloomberglaw.com/product/tax/document/XPV287H8" TargetMode="External"/><Relationship Id="rId76" Type="http://schemas.openxmlformats.org/officeDocument/2006/relationships/hyperlink" Target="https://www.bloomberglaw.com/product/tax/document/XPV27B18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bloomberglaw.com/product/tax/document/2788607901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bloomberglaw.com/product/tax/document/XPV27N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449d4f-8e51-4d4e-9219-a2af429b1568" xsi:nil="true"/>
    <lcf76f155ced4ddcb4097134ff3c332f xmlns="c7bd160f-8f9f-4a57-9297-bc564d29ee4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45C6645180C49B5F3BF356B510BE9" ma:contentTypeVersion="18" ma:contentTypeDescription="Create a new document." ma:contentTypeScope="" ma:versionID="664aeef97708797fa38c8eb7787b31ca">
  <xsd:schema xmlns:xsd="http://www.w3.org/2001/XMLSchema" xmlns:xs="http://www.w3.org/2001/XMLSchema" xmlns:p="http://schemas.microsoft.com/office/2006/metadata/properties" xmlns:ns1="http://schemas.microsoft.com/sharepoint/v3" xmlns:ns2="51449d4f-8e51-4d4e-9219-a2af429b1568" xmlns:ns3="c7bd160f-8f9f-4a57-9297-bc564d29ee4c" targetNamespace="http://schemas.microsoft.com/office/2006/metadata/properties" ma:root="true" ma:fieldsID="b588906d300f61a0ffcc0e4d3720f842" ns1:_="" ns2:_="" ns3:_="">
    <xsd:import namespace="http://schemas.microsoft.com/sharepoint/v3"/>
    <xsd:import namespace="51449d4f-8e51-4d4e-9219-a2af429b1568"/>
    <xsd:import namespace="c7bd160f-8f9f-4a57-9297-bc564d29ee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9d4f-8e51-4d4e-9219-a2af429b1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1f6d0e-4965-4b60-ae9c-964c369ac52e}" ma:internalName="TaxCatchAll" ma:showField="CatchAllData" ma:web="51449d4f-8e51-4d4e-9219-a2af429b1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d160f-8f9f-4a57-9297-bc564d29e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f3d206-2968-46ac-ad56-95a95c29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B92B9-B23E-442B-9C4C-C674CCFA95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46A8C-A9AC-4ED4-9CD3-3370044B2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C7F91-00CA-4F7D-AA18-582D59CF48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449d4f-8e51-4d4e-9219-a2af429b1568"/>
    <ds:schemaRef ds:uri="c7bd160f-8f9f-4a57-9297-bc564d29ee4c"/>
  </ds:schemaRefs>
</ds:datastoreItem>
</file>

<file path=customXml/itemProps4.xml><?xml version="1.0" encoding="utf-8"?>
<ds:datastoreItem xmlns:ds="http://schemas.openxmlformats.org/officeDocument/2006/customXml" ds:itemID="{AC0DD6FB-98E6-452E-8C78-FB2966A07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449d4f-8e51-4d4e-9219-a2af429b1568"/>
    <ds:schemaRef ds:uri="c7bd160f-8f9f-4a57-9297-bc564d29e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Tanevski, Tome</dc:creator>
  <cp:keywords/>
  <dc:description/>
  <cp:lastModifiedBy>Menezes, Maria</cp:lastModifiedBy>
  <cp:revision>23</cp:revision>
  <dcterms:created xsi:type="dcterms:W3CDTF">2025-10-06T20:49:00Z</dcterms:created>
  <dcterms:modified xsi:type="dcterms:W3CDTF">2025-10-10T08:35:00Z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0x01010074045C6645180C49B5F3BF356B510BE9</vt:lpwstr>
  </property>
  <property fmtid="{D5CDD505-2E9C-101B-9397-08002B2CF9AE}" pid="3" name="MediaServiceImageTags">
    <vt:lpwstr/>
  </property>
</Properties>
</file>