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7CEBB" w14:textId="77777777" w:rsidR="00CA2556" w:rsidRPr="00E73348" w:rsidRDefault="00CA2556" w:rsidP="00003317">
      <w:pPr>
        <w:keepNext/>
        <w:keepLines/>
        <w:shd w:val="clear" w:color="auto" w:fill="FFFFFF"/>
        <w:spacing w:after="0"/>
        <w:outlineLvl w:val="0"/>
        <w:rPr>
          <w:rFonts w:ascii="Arial" w:hAnsi="Arial"/>
          <w:color w:val="333333"/>
          <w:sz w:val="27"/>
        </w:rPr>
      </w:pPr>
      <w:r w:rsidRPr="00E73348">
        <w:rPr>
          <w:rFonts w:ascii="Arial" w:hAnsi="Arial"/>
          <w:color w:val="333333"/>
          <w:sz w:val="27"/>
        </w:rPr>
        <w:t>Strategies and Implications</w:t>
      </w:r>
    </w:p>
    <w:p w14:paraId="00C2ACA3" w14:textId="77777777" w:rsidR="00CA2556" w:rsidRPr="00CA2556" w:rsidRDefault="00CA2556" w:rsidP="00CA2556">
      <w:pPr>
        <w:shd w:val="clear" w:color="auto" w:fill="FFFFFF"/>
        <w:rPr>
          <w:rFonts w:ascii="Open Sans" w:eastAsia="Aptos" w:hAnsi="Open Sans" w:cs="Open Sans"/>
          <w:color w:val="000000"/>
          <w:sz w:val="21"/>
          <w:szCs w:val="21"/>
        </w:rPr>
      </w:pPr>
      <w:bookmarkStart w:id="1" w:name="section(__00)_0"/>
      <w:bookmarkEnd w:id="1"/>
      <w:r w:rsidRPr="00CA2556">
        <w:rPr>
          <w:rFonts w:ascii="Open Sans" w:eastAsia="Aptos" w:hAnsi="Open Sans" w:cs="Open Sans"/>
          <w:color w:val="000000"/>
          <w:sz w:val="21"/>
          <w:szCs w:val="21"/>
        </w:rPr>
        <w:t> </w:t>
      </w:r>
      <w:r w:rsidRPr="00003317">
        <w:t>Authors</w:t>
      </w:r>
      <w:r w:rsidRPr="00CA2556">
        <w:rPr>
          <w:rFonts w:ascii="Open Sans" w:eastAsia="Aptos" w:hAnsi="Open Sans" w:cs="Open Sans"/>
          <w:color w:val="000000"/>
          <w:sz w:val="21"/>
          <w:szCs w:val="21"/>
        </w:rPr>
        <w:t> —</w:t>
      </w:r>
    </w:p>
    <w:p w14:paraId="47658E61" w14:textId="77777777" w:rsidR="00CA2556" w:rsidRPr="00CA2556" w:rsidRDefault="00CA2556" w:rsidP="00CA2556">
      <w:pPr>
        <w:shd w:val="clear" w:color="auto" w:fill="FFFFFF"/>
        <w:rPr>
          <w:rFonts w:ascii="Open Sans" w:eastAsia="Aptos" w:hAnsi="Open Sans" w:cs="Open Sans"/>
          <w:color w:val="000000"/>
          <w:sz w:val="21"/>
          <w:szCs w:val="21"/>
        </w:rPr>
      </w:pPr>
      <w:r w:rsidRPr="00CA2556">
        <w:rPr>
          <w:rFonts w:ascii="Open Sans" w:eastAsia="Aptos" w:hAnsi="Open Sans" w:cs="Open Sans"/>
          <w:color w:val="000000"/>
          <w:sz w:val="21"/>
          <w:szCs w:val="21"/>
        </w:rPr>
        <w:t>David Zaiken</w:t>
      </w:r>
      <w:r w:rsidRPr="00CA2556">
        <w:rPr>
          <w:rFonts w:ascii="Open Sans" w:eastAsia="Aptos" w:hAnsi="Open Sans" w:cs="Open Sans"/>
          <w:color w:val="000000"/>
          <w:sz w:val="21"/>
          <w:szCs w:val="21"/>
        </w:rPr>
        <w:br/>
        <w:t>Tax Director of Consulting</w:t>
      </w:r>
      <w:r w:rsidRPr="00CA2556">
        <w:rPr>
          <w:rFonts w:ascii="Open Sans" w:eastAsia="Aptos" w:hAnsi="Open Sans" w:cs="Open Sans"/>
          <w:color w:val="000000"/>
          <w:sz w:val="21"/>
          <w:szCs w:val="21"/>
        </w:rPr>
        <w:br/>
      </w:r>
      <w:proofErr w:type="spellStart"/>
      <w:r w:rsidRPr="00CA2556">
        <w:rPr>
          <w:rFonts w:ascii="Open Sans" w:eastAsia="Aptos" w:hAnsi="Open Sans" w:cs="Open Sans"/>
          <w:color w:val="000000"/>
          <w:sz w:val="21"/>
          <w:szCs w:val="21"/>
        </w:rPr>
        <w:t>WebsterRogers</w:t>
      </w:r>
      <w:proofErr w:type="spellEnd"/>
      <w:r w:rsidRPr="00CA2556">
        <w:rPr>
          <w:rFonts w:ascii="Open Sans" w:eastAsia="Aptos" w:hAnsi="Open Sans" w:cs="Open Sans"/>
          <w:color w:val="000000"/>
          <w:sz w:val="21"/>
          <w:szCs w:val="21"/>
        </w:rPr>
        <w:t xml:space="preserve"> LLP</w:t>
      </w:r>
    </w:p>
    <w:p w14:paraId="1E13FCAD" w14:textId="06B5FF33" w:rsidR="00CA2556" w:rsidRPr="00CA2556" w:rsidRDefault="00CA2556" w:rsidP="00CA2556">
      <w:pPr>
        <w:shd w:val="clear" w:color="auto" w:fill="FFFFFF"/>
        <w:rPr>
          <w:rFonts w:ascii="Open Sans" w:eastAsia="Aptos" w:hAnsi="Open Sans" w:cs="Open Sans"/>
          <w:color w:val="000000"/>
          <w:sz w:val="21"/>
          <w:szCs w:val="21"/>
        </w:rPr>
      </w:pPr>
      <w:r w:rsidRPr="00CA2556">
        <w:rPr>
          <w:rFonts w:ascii="Open Sans" w:eastAsia="Aptos" w:hAnsi="Open Sans" w:cs="Open Sans"/>
          <w:color w:val="000000"/>
          <w:sz w:val="21"/>
          <w:szCs w:val="21"/>
        </w:rPr>
        <w:t>William M. VanDenburgh, PhD</w:t>
      </w:r>
      <w:r w:rsidRPr="00CA2556">
        <w:rPr>
          <w:rFonts w:ascii="Open Sans" w:eastAsia="Aptos" w:hAnsi="Open Sans" w:cs="Open Sans"/>
          <w:color w:val="000000"/>
          <w:sz w:val="21"/>
          <w:szCs w:val="21"/>
        </w:rPr>
        <w:br/>
        <w:t>Professor of Accounting</w:t>
      </w:r>
      <w:r w:rsidRPr="00CA2556">
        <w:rPr>
          <w:rFonts w:ascii="Open Sans" w:eastAsia="Aptos" w:hAnsi="Open Sans" w:cs="Open Sans"/>
          <w:color w:val="000000"/>
          <w:sz w:val="21"/>
          <w:szCs w:val="21"/>
        </w:rPr>
        <w:br/>
        <w:t>College of Charleston</w:t>
      </w:r>
    </w:p>
    <w:p w14:paraId="7FD14B31" w14:textId="77777777" w:rsidR="00CA2556" w:rsidRPr="00CA2556" w:rsidRDefault="00CA2556" w:rsidP="00CA2556">
      <w:pPr>
        <w:shd w:val="clear" w:color="auto" w:fill="FFFFFF"/>
        <w:rPr>
          <w:rFonts w:ascii="Open Sans" w:eastAsia="Aptos" w:hAnsi="Open Sans" w:cs="Open Sans"/>
          <w:color w:val="000000"/>
          <w:sz w:val="21"/>
          <w:szCs w:val="21"/>
        </w:rPr>
      </w:pPr>
      <w:r w:rsidRPr="00CA2556">
        <w:rPr>
          <w:rFonts w:ascii="Open Sans" w:eastAsia="Aptos" w:hAnsi="Open Sans" w:cs="Open Sans"/>
          <w:color w:val="000000"/>
          <w:sz w:val="21"/>
          <w:szCs w:val="21"/>
        </w:rPr>
        <w:t>LaVonne Rosenberg, CPA</w:t>
      </w:r>
      <w:r w:rsidRPr="00CA2556">
        <w:rPr>
          <w:rFonts w:ascii="Open Sans" w:eastAsia="Aptos" w:hAnsi="Open Sans" w:cs="Open Sans"/>
          <w:color w:val="000000"/>
          <w:sz w:val="21"/>
          <w:szCs w:val="21"/>
        </w:rPr>
        <w:br/>
        <w:t>Tax Partner</w:t>
      </w:r>
      <w:r w:rsidRPr="00CA2556">
        <w:rPr>
          <w:rFonts w:ascii="Open Sans" w:eastAsia="Aptos" w:hAnsi="Open Sans" w:cs="Open Sans"/>
          <w:color w:val="000000"/>
          <w:sz w:val="21"/>
          <w:szCs w:val="21"/>
        </w:rPr>
        <w:br/>
      </w:r>
      <w:proofErr w:type="spellStart"/>
      <w:r w:rsidRPr="00CA2556">
        <w:rPr>
          <w:rFonts w:ascii="Open Sans" w:eastAsia="Aptos" w:hAnsi="Open Sans" w:cs="Open Sans"/>
          <w:color w:val="000000"/>
          <w:sz w:val="21"/>
          <w:szCs w:val="21"/>
        </w:rPr>
        <w:t>WebsterRogers</w:t>
      </w:r>
      <w:proofErr w:type="spellEnd"/>
      <w:r w:rsidRPr="00CA2556">
        <w:rPr>
          <w:rFonts w:ascii="Open Sans" w:eastAsia="Aptos" w:hAnsi="Open Sans" w:cs="Open Sans"/>
          <w:color w:val="000000"/>
          <w:sz w:val="21"/>
          <w:szCs w:val="21"/>
        </w:rPr>
        <w:t xml:space="preserve"> LLP</w:t>
      </w:r>
    </w:p>
    <w:p w14:paraId="1B3E888B" w14:textId="77777777" w:rsidR="00CA2556" w:rsidRPr="00CA2556" w:rsidRDefault="00CA2556" w:rsidP="00CA2556">
      <w:pPr>
        <w:shd w:val="clear" w:color="auto" w:fill="FFFFFF"/>
        <w:rPr>
          <w:rFonts w:ascii="Open Sans" w:eastAsia="Aptos" w:hAnsi="Open Sans" w:cs="Open Sans"/>
          <w:color w:val="000000"/>
          <w:sz w:val="21"/>
          <w:szCs w:val="21"/>
        </w:rPr>
      </w:pPr>
      <w:bookmarkStart w:id="2" w:name="section(1)_0"/>
      <w:r w:rsidRPr="00CA2556">
        <w:rPr>
          <w:rFonts w:ascii="Open Sans" w:eastAsia="Aptos" w:hAnsi="Open Sans" w:cs="Open Sans"/>
          <w:b/>
          <w:bCs/>
          <w:color w:val="333333"/>
          <w:sz w:val="21"/>
          <w:szCs w:val="21"/>
        </w:rPr>
        <w:t>1</w:t>
      </w:r>
      <w:proofErr w:type="gramStart"/>
      <w:r w:rsidRPr="00CA2556">
        <w:rPr>
          <w:rFonts w:ascii="Open Sans" w:eastAsia="Aptos" w:hAnsi="Open Sans" w:cs="Open Sans"/>
          <w:b/>
          <w:bCs/>
          <w:color w:val="333333"/>
          <w:sz w:val="21"/>
          <w:szCs w:val="21"/>
        </w:rPr>
        <w:t>. </w:t>
      </w:r>
      <w:bookmarkEnd w:id="2"/>
      <w:r w:rsidRPr="00CA2556">
        <w:rPr>
          <w:rFonts w:ascii="Open Sans" w:eastAsia="Aptos" w:hAnsi="Open Sans" w:cs="Open Sans"/>
          <w:color w:val="000000"/>
          <w:sz w:val="21"/>
          <w:szCs w:val="21"/>
        </w:rPr>
        <w:t> </w:t>
      </w:r>
      <w:r w:rsidRPr="00003317">
        <w:t>Introduction</w:t>
      </w:r>
      <w:r w:rsidRPr="00CA2556">
        <w:rPr>
          <w:rFonts w:ascii="Open Sans" w:eastAsia="Aptos" w:hAnsi="Open Sans" w:cs="Open Sans"/>
          <w:color w:val="000000"/>
          <w:sz w:val="21"/>
          <w:szCs w:val="21"/>
        </w:rPr>
        <w:t> —</w:t>
      </w:r>
      <w:proofErr w:type="gramEnd"/>
    </w:p>
    <w:p w14:paraId="49090C25" w14:textId="0F0C0D4A" w:rsidR="00CA2556" w:rsidRPr="00CA2556" w:rsidRDefault="00CA2556" w:rsidP="00CA2556">
      <w:pPr>
        <w:shd w:val="clear" w:color="auto" w:fill="FFFFFF"/>
        <w:rPr>
          <w:rFonts w:ascii="Open Sans" w:eastAsia="Aptos" w:hAnsi="Open Sans" w:cs="Open Sans"/>
          <w:color w:val="000000"/>
          <w:sz w:val="21"/>
          <w:szCs w:val="21"/>
        </w:rPr>
      </w:pPr>
      <w:r w:rsidRPr="00CA2556">
        <w:rPr>
          <w:rFonts w:ascii="Open Sans" w:eastAsia="Aptos" w:hAnsi="Open Sans" w:cs="Open Sans"/>
          <w:color w:val="000000"/>
          <w:sz w:val="21"/>
          <w:szCs w:val="21"/>
        </w:rPr>
        <w:t>The interplay between the new U.S. tariffs, federal and state</w:t>
      </w:r>
      <w:r w:rsidR="004E00B9">
        <w:rPr>
          <w:rFonts w:ascii="Open Sans" w:eastAsia="Aptos" w:hAnsi="Open Sans" w:cs="Open Sans"/>
          <w:color w:val="000000"/>
          <w:sz w:val="21"/>
          <w:szCs w:val="21"/>
        </w:rPr>
        <w:t xml:space="preserve"> </w:t>
      </w:r>
      <w:r w:rsidRPr="00CA2556">
        <w:rPr>
          <w:rFonts w:ascii="Open Sans" w:eastAsia="Aptos" w:hAnsi="Open Sans" w:cs="Open Sans"/>
          <w:color w:val="000000"/>
          <w:sz w:val="21"/>
          <w:szCs w:val="21"/>
        </w:rPr>
        <w:t>business tax reform, and strategic planning for potential outcomes, has become a core focus area for any U.S. business that imports tangible property into the U.S. Layered on top of this is the need for these businesses to plan for the outcome of U.S. transfer pricing rules as they impact U.S. tax profitability for related parties.</w:t>
      </w:r>
    </w:p>
    <w:p w14:paraId="7B23C480" w14:textId="1874A694" w:rsidR="00CA2556" w:rsidRPr="00CA2556" w:rsidRDefault="00CA2556" w:rsidP="00CA2556">
      <w:pPr>
        <w:shd w:val="clear" w:color="auto" w:fill="FFFFFF"/>
        <w:rPr>
          <w:rFonts w:ascii="Open Sans" w:eastAsia="Aptos" w:hAnsi="Open Sans" w:cs="Open Sans"/>
          <w:color w:val="000000"/>
          <w:sz w:val="21"/>
          <w:szCs w:val="21"/>
        </w:rPr>
      </w:pPr>
      <w:r w:rsidRPr="00CA2556">
        <w:rPr>
          <w:rFonts w:ascii="Open Sans" w:eastAsia="Aptos" w:hAnsi="Open Sans" w:cs="Open Sans"/>
          <w:color w:val="000000"/>
          <w:sz w:val="21"/>
          <w:szCs w:val="21"/>
        </w:rPr>
        <w:t xml:space="preserve">With the passage of the One Big Beautiful Bill </w:t>
      </w:r>
      <w:r w:rsidR="00BA1B9C">
        <w:rPr>
          <w:rFonts w:ascii="Open Sans" w:eastAsia="Aptos" w:hAnsi="Open Sans" w:cs="Open Sans"/>
          <w:color w:val="000000"/>
          <w:sz w:val="21"/>
          <w:szCs w:val="21"/>
        </w:rPr>
        <w:t xml:space="preserve">Act </w:t>
      </w:r>
      <w:r w:rsidRPr="00CA2556">
        <w:rPr>
          <w:rFonts w:ascii="Open Sans" w:eastAsia="Aptos" w:hAnsi="Open Sans" w:cs="Open Sans"/>
          <w:color w:val="000000"/>
          <w:sz w:val="21"/>
          <w:szCs w:val="21"/>
        </w:rPr>
        <w:t>(OBBBA), businesses have material tax planning opportunities in the area</w:t>
      </w:r>
      <w:r w:rsidR="006758F4">
        <w:rPr>
          <w:rFonts w:ascii="Open Sans" w:eastAsia="Aptos" w:hAnsi="Open Sans" w:cs="Open Sans"/>
          <w:color w:val="000000"/>
          <w:sz w:val="21"/>
          <w:szCs w:val="21"/>
        </w:rPr>
        <w:t>s</w:t>
      </w:r>
      <w:r w:rsidRPr="00CA2556">
        <w:rPr>
          <w:rFonts w:ascii="Open Sans" w:eastAsia="Aptos" w:hAnsi="Open Sans" w:cs="Open Sans"/>
          <w:color w:val="000000"/>
          <w:sz w:val="21"/>
          <w:szCs w:val="21"/>
        </w:rPr>
        <w:t xml:space="preserve"> of asset </w:t>
      </w:r>
      <w:proofErr w:type="gramStart"/>
      <w:r w:rsidRPr="00CA2556">
        <w:rPr>
          <w:rFonts w:ascii="Open Sans" w:eastAsia="Aptos" w:hAnsi="Open Sans" w:cs="Open Sans"/>
          <w:color w:val="000000"/>
          <w:sz w:val="21"/>
          <w:szCs w:val="21"/>
        </w:rPr>
        <w:t>expensing</w:t>
      </w:r>
      <w:proofErr w:type="gramEnd"/>
      <w:r w:rsidRPr="00CA2556">
        <w:rPr>
          <w:rFonts w:ascii="Open Sans" w:eastAsia="Aptos" w:hAnsi="Open Sans" w:cs="Open Sans"/>
          <w:color w:val="000000"/>
          <w:sz w:val="21"/>
          <w:szCs w:val="21"/>
        </w:rPr>
        <w:t xml:space="preserve">, R&amp;D </w:t>
      </w:r>
      <w:proofErr w:type="gramStart"/>
      <w:r w:rsidRPr="00CA2556">
        <w:rPr>
          <w:rFonts w:ascii="Open Sans" w:eastAsia="Aptos" w:hAnsi="Open Sans" w:cs="Open Sans"/>
          <w:color w:val="000000"/>
          <w:sz w:val="21"/>
          <w:szCs w:val="21"/>
        </w:rPr>
        <w:t>expensing</w:t>
      </w:r>
      <w:proofErr w:type="gramEnd"/>
      <w:r w:rsidRPr="00CA2556">
        <w:rPr>
          <w:rFonts w:ascii="Open Sans" w:eastAsia="Aptos" w:hAnsi="Open Sans" w:cs="Open Sans"/>
          <w:color w:val="000000"/>
          <w:sz w:val="21"/>
          <w:szCs w:val="21"/>
        </w:rPr>
        <w:t xml:space="preserve">, and expanded business income interest deductions that, although permanent, could change radically with a new administration and Congress. Other favorable changes have become available for pass- through entities and business friendly areas. Additionally, new </w:t>
      </w:r>
      <w:r w:rsidR="00605E71">
        <w:rPr>
          <w:rFonts w:ascii="Open Sans" w:eastAsia="Aptos" w:hAnsi="Open Sans" w:cs="Open Sans"/>
          <w:color w:val="000000"/>
          <w:sz w:val="21"/>
          <w:szCs w:val="21"/>
        </w:rPr>
        <w:t>t</w:t>
      </w:r>
      <w:r w:rsidRPr="00CA2556">
        <w:rPr>
          <w:rFonts w:ascii="Open Sans" w:eastAsia="Aptos" w:hAnsi="Open Sans" w:cs="Open Sans"/>
          <w:color w:val="000000"/>
          <w:sz w:val="21"/>
          <w:szCs w:val="21"/>
        </w:rPr>
        <w:t xml:space="preserve">ariff revenues, although uncertain, could add trillions to U.S. federal revenue over the next </w:t>
      </w:r>
      <w:r w:rsidR="00605E71">
        <w:rPr>
          <w:rFonts w:ascii="Open Sans" w:eastAsia="Aptos" w:hAnsi="Open Sans" w:cs="Open Sans"/>
          <w:color w:val="000000"/>
          <w:sz w:val="21"/>
          <w:szCs w:val="21"/>
        </w:rPr>
        <w:t>10</w:t>
      </w:r>
      <w:r w:rsidRPr="00CA2556">
        <w:rPr>
          <w:rFonts w:ascii="Open Sans" w:eastAsia="Aptos" w:hAnsi="Open Sans" w:cs="Open Sans"/>
          <w:color w:val="000000"/>
          <w:sz w:val="21"/>
          <w:szCs w:val="21"/>
        </w:rPr>
        <w:t xml:space="preserve"> years, assuming the Supreme Court and/or future administrations </w:t>
      </w:r>
      <w:r w:rsidR="000576F2">
        <w:rPr>
          <w:rFonts w:ascii="Open Sans" w:eastAsia="Aptos" w:hAnsi="Open Sans" w:cs="Open Sans"/>
          <w:color w:val="000000"/>
          <w:sz w:val="21"/>
          <w:szCs w:val="21"/>
        </w:rPr>
        <w:t>are in support of</w:t>
      </w:r>
      <w:r w:rsidRPr="00CA2556">
        <w:rPr>
          <w:rFonts w:ascii="Open Sans" w:eastAsia="Aptos" w:hAnsi="Open Sans" w:cs="Open Sans"/>
          <w:color w:val="000000"/>
          <w:sz w:val="21"/>
          <w:szCs w:val="21"/>
        </w:rPr>
        <w:t xml:space="preserve"> the President</w:t>
      </w:r>
      <w:r w:rsidR="000576F2">
        <w:rPr>
          <w:rFonts w:ascii="Open Sans" w:eastAsia="Aptos" w:hAnsi="Open Sans" w:cs="Open Sans"/>
          <w:color w:val="000000"/>
          <w:sz w:val="21"/>
          <w:szCs w:val="21"/>
        </w:rPr>
        <w:t>’s power</w:t>
      </w:r>
      <w:r w:rsidRPr="00CA2556">
        <w:rPr>
          <w:rFonts w:ascii="Open Sans" w:eastAsia="Aptos" w:hAnsi="Open Sans" w:cs="Open Sans"/>
          <w:color w:val="000000"/>
          <w:sz w:val="21"/>
          <w:szCs w:val="21"/>
        </w:rPr>
        <w:t xml:space="preserve"> to levy </w:t>
      </w:r>
      <w:r w:rsidR="00F31500">
        <w:rPr>
          <w:rFonts w:ascii="Open Sans" w:eastAsia="Aptos" w:hAnsi="Open Sans" w:cs="Open Sans"/>
          <w:color w:val="000000"/>
          <w:sz w:val="21"/>
          <w:szCs w:val="21"/>
        </w:rPr>
        <w:t>the tariffs</w:t>
      </w:r>
      <w:r w:rsidRPr="00CA2556">
        <w:rPr>
          <w:rFonts w:ascii="Open Sans" w:eastAsia="Aptos" w:hAnsi="Open Sans" w:cs="Open Sans"/>
          <w:color w:val="000000"/>
          <w:sz w:val="21"/>
          <w:szCs w:val="21"/>
        </w:rPr>
        <w:t xml:space="preserve">. Core to </w:t>
      </w:r>
      <w:r w:rsidR="00505E4F">
        <w:rPr>
          <w:rFonts w:ascii="Open Sans" w:eastAsia="Aptos" w:hAnsi="Open Sans" w:cs="Open Sans"/>
          <w:color w:val="000000"/>
          <w:sz w:val="21"/>
          <w:szCs w:val="21"/>
        </w:rPr>
        <w:t xml:space="preserve">navigating </w:t>
      </w:r>
      <w:r w:rsidRPr="00CA2556">
        <w:rPr>
          <w:rFonts w:ascii="Open Sans" w:eastAsia="Aptos" w:hAnsi="Open Sans" w:cs="Open Sans"/>
          <w:color w:val="000000"/>
          <w:sz w:val="21"/>
          <w:szCs w:val="21"/>
        </w:rPr>
        <w:t xml:space="preserve">this </w:t>
      </w:r>
      <w:r w:rsidR="00505E4F">
        <w:rPr>
          <w:rFonts w:ascii="Open Sans" w:eastAsia="Aptos" w:hAnsi="Open Sans" w:cs="Open Sans"/>
          <w:color w:val="000000"/>
          <w:sz w:val="21"/>
          <w:szCs w:val="21"/>
        </w:rPr>
        <w:t>situation</w:t>
      </w:r>
      <w:r w:rsidR="009D7989">
        <w:rPr>
          <w:rFonts w:ascii="Open Sans" w:eastAsia="Aptos" w:hAnsi="Open Sans" w:cs="Open Sans"/>
          <w:color w:val="000000"/>
          <w:sz w:val="21"/>
          <w:szCs w:val="21"/>
        </w:rPr>
        <w:t xml:space="preserve"> </w:t>
      </w:r>
      <w:r w:rsidRPr="00CA2556">
        <w:rPr>
          <w:rFonts w:ascii="Open Sans" w:eastAsia="Aptos" w:hAnsi="Open Sans" w:cs="Open Sans"/>
          <w:color w:val="000000"/>
          <w:sz w:val="21"/>
          <w:szCs w:val="21"/>
        </w:rPr>
        <w:t>is the integrated planning of tariffs and tax and maximiz</w:t>
      </w:r>
      <w:r w:rsidR="00505E4F">
        <w:rPr>
          <w:rFonts w:ascii="Open Sans" w:eastAsia="Aptos" w:hAnsi="Open Sans" w:cs="Open Sans"/>
          <w:color w:val="000000"/>
          <w:sz w:val="21"/>
          <w:szCs w:val="21"/>
        </w:rPr>
        <w:t>ing</w:t>
      </w:r>
      <w:r w:rsidRPr="00CA2556">
        <w:rPr>
          <w:rFonts w:ascii="Open Sans" w:eastAsia="Aptos" w:hAnsi="Open Sans" w:cs="Open Sans"/>
          <w:color w:val="000000"/>
          <w:sz w:val="21"/>
          <w:szCs w:val="21"/>
        </w:rPr>
        <w:t xml:space="preserve"> value through planning</w:t>
      </w:r>
      <w:r w:rsidR="00D7513E">
        <w:rPr>
          <w:rFonts w:ascii="Open Sans" w:eastAsia="Aptos" w:hAnsi="Open Sans" w:cs="Open Sans"/>
          <w:color w:val="000000"/>
          <w:sz w:val="21"/>
          <w:szCs w:val="21"/>
        </w:rPr>
        <w:t>.</w:t>
      </w:r>
      <w:r w:rsidRPr="00CA2556">
        <w:rPr>
          <w:rFonts w:ascii="Open Sans" w:eastAsia="Aptos" w:hAnsi="Open Sans" w:cs="Open Sans"/>
          <w:color w:val="000000"/>
          <w:sz w:val="21"/>
          <w:szCs w:val="21"/>
        </w:rPr>
        <w:t xml:space="preserve"> </w:t>
      </w:r>
    </w:p>
    <w:p w14:paraId="26365345" w14:textId="64684AFB" w:rsidR="00CA2556" w:rsidRPr="00CA2556" w:rsidRDefault="00CA2556" w:rsidP="00CA2556">
      <w:pPr>
        <w:shd w:val="clear" w:color="auto" w:fill="FFFFFF"/>
        <w:rPr>
          <w:rFonts w:ascii="Open Sans" w:eastAsia="Aptos" w:hAnsi="Open Sans" w:cs="Open Sans"/>
          <w:color w:val="000000"/>
          <w:sz w:val="21"/>
          <w:szCs w:val="21"/>
        </w:rPr>
      </w:pPr>
      <w:r w:rsidRPr="00CA2556">
        <w:rPr>
          <w:rFonts w:ascii="Open Sans" w:eastAsia="Aptos" w:hAnsi="Open Sans" w:cs="Open Sans"/>
          <w:color w:val="000000"/>
          <w:sz w:val="21"/>
          <w:szCs w:val="21"/>
        </w:rPr>
        <w:t xml:space="preserve">While these issues are, and have been, prevalent throughout 2025, businesses that import tangible property are now directly impacted by </w:t>
      </w:r>
      <w:proofErr w:type="gramStart"/>
      <w:r w:rsidRPr="00CA2556">
        <w:rPr>
          <w:rFonts w:ascii="Open Sans" w:eastAsia="Aptos" w:hAnsi="Open Sans" w:cs="Open Sans"/>
          <w:color w:val="000000"/>
          <w:sz w:val="21"/>
          <w:szCs w:val="21"/>
        </w:rPr>
        <w:t>tariffs, and</w:t>
      </w:r>
      <w:proofErr w:type="gramEnd"/>
      <w:r w:rsidRPr="00CA2556">
        <w:rPr>
          <w:rFonts w:ascii="Open Sans" w:eastAsia="Aptos" w:hAnsi="Open Sans" w:cs="Open Sans"/>
          <w:color w:val="000000"/>
          <w:sz w:val="21"/>
          <w:szCs w:val="21"/>
        </w:rPr>
        <w:t xml:space="preserve"> should begin active strategic planning for both their tariffs and U.S. federal and state tax posture to achieve future efficiency. Despite the uncertainty, some increased tariffs are likely to continue, as well as federal and state tax changes. Enough information is available to commence </w:t>
      </w:r>
      <w:proofErr w:type="gramStart"/>
      <w:r w:rsidRPr="00CA2556">
        <w:rPr>
          <w:rFonts w:ascii="Open Sans" w:eastAsia="Aptos" w:hAnsi="Open Sans" w:cs="Open Sans"/>
          <w:color w:val="000000"/>
          <w:sz w:val="21"/>
          <w:szCs w:val="21"/>
        </w:rPr>
        <w:t>tariff</w:t>
      </w:r>
      <w:proofErr w:type="gramEnd"/>
      <w:r w:rsidRPr="00CA2556">
        <w:rPr>
          <w:rFonts w:ascii="Open Sans" w:eastAsia="Aptos" w:hAnsi="Open Sans" w:cs="Open Sans"/>
          <w:color w:val="000000"/>
          <w:sz w:val="21"/>
          <w:szCs w:val="21"/>
        </w:rPr>
        <w:t xml:space="preserve"> and integrated tax planning, and businesses should implement strategic thinking over the next few months.</w:t>
      </w:r>
    </w:p>
    <w:p w14:paraId="0D253FC8" w14:textId="7CD1E4CC" w:rsidR="00CA2556" w:rsidRPr="00CA2556" w:rsidRDefault="00CA2556" w:rsidP="00CA2556">
      <w:pPr>
        <w:shd w:val="clear" w:color="auto" w:fill="FFFFFF"/>
        <w:rPr>
          <w:rFonts w:ascii="Open Sans" w:eastAsia="Aptos" w:hAnsi="Open Sans" w:cs="Open Sans"/>
          <w:color w:val="000000"/>
          <w:sz w:val="21"/>
          <w:szCs w:val="21"/>
        </w:rPr>
      </w:pPr>
      <w:r w:rsidRPr="00CA2556">
        <w:rPr>
          <w:rFonts w:ascii="Open Sans" w:eastAsia="Aptos" w:hAnsi="Open Sans" w:cs="Open Sans"/>
          <w:color w:val="000000"/>
          <w:sz w:val="21"/>
          <w:szCs w:val="21"/>
        </w:rPr>
        <w:t xml:space="preserve">This Guide's focus is on identifying strategies to maximize new favorable tax provisions for businesses </w:t>
      </w:r>
      <w:r w:rsidR="00B75B27">
        <w:rPr>
          <w:rFonts w:ascii="Open Sans" w:eastAsia="Aptos" w:hAnsi="Open Sans" w:cs="Open Sans"/>
          <w:color w:val="000000"/>
          <w:sz w:val="21"/>
          <w:szCs w:val="21"/>
        </w:rPr>
        <w:t>as they</w:t>
      </w:r>
      <w:r w:rsidRPr="00CA2556">
        <w:rPr>
          <w:rFonts w:ascii="Open Sans" w:eastAsia="Aptos" w:hAnsi="Open Sans" w:cs="Open Sans"/>
          <w:color w:val="000000"/>
          <w:sz w:val="21"/>
          <w:szCs w:val="21"/>
        </w:rPr>
        <w:t xml:space="preserve"> address tariffs and their potential federal and state tax implications. In doing so, businesses can begin to navigate how to best approach an integrated plan for these outcomes.</w:t>
      </w:r>
      <w:r w:rsidR="00127A0E">
        <w:rPr>
          <w:rFonts w:ascii="Open Sans" w:eastAsia="Aptos" w:hAnsi="Open Sans" w:cs="Open Sans"/>
          <w:color w:val="000000"/>
          <w:sz w:val="21"/>
          <w:szCs w:val="21"/>
        </w:rPr>
        <w:t xml:space="preserve"> </w:t>
      </w:r>
      <w:r w:rsidRPr="00CA2556">
        <w:rPr>
          <w:rFonts w:ascii="Open Sans" w:eastAsia="Aptos" w:hAnsi="Open Sans" w:cs="Open Sans"/>
          <w:color w:val="000000"/>
          <w:sz w:val="21"/>
          <w:szCs w:val="21"/>
        </w:rPr>
        <w:t xml:space="preserve">The approach will continue to be useful in identifying the issues and directing businesses to a coordinated tax/tariff </w:t>
      </w:r>
      <w:r w:rsidR="004D114F">
        <w:rPr>
          <w:rFonts w:ascii="Open Sans" w:eastAsia="Aptos" w:hAnsi="Open Sans" w:cs="Open Sans"/>
          <w:color w:val="000000"/>
          <w:sz w:val="21"/>
          <w:szCs w:val="21"/>
        </w:rPr>
        <w:t>strategy</w:t>
      </w:r>
      <w:r w:rsidR="004D114F" w:rsidRPr="00CA2556">
        <w:rPr>
          <w:rFonts w:ascii="Open Sans" w:eastAsia="Aptos" w:hAnsi="Open Sans" w:cs="Open Sans"/>
          <w:color w:val="000000"/>
          <w:sz w:val="21"/>
          <w:szCs w:val="21"/>
        </w:rPr>
        <w:t xml:space="preserve"> </w:t>
      </w:r>
      <w:r w:rsidRPr="00CA2556">
        <w:rPr>
          <w:rFonts w:ascii="Open Sans" w:eastAsia="Aptos" w:hAnsi="Open Sans" w:cs="Open Sans"/>
          <w:color w:val="000000"/>
          <w:sz w:val="21"/>
          <w:szCs w:val="21"/>
        </w:rPr>
        <w:t>for the near future.</w:t>
      </w:r>
    </w:p>
    <w:p w14:paraId="690C9A98" w14:textId="77777777" w:rsidR="00CA2556" w:rsidRPr="00CA2556" w:rsidRDefault="00CA2556" w:rsidP="00CA2556">
      <w:pPr>
        <w:shd w:val="clear" w:color="auto" w:fill="FFFFFF"/>
        <w:rPr>
          <w:rFonts w:ascii="Open Sans" w:eastAsia="Aptos" w:hAnsi="Open Sans" w:cs="Open Sans"/>
          <w:color w:val="000000"/>
          <w:sz w:val="21"/>
          <w:szCs w:val="21"/>
        </w:rPr>
      </w:pPr>
      <w:bookmarkStart w:id="3" w:name="section(1)(1)(1)_0"/>
      <w:r w:rsidRPr="00CA2556">
        <w:rPr>
          <w:rFonts w:ascii="Open Sans" w:eastAsia="Aptos" w:hAnsi="Open Sans" w:cs="Open Sans"/>
          <w:b/>
          <w:bCs/>
          <w:color w:val="333333"/>
          <w:sz w:val="21"/>
          <w:szCs w:val="21"/>
        </w:rPr>
        <w:t>1.1. </w:t>
      </w:r>
      <w:bookmarkEnd w:id="3"/>
      <w:r w:rsidRPr="00CA2556">
        <w:rPr>
          <w:rFonts w:ascii="Open Sans" w:eastAsia="Aptos" w:hAnsi="Open Sans" w:cs="Open Sans"/>
          <w:color w:val="000000"/>
          <w:sz w:val="21"/>
          <w:szCs w:val="21"/>
        </w:rPr>
        <w:t> </w:t>
      </w:r>
      <w:r w:rsidRPr="00003317">
        <w:t>The U.S. Tariffs</w:t>
      </w:r>
      <w:r w:rsidRPr="00CA2556">
        <w:rPr>
          <w:rFonts w:ascii="Open Sans" w:eastAsia="Aptos" w:hAnsi="Open Sans" w:cs="Open Sans"/>
          <w:color w:val="000000"/>
          <w:sz w:val="21"/>
          <w:szCs w:val="21"/>
        </w:rPr>
        <w:t> —</w:t>
      </w:r>
    </w:p>
    <w:p w14:paraId="2393A93D" w14:textId="0290CA0F" w:rsidR="00CA2556" w:rsidRPr="00CA2556" w:rsidRDefault="00CA2556" w:rsidP="00CA2556">
      <w:pPr>
        <w:shd w:val="clear" w:color="auto" w:fill="FFFFFF"/>
        <w:rPr>
          <w:rFonts w:ascii="Open Sans" w:eastAsia="Aptos" w:hAnsi="Open Sans" w:cs="Open Sans"/>
          <w:color w:val="000000"/>
          <w:sz w:val="21"/>
          <w:szCs w:val="21"/>
        </w:rPr>
      </w:pPr>
      <w:r w:rsidRPr="00CA2556">
        <w:rPr>
          <w:rFonts w:ascii="Open Sans" w:eastAsia="Aptos" w:hAnsi="Open Sans" w:cs="Open Sans"/>
          <w:color w:val="000000"/>
          <w:sz w:val="21"/>
          <w:szCs w:val="21"/>
        </w:rPr>
        <w:t>These tariffs are currently being collected as goods enter the U.S. and have already raised significant revenue. Monthly tariff revenue had more than doubled since January 2025. In January, $7.4 billion in tariff revenue came into the U.S.; this had increased to over $30 billion in August 2025.</w:t>
      </w:r>
    </w:p>
    <w:p w14:paraId="72D051D6" w14:textId="77777777" w:rsidR="00CA2556" w:rsidRPr="00CA2556" w:rsidRDefault="00CA2556" w:rsidP="00CA2556">
      <w:pPr>
        <w:shd w:val="clear" w:color="auto" w:fill="FFFFFF"/>
        <w:rPr>
          <w:rFonts w:ascii="Open Sans" w:eastAsia="Aptos" w:hAnsi="Open Sans" w:cs="Open Sans"/>
          <w:color w:val="000000"/>
          <w:sz w:val="21"/>
          <w:szCs w:val="21"/>
        </w:rPr>
      </w:pPr>
      <w:bookmarkStart w:id="4" w:name="section(2)_0"/>
      <w:r w:rsidRPr="00CA2556">
        <w:rPr>
          <w:rFonts w:ascii="Open Sans" w:eastAsia="Aptos" w:hAnsi="Open Sans" w:cs="Open Sans"/>
          <w:b/>
          <w:bCs/>
          <w:color w:val="333333"/>
          <w:sz w:val="21"/>
          <w:szCs w:val="21"/>
        </w:rPr>
        <w:t>2</w:t>
      </w:r>
      <w:proofErr w:type="gramStart"/>
      <w:r w:rsidRPr="00CA2556">
        <w:rPr>
          <w:rFonts w:ascii="Open Sans" w:eastAsia="Aptos" w:hAnsi="Open Sans" w:cs="Open Sans"/>
          <w:b/>
          <w:bCs/>
          <w:color w:val="333333"/>
          <w:sz w:val="21"/>
          <w:szCs w:val="21"/>
        </w:rPr>
        <w:t>. </w:t>
      </w:r>
      <w:bookmarkEnd w:id="4"/>
      <w:r w:rsidRPr="00CA2556">
        <w:rPr>
          <w:rFonts w:ascii="Open Sans" w:eastAsia="Aptos" w:hAnsi="Open Sans" w:cs="Open Sans"/>
          <w:color w:val="000000"/>
          <w:sz w:val="21"/>
          <w:szCs w:val="21"/>
        </w:rPr>
        <w:t> </w:t>
      </w:r>
      <w:r w:rsidRPr="00003317">
        <w:t>Tariff</w:t>
      </w:r>
      <w:proofErr w:type="gramEnd"/>
      <w:r w:rsidRPr="00003317">
        <w:t xml:space="preserve"> Strategies</w:t>
      </w:r>
    </w:p>
    <w:p w14:paraId="3CE0864A" w14:textId="77777777" w:rsidR="00CA2556" w:rsidRPr="00CA2556" w:rsidRDefault="00CA2556" w:rsidP="00CA2556">
      <w:pPr>
        <w:shd w:val="clear" w:color="auto" w:fill="FFFFFF"/>
        <w:rPr>
          <w:rFonts w:ascii="Open Sans" w:eastAsia="Aptos" w:hAnsi="Open Sans" w:cs="Open Sans"/>
          <w:color w:val="000000"/>
          <w:sz w:val="21"/>
          <w:szCs w:val="21"/>
        </w:rPr>
      </w:pPr>
      <w:bookmarkStart w:id="5" w:name="section(2)(2)(1)_0"/>
      <w:r w:rsidRPr="00CA2556">
        <w:rPr>
          <w:rFonts w:ascii="Open Sans" w:eastAsia="Aptos" w:hAnsi="Open Sans" w:cs="Open Sans"/>
          <w:b/>
          <w:bCs/>
          <w:color w:val="333333"/>
          <w:sz w:val="21"/>
          <w:szCs w:val="21"/>
        </w:rPr>
        <w:t>2.1. </w:t>
      </w:r>
      <w:bookmarkEnd w:id="5"/>
      <w:r w:rsidRPr="00CA2556">
        <w:rPr>
          <w:rFonts w:ascii="Open Sans" w:eastAsia="Aptos" w:hAnsi="Open Sans" w:cs="Open Sans"/>
          <w:color w:val="000000"/>
          <w:sz w:val="21"/>
          <w:szCs w:val="21"/>
        </w:rPr>
        <w:t> </w:t>
      </w:r>
      <w:r w:rsidRPr="00003317">
        <w:t>Core Areas of Current Tariff Regime Compliance to Be Reviewed </w:t>
      </w:r>
      <w:r w:rsidRPr="00CA2556">
        <w:rPr>
          <w:rFonts w:ascii="Open Sans" w:eastAsia="Aptos" w:hAnsi="Open Sans" w:cs="Open Sans"/>
          <w:color w:val="000000"/>
          <w:sz w:val="21"/>
          <w:szCs w:val="21"/>
        </w:rPr>
        <w:t>—</w:t>
      </w:r>
    </w:p>
    <w:p w14:paraId="0C8C8EFE" w14:textId="77777777" w:rsidR="00CA2556" w:rsidRPr="00CA2556" w:rsidRDefault="00CA2556" w:rsidP="00CA2556">
      <w:pPr>
        <w:shd w:val="clear" w:color="auto" w:fill="FFFFFF"/>
        <w:rPr>
          <w:rFonts w:ascii="Open Sans" w:eastAsia="Aptos" w:hAnsi="Open Sans" w:cs="Open Sans"/>
          <w:color w:val="000000"/>
          <w:sz w:val="21"/>
          <w:szCs w:val="21"/>
        </w:rPr>
      </w:pPr>
      <w:r w:rsidRPr="00CA2556">
        <w:rPr>
          <w:rFonts w:ascii="Open Sans" w:eastAsia="Aptos" w:hAnsi="Open Sans" w:cs="Open Sans"/>
          <w:color w:val="000000"/>
          <w:sz w:val="21"/>
          <w:szCs w:val="21"/>
        </w:rPr>
        <w:t>Under the current and evolving tariff regime, there are several core areas to review and monitor to ensure that the importer is compliant and considering the relevant aspects. In doing so, businesses can establish baseline reporting and compliance to prepare for the changes coming their way.</w:t>
      </w:r>
    </w:p>
    <w:p w14:paraId="07564C0B" w14:textId="77777777" w:rsidR="00CA2556" w:rsidRPr="00CA2556" w:rsidRDefault="00CA2556" w:rsidP="00CA2556">
      <w:pPr>
        <w:shd w:val="clear" w:color="auto" w:fill="FFFFFF"/>
        <w:rPr>
          <w:rFonts w:ascii="Open Sans" w:eastAsia="Aptos" w:hAnsi="Open Sans" w:cs="Open Sans"/>
          <w:color w:val="000000"/>
          <w:sz w:val="21"/>
          <w:szCs w:val="21"/>
        </w:rPr>
      </w:pPr>
      <w:r w:rsidRPr="00CA2556">
        <w:rPr>
          <w:rFonts w:ascii="Open Sans" w:eastAsia="Aptos" w:hAnsi="Open Sans" w:cs="Open Sans"/>
          <w:color w:val="000000"/>
          <w:sz w:val="21"/>
          <w:szCs w:val="21"/>
        </w:rPr>
        <w:t xml:space="preserve">Ensuring that the </w:t>
      </w:r>
      <w:proofErr w:type="gramStart"/>
      <w:r w:rsidRPr="00CA2556">
        <w:rPr>
          <w:rFonts w:ascii="Open Sans" w:eastAsia="Aptos" w:hAnsi="Open Sans" w:cs="Open Sans"/>
          <w:color w:val="000000"/>
          <w:sz w:val="21"/>
          <w:szCs w:val="21"/>
        </w:rPr>
        <w:t>good is</w:t>
      </w:r>
      <w:proofErr w:type="gramEnd"/>
      <w:r w:rsidRPr="00CA2556">
        <w:rPr>
          <w:rFonts w:ascii="Open Sans" w:eastAsia="Aptos" w:hAnsi="Open Sans" w:cs="Open Sans"/>
          <w:color w:val="000000"/>
          <w:sz w:val="21"/>
          <w:szCs w:val="21"/>
        </w:rPr>
        <w:t xml:space="preserve"> reported with the actual tariff code is critical. There have been many instances of miscoding that could lead to inappropriate higher tariffs</w:t>
      </w:r>
      <w:r w:rsidRPr="00003317">
        <w:t>. </w:t>
      </w:r>
      <w:r w:rsidRPr="00CA2556">
        <w:rPr>
          <w:rFonts w:ascii="Open Sans" w:eastAsia="Aptos" w:hAnsi="Open Sans" w:cs="Open Sans"/>
          <w:color w:val="000000"/>
          <w:sz w:val="21"/>
          <w:szCs w:val="21"/>
        </w:rPr>
        <w:t>In particular, exempt goods should be reviewed to ensure proper coding. For example, auto parts have numerous exempt subcategories. Additionally, for Canada and Mexico, some aluminum and steel goods may be exempt under United States-Mexico-Canada Agreement (USMCA) rules. Businesses should obtain a copy of their ACE report from the customs authorities to see what codes and tariff rates have been reported.</w:t>
      </w:r>
    </w:p>
    <w:p w14:paraId="14AFE417" w14:textId="77777777" w:rsidR="00CA2556" w:rsidRPr="00CA2556" w:rsidRDefault="00CA2556" w:rsidP="00CA2556">
      <w:pPr>
        <w:shd w:val="clear" w:color="auto" w:fill="FFFFFF"/>
        <w:rPr>
          <w:rFonts w:ascii="Open Sans" w:eastAsia="Aptos" w:hAnsi="Open Sans" w:cs="Open Sans"/>
          <w:color w:val="000000"/>
          <w:sz w:val="21"/>
          <w:szCs w:val="21"/>
        </w:rPr>
      </w:pPr>
      <w:r w:rsidRPr="00CA2556">
        <w:rPr>
          <w:rFonts w:ascii="Open Sans" w:eastAsia="Aptos" w:hAnsi="Open Sans" w:cs="Open Sans"/>
          <w:color w:val="000000"/>
          <w:sz w:val="21"/>
          <w:szCs w:val="21"/>
        </w:rPr>
        <w:t>Other areas include conducting a detailed review of the tariff rate by country to avoid miscalculating the duty rate, while also reviewing the reporting of the country of origin, U.S. value added, and the current impact on transfer pricing.</w:t>
      </w:r>
    </w:p>
    <w:p w14:paraId="3ACE12A2" w14:textId="77777777" w:rsidR="00CA2556" w:rsidRPr="00CA2556" w:rsidRDefault="00CA2556" w:rsidP="00CA2556">
      <w:pPr>
        <w:shd w:val="clear" w:color="auto" w:fill="FFFFFF"/>
        <w:rPr>
          <w:rFonts w:ascii="Open Sans" w:eastAsia="Aptos" w:hAnsi="Open Sans" w:cs="Open Sans"/>
          <w:color w:val="000000"/>
          <w:sz w:val="21"/>
          <w:szCs w:val="21"/>
        </w:rPr>
      </w:pPr>
      <w:bookmarkStart w:id="6" w:name="section(2)(2)(2)_0"/>
      <w:r w:rsidRPr="00CA2556">
        <w:rPr>
          <w:rFonts w:ascii="Open Sans" w:eastAsia="Aptos" w:hAnsi="Open Sans" w:cs="Open Sans"/>
          <w:b/>
          <w:bCs/>
          <w:color w:val="333333"/>
          <w:sz w:val="21"/>
          <w:szCs w:val="21"/>
        </w:rPr>
        <w:t>2.2. </w:t>
      </w:r>
      <w:bookmarkEnd w:id="6"/>
      <w:r w:rsidRPr="00CA2556">
        <w:rPr>
          <w:rFonts w:ascii="Open Sans" w:eastAsia="Aptos" w:hAnsi="Open Sans" w:cs="Open Sans"/>
          <w:color w:val="000000"/>
          <w:sz w:val="21"/>
          <w:szCs w:val="21"/>
        </w:rPr>
        <w:t> </w:t>
      </w:r>
      <w:r w:rsidRPr="00003317">
        <w:t>Monitoring Change and Impact on Cost of the New Tariffs</w:t>
      </w:r>
      <w:r w:rsidRPr="00CA2556">
        <w:rPr>
          <w:rFonts w:ascii="Open Sans" w:eastAsia="Aptos" w:hAnsi="Open Sans" w:cs="Open Sans"/>
          <w:color w:val="000000"/>
          <w:sz w:val="21"/>
          <w:szCs w:val="21"/>
        </w:rPr>
        <w:t> —</w:t>
      </w:r>
    </w:p>
    <w:p w14:paraId="0EADA73F" w14:textId="77777777" w:rsidR="00CA2556" w:rsidRPr="00CA2556" w:rsidRDefault="00CA2556" w:rsidP="00CA2556">
      <w:pPr>
        <w:shd w:val="clear" w:color="auto" w:fill="FFFFFF"/>
        <w:rPr>
          <w:rFonts w:ascii="Open Sans" w:eastAsia="Aptos" w:hAnsi="Open Sans" w:cs="Open Sans"/>
          <w:color w:val="000000"/>
          <w:sz w:val="21"/>
          <w:szCs w:val="21"/>
        </w:rPr>
      </w:pPr>
      <w:r w:rsidRPr="00CA2556">
        <w:rPr>
          <w:rFonts w:ascii="Open Sans" w:eastAsia="Aptos" w:hAnsi="Open Sans" w:cs="Open Sans"/>
          <w:color w:val="000000"/>
          <w:sz w:val="21"/>
          <w:szCs w:val="21"/>
        </w:rPr>
        <w:t xml:space="preserve">New tariff announcements and/or Executive Orders occur almost weekly (sometimes daily), causing a significant degree of uncertainty. Given that tariff rates are likely to shift, businesses should plan for increased costs, if applicable, to ascertain impact. Many corporations are already facing negative impacts </w:t>
      </w:r>
      <w:proofErr w:type="gramStart"/>
      <w:r w:rsidRPr="00CA2556">
        <w:rPr>
          <w:rFonts w:ascii="Open Sans" w:eastAsia="Aptos" w:hAnsi="Open Sans" w:cs="Open Sans"/>
          <w:color w:val="000000"/>
          <w:sz w:val="21"/>
          <w:szCs w:val="21"/>
        </w:rPr>
        <w:t>to</w:t>
      </w:r>
      <w:proofErr w:type="gramEnd"/>
      <w:r w:rsidRPr="00CA2556">
        <w:rPr>
          <w:rFonts w:ascii="Open Sans" w:eastAsia="Aptos" w:hAnsi="Open Sans" w:cs="Open Sans"/>
          <w:color w:val="000000"/>
          <w:sz w:val="21"/>
          <w:szCs w:val="21"/>
        </w:rPr>
        <w:t xml:space="preserve"> their earnings (either through additional costs and/or consumer pullbacks) because of tariffs. It is critical to monitor the countries of supply and changes in tariff rates (i.e., E.U., U.K., Asia, Latin America, and others). As trade deals become finalized and implemented this can be reliably calculated. It is also important to assess the global impact of the tariffs to determine its impact on margin. This is core to proactive planning.</w:t>
      </w:r>
    </w:p>
    <w:p w14:paraId="36F5DFEC" w14:textId="47CE75FF" w:rsidR="00CA2556" w:rsidRPr="00CA2556" w:rsidRDefault="00CA2556" w:rsidP="00CA2556">
      <w:pPr>
        <w:shd w:val="clear" w:color="auto" w:fill="FFFFFF"/>
        <w:rPr>
          <w:rFonts w:ascii="Open Sans" w:eastAsia="Aptos" w:hAnsi="Open Sans" w:cs="Open Sans"/>
          <w:color w:val="000000"/>
          <w:sz w:val="21"/>
          <w:szCs w:val="21"/>
        </w:rPr>
      </w:pPr>
      <w:r w:rsidRPr="00CA2556">
        <w:rPr>
          <w:rFonts w:ascii="Open Sans" w:eastAsia="Aptos" w:hAnsi="Open Sans" w:cs="Open Sans"/>
          <w:color w:val="000000"/>
          <w:sz w:val="21"/>
          <w:szCs w:val="21"/>
        </w:rPr>
        <w:t xml:space="preserve">With constant changes in tariff policy being an integral component of President Trump's customs communication, </w:t>
      </w:r>
      <w:r w:rsidR="00C807D1">
        <w:rPr>
          <w:rFonts w:ascii="Open Sans" w:eastAsia="Aptos" w:hAnsi="Open Sans" w:cs="Open Sans"/>
          <w:color w:val="000000"/>
          <w:sz w:val="21"/>
          <w:szCs w:val="21"/>
        </w:rPr>
        <w:t>the specific rates mentioned in this Guide</w:t>
      </w:r>
      <w:r w:rsidRPr="00CA2556">
        <w:rPr>
          <w:rFonts w:ascii="Open Sans" w:eastAsia="Aptos" w:hAnsi="Open Sans" w:cs="Open Sans"/>
          <w:color w:val="000000"/>
          <w:sz w:val="21"/>
          <w:szCs w:val="21"/>
        </w:rPr>
        <w:t xml:space="preserve"> should be taken as a guideline and not as an exact set of rates. For example, on June 3, 2025, President Trump, by Executive Order, increased “Section 232 Tariffs on Steel and Aluminum” from 25% to 50%. Further, President Trump ordered two separate 90-day pauses on higher rates applicable to China and other countries to allow for negotiations. Many of these negotiation</w:t>
      </w:r>
      <w:r w:rsidR="005D6122">
        <w:rPr>
          <w:rFonts w:ascii="Open Sans" w:eastAsia="Aptos" w:hAnsi="Open Sans" w:cs="Open Sans"/>
          <w:color w:val="000000"/>
          <w:sz w:val="21"/>
          <w:szCs w:val="21"/>
        </w:rPr>
        <w:t>s are still ongoing</w:t>
      </w:r>
      <w:r w:rsidRPr="00CA2556">
        <w:rPr>
          <w:rFonts w:ascii="Open Sans" w:eastAsia="Aptos" w:hAnsi="Open Sans" w:cs="Open Sans"/>
          <w:color w:val="000000"/>
          <w:sz w:val="21"/>
          <w:szCs w:val="21"/>
        </w:rPr>
        <w:t xml:space="preserve">.   </w:t>
      </w:r>
    </w:p>
    <w:p w14:paraId="119C37E1" w14:textId="77777777" w:rsidR="00CA2556" w:rsidRPr="00CA2556" w:rsidRDefault="00CA2556" w:rsidP="00CA2556">
      <w:pPr>
        <w:shd w:val="clear" w:color="auto" w:fill="FFFFFF"/>
        <w:rPr>
          <w:rFonts w:ascii="Open Sans" w:eastAsia="Aptos" w:hAnsi="Open Sans" w:cs="Open Sans"/>
          <w:color w:val="000000"/>
          <w:sz w:val="21"/>
          <w:szCs w:val="21"/>
        </w:rPr>
      </w:pPr>
      <w:r w:rsidRPr="00CA2556">
        <w:rPr>
          <w:rFonts w:ascii="Open Sans" w:eastAsia="Aptos" w:hAnsi="Open Sans" w:cs="Open Sans"/>
          <w:color w:val="000000"/>
          <w:sz w:val="21"/>
          <w:szCs w:val="21"/>
        </w:rPr>
        <w:t>Despite the announcement, many questions on actual parameters and the staying power of the “deal” remain. China tariffs have been as high as 145%, which effectively stopped trade with China before they were paused. Additionally, China and Hong Kong lost de minimis eligibility, which had allowed an exemption from tariffs for certain goods under $800 in value.</w:t>
      </w:r>
    </w:p>
    <w:p w14:paraId="31186FBB" w14:textId="2AB3FBC8" w:rsidR="00CA2556" w:rsidRPr="00CA2556" w:rsidRDefault="00CA2556" w:rsidP="00CA2556">
      <w:pPr>
        <w:shd w:val="clear" w:color="auto" w:fill="FFFFFF"/>
        <w:rPr>
          <w:rFonts w:ascii="Open Sans" w:eastAsia="Aptos" w:hAnsi="Open Sans" w:cs="Open Sans"/>
          <w:color w:val="000000"/>
          <w:sz w:val="21"/>
          <w:szCs w:val="21"/>
        </w:rPr>
      </w:pPr>
      <w:r w:rsidRPr="00CA2556">
        <w:rPr>
          <w:rFonts w:ascii="Open Sans" w:eastAsia="Aptos" w:hAnsi="Open Sans" w:cs="Open Sans"/>
          <w:color w:val="000000"/>
          <w:sz w:val="21"/>
          <w:szCs w:val="21"/>
        </w:rPr>
        <w:t xml:space="preserve">The Supreme Court has </w:t>
      </w:r>
      <w:r w:rsidR="00A04D7B">
        <w:rPr>
          <w:rFonts w:ascii="Open Sans" w:eastAsia="Aptos" w:hAnsi="Open Sans" w:cs="Open Sans"/>
          <w:color w:val="000000"/>
          <w:sz w:val="21"/>
          <w:szCs w:val="21"/>
        </w:rPr>
        <w:t>decided</w:t>
      </w:r>
      <w:r w:rsidRPr="00CA2556">
        <w:rPr>
          <w:rFonts w:ascii="Open Sans" w:eastAsia="Aptos" w:hAnsi="Open Sans" w:cs="Open Sans"/>
          <w:color w:val="000000"/>
          <w:sz w:val="21"/>
          <w:szCs w:val="21"/>
        </w:rPr>
        <w:t xml:space="preserve"> to hear the case related to reciprocal tariffs and whether the President has the power under </w:t>
      </w:r>
      <w:r w:rsidR="00F96C99">
        <w:rPr>
          <w:rFonts w:ascii="Open Sans" w:eastAsia="Aptos" w:hAnsi="Open Sans" w:cs="Open Sans"/>
          <w:color w:val="000000"/>
          <w:sz w:val="21"/>
          <w:szCs w:val="21"/>
        </w:rPr>
        <w:t xml:space="preserve">the </w:t>
      </w:r>
      <w:r w:rsidR="00F96C99" w:rsidRPr="00F96C99">
        <w:rPr>
          <w:rFonts w:ascii="Open Sans" w:eastAsia="Aptos" w:hAnsi="Open Sans" w:cs="Open Sans"/>
          <w:color w:val="000000"/>
          <w:sz w:val="21"/>
          <w:szCs w:val="21"/>
        </w:rPr>
        <w:t>International Emergency Economic Powers Act</w:t>
      </w:r>
      <w:r w:rsidR="00F96C99">
        <w:rPr>
          <w:rFonts w:ascii="Open Sans" w:eastAsia="Aptos" w:hAnsi="Open Sans" w:cs="Open Sans"/>
          <w:color w:val="000000"/>
          <w:sz w:val="21"/>
          <w:szCs w:val="21"/>
        </w:rPr>
        <w:t xml:space="preserve"> (</w:t>
      </w:r>
      <w:r w:rsidRPr="00CA2556">
        <w:rPr>
          <w:rFonts w:ascii="Open Sans" w:eastAsia="Aptos" w:hAnsi="Open Sans" w:cs="Open Sans"/>
          <w:color w:val="000000"/>
          <w:sz w:val="21"/>
          <w:szCs w:val="21"/>
        </w:rPr>
        <w:t>IEPPA</w:t>
      </w:r>
      <w:r w:rsidR="00F96C99">
        <w:rPr>
          <w:rFonts w:ascii="Open Sans" w:eastAsia="Aptos" w:hAnsi="Open Sans" w:cs="Open Sans"/>
          <w:color w:val="000000"/>
          <w:sz w:val="21"/>
          <w:szCs w:val="21"/>
        </w:rPr>
        <w:t>)</w:t>
      </w:r>
      <w:r w:rsidRPr="00CA2556">
        <w:rPr>
          <w:rFonts w:ascii="Open Sans" w:eastAsia="Aptos" w:hAnsi="Open Sans" w:cs="Open Sans"/>
          <w:color w:val="000000"/>
          <w:sz w:val="21"/>
          <w:szCs w:val="21"/>
        </w:rPr>
        <w:t xml:space="preserve"> to enact them.  The expedited court hearing is on November 5, 2025.</w:t>
      </w:r>
    </w:p>
    <w:p w14:paraId="11832D3B" w14:textId="77777777" w:rsidR="00CA2556" w:rsidRPr="00CA2556" w:rsidRDefault="00CA2556" w:rsidP="00CA2556">
      <w:pPr>
        <w:shd w:val="clear" w:color="auto" w:fill="FFFFFF"/>
        <w:rPr>
          <w:rFonts w:ascii="Open Sans" w:eastAsia="Aptos" w:hAnsi="Open Sans" w:cs="Open Sans"/>
          <w:color w:val="000000"/>
          <w:sz w:val="21"/>
          <w:szCs w:val="21"/>
        </w:rPr>
      </w:pPr>
      <w:bookmarkStart w:id="7" w:name="section(2)(2)(3)_0"/>
      <w:r w:rsidRPr="00CA2556">
        <w:rPr>
          <w:rFonts w:ascii="Open Sans" w:eastAsia="Aptos" w:hAnsi="Open Sans" w:cs="Open Sans"/>
          <w:b/>
          <w:bCs/>
          <w:color w:val="333333"/>
          <w:sz w:val="21"/>
          <w:szCs w:val="21"/>
        </w:rPr>
        <w:t>2.3. </w:t>
      </w:r>
      <w:bookmarkEnd w:id="7"/>
      <w:r w:rsidRPr="00CA2556">
        <w:rPr>
          <w:rFonts w:ascii="Open Sans" w:eastAsia="Aptos" w:hAnsi="Open Sans" w:cs="Open Sans"/>
          <w:color w:val="000000"/>
          <w:sz w:val="21"/>
          <w:szCs w:val="21"/>
        </w:rPr>
        <w:t> </w:t>
      </w:r>
      <w:r w:rsidRPr="00003317">
        <w:t>Strategies to Consider for Tariff Planning</w:t>
      </w:r>
      <w:r w:rsidRPr="00CA2556">
        <w:rPr>
          <w:rFonts w:ascii="Open Sans" w:eastAsia="Aptos" w:hAnsi="Open Sans" w:cs="Open Sans"/>
          <w:color w:val="000000"/>
          <w:sz w:val="21"/>
          <w:szCs w:val="21"/>
        </w:rPr>
        <w:t> —</w:t>
      </w:r>
    </w:p>
    <w:p w14:paraId="706AF12B" w14:textId="77777777" w:rsidR="00CA2556" w:rsidRPr="00CA2556" w:rsidRDefault="00CA2556" w:rsidP="00CA2556">
      <w:pPr>
        <w:shd w:val="clear" w:color="auto" w:fill="FFFFFF"/>
        <w:rPr>
          <w:rFonts w:ascii="Open Sans" w:eastAsia="Aptos" w:hAnsi="Open Sans" w:cs="Open Sans"/>
          <w:color w:val="000000"/>
          <w:sz w:val="21"/>
          <w:szCs w:val="21"/>
        </w:rPr>
      </w:pPr>
      <w:r w:rsidRPr="00CA2556">
        <w:rPr>
          <w:rFonts w:ascii="Open Sans" w:eastAsia="Aptos" w:hAnsi="Open Sans" w:cs="Open Sans"/>
          <w:color w:val="000000"/>
          <w:sz w:val="21"/>
          <w:szCs w:val="21"/>
        </w:rPr>
        <w:t>Various areas of strategic thinking should be assessed to arrive at a supply chain process and procurement planning that effectively address increased tariffs. These approaches should be reviewed as a whole since they are not mutually exclusive.</w:t>
      </w:r>
    </w:p>
    <w:p w14:paraId="51B2FC6D" w14:textId="77777777" w:rsidR="00CA2556" w:rsidRPr="00CA2556" w:rsidRDefault="00CA2556" w:rsidP="00CA2556">
      <w:pPr>
        <w:shd w:val="clear" w:color="auto" w:fill="FFFFFF"/>
        <w:rPr>
          <w:rFonts w:ascii="Open Sans" w:eastAsia="Aptos" w:hAnsi="Open Sans" w:cs="Open Sans"/>
          <w:color w:val="000000"/>
          <w:sz w:val="21"/>
          <w:szCs w:val="21"/>
        </w:rPr>
      </w:pPr>
      <w:r w:rsidRPr="00CA2556">
        <w:rPr>
          <w:rFonts w:ascii="Open Sans" w:eastAsia="Aptos" w:hAnsi="Open Sans" w:cs="Open Sans"/>
          <w:color w:val="000000"/>
          <w:sz w:val="21"/>
          <w:szCs w:val="21"/>
        </w:rPr>
        <w:t>Many of these strategies can be combined and should all be modeled out to ascertain the financial cost and benefit to the specific business. For example, combining components importing and Free Trade Zones strategies could yield a doubling of the benefit. Negotiations as to who is the importer and who bears the economic cost also is an additional strategy.</w:t>
      </w:r>
    </w:p>
    <w:p w14:paraId="5A8ABA89" w14:textId="77777777" w:rsidR="00CA2556" w:rsidRPr="00CA2556" w:rsidRDefault="00CA2556" w:rsidP="00CA2556">
      <w:pPr>
        <w:shd w:val="clear" w:color="auto" w:fill="FFFFFF"/>
        <w:rPr>
          <w:rFonts w:ascii="Open Sans" w:eastAsia="Aptos" w:hAnsi="Open Sans" w:cs="Open Sans"/>
          <w:color w:val="000000"/>
          <w:sz w:val="21"/>
          <w:szCs w:val="21"/>
        </w:rPr>
      </w:pPr>
      <w:bookmarkStart w:id="8" w:name="section(2)(2)(3)(2)(3)(1)_0"/>
      <w:r w:rsidRPr="00CA2556">
        <w:rPr>
          <w:rFonts w:ascii="Open Sans" w:eastAsia="Aptos" w:hAnsi="Open Sans" w:cs="Open Sans"/>
          <w:b/>
          <w:bCs/>
          <w:color w:val="333333"/>
          <w:sz w:val="21"/>
          <w:szCs w:val="21"/>
        </w:rPr>
        <w:t>2.3.1. </w:t>
      </w:r>
      <w:bookmarkEnd w:id="8"/>
      <w:r w:rsidRPr="00003317">
        <w:t>Identity of the importer</w:t>
      </w:r>
      <w:r w:rsidRPr="00CA2556">
        <w:rPr>
          <w:rFonts w:ascii="Open Sans" w:eastAsia="Aptos" w:hAnsi="Open Sans" w:cs="Open Sans"/>
          <w:color w:val="000000"/>
          <w:sz w:val="21"/>
          <w:szCs w:val="21"/>
        </w:rPr>
        <w:t> —</w:t>
      </w:r>
    </w:p>
    <w:p w14:paraId="17230AEA" w14:textId="1DFF9093" w:rsidR="00CA2556" w:rsidRPr="00CA2556" w:rsidRDefault="00CA2556" w:rsidP="00CA2556">
      <w:pPr>
        <w:shd w:val="clear" w:color="auto" w:fill="FFFFFF"/>
        <w:rPr>
          <w:rFonts w:ascii="Open Sans" w:eastAsia="Aptos" w:hAnsi="Open Sans" w:cs="Open Sans"/>
          <w:color w:val="000000"/>
          <w:sz w:val="21"/>
          <w:szCs w:val="21"/>
        </w:rPr>
      </w:pPr>
      <w:r w:rsidRPr="00CA2556">
        <w:rPr>
          <w:rFonts w:ascii="Open Sans" w:eastAsia="Aptos" w:hAnsi="Open Sans" w:cs="Open Sans"/>
          <w:color w:val="000000"/>
          <w:sz w:val="21"/>
          <w:szCs w:val="21"/>
        </w:rPr>
        <w:t>Businesses should review whether the importer can be changed to the supplier by changing the invoice terms and having them pay the duty. They can also consider putting in place a legal or sales/supply contract that makes it clear as to who economically bears the tariff. This is a business negotiation. Similarly, existing legal contracts should be reviewed and updated, and adjustments made as to both the price and the importer.</w:t>
      </w:r>
    </w:p>
    <w:p w14:paraId="36667120" w14:textId="77777777" w:rsidR="00CA2556" w:rsidRPr="00CA2556" w:rsidRDefault="00CA2556" w:rsidP="00CA2556">
      <w:pPr>
        <w:shd w:val="clear" w:color="auto" w:fill="FFFFFF"/>
        <w:rPr>
          <w:rFonts w:ascii="Open Sans" w:eastAsia="Aptos" w:hAnsi="Open Sans" w:cs="Open Sans"/>
          <w:color w:val="000000"/>
          <w:sz w:val="21"/>
          <w:szCs w:val="21"/>
        </w:rPr>
      </w:pPr>
      <w:bookmarkStart w:id="9" w:name="section(2)(2)(3)(2)(3)(2)_0"/>
      <w:r w:rsidRPr="00CA2556">
        <w:rPr>
          <w:rFonts w:ascii="Open Sans" w:eastAsia="Aptos" w:hAnsi="Open Sans" w:cs="Open Sans"/>
          <w:b/>
          <w:bCs/>
          <w:color w:val="333333"/>
          <w:sz w:val="21"/>
          <w:szCs w:val="21"/>
        </w:rPr>
        <w:t>2.3.2. </w:t>
      </w:r>
      <w:bookmarkEnd w:id="9"/>
      <w:r w:rsidRPr="00003317">
        <w:t>Price increases for customers</w:t>
      </w:r>
      <w:r w:rsidRPr="00CA2556">
        <w:rPr>
          <w:rFonts w:ascii="Open Sans" w:eastAsia="Aptos" w:hAnsi="Open Sans" w:cs="Open Sans"/>
          <w:color w:val="000000"/>
          <w:sz w:val="21"/>
          <w:szCs w:val="21"/>
        </w:rPr>
        <w:t> —</w:t>
      </w:r>
    </w:p>
    <w:p w14:paraId="130EA25C" w14:textId="77777777" w:rsidR="00CA2556" w:rsidRPr="00CA2556" w:rsidRDefault="00CA2556" w:rsidP="00CA2556">
      <w:pPr>
        <w:shd w:val="clear" w:color="auto" w:fill="FFFFFF"/>
        <w:rPr>
          <w:rFonts w:ascii="Open Sans" w:eastAsia="Aptos" w:hAnsi="Open Sans" w:cs="Open Sans"/>
          <w:color w:val="000000"/>
          <w:sz w:val="21"/>
          <w:szCs w:val="21"/>
        </w:rPr>
      </w:pPr>
      <w:r w:rsidRPr="00CA2556">
        <w:rPr>
          <w:rFonts w:ascii="Open Sans" w:eastAsia="Aptos" w:hAnsi="Open Sans" w:cs="Open Sans"/>
          <w:color w:val="000000"/>
          <w:sz w:val="21"/>
          <w:szCs w:val="21"/>
        </w:rPr>
        <w:t>Discussions with customers are needed to determine whether pricing can be adjusted to pass the burden of increased tariffs on to the customers. This should also entail updating or executing sales contracts to account for such changes. Businesses should update and/or prepare a sales contract with the customer which identifies the pricing and customs duty and how it is shared. Alternatively, consideration should be given to sending out a letter to customers indicating price increases and the reason.</w:t>
      </w:r>
    </w:p>
    <w:p w14:paraId="33774CB5" w14:textId="77777777" w:rsidR="00CA2556" w:rsidRPr="00CA2556" w:rsidRDefault="00CA2556" w:rsidP="00CA2556">
      <w:pPr>
        <w:shd w:val="clear" w:color="auto" w:fill="FFFFFF"/>
        <w:rPr>
          <w:rFonts w:ascii="Open Sans" w:eastAsia="Aptos" w:hAnsi="Open Sans" w:cs="Open Sans"/>
          <w:color w:val="000000"/>
          <w:sz w:val="21"/>
          <w:szCs w:val="21"/>
        </w:rPr>
      </w:pPr>
      <w:bookmarkStart w:id="10" w:name="section(2)(2)(3)(2)(3)(3)_0"/>
      <w:r w:rsidRPr="00CA2556">
        <w:rPr>
          <w:rFonts w:ascii="Open Sans" w:eastAsia="Aptos" w:hAnsi="Open Sans" w:cs="Open Sans"/>
          <w:b/>
          <w:bCs/>
          <w:color w:val="333333"/>
          <w:sz w:val="21"/>
          <w:szCs w:val="21"/>
        </w:rPr>
        <w:t>2.3.3. </w:t>
      </w:r>
      <w:bookmarkEnd w:id="10"/>
      <w:r w:rsidRPr="00003317">
        <w:t>Tariff code classifications</w:t>
      </w:r>
      <w:r w:rsidRPr="00CA2556">
        <w:rPr>
          <w:rFonts w:ascii="Open Sans" w:eastAsia="Aptos" w:hAnsi="Open Sans" w:cs="Open Sans"/>
          <w:color w:val="000000"/>
          <w:sz w:val="21"/>
          <w:szCs w:val="21"/>
        </w:rPr>
        <w:t> —</w:t>
      </w:r>
    </w:p>
    <w:p w14:paraId="02C698D2" w14:textId="77777777" w:rsidR="00CA2556" w:rsidRPr="00CA2556" w:rsidRDefault="00CA2556" w:rsidP="00CA2556">
      <w:pPr>
        <w:shd w:val="clear" w:color="auto" w:fill="FFFFFF"/>
        <w:rPr>
          <w:rFonts w:ascii="Open Sans" w:eastAsia="Aptos" w:hAnsi="Open Sans" w:cs="Open Sans"/>
          <w:color w:val="000000"/>
          <w:sz w:val="21"/>
          <w:szCs w:val="21"/>
        </w:rPr>
      </w:pPr>
      <w:r w:rsidRPr="00CA2556">
        <w:rPr>
          <w:rFonts w:ascii="Open Sans" w:eastAsia="Aptos" w:hAnsi="Open Sans" w:cs="Open Sans"/>
          <w:color w:val="000000"/>
          <w:sz w:val="21"/>
          <w:szCs w:val="21"/>
        </w:rPr>
        <w:t>Businesses should also update classification of tariff codes to make sure they are correct and subject to the correct tariff rate. This can involve: a review of tariff codes for more accurate compliance, which can lead to customs savings; a review of exempt goods, as well as particular classifications related to Canada and Mexico; for U.S. made products that are sent offshore, accounting for foreign value added in customs declarations; and, a review of classifications under updated customs and tariff guidance and Executive Orders/fact sheets to ensure compliance with exempt goods. For example, classification as auto parts or steel and aluminum may depend on specific facts. Notably, this is a detailed review of product-specific tariffs as opposed to reciprocal tariffs, which are levied on a country basis.</w:t>
      </w:r>
    </w:p>
    <w:p w14:paraId="17E15455" w14:textId="77777777" w:rsidR="00CA2556" w:rsidRPr="00CA2556" w:rsidRDefault="00CA2556" w:rsidP="00CA2556">
      <w:pPr>
        <w:shd w:val="clear" w:color="auto" w:fill="FFFFFF"/>
        <w:rPr>
          <w:rFonts w:ascii="Open Sans" w:eastAsia="Aptos" w:hAnsi="Open Sans" w:cs="Open Sans"/>
          <w:color w:val="000000"/>
          <w:sz w:val="21"/>
          <w:szCs w:val="21"/>
        </w:rPr>
      </w:pPr>
      <w:bookmarkStart w:id="11" w:name="section(2)(2)(3)(2)(3)(4)_0"/>
      <w:r w:rsidRPr="00CA2556">
        <w:rPr>
          <w:rFonts w:ascii="Open Sans" w:eastAsia="Aptos" w:hAnsi="Open Sans" w:cs="Open Sans"/>
          <w:b/>
          <w:bCs/>
          <w:color w:val="333333"/>
          <w:sz w:val="21"/>
          <w:szCs w:val="21"/>
        </w:rPr>
        <w:t>2.3.4. </w:t>
      </w:r>
      <w:bookmarkEnd w:id="11"/>
      <w:r w:rsidRPr="00003317">
        <w:t xml:space="preserve">Alternative supplier(s) from different </w:t>
      </w:r>
      <w:proofErr w:type="gramStart"/>
      <w:r w:rsidRPr="00003317">
        <w:t>country</w:t>
      </w:r>
      <w:proofErr w:type="gramEnd"/>
      <w:r w:rsidRPr="00003317">
        <w:t>(</w:t>
      </w:r>
      <w:proofErr w:type="spellStart"/>
      <w:r w:rsidRPr="00003317">
        <w:t>ies</w:t>
      </w:r>
      <w:proofErr w:type="spellEnd"/>
      <w:r w:rsidRPr="00003317">
        <w:t>) of origin</w:t>
      </w:r>
      <w:r w:rsidRPr="00CA2556">
        <w:rPr>
          <w:rFonts w:ascii="Open Sans" w:eastAsia="Aptos" w:hAnsi="Open Sans" w:cs="Open Sans"/>
          <w:color w:val="000000"/>
          <w:sz w:val="21"/>
          <w:szCs w:val="21"/>
        </w:rPr>
        <w:t> —</w:t>
      </w:r>
    </w:p>
    <w:p w14:paraId="3A6D0285" w14:textId="77777777" w:rsidR="00CA2556" w:rsidRPr="00CA2556" w:rsidRDefault="00CA2556" w:rsidP="00CA2556">
      <w:pPr>
        <w:shd w:val="clear" w:color="auto" w:fill="FFFFFF"/>
        <w:rPr>
          <w:rFonts w:ascii="Open Sans" w:eastAsia="Aptos" w:hAnsi="Open Sans" w:cs="Open Sans"/>
          <w:color w:val="000000"/>
          <w:sz w:val="21"/>
          <w:szCs w:val="21"/>
        </w:rPr>
      </w:pPr>
      <w:r w:rsidRPr="00CA2556">
        <w:rPr>
          <w:rFonts w:ascii="Open Sans" w:eastAsia="Aptos" w:hAnsi="Open Sans" w:cs="Open Sans"/>
          <w:color w:val="000000"/>
          <w:sz w:val="21"/>
          <w:szCs w:val="21"/>
        </w:rPr>
        <w:t xml:space="preserve">Businesses should begin negotiations with suppliers to shift the country of origin and manufacturing to a different country to obtain a lower tariff rate. This will be of particular interest for goods manufactured in China. It would be desirable to have the supplier become the importer and let them take the tariff risk. This would affect the </w:t>
      </w:r>
      <w:proofErr w:type="gramStart"/>
      <w:r w:rsidRPr="00CA2556">
        <w:rPr>
          <w:rFonts w:ascii="Open Sans" w:eastAsia="Aptos" w:hAnsi="Open Sans" w:cs="Open Sans"/>
          <w:color w:val="000000"/>
          <w:sz w:val="21"/>
          <w:szCs w:val="21"/>
        </w:rPr>
        <w:t>pricing</w:t>
      </w:r>
      <w:proofErr w:type="gramEnd"/>
      <w:r w:rsidRPr="00CA2556">
        <w:rPr>
          <w:rFonts w:ascii="Open Sans" w:eastAsia="Aptos" w:hAnsi="Open Sans" w:cs="Open Sans"/>
          <w:color w:val="000000"/>
          <w:sz w:val="21"/>
          <w:szCs w:val="21"/>
        </w:rPr>
        <w:t xml:space="preserve"> of goods purchased. Notably, country of origin is where substantial transformation is performed and not just packaging or light assembly.</w:t>
      </w:r>
    </w:p>
    <w:p w14:paraId="0306774B" w14:textId="77777777" w:rsidR="00CA2556" w:rsidRPr="00CA2556" w:rsidRDefault="00CA2556" w:rsidP="00CA2556">
      <w:pPr>
        <w:shd w:val="clear" w:color="auto" w:fill="FFFFFF"/>
        <w:rPr>
          <w:rFonts w:ascii="Open Sans" w:eastAsia="Aptos" w:hAnsi="Open Sans" w:cs="Open Sans"/>
          <w:color w:val="000000"/>
          <w:sz w:val="21"/>
          <w:szCs w:val="21"/>
        </w:rPr>
      </w:pPr>
      <w:bookmarkStart w:id="12" w:name="section(2)(2)(3)(2)(3)(5)_0"/>
      <w:r w:rsidRPr="00CA2556">
        <w:rPr>
          <w:rFonts w:ascii="Open Sans" w:eastAsia="Aptos" w:hAnsi="Open Sans" w:cs="Open Sans"/>
          <w:b/>
          <w:bCs/>
          <w:color w:val="333333"/>
          <w:sz w:val="21"/>
          <w:szCs w:val="21"/>
        </w:rPr>
        <w:t>2.3.5. </w:t>
      </w:r>
      <w:bookmarkEnd w:id="12"/>
      <w:r w:rsidRPr="00003317">
        <w:t>Transfer pricing for related parties</w:t>
      </w:r>
      <w:r w:rsidRPr="00CA2556">
        <w:rPr>
          <w:rFonts w:ascii="Open Sans" w:eastAsia="Aptos" w:hAnsi="Open Sans" w:cs="Open Sans"/>
          <w:color w:val="000000"/>
          <w:sz w:val="21"/>
          <w:szCs w:val="21"/>
        </w:rPr>
        <w:t> —</w:t>
      </w:r>
    </w:p>
    <w:p w14:paraId="2A1B3CF5" w14:textId="705A1A76" w:rsidR="00CA2556" w:rsidRPr="00CA2556" w:rsidRDefault="00CA2556" w:rsidP="00CA2556">
      <w:pPr>
        <w:shd w:val="clear" w:color="auto" w:fill="FFFFFF"/>
        <w:rPr>
          <w:rFonts w:ascii="Open Sans" w:eastAsia="Aptos" w:hAnsi="Open Sans" w:cs="Open Sans"/>
          <w:color w:val="000000"/>
          <w:sz w:val="21"/>
          <w:szCs w:val="21"/>
        </w:rPr>
      </w:pPr>
      <w:r w:rsidRPr="00CA2556">
        <w:rPr>
          <w:rFonts w:ascii="Open Sans" w:eastAsia="Aptos" w:hAnsi="Open Sans" w:cs="Open Sans"/>
          <w:color w:val="000000"/>
          <w:sz w:val="21"/>
          <w:szCs w:val="21"/>
        </w:rPr>
        <w:t xml:space="preserve">From a transfer pricing point of view, if the U.S. company is importing dutiable goods from a manufacturing subsidiary and it incurs the tariff, this could affect the intercompany transfer price to keep the U.S. at an arm’s length distribution profit. As such, transfer pricing should be reviewed to possibly adjust for increased customs duty if the U.S. company is the importer for related parties. In this case the price of the imported </w:t>
      </w:r>
      <w:proofErr w:type="gramStart"/>
      <w:r w:rsidRPr="00CA2556">
        <w:rPr>
          <w:rFonts w:ascii="Open Sans" w:eastAsia="Aptos" w:hAnsi="Open Sans" w:cs="Open Sans"/>
          <w:color w:val="000000"/>
          <w:sz w:val="21"/>
          <w:szCs w:val="21"/>
        </w:rPr>
        <w:t>good</w:t>
      </w:r>
      <w:proofErr w:type="gramEnd"/>
      <w:r w:rsidRPr="00CA2556">
        <w:rPr>
          <w:rFonts w:ascii="Open Sans" w:eastAsia="Aptos" w:hAnsi="Open Sans" w:cs="Open Sans"/>
          <w:color w:val="000000"/>
          <w:sz w:val="21"/>
          <w:szCs w:val="21"/>
        </w:rPr>
        <w:t xml:space="preserve"> might be reduced. Changing the importer should also be considered, as well as purchasing from a U.S. supplier. Proper documentation is critical to sustain these changes in transfer pricing.</w:t>
      </w:r>
    </w:p>
    <w:p w14:paraId="71FE4C22" w14:textId="77777777" w:rsidR="00CA2556" w:rsidRPr="00CA2556" w:rsidRDefault="00CA2556" w:rsidP="00CA2556">
      <w:pPr>
        <w:shd w:val="clear" w:color="auto" w:fill="FFFFFF"/>
        <w:rPr>
          <w:rFonts w:ascii="Open Sans" w:eastAsia="Aptos" w:hAnsi="Open Sans" w:cs="Open Sans"/>
          <w:color w:val="000000"/>
          <w:sz w:val="21"/>
          <w:szCs w:val="21"/>
        </w:rPr>
      </w:pPr>
      <w:bookmarkStart w:id="13" w:name="section(2)(2)(3)(2)(3)(6)_0"/>
      <w:r w:rsidRPr="00CA2556">
        <w:rPr>
          <w:rFonts w:ascii="Open Sans" w:eastAsia="Aptos" w:hAnsi="Open Sans" w:cs="Open Sans"/>
          <w:b/>
          <w:bCs/>
          <w:color w:val="333333"/>
          <w:sz w:val="21"/>
          <w:szCs w:val="21"/>
        </w:rPr>
        <w:t>2.3.6. </w:t>
      </w:r>
      <w:bookmarkEnd w:id="13"/>
      <w:r w:rsidRPr="00003317">
        <w:t>Cost of indirect tariff price increases</w:t>
      </w:r>
      <w:r w:rsidRPr="00CA2556">
        <w:rPr>
          <w:rFonts w:ascii="Open Sans" w:eastAsia="Aptos" w:hAnsi="Open Sans" w:cs="Open Sans"/>
          <w:color w:val="000000"/>
          <w:sz w:val="21"/>
          <w:szCs w:val="21"/>
        </w:rPr>
        <w:t> —</w:t>
      </w:r>
    </w:p>
    <w:p w14:paraId="43BBAFFC" w14:textId="77777777" w:rsidR="00CA2556" w:rsidRPr="00CA2556" w:rsidRDefault="00CA2556" w:rsidP="00CA2556">
      <w:pPr>
        <w:shd w:val="clear" w:color="auto" w:fill="FFFFFF"/>
        <w:rPr>
          <w:rFonts w:ascii="Open Sans" w:eastAsia="Aptos" w:hAnsi="Open Sans" w:cs="Open Sans"/>
          <w:color w:val="000000"/>
          <w:sz w:val="21"/>
          <w:szCs w:val="21"/>
        </w:rPr>
      </w:pPr>
      <w:r w:rsidRPr="00CA2556">
        <w:rPr>
          <w:rFonts w:ascii="Open Sans" w:eastAsia="Aptos" w:hAnsi="Open Sans" w:cs="Open Sans"/>
          <w:color w:val="000000"/>
          <w:sz w:val="21"/>
          <w:szCs w:val="21"/>
        </w:rPr>
        <w:t>Businesses should obtain and evaluate evidence of cost increases of U.S. suppliers who have indicated that they are passing on price increases due to tariffs to verify the increase in price and then negotiate the difference. This would entail communication and review of a vendor's costs to gain confidence that the tariffs have actually increased prices. It would then require pricing business decisions.</w:t>
      </w:r>
    </w:p>
    <w:p w14:paraId="125B254D" w14:textId="77777777" w:rsidR="00CA2556" w:rsidRPr="00CA2556" w:rsidRDefault="00CA2556" w:rsidP="00CA2556">
      <w:pPr>
        <w:shd w:val="clear" w:color="auto" w:fill="FFFFFF"/>
        <w:rPr>
          <w:rFonts w:ascii="Open Sans" w:eastAsia="Aptos" w:hAnsi="Open Sans" w:cs="Open Sans"/>
          <w:color w:val="000000"/>
          <w:sz w:val="21"/>
          <w:szCs w:val="21"/>
        </w:rPr>
      </w:pPr>
      <w:bookmarkStart w:id="14" w:name="section(2)(2)(3)(2)(3)(7)_0"/>
      <w:r w:rsidRPr="00CA2556">
        <w:rPr>
          <w:rFonts w:ascii="Open Sans" w:eastAsia="Aptos" w:hAnsi="Open Sans" w:cs="Open Sans"/>
          <w:b/>
          <w:bCs/>
          <w:color w:val="333333"/>
          <w:sz w:val="21"/>
          <w:szCs w:val="21"/>
        </w:rPr>
        <w:t>2.3.7. </w:t>
      </w:r>
      <w:bookmarkEnd w:id="14"/>
      <w:r w:rsidRPr="00003317">
        <w:t>Alternative pricing for both related and unrelated parties</w:t>
      </w:r>
      <w:r w:rsidRPr="00CA2556">
        <w:rPr>
          <w:rFonts w:ascii="Open Sans" w:eastAsia="Aptos" w:hAnsi="Open Sans" w:cs="Open Sans"/>
          <w:color w:val="000000"/>
          <w:sz w:val="21"/>
          <w:szCs w:val="21"/>
        </w:rPr>
        <w:t> —</w:t>
      </w:r>
    </w:p>
    <w:p w14:paraId="4DB2AAC7" w14:textId="77777777" w:rsidR="00CA2556" w:rsidRPr="00CA2556" w:rsidRDefault="00CA2556" w:rsidP="00CA2556">
      <w:pPr>
        <w:shd w:val="clear" w:color="auto" w:fill="FFFFFF"/>
        <w:rPr>
          <w:rFonts w:ascii="Open Sans" w:eastAsia="Aptos" w:hAnsi="Open Sans" w:cs="Open Sans"/>
          <w:color w:val="000000"/>
          <w:sz w:val="21"/>
          <w:szCs w:val="21"/>
        </w:rPr>
      </w:pPr>
      <w:r w:rsidRPr="00CA2556">
        <w:rPr>
          <w:rFonts w:ascii="Open Sans" w:eastAsia="Aptos" w:hAnsi="Open Sans" w:cs="Open Sans"/>
          <w:color w:val="000000"/>
          <w:sz w:val="21"/>
          <w:szCs w:val="21"/>
        </w:rPr>
        <w:t>Businesses should consider changing the price of goods to include license and service fees to evaluate the impact on tariffs. This is a very technical area and involves deeper understanding and examination of tariff rules on alternative pricing structures. This could also have a transfer pricing impact for related parties. It may be possible to structure the import of the goods on a cost plus a manufacturing markup and have other costs charged as service fees (it is important to document that the services are actually performed). Inclusion of license fees needs to be evaluated under tariff rules that could include some license fees as part of the cost of a product (trademark versus technology).</w:t>
      </w:r>
    </w:p>
    <w:p w14:paraId="5A4E69C9" w14:textId="4BB61083" w:rsidR="00CA2556" w:rsidRPr="00CA2556" w:rsidRDefault="00CA2556" w:rsidP="00CA2556">
      <w:pPr>
        <w:shd w:val="clear" w:color="auto" w:fill="FFFFFF"/>
        <w:rPr>
          <w:rFonts w:ascii="Open Sans" w:eastAsia="Aptos" w:hAnsi="Open Sans" w:cs="Open Sans"/>
          <w:color w:val="000000"/>
          <w:sz w:val="21"/>
          <w:szCs w:val="21"/>
        </w:rPr>
      </w:pPr>
      <w:bookmarkStart w:id="15" w:name="section(2)(2)(3)(2)(3)(8)_0"/>
      <w:r w:rsidRPr="00CA2556">
        <w:rPr>
          <w:rFonts w:ascii="Open Sans" w:eastAsia="Aptos" w:hAnsi="Open Sans" w:cs="Open Sans"/>
          <w:b/>
          <w:bCs/>
          <w:color w:val="333333"/>
          <w:sz w:val="21"/>
          <w:szCs w:val="21"/>
        </w:rPr>
        <w:t>2.3.8.</w:t>
      </w:r>
      <w:bookmarkEnd w:id="15"/>
      <w:r w:rsidRPr="00CA2556">
        <w:rPr>
          <w:rFonts w:ascii="Open Sans" w:eastAsia="Aptos" w:hAnsi="Open Sans" w:cs="Open Sans"/>
          <w:b/>
          <w:bCs/>
          <w:color w:val="333333"/>
          <w:sz w:val="21"/>
          <w:szCs w:val="21"/>
        </w:rPr>
        <w:t xml:space="preserve"> </w:t>
      </w:r>
      <w:r w:rsidRPr="00003317">
        <w:t>Changing the supply chain</w:t>
      </w:r>
      <w:r w:rsidRPr="00CA2556">
        <w:rPr>
          <w:rFonts w:ascii="Open Sans" w:eastAsia="Aptos" w:hAnsi="Open Sans" w:cs="Open Sans"/>
          <w:color w:val="000000"/>
          <w:sz w:val="21"/>
          <w:szCs w:val="21"/>
        </w:rPr>
        <w:t> —</w:t>
      </w:r>
    </w:p>
    <w:p w14:paraId="0D3D2787" w14:textId="77777777" w:rsidR="00CA2556" w:rsidRPr="00CA2556" w:rsidRDefault="00CA2556" w:rsidP="00CA2556">
      <w:pPr>
        <w:shd w:val="clear" w:color="auto" w:fill="FFFFFF"/>
        <w:rPr>
          <w:rFonts w:ascii="Open Sans" w:eastAsia="Aptos" w:hAnsi="Open Sans" w:cs="Open Sans"/>
          <w:color w:val="000000"/>
          <w:sz w:val="21"/>
          <w:szCs w:val="21"/>
        </w:rPr>
      </w:pPr>
      <w:r w:rsidRPr="00CA2556">
        <w:rPr>
          <w:rFonts w:ascii="Open Sans" w:eastAsia="Aptos" w:hAnsi="Open Sans" w:cs="Open Sans"/>
          <w:color w:val="000000"/>
          <w:sz w:val="21"/>
          <w:szCs w:val="21"/>
        </w:rPr>
        <w:t xml:space="preserve">Businesses can consider changing the supply chain so that the U.S. company is purchasing components and subcomponents instead of finished </w:t>
      </w:r>
      <w:proofErr w:type="gramStart"/>
      <w:r w:rsidRPr="00CA2556">
        <w:rPr>
          <w:rFonts w:ascii="Open Sans" w:eastAsia="Aptos" w:hAnsi="Open Sans" w:cs="Open Sans"/>
          <w:color w:val="000000"/>
          <w:sz w:val="21"/>
          <w:szCs w:val="21"/>
        </w:rPr>
        <w:t>goods, and</w:t>
      </w:r>
      <w:proofErr w:type="gramEnd"/>
      <w:r w:rsidRPr="00CA2556">
        <w:rPr>
          <w:rFonts w:ascii="Open Sans" w:eastAsia="Aptos" w:hAnsi="Open Sans" w:cs="Open Sans"/>
          <w:color w:val="000000"/>
          <w:sz w:val="21"/>
          <w:szCs w:val="21"/>
        </w:rPr>
        <w:t xml:space="preserve"> assembling or manufacturing domestically. The impact would be a decrease in the price of the goods since parts and components are being imported as opposed to a finished good. This could lead to lower pricing of the components, and lower tariffs if the pricing is adjusted. Notably, there may be state income tax incentives for moving this type of activity into the U.S. This strategy affects also transfer pricing for related parties, and core business decisions and supply chain arrangements.</w:t>
      </w:r>
    </w:p>
    <w:p w14:paraId="7E2221E8" w14:textId="77777777" w:rsidR="00CA2556" w:rsidRPr="00CA2556" w:rsidRDefault="00CA2556" w:rsidP="00CA2556">
      <w:pPr>
        <w:shd w:val="clear" w:color="auto" w:fill="FFFFFF"/>
        <w:rPr>
          <w:rFonts w:ascii="Open Sans" w:eastAsia="Aptos" w:hAnsi="Open Sans" w:cs="Open Sans"/>
          <w:color w:val="000000"/>
          <w:sz w:val="21"/>
          <w:szCs w:val="21"/>
        </w:rPr>
      </w:pPr>
      <w:bookmarkStart w:id="16" w:name="section(2)(2)(3)(2)(3)(9)_0"/>
      <w:r w:rsidRPr="00CA2556">
        <w:rPr>
          <w:rFonts w:ascii="Open Sans" w:eastAsia="Aptos" w:hAnsi="Open Sans" w:cs="Open Sans"/>
          <w:b/>
          <w:bCs/>
          <w:color w:val="333333"/>
          <w:sz w:val="21"/>
          <w:szCs w:val="21"/>
        </w:rPr>
        <w:t>2.3.9. </w:t>
      </w:r>
      <w:bookmarkEnd w:id="16"/>
      <w:r w:rsidRPr="00003317">
        <w:t>Free Trade Zones</w:t>
      </w:r>
      <w:r w:rsidRPr="00CA2556">
        <w:rPr>
          <w:rFonts w:ascii="Open Sans" w:eastAsia="Aptos" w:hAnsi="Open Sans" w:cs="Open Sans"/>
          <w:color w:val="000000"/>
          <w:sz w:val="21"/>
          <w:szCs w:val="21"/>
        </w:rPr>
        <w:t> —</w:t>
      </w:r>
    </w:p>
    <w:p w14:paraId="7E7BC680" w14:textId="77777777" w:rsidR="00CA2556" w:rsidRPr="00CA2556" w:rsidRDefault="00CA2556" w:rsidP="00CA2556">
      <w:pPr>
        <w:shd w:val="clear" w:color="auto" w:fill="FFFFFF"/>
        <w:rPr>
          <w:rFonts w:ascii="Open Sans" w:eastAsia="Aptos" w:hAnsi="Open Sans" w:cs="Open Sans"/>
          <w:color w:val="000000"/>
          <w:sz w:val="21"/>
          <w:szCs w:val="21"/>
        </w:rPr>
      </w:pPr>
      <w:r w:rsidRPr="00CA2556">
        <w:rPr>
          <w:rFonts w:ascii="Open Sans" w:eastAsia="Aptos" w:hAnsi="Open Sans" w:cs="Open Sans"/>
          <w:color w:val="000000"/>
          <w:sz w:val="21"/>
          <w:szCs w:val="21"/>
        </w:rPr>
        <w:t xml:space="preserve">Although Free Trade Zones are becoming more restrictive and may not apply to reciprocal tariffs, importing a good through a Free Trade Zone delays the imposition of a tariff until the good has left the Free Trade Zone. This would entail approaching the customs authorities or others to possibly obtain rulings and clearances for use of the Free Trade Zone or establishing one. Routing goods through a Free Trade Zone could lead to a reduction </w:t>
      </w:r>
      <w:proofErr w:type="gramStart"/>
      <w:r w:rsidRPr="00CA2556">
        <w:rPr>
          <w:rFonts w:ascii="Open Sans" w:eastAsia="Aptos" w:hAnsi="Open Sans" w:cs="Open Sans"/>
          <w:color w:val="000000"/>
          <w:sz w:val="21"/>
          <w:szCs w:val="21"/>
        </w:rPr>
        <w:t>of</w:t>
      </w:r>
      <w:proofErr w:type="gramEnd"/>
      <w:r w:rsidRPr="00CA2556">
        <w:rPr>
          <w:rFonts w:ascii="Open Sans" w:eastAsia="Aptos" w:hAnsi="Open Sans" w:cs="Open Sans"/>
          <w:color w:val="000000"/>
          <w:sz w:val="21"/>
          <w:szCs w:val="21"/>
        </w:rPr>
        <w:t xml:space="preserve"> cash flow outlay since tariffs would not apply until the goods leave the Free Trade Zone.</w:t>
      </w:r>
    </w:p>
    <w:p w14:paraId="6D7B1B34" w14:textId="77777777" w:rsidR="00CA2556" w:rsidRPr="00CA2556" w:rsidRDefault="00CA2556" w:rsidP="00CA2556">
      <w:pPr>
        <w:shd w:val="clear" w:color="auto" w:fill="FFFFFF"/>
        <w:rPr>
          <w:rFonts w:ascii="Open Sans" w:eastAsia="Aptos" w:hAnsi="Open Sans" w:cs="Open Sans"/>
          <w:color w:val="000000"/>
          <w:sz w:val="21"/>
          <w:szCs w:val="21"/>
        </w:rPr>
      </w:pPr>
      <w:bookmarkStart w:id="17" w:name="section(2)(2)(3)(2)(3)(10)_0"/>
      <w:r w:rsidRPr="00CA2556">
        <w:rPr>
          <w:rFonts w:ascii="Open Sans" w:eastAsia="Aptos" w:hAnsi="Open Sans" w:cs="Open Sans"/>
          <w:b/>
          <w:bCs/>
          <w:color w:val="333333"/>
          <w:sz w:val="21"/>
          <w:szCs w:val="21"/>
        </w:rPr>
        <w:t>2.3.10. </w:t>
      </w:r>
      <w:bookmarkEnd w:id="17"/>
      <w:r w:rsidRPr="00003317">
        <w:t>First Sale Rule</w:t>
      </w:r>
      <w:r w:rsidRPr="00CA2556">
        <w:rPr>
          <w:rFonts w:ascii="Open Sans" w:eastAsia="Aptos" w:hAnsi="Open Sans" w:cs="Open Sans"/>
          <w:color w:val="000000"/>
          <w:sz w:val="21"/>
          <w:szCs w:val="21"/>
        </w:rPr>
        <w:t> —</w:t>
      </w:r>
    </w:p>
    <w:p w14:paraId="26CF79BA" w14:textId="77777777" w:rsidR="00CA2556" w:rsidRPr="00CA2556" w:rsidRDefault="00CA2556" w:rsidP="00CA2556">
      <w:pPr>
        <w:shd w:val="clear" w:color="auto" w:fill="FFFFFF"/>
        <w:rPr>
          <w:rFonts w:ascii="Open Sans" w:eastAsia="Aptos" w:hAnsi="Open Sans" w:cs="Open Sans"/>
          <w:color w:val="000000"/>
          <w:sz w:val="21"/>
          <w:szCs w:val="21"/>
        </w:rPr>
      </w:pPr>
      <w:r w:rsidRPr="00CA2556">
        <w:rPr>
          <w:rFonts w:ascii="Open Sans" w:eastAsia="Aptos" w:hAnsi="Open Sans" w:cs="Open Sans"/>
          <w:color w:val="000000"/>
          <w:sz w:val="21"/>
          <w:szCs w:val="21"/>
        </w:rPr>
        <w:t xml:space="preserve">Under the First Sale Rule, if a good is purchased and, without further processing, is resold then it may be possible to reduce the tariff value to the price of the good for the seller to the U.S. An example would be if the U.S. importer imports a finished good that the supplier is simply reselling. Under the First Sale rule, the duty value is the cost to the supplier and not the sales price. This is a detailed </w:t>
      </w:r>
      <w:proofErr w:type="gramStart"/>
      <w:r w:rsidRPr="00CA2556">
        <w:rPr>
          <w:rFonts w:ascii="Open Sans" w:eastAsia="Aptos" w:hAnsi="Open Sans" w:cs="Open Sans"/>
          <w:color w:val="000000"/>
          <w:sz w:val="21"/>
          <w:szCs w:val="21"/>
        </w:rPr>
        <w:t>process</w:t>
      </w:r>
      <w:proofErr w:type="gramEnd"/>
      <w:r w:rsidRPr="00CA2556">
        <w:rPr>
          <w:rFonts w:ascii="Open Sans" w:eastAsia="Aptos" w:hAnsi="Open Sans" w:cs="Open Sans"/>
          <w:color w:val="000000"/>
          <w:sz w:val="21"/>
          <w:szCs w:val="21"/>
        </w:rPr>
        <w:t xml:space="preserve"> and businesses would need to obtain approval, but it could yield significant benefits.</w:t>
      </w:r>
    </w:p>
    <w:p w14:paraId="007D9457" w14:textId="77777777" w:rsidR="00CA2556" w:rsidRPr="00CA2556" w:rsidRDefault="00CA2556" w:rsidP="00CA2556">
      <w:pPr>
        <w:shd w:val="clear" w:color="auto" w:fill="FFFFFF"/>
        <w:rPr>
          <w:rFonts w:ascii="Open Sans" w:eastAsia="Aptos" w:hAnsi="Open Sans" w:cs="Open Sans"/>
          <w:color w:val="000000"/>
          <w:sz w:val="21"/>
          <w:szCs w:val="21"/>
        </w:rPr>
      </w:pPr>
      <w:bookmarkStart w:id="18" w:name="section(2)(2)(3)(2)(3)(11)_0"/>
      <w:r w:rsidRPr="00CA2556">
        <w:rPr>
          <w:rFonts w:ascii="Open Sans" w:eastAsia="Aptos" w:hAnsi="Open Sans" w:cs="Open Sans"/>
          <w:b/>
          <w:bCs/>
          <w:color w:val="333333"/>
          <w:sz w:val="21"/>
          <w:szCs w:val="21"/>
        </w:rPr>
        <w:t>2.3.11. </w:t>
      </w:r>
      <w:bookmarkEnd w:id="18"/>
      <w:r w:rsidRPr="00003317">
        <w:t>Duty Drawback Rule</w:t>
      </w:r>
      <w:r w:rsidRPr="00CA2556">
        <w:rPr>
          <w:rFonts w:ascii="Open Sans" w:eastAsia="Aptos" w:hAnsi="Open Sans" w:cs="Open Sans"/>
          <w:color w:val="000000"/>
          <w:sz w:val="21"/>
          <w:szCs w:val="21"/>
        </w:rPr>
        <w:t> —</w:t>
      </w:r>
    </w:p>
    <w:p w14:paraId="6CB070D2" w14:textId="77777777" w:rsidR="00CA2556" w:rsidRPr="00CA2556" w:rsidRDefault="00CA2556" w:rsidP="00CA2556">
      <w:pPr>
        <w:shd w:val="clear" w:color="auto" w:fill="FFFFFF"/>
        <w:rPr>
          <w:rFonts w:ascii="Open Sans" w:eastAsia="Aptos" w:hAnsi="Open Sans" w:cs="Open Sans"/>
          <w:color w:val="000000"/>
          <w:sz w:val="21"/>
          <w:szCs w:val="21"/>
        </w:rPr>
      </w:pPr>
      <w:r w:rsidRPr="00CA2556">
        <w:rPr>
          <w:rFonts w:ascii="Open Sans" w:eastAsia="Aptos" w:hAnsi="Open Sans" w:cs="Open Sans"/>
          <w:color w:val="000000"/>
          <w:sz w:val="21"/>
          <w:szCs w:val="21"/>
        </w:rPr>
        <w:t>In certain situations, goods brought into the U.S. that are then exported may be allowed a refund or duty drawback since they are exported and therefore not for ultimate use in the U.S. These rules may be becoming more restrictive but could yield zero duty on export goods.</w:t>
      </w:r>
    </w:p>
    <w:p w14:paraId="47E5105E" w14:textId="77777777" w:rsidR="00CA2556" w:rsidRPr="00CA2556" w:rsidRDefault="00CA2556" w:rsidP="00CA2556">
      <w:pPr>
        <w:shd w:val="clear" w:color="auto" w:fill="FFFFFF"/>
        <w:rPr>
          <w:rFonts w:ascii="Open Sans" w:eastAsia="Aptos" w:hAnsi="Open Sans" w:cs="Open Sans"/>
          <w:color w:val="000000"/>
          <w:sz w:val="21"/>
          <w:szCs w:val="21"/>
        </w:rPr>
      </w:pPr>
      <w:bookmarkStart w:id="19" w:name="section(2)(2)(3)(2)(3)(12)_0"/>
      <w:r w:rsidRPr="00CA2556">
        <w:rPr>
          <w:rFonts w:ascii="Open Sans" w:eastAsia="Aptos" w:hAnsi="Open Sans" w:cs="Open Sans"/>
          <w:b/>
          <w:bCs/>
          <w:color w:val="333333"/>
          <w:sz w:val="21"/>
          <w:szCs w:val="21"/>
        </w:rPr>
        <w:t>2.3.12. </w:t>
      </w:r>
      <w:bookmarkEnd w:id="19"/>
      <w:r w:rsidRPr="00003317">
        <w:t>Nearshoring of goods</w:t>
      </w:r>
      <w:r w:rsidRPr="00CA2556">
        <w:rPr>
          <w:rFonts w:ascii="Open Sans" w:eastAsia="Aptos" w:hAnsi="Open Sans" w:cs="Open Sans"/>
          <w:color w:val="000000"/>
          <w:sz w:val="21"/>
          <w:szCs w:val="21"/>
        </w:rPr>
        <w:t> —</w:t>
      </w:r>
    </w:p>
    <w:p w14:paraId="39B1B0B4" w14:textId="77777777" w:rsidR="00CA2556" w:rsidRPr="00CA2556" w:rsidRDefault="00CA2556" w:rsidP="00CA2556">
      <w:pPr>
        <w:shd w:val="clear" w:color="auto" w:fill="FFFFFF"/>
        <w:rPr>
          <w:rFonts w:ascii="Open Sans" w:eastAsia="Aptos" w:hAnsi="Open Sans" w:cs="Open Sans"/>
          <w:color w:val="000000"/>
          <w:sz w:val="21"/>
          <w:szCs w:val="21"/>
        </w:rPr>
      </w:pPr>
      <w:r w:rsidRPr="00CA2556">
        <w:rPr>
          <w:rFonts w:ascii="Open Sans" w:eastAsia="Aptos" w:hAnsi="Open Sans" w:cs="Open Sans"/>
          <w:color w:val="000000"/>
          <w:sz w:val="21"/>
          <w:szCs w:val="21"/>
        </w:rPr>
        <w:t xml:space="preserve">If Free Trade Zones or the Duty Drawback are not beneficial, businesses should consider locating their warehouses to nearby countries, and then importing to the U.S. as needed. This would delay the tariff until the </w:t>
      </w:r>
      <w:proofErr w:type="gramStart"/>
      <w:r w:rsidRPr="00CA2556">
        <w:rPr>
          <w:rFonts w:ascii="Open Sans" w:eastAsia="Aptos" w:hAnsi="Open Sans" w:cs="Open Sans"/>
          <w:color w:val="000000"/>
          <w:sz w:val="21"/>
          <w:szCs w:val="21"/>
        </w:rPr>
        <w:t>good is</w:t>
      </w:r>
      <w:proofErr w:type="gramEnd"/>
      <w:r w:rsidRPr="00CA2556">
        <w:rPr>
          <w:rFonts w:ascii="Open Sans" w:eastAsia="Aptos" w:hAnsi="Open Sans" w:cs="Open Sans"/>
          <w:color w:val="000000"/>
          <w:sz w:val="21"/>
          <w:szCs w:val="21"/>
        </w:rPr>
        <w:t xml:space="preserve"> imported. This has numerous business considerations, which would have to be investigated to determine how beneficial this approach would be to a given business.</w:t>
      </w:r>
    </w:p>
    <w:p w14:paraId="70D4B8F6" w14:textId="77777777" w:rsidR="00CA2556" w:rsidRPr="00003317" w:rsidRDefault="00CA2556" w:rsidP="00CA2556">
      <w:pPr>
        <w:shd w:val="clear" w:color="auto" w:fill="FFFFFF"/>
        <w:rPr>
          <w:rFonts w:ascii="Open Sans" w:hAnsi="Open Sans"/>
          <w:b/>
          <w:color w:val="000000"/>
          <w:sz w:val="21"/>
        </w:rPr>
      </w:pPr>
      <w:bookmarkStart w:id="20" w:name="section(3)_0"/>
      <w:r w:rsidRPr="00CA2556">
        <w:rPr>
          <w:rFonts w:ascii="Open Sans" w:eastAsia="Aptos" w:hAnsi="Open Sans" w:cs="Open Sans"/>
          <w:b/>
          <w:bCs/>
          <w:color w:val="333333"/>
          <w:sz w:val="21"/>
          <w:szCs w:val="21"/>
        </w:rPr>
        <w:t>3. </w:t>
      </w:r>
      <w:bookmarkEnd w:id="20"/>
      <w:r w:rsidRPr="00CA2556">
        <w:rPr>
          <w:rFonts w:ascii="Open Sans" w:eastAsia="Aptos" w:hAnsi="Open Sans" w:cs="Open Sans"/>
          <w:color w:val="000000"/>
          <w:sz w:val="21"/>
          <w:szCs w:val="21"/>
        </w:rPr>
        <w:t> </w:t>
      </w:r>
      <w:r w:rsidRPr="00003317">
        <w:t>U.S. Federal and State Tax Implications</w:t>
      </w:r>
      <w:r w:rsidRPr="00CA2556">
        <w:rPr>
          <w:rFonts w:ascii="Open Sans" w:eastAsia="Aptos" w:hAnsi="Open Sans" w:cs="Open Sans"/>
          <w:b/>
          <w:bCs/>
          <w:color w:val="000000"/>
          <w:sz w:val="21"/>
          <w:szCs w:val="21"/>
        </w:rPr>
        <w:t xml:space="preserve"> </w:t>
      </w:r>
    </w:p>
    <w:p w14:paraId="2BC8B1D3" w14:textId="77777777" w:rsidR="00CA2556" w:rsidRPr="00CA2556" w:rsidRDefault="00CA2556" w:rsidP="00CA2556">
      <w:pPr>
        <w:shd w:val="clear" w:color="auto" w:fill="FFFFFF"/>
        <w:rPr>
          <w:rFonts w:ascii="Open Sans" w:eastAsia="Aptos" w:hAnsi="Open Sans" w:cs="Open Sans"/>
          <w:color w:val="000000"/>
          <w:sz w:val="21"/>
          <w:szCs w:val="21"/>
        </w:rPr>
      </w:pPr>
      <w:bookmarkStart w:id="21" w:name="section(3)(3)(1)_0"/>
      <w:r w:rsidRPr="00CA2556">
        <w:rPr>
          <w:rFonts w:ascii="Open Sans" w:eastAsia="Aptos" w:hAnsi="Open Sans" w:cs="Open Sans"/>
          <w:b/>
          <w:bCs/>
          <w:color w:val="333333"/>
          <w:sz w:val="21"/>
          <w:szCs w:val="21"/>
        </w:rPr>
        <w:t>3.1. </w:t>
      </w:r>
      <w:bookmarkEnd w:id="21"/>
      <w:r w:rsidRPr="00CA2556">
        <w:rPr>
          <w:rFonts w:ascii="Open Sans" w:eastAsia="Aptos" w:hAnsi="Open Sans" w:cs="Open Sans"/>
          <w:color w:val="000000"/>
          <w:sz w:val="21"/>
          <w:szCs w:val="21"/>
        </w:rPr>
        <w:t> </w:t>
      </w:r>
      <w:r w:rsidRPr="00003317">
        <w:t>U.S. Federal Tax Legislation Business Tax Changes</w:t>
      </w:r>
      <w:r w:rsidRPr="00CA2556">
        <w:rPr>
          <w:rFonts w:ascii="Open Sans" w:eastAsia="Aptos" w:hAnsi="Open Sans" w:cs="Open Sans"/>
          <w:color w:val="000000"/>
          <w:sz w:val="21"/>
          <w:szCs w:val="21"/>
        </w:rPr>
        <w:t> —</w:t>
      </w:r>
    </w:p>
    <w:p w14:paraId="4D5ABA40" w14:textId="1834EF1D" w:rsidR="00CA2556" w:rsidRPr="00CA2556" w:rsidRDefault="002A246E" w:rsidP="00CA2556">
      <w:pPr>
        <w:shd w:val="clear" w:color="auto" w:fill="FFFFFF"/>
        <w:rPr>
          <w:rFonts w:ascii="Open Sans" w:eastAsia="Aptos" w:hAnsi="Open Sans" w:cs="Open Sans"/>
          <w:color w:val="000000"/>
          <w:sz w:val="21"/>
          <w:szCs w:val="21"/>
        </w:rPr>
      </w:pPr>
      <w:r>
        <w:rPr>
          <w:rFonts w:ascii="Open Sans" w:eastAsia="Aptos" w:hAnsi="Open Sans" w:cs="Open Sans"/>
          <w:color w:val="000000"/>
          <w:sz w:val="21"/>
          <w:szCs w:val="21"/>
        </w:rPr>
        <w:t>The One Big Beautiful Bill Act (</w:t>
      </w:r>
      <w:r w:rsidR="00CA2556" w:rsidRPr="00CA2556">
        <w:rPr>
          <w:rFonts w:ascii="Open Sans" w:eastAsia="Aptos" w:hAnsi="Open Sans" w:cs="Open Sans"/>
          <w:color w:val="000000"/>
          <w:sz w:val="21"/>
          <w:szCs w:val="21"/>
        </w:rPr>
        <w:t>OBBBA</w:t>
      </w:r>
      <w:r>
        <w:rPr>
          <w:rFonts w:ascii="Open Sans" w:eastAsia="Aptos" w:hAnsi="Open Sans" w:cs="Open Sans"/>
          <w:color w:val="000000"/>
          <w:sz w:val="21"/>
          <w:szCs w:val="21"/>
        </w:rPr>
        <w:t>)</w:t>
      </w:r>
      <w:r w:rsidR="00CA2556" w:rsidRPr="00CA2556">
        <w:rPr>
          <w:rFonts w:ascii="Open Sans" w:eastAsia="Aptos" w:hAnsi="Open Sans" w:cs="Open Sans"/>
          <w:color w:val="000000"/>
          <w:sz w:val="21"/>
          <w:szCs w:val="21"/>
        </w:rPr>
        <w:t xml:space="preserve"> </w:t>
      </w:r>
      <w:r w:rsidR="00DD2F8A">
        <w:rPr>
          <w:rFonts w:ascii="Open Sans" w:eastAsia="Aptos" w:hAnsi="Open Sans" w:cs="Open Sans"/>
          <w:color w:val="000000"/>
          <w:sz w:val="21"/>
          <w:szCs w:val="21"/>
        </w:rPr>
        <w:t>made</w:t>
      </w:r>
      <w:r w:rsidR="00CA2556" w:rsidRPr="00CA2556">
        <w:rPr>
          <w:rFonts w:ascii="Open Sans" w:eastAsia="Aptos" w:hAnsi="Open Sans" w:cs="Open Sans"/>
          <w:color w:val="000000"/>
          <w:sz w:val="21"/>
          <w:szCs w:val="21"/>
        </w:rPr>
        <w:t xml:space="preserve"> material permanent tax changes for U.S. businesses. Major favorable planning opportunities are now available in </w:t>
      </w:r>
      <w:bookmarkStart w:id="22" w:name="_Hlk209100759"/>
      <w:r w:rsidR="00CA2556" w:rsidRPr="00CA2556">
        <w:rPr>
          <w:rFonts w:ascii="Open Sans" w:eastAsia="Aptos" w:hAnsi="Open Sans" w:cs="Open Sans"/>
          <w:color w:val="000000"/>
          <w:sz w:val="21"/>
          <w:szCs w:val="21"/>
        </w:rPr>
        <w:t xml:space="preserve">asset </w:t>
      </w:r>
      <w:proofErr w:type="gramStart"/>
      <w:r w:rsidR="00CA2556" w:rsidRPr="00CA2556">
        <w:rPr>
          <w:rFonts w:ascii="Open Sans" w:eastAsia="Aptos" w:hAnsi="Open Sans" w:cs="Open Sans"/>
          <w:color w:val="000000"/>
          <w:sz w:val="21"/>
          <w:szCs w:val="21"/>
        </w:rPr>
        <w:t>expensing</w:t>
      </w:r>
      <w:proofErr w:type="gramEnd"/>
      <w:r w:rsidR="00CA2556" w:rsidRPr="00CA2556">
        <w:rPr>
          <w:rFonts w:ascii="Open Sans" w:eastAsia="Aptos" w:hAnsi="Open Sans" w:cs="Open Sans"/>
          <w:color w:val="000000"/>
          <w:sz w:val="21"/>
          <w:szCs w:val="21"/>
        </w:rPr>
        <w:t xml:space="preserve">, R&amp;D </w:t>
      </w:r>
      <w:proofErr w:type="gramStart"/>
      <w:r w:rsidR="00CA2556" w:rsidRPr="00CA2556">
        <w:rPr>
          <w:rFonts w:ascii="Open Sans" w:eastAsia="Aptos" w:hAnsi="Open Sans" w:cs="Open Sans"/>
          <w:color w:val="000000"/>
          <w:sz w:val="21"/>
          <w:szCs w:val="21"/>
        </w:rPr>
        <w:t>expensing</w:t>
      </w:r>
      <w:proofErr w:type="gramEnd"/>
      <w:r w:rsidR="00CA2556" w:rsidRPr="00CA2556">
        <w:rPr>
          <w:rFonts w:ascii="Open Sans" w:eastAsia="Aptos" w:hAnsi="Open Sans" w:cs="Open Sans"/>
          <w:color w:val="000000"/>
          <w:sz w:val="21"/>
          <w:szCs w:val="21"/>
        </w:rPr>
        <w:t xml:space="preserve">, and expanded business income interest deductions. </w:t>
      </w:r>
      <w:bookmarkEnd w:id="22"/>
      <w:r w:rsidR="00CA2556" w:rsidRPr="00CA2556">
        <w:rPr>
          <w:rFonts w:ascii="Open Sans" w:eastAsia="Aptos" w:hAnsi="Open Sans" w:cs="Open Sans"/>
          <w:color w:val="000000"/>
          <w:sz w:val="21"/>
          <w:szCs w:val="21"/>
        </w:rPr>
        <w:t>Businesses should avail themselves of these favorable provisions in an expedited fashion</w:t>
      </w:r>
      <w:r w:rsidR="00FF0C8E">
        <w:rPr>
          <w:rFonts w:ascii="Open Sans" w:eastAsia="Aptos" w:hAnsi="Open Sans" w:cs="Open Sans"/>
          <w:color w:val="000000"/>
          <w:sz w:val="21"/>
          <w:szCs w:val="21"/>
        </w:rPr>
        <w:t xml:space="preserve"> since,</w:t>
      </w:r>
      <w:r w:rsidR="00CA2556" w:rsidRPr="00CA2556">
        <w:rPr>
          <w:rFonts w:ascii="Open Sans" w:eastAsia="Aptos" w:hAnsi="Open Sans" w:cs="Open Sans"/>
          <w:color w:val="000000"/>
          <w:sz w:val="21"/>
          <w:szCs w:val="21"/>
        </w:rPr>
        <w:t xml:space="preserve"> </w:t>
      </w:r>
      <w:r w:rsidR="00FF0C8E">
        <w:rPr>
          <w:rFonts w:ascii="Open Sans" w:eastAsia="Aptos" w:hAnsi="Open Sans" w:cs="Open Sans"/>
          <w:color w:val="000000"/>
          <w:sz w:val="21"/>
          <w:szCs w:val="21"/>
        </w:rPr>
        <w:t>a</w:t>
      </w:r>
      <w:r w:rsidR="00CA2556" w:rsidRPr="00CA2556">
        <w:rPr>
          <w:rFonts w:ascii="Open Sans" w:eastAsia="Aptos" w:hAnsi="Open Sans" w:cs="Open Sans"/>
          <w:color w:val="000000"/>
          <w:sz w:val="21"/>
          <w:szCs w:val="21"/>
        </w:rPr>
        <w:t xml:space="preserve">s seen with the 2022 Inflation Reduction Act's favorable energy credit provisions, favorable tax provisions can quickly be rescinded. </w:t>
      </w:r>
    </w:p>
    <w:p w14:paraId="2CA817D8" w14:textId="36F196AE" w:rsidR="00CA2556" w:rsidRPr="00CA2556" w:rsidRDefault="00CA2556" w:rsidP="00CA2556">
      <w:pPr>
        <w:shd w:val="clear" w:color="auto" w:fill="FFFFFF"/>
        <w:rPr>
          <w:rFonts w:ascii="Open Sans" w:eastAsia="Aptos" w:hAnsi="Open Sans" w:cs="Open Sans"/>
          <w:color w:val="000000"/>
          <w:sz w:val="21"/>
          <w:szCs w:val="21"/>
        </w:rPr>
      </w:pPr>
      <w:r w:rsidRPr="00CA2556">
        <w:rPr>
          <w:rFonts w:ascii="Open Sans" w:eastAsia="Aptos" w:hAnsi="Open Sans" w:cs="Open Sans"/>
          <w:color w:val="000000"/>
          <w:sz w:val="21"/>
          <w:szCs w:val="21"/>
        </w:rPr>
        <w:t xml:space="preserve">With growing federal deficits, future Administrations and Congresses may look to pare back these provisions due to revenue costs. Offsetting </w:t>
      </w:r>
      <w:r w:rsidR="001F37A5">
        <w:rPr>
          <w:rFonts w:ascii="Open Sans" w:eastAsia="Aptos" w:hAnsi="Open Sans" w:cs="Open Sans"/>
          <w:color w:val="000000"/>
          <w:sz w:val="21"/>
          <w:szCs w:val="21"/>
        </w:rPr>
        <w:t>this</w:t>
      </w:r>
      <w:r w:rsidRPr="00CA2556">
        <w:rPr>
          <w:rFonts w:ascii="Open Sans" w:eastAsia="Aptos" w:hAnsi="Open Sans" w:cs="Open Sans"/>
          <w:color w:val="000000"/>
          <w:sz w:val="21"/>
          <w:szCs w:val="21"/>
        </w:rPr>
        <w:t xml:space="preserve"> U.S. fiscal picture is the impact that tariffs could have. The </w:t>
      </w:r>
      <w:r w:rsidR="00CF7B47">
        <w:rPr>
          <w:rFonts w:ascii="Open Sans" w:eastAsia="Aptos" w:hAnsi="Open Sans" w:cs="Open Sans"/>
          <w:color w:val="000000"/>
          <w:sz w:val="21"/>
          <w:szCs w:val="21"/>
        </w:rPr>
        <w:t>Congressional Budget Office (</w:t>
      </w:r>
      <w:r w:rsidRPr="00CA2556">
        <w:rPr>
          <w:rFonts w:ascii="Open Sans" w:eastAsia="Aptos" w:hAnsi="Open Sans" w:cs="Open Sans"/>
          <w:color w:val="000000"/>
          <w:sz w:val="21"/>
          <w:szCs w:val="21"/>
        </w:rPr>
        <w:t>CBO</w:t>
      </w:r>
      <w:r w:rsidR="00CF7B47">
        <w:rPr>
          <w:rFonts w:ascii="Open Sans" w:eastAsia="Aptos" w:hAnsi="Open Sans" w:cs="Open Sans"/>
          <w:color w:val="000000"/>
          <w:sz w:val="21"/>
          <w:szCs w:val="21"/>
        </w:rPr>
        <w:t>)</w:t>
      </w:r>
      <w:r w:rsidRPr="00CA2556">
        <w:rPr>
          <w:rFonts w:ascii="Open Sans" w:eastAsia="Aptos" w:hAnsi="Open Sans" w:cs="Open Sans"/>
          <w:color w:val="000000"/>
          <w:sz w:val="21"/>
          <w:szCs w:val="21"/>
        </w:rPr>
        <w:t xml:space="preserve"> in August 2025 projected that the new tariffs, as structured in 2025, “will reduce total deficits by $4.0 trillion altogether,” from 2025</w:t>
      </w:r>
      <w:r w:rsidRPr="00CA2556">
        <w:rPr>
          <w:rFonts w:ascii="Arial" w:eastAsia="Aptos" w:hAnsi="Arial" w:cs="Arial"/>
          <w:color w:val="000000"/>
          <w:sz w:val="21"/>
          <w:szCs w:val="21"/>
        </w:rPr>
        <w:t>‒</w:t>
      </w:r>
      <w:r w:rsidRPr="00CA2556">
        <w:rPr>
          <w:rFonts w:ascii="Open Sans" w:eastAsia="Aptos" w:hAnsi="Open Sans" w:cs="Open Sans"/>
          <w:color w:val="000000"/>
          <w:sz w:val="21"/>
          <w:szCs w:val="21"/>
        </w:rPr>
        <w:t>2035.</w:t>
      </w:r>
      <w:r w:rsidR="00DB4EAC">
        <w:rPr>
          <w:rStyle w:val="FootnoteReference"/>
          <w:rFonts w:ascii="Open Sans" w:eastAsia="Aptos" w:hAnsi="Open Sans" w:cs="Open Sans"/>
          <w:color w:val="000000"/>
          <w:sz w:val="21"/>
          <w:szCs w:val="21"/>
        </w:rPr>
        <w:footnoteReference w:id="1"/>
      </w:r>
      <w:r w:rsidRPr="00CA2556">
        <w:rPr>
          <w:rFonts w:ascii="Open Sans" w:eastAsia="Aptos" w:hAnsi="Open Sans" w:cs="Open Sans"/>
          <w:color w:val="000000"/>
          <w:sz w:val="21"/>
          <w:szCs w:val="21"/>
        </w:rPr>
        <w:t xml:space="preserve">  While this assumes tariffs are held constitutional and that they do not change (which they likely will), tariffs could become a material source of U.S. federal government revenue.  </w:t>
      </w:r>
    </w:p>
    <w:p w14:paraId="47A79734" w14:textId="77777777" w:rsidR="00CA2556" w:rsidRPr="00CA2556" w:rsidRDefault="00CA2556" w:rsidP="00CA2556">
      <w:pPr>
        <w:shd w:val="clear" w:color="auto" w:fill="FFFFFF"/>
        <w:rPr>
          <w:rFonts w:ascii="Open Sans" w:eastAsia="Aptos" w:hAnsi="Open Sans" w:cs="Open Sans"/>
          <w:color w:val="000000"/>
          <w:sz w:val="21"/>
          <w:szCs w:val="21"/>
        </w:rPr>
      </w:pPr>
    </w:p>
    <w:p w14:paraId="036088A6" w14:textId="77777777" w:rsidR="00CA2556" w:rsidRPr="00CA2556" w:rsidRDefault="00CA2556" w:rsidP="00CA2556">
      <w:pPr>
        <w:shd w:val="clear" w:color="auto" w:fill="FFFFFF"/>
        <w:rPr>
          <w:rFonts w:ascii="Open Sans" w:eastAsia="Aptos" w:hAnsi="Open Sans" w:cs="Open Sans"/>
          <w:color w:val="000000"/>
          <w:sz w:val="21"/>
          <w:szCs w:val="21"/>
        </w:rPr>
      </w:pPr>
    </w:p>
    <w:p w14:paraId="29670B38" w14:textId="77777777" w:rsidR="00CA2556" w:rsidRPr="00CA2556" w:rsidRDefault="00CA2556" w:rsidP="00CA2556">
      <w:pPr>
        <w:shd w:val="clear" w:color="auto" w:fill="FFFFFF"/>
        <w:rPr>
          <w:rFonts w:ascii="Open Sans" w:eastAsia="Aptos" w:hAnsi="Open Sans" w:cs="Open Sans"/>
          <w:color w:val="000000"/>
          <w:sz w:val="21"/>
          <w:szCs w:val="21"/>
        </w:rPr>
      </w:pPr>
    </w:p>
    <w:p w14:paraId="71261EAF" w14:textId="77777777" w:rsidR="00CA2556" w:rsidRPr="00CA2556" w:rsidRDefault="00CA2556" w:rsidP="00CA2556">
      <w:pPr>
        <w:shd w:val="clear" w:color="auto" w:fill="FFFFFF"/>
        <w:rPr>
          <w:rFonts w:ascii="Open Sans" w:eastAsia="Aptos" w:hAnsi="Open Sans" w:cs="Open Sans"/>
          <w:b/>
          <w:bCs/>
          <w:color w:val="000000"/>
          <w:sz w:val="21"/>
          <w:szCs w:val="21"/>
        </w:rPr>
      </w:pPr>
      <w:r w:rsidRPr="002A5147">
        <w:rPr>
          <w:rFonts w:ascii="Open Sans" w:eastAsia="Aptos" w:hAnsi="Open Sans" w:cs="Open Sans"/>
          <w:b/>
          <w:bCs/>
          <w:color w:val="000000"/>
          <w:sz w:val="21"/>
          <w:szCs w:val="21"/>
        </w:rPr>
        <w:t>Depreciation and Section 179 Expensing —</w:t>
      </w:r>
    </w:p>
    <w:p w14:paraId="5E741A61" w14:textId="55A25452" w:rsidR="00CA2556" w:rsidRPr="00CA2556" w:rsidRDefault="00CA2556" w:rsidP="00CA2556">
      <w:pPr>
        <w:rPr>
          <w:rFonts w:ascii="Open Sans" w:eastAsia="Aptos" w:hAnsi="Open Sans" w:cs="Open Sans"/>
          <w:sz w:val="21"/>
          <w:szCs w:val="21"/>
        </w:rPr>
      </w:pPr>
      <w:r w:rsidRPr="00CA2556">
        <w:rPr>
          <w:rFonts w:ascii="Open Sans" w:eastAsia="Aptos" w:hAnsi="Open Sans" w:cs="Open Sans"/>
          <w:sz w:val="21"/>
          <w:szCs w:val="21"/>
        </w:rPr>
        <w:t>OBBBA</w:t>
      </w:r>
      <w:r w:rsidRPr="00CA2556">
        <w:rPr>
          <w:rFonts w:ascii="Open Sans" w:eastAsia="Aptos" w:hAnsi="Open Sans" w:cs="Open Sans"/>
          <w:spacing w:val="40"/>
          <w:sz w:val="21"/>
          <w:szCs w:val="21"/>
        </w:rPr>
        <w:t xml:space="preserve"> </w:t>
      </w:r>
      <w:r w:rsidRPr="00CA2556">
        <w:rPr>
          <w:rFonts w:ascii="Open Sans" w:eastAsia="Aptos" w:hAnsi="Open Sans" w:cs="Open Sans"/>
          <w:sz w:val="21"/>
          <w:szCs w:val="21"/>
        </w:rPr>
        <w:t>permanently</w:t>
      </w:r>
      <w:r w:rsidRPr="00CA2556">
        <w:rPr>
          <w:rFonts w:ascii="Open Sans" w:eastAsia="Aptos" w:hAnsi="Open Sans" w:cs="Open Sans"/>
          <w:spacing w:val="40"/>
          <w:sz w:val="21"/>
          <w:szCs w:val="21"/>
        </w:rPr>
        <w:t xml:space="preserve"> </w:t>
      </w:r>
      <w:r w:rsidRPr="00CA2556">
        <w:rPr>
          <w:rFonts w:ascii="Open Sans" w:eastAsia="Aptos" w:hAnsi="Open Sans" w:cs="Open Sans"/>
          <w:sz w:val="21"/>
          <w:szCs w:val="21"/>
        </w:rPr>
        <w:t>restores</w:t>
      </w:r>
      <w:r w:rsidRPr="00CA2556">
        <w:rPr>
          <w:rFonts w:ascii="Open Sans" w:eastAsia="Aptos" w:hAnsi="Open Sans" w:cs="Open Sans"/>
          <w:spacing w:val="40"/>
          <w:sz w:val="21"/>
          <w:szCs w:val="21"/>
        </w:rPr>
        <w:t xml:space="preserve"> </w:t>
      </w:r>
      <w:r w:rsidRPr="00CA2556">
        <w:rPr>
          <w:rFonts w:ascii="Open Sans" w:eastAsia="Aptos" w:hAnsi="Open Sans" w:cs="Open Sans"/>
          <w:sz w:val="21"/>
          <w:szCs w:val="21"/>
        </w:rPr>
        <w:t>100%</w:t>
      </w:r>
      <w:r w:rsidRPr="00CA2556">
        <w:rPr>
          <w:rFonts w:ascii="Open Sans" w:eastAsia="Aptos" w:hAnsi="Open Sans" w:cs="Open Sans"/>
          <w:spacing w:val="40"/>
          <w:sz w:val="21"/>
          <w:szCs w:val="21"/>
        </w:rPr>
        <w:t xml:space="preserve"> </w:t>
      </w:r>
      <w:r w:rsidRPr="00CA2556">
        <w:rPr>
          <w:rFonts w:ascii="Open Sans" w:eastAsia="Aptos" w:hAnsi="Open Sans" w:cs="Open Sans"/>
          <w:sz w:val="21"/>
          <w:szCs w:val="21"/>
        </w:rPr>
        <w:t>bonus depreciation</w:t>
      </w:r>
      <w:r w:rsidRPr="00CA2556">
        <w:rPr>
          <w:rFonts w:ascii="Open Sans" w:eastAsia="Aptos" w:hAnsi="Open Sans" w:cs="Open Sans"/>
          <w:spacing w:val="40"/>
          <w:sz w:val="21"/>
          <w:szCs w:val="21"/>
        </w:rPr>
        <w:t xml:space="preserve"> </w:t>
      </w:r>
      <w:r w:rsidRPr="00CA2556">
        <w:rPr>
          <w:rFonts w:ascii="Open Sans" w:eastAsia="Aptos" w:hAnsi="Open Sans" w:cs="Open Sans"/>
          <w:sz w:val="21"/>
          <w:szCs w:val="21"/>
        </w:rPr>
        <w:t>for</w:t>
      </w:r>
      <w:r w:rsidRPr="00CA2556">
        <w:rPr>
          <w:rFonts w:ascii="Open Sans" w:eastAsia="Aptos" w:hAnsi="Open Sans" w:cs="Open Sans"/>
          <w:spacing w:val="40"/>
          <w:sz w:val="21"/>
          <w:szCs w:val="21"/>
        </w:rPr>
        <w:t xml:space="preserve"> </w:t>
      </w:r>
      <w:r w:rsidRPr="00CA2556">
        <w:rPr>
          <w:rFonts w:ascii="Open Sans" w:eastAsia="Aptos" w:hAnsi="Open Sans" w:cs="Open Sans"/>
          <w:sz w:val="21"/>
          <w:szCs w:val="21"/>
        </w:rPr>
        <w:t>property</w:t>
      </w:r>
      <w:r w:rsidRPr="00CA2556">
        <w:rPr>
          <w:rFonts w:ascii="Open Sans" w:eastAsia="Aptos" w:hAnsi="Open Sans" w:cs="Open Sans"/>
          <w:spacing w:val="40"/>
          <w:sz w:val="21"/>
          <w:szCs w:val="21"/>
        </w:rPr>
        <w:t xml:space="preserve"> </w:t>
      </w:r>
      <w:r w:rsidRPr="00CA2556">
        <w:rPr>
          <w:rFonts w:ascii="Open Sans" w:eastAsia="Aptos" w:hAnsi="Open Sans" w:cs="Open Sans"/>
          <w:sz w:val="21"/>
          <w:szCs w:val="21"/>
        </w:rPr>
        <w:t>and</w:t>
      </w:r>
      <w:r w:rsidRPr="00CA2556">
        <w:rPr>
          <w:rFonts w:ascii="Open Sans" w:eastAsia="Aptos" w:hAnsi="Open Sans" w:cs="Open Sans"/>
          <w:spacing w:val="40"/>
          <w:sz w:val="21"/>
          <w:szCs w:val="21"/>
        </w:rPr>
        <w:t xml:space="preserve"> </w:t>
      </w:r>
      <w:r w:rsidRPr="00CA2556">
        <w:rPr>
          <w:rFonts w:ascii="Open Sans" w:eastAsia="Aptos" w:hAnsi="Open Sans" w:cs="Open Sans"/>
          <w:sz w:val="21"/>
          <w:szCs w:val="21"/>
        </w:rPr>
        <w:t>equipment</w:t>
      </w:r>
      <w:r w:rsidRPr="00CA2556">
        <w:rPr>
          <w:rFonts w:ascii="Open Sans" w:eastAsia="Aptos" w:hAnsi="Open Sans" w:cs="Open Sans"/>
          <w:spacing w:val="40"/>
          <w:sz w:val="21"/>
          <w:szCs w:val="21"/>
        </w:rPr>
        <w:t xml:space="preserve"> </w:t>
      </w:r>
      <w:r w:rsidRPr="00CA2556">
        <w:rPr>
          <w:rFonts w:ascii="Open Sans" w:eastAsia="Aptos" w:hAnsi="Open Sans" w:cs="Open Sans"/>
          <w:sz w:val="21"/>
          <w:szCs w:val="21"/>
        </w:rPr>
        <w:t>acquired</w:t>
      </w:r>
      <w:r w:rsidRPr="00CA2556">
        <w:rPr>
          <w:rFonts w:ascii="Open Sans" w:eastAsia="Aptos" w:hAnsi="Open Sans" w:cs="Open Sans"/>
          <w:spacing w:val="40"/>
          <w:sz w:val="21"/>
          <w:szCs w:val="21"/>
        </w:rPr>
        <w:t xml:space="preserve"> </w:t>
      </w:r>
      <w:r w:rsidRPr="00CA2556">
        <w:rPr>
          <w:rFonts w:ascii="Open Sans" w:eastAsia="Aptos" w:hAnsi="Open Sans" w:cs="Open Sans"/>
          <w:sz w:val="21"/>
          <w:szCs w:val="21"/>
        </w:rPr>
        <w:t>and placed in service after January 19, 2025. This</w:t>
      </w:r>
      <w:r w:rsidRPr="00CA2556">
        <w:rPr>
          <w:rFonts w:ascii="Open Sans" w:eastAsia="Aptos" w:hAnsi="Open Sans" w:cs="Open Sans"/>
          <w:spacing w:val="80"/>
          <w:sz w:val="21"/>
          <w:szCs w:val="21"/>
        </w:rPr>
        <w:t xml:space="preserve"> </w:t>
      </w:r>
      <w:r w:rsidRPr="00CA2556">
        <w:rPr>
          <w:rFonts w:ascii="Open Sans" w:eastAsia="Aptos" w:hAnsi="Open Sans" w:cs="Open Sans"/>
          <w:sz w:val="21"/>
          <w:szCs w:val="21"/>
        </w:rPr>
        <w:t>reinstates the immediate expensing provisions that</w:t>
      </w:r>
      <w:r w:rsidRPr="00CA2556">
        <w:rPr>
          <w:rFonts w:ascii="Open Sans" w:eastAsia="Aptos" w:hAnsi="Open Sans" w:cs="Open Sans"/>
          <w:spacing w:val="80"/>
          <w:sz w:val="21"/>
          <w:szCs w:val="21"/>
        </w:rPr>
        <w:t xml:space="preserve"> </w:t>
      </w:r>
      <w:r w:rsidRPr="00CA2556">
        <w:rPr>
          <w:rFonts w:ascii="Open Sans" w:eastAsia="Aptos" w:hAnsi="Open Sans" w:cs="Open Sans"/>
          <w:sz w:val="21"/>
          <w:szCs w:val="21"/>
        </w:rPr>
        <w:t>were</w:t>
      </w:r>
      <w:r w:rsidRPr="00CA2556">
        <w:rPr>
          <w:rFonts w:ascii="Open Sans" w:eastAsia="Aptos" w:hAnsi="Open Sans" w:cs="Open Sans"/>
          <w:spacing w:val="40"/>
          <w:sz w:val="21"/>
          <w:szCs w:val="21"/>
        </w:rPr>
        <w:t xml:space="preserve"> </w:t>
      </w:r>
      <w:r w:rsidRPr="00CA2556">
        <w:rPr>
          <w:rFonts w:ascii="Open Sans" w:eastAsia="Aptos" w:hAnsi="Open Sans" w:cs="Open Sans"/>
          <w:sz w:val="21"/>
          <w:szCs w:val="21"/>
        </w:rPr>
        <w:t>being</w:t>
      </w:r>
      <w:r w:rsidRPr="00CA2556">
        <w:rPr>
          <w:rFonts w:ascii="Open Sans" w:eastAsia="Aptos" w:hAnsi="Open Sans" w:cs="Open Sans"/>
          <w:spacing w:val="40"/>
          <w:sz w:val="21"/>
          <w:szCs w:val="21"/>
        </w:rPr>
        <w:t xml:space="preserve"> </w:t>
      </w:r>
      <w:r w:rsidRPr="00CA2556">
        <w:rPr>
          <w:rFonts w:ascii="Open Sans" w:eastAsia="Aptos" w:hAnsi="Open Sans" w:cs="Open Sans"/>
          <w:sz w:val="21"/>
          <w:szCs w:val="21"/>
        </w:rPr>
        <w:t>phased</w:t>
      </w:r>
      <w:r w:rsidRPr="00CA2556">
        <w:rPr>
          <w:rFonts w:ascii="Open Sans" w:eastAsia="Aptos" w:hAnsi="Open Sans" w:cs="Open Sans"/>
          <w:spacing w:val="40"/>
          <w:sz w:val="21"/>
          <w:szCs w:val="21"/>
        </w:rPr>
        <w:t xml:space="preserve"> </w:t>
      </w:r>
      <w:r w:rsidRPr="00CA2556">
        <w:rPr>
          <w:rFonts w:ascii="Open Sans" w:eastAsia="Aptos" w:hAnsi="Open Sans" w:cs="Open Sans"/>
          <w:sz w:val="21"/>
          <w:szCs w:val="21"/>
        </w:rPr>
        <w:t>out</w:t>
      </w:r>
      <w:r w:rsidRPr="00CA2556">
        <w:rPr>
          <w:rFonts w:ascii="Open Sans" w:eastAsia="Aptos" w:hAnsi="Open Sans" w:cs="Open Sans"/>
          <w:spacing w:val="40"/>
          <w:sz w:val="21"/>
          <w:szCs w:val="21"/>
        </w:rPr>
        <w:t xml:space="preserve"> </w:t>
      </w:r>
      <w:r w:rsidRPr="00CA2556">
        <w:rPr>
          <w:rFonts w:ascii="Open Sans" w:eastAsia="Aptos" w:hAnsi="Open Sans" w:cs="Open Sans"/>
          <w:sz w:val="21"/>
          <w:szCs w:val="21"/>
        </w:rPr>
        <w:t>under</w:t>
      </w:r>
      <w:r w:rsidRPr="00CA2556">
        <w:rPr>
          <w:rFonts w:ascii="Open Sans" w:eastAsia="Aptos" w:hAnsi="Open Sans" w:cs="Open Sans"/>
          <w:spacing w:val="40"/>
          <w:sz w:val="21"/>
          <w:szCs w:val="21"/>
        </w:rPr>
        <w:t xml:space="preserve"> </w:t>
      </w:r>
      <w:r w:rsidRPr="00CA2556">
        <w:rPr>
          <w:rFonts w:ascii="Open Sans" w:eastAsia="Aptos" w:hAnsi="Open Sans" w:cs="Open Sans"/>
          <w:sz w:val="21"/>
          <w:szCs w:val="21"/>
        </w:rPr>
        <w:t>the</w:t>
      </w:r>
      <w:r w:rsidRPr="00CA2556">
        <w:rPr>
          <w:rFonts w:ascii="Open Sans" w:eastAsia="Aptos" w:hAnsi="Open Sans" w:cs="Open Sans"/>
          <w:spacing w:val="40"/>
          <w:sz w:val="21"/>
          <w:szCs w:val="21"/>
        </w:rPr>
        <w:t xml:space="preserve"> </w:t>
      </w:r>
      <w:r w:rsidRPr="00CA2556">
        <w:rPr>
          <w:rFonts w:ascii="Open Sans" w:eastAsia="Aptos" w:hAnsi="Open Sans" w:cs="Open Sans"/>
          <w:sz w:val="21"/>
          <w:szCs w:val="21"/>
        </w:rPr>
        <w:t>TCJA.</w:t>
      </w:r>
      <w:r w:rsidRPr="00CA2556">
        <w:rPr>
          <w:rFonts w:ascii="Open Sans" w:eastAsia="Aptos" w:hAnsi="Open Sans" w:cs="Open Sans"/>
          <w:spacing w:val="40"/>
          <w:sz w:val="21"/>
          <w:szCs w:val="21"/>
        </w:rPr>
        <w:t xml:space="preserve"> </w:t>
      </w:r>
      <w:r w:rsidRPr="00CA2556">
        <w:rPr>
          <w:rFonts w:ascii="Open Sans" w:eastAsia="Aptos" w:hAnsi="Open Sans" w:cs="Open Sans"/>
          <w:sz w:val="21"/>
          <w:szCs w:val="21"/>
        </w:rPr>
        <w:t>In</w:t>
      </w:r>
      <w:r w:rsidRPr="00CA2556">
        <w:rPr>
          <w:rFonts w:ascii="Open Sans" w:eastAsia="Aptos" w:hAnsi="Open Sans" w:cs="Open Sans"/>
          <w:spacing w:val="40"/>
          <w:sz w:val="21"/>
          <w:szCs w:val="21"/>
        </w:rPr>
        <w:t xml:space="preserve"> </w:t>
      </w:r>
      <w:r w:rsidRPr="00CA2556">
        <w:rPr>
          <w:rFonts w:ascii="Open Sans" w:eastAsia="Aptos" w:hAnsi="Open Sans" w:cs="Open Sans"/>
          <w:sz w:val="21"/>
          <w:szCs w:val="21"/>
        </w:rPr>
        <w:t>addition, the bill introduces an election to deduct 100% of the</w:t>
      </w:r>
      <w:r w:rsidRPr="00CA2556">
        <w:rPr>
          <w:rFonts w:ascii="Open Sans" w:eastAsia="Aptos" w:hAnsi="Open Sans" w:cs="Open Sans"/>
          <w:spacing w:val="80"/>
          <w:sz w:val="21"/>
          <w:szCs w:val="21"/>
        </w:rPr>
        <w:t xml:space="preserve"> </w:t>
      </w:r>
      <w:r w:rsidRPr="00CA2556">
        <w:rPr>
          <w:rFonts w:ascii="Open Sans" w:eastAsia="Aptos" w:hAnsi="Open Sans" w:cs="Open Sans"/>
          <w:sz w:val="21"/>
          <w:szCs w:val="21"/>
        </w:rPr>
        <w:t>cost of “qualified production property.” This includes</w:t>
      </w:r>
      <w:r w:rsidRPr="00CA2556">
        <w:rPr>
          <w:rFonts w:ascii="Open Sans" w:eastAsia="Aptos" w:hAnsi="Open Sans" w:cs="Open Sans"/>
          <w:spacing w:val="80"/>
          <w:sz w:val="21"/>
          <w:szCs w:val="21"/>
        </w:rPr>
        <w:t xml:space="preserve"> </w:t>
      </w:r>
      <w:r w:rsidRPr="00CA2556">
        <w:rPr>
          <w:rFonts w:ascii="Open Sans" w:eastAsia="Aptos" w:hAnsi="Open Sans" w:cs="Open Sans"/>
          <w:sz w:val="21"/>
          <w:szCs w:val="21"/>
        </w:rPr>
        <w:t>plants and buildings tied to qualified production</w:t>
      </w:r>
      <w:r w:rsidRPr="00CA2556">
        <w:rPr>
          <w:rFonts w:ascii="Open Sans" w:eastAsia="Aptos" w:hAnsi="Open Sans" w:cs="Open Sans"/>
          <w:spacing w:val="80"/>
          <w:sz w:val="21"/>
          <w:szCs w:val="21"/>
        </w:rPr>
        <w:t xml:space="preserve"> </w:t>
      </w:r>
      <w:r w:rsidRPr="00CA2556">
        <w:rPr>
          <w:rFonts w:ascii="Open Sans" w:eastAsia="Aptos" w:hAnsi="Open Sans" w:cs="Open Sans"/>
          <w:sz w:val="21"/>
          <w:szCs w:val="21"/>
        </w:rPr>
        <w:t>activities</w:t>
      </w:r>
      <w:r w:rsidR="00EA2D95">
        <w:rPr>
          <w:rFonts w:ascii="Open Sans" w:eastAsia="Aptos" w:hAnsi="Open Sans" w:cs="Open Sans"/>
          <w:sz w:val="21"/>
          <w:szCs w:val="21"/>
        </w:rPr>
        <w:t>,</w:t>
      </w:r>
      <w:r w:rsidRPr="00CA2556">
        <w:rPr>
          <w:rFonts w:ascii="Open Sans" w:eastAsia="Aptos" w:hAnsi="Open Sans" w:cs="Open Sans"/>
          <w:sz w:val="21"/>
          <w:szCs w:val="21"/>
        </w:rPr>
        <w:t xml:space="preserve"> such as manufacturing tangible personal</w:t>
      </w:r>
      <w:r w:rsidRPr="00CA2556">
        <w:rPr>
          <w:rFonts w:ascii="Open Sans" w:eastAsia="Aptos" w:hAnsi="Open Sans" w:cs="Open Sans"/>
          <w:spacing w:val="80"/>
          <w:sz w:val="21"/>
          <w:szCs w:val="21"/>
        </w:rPr>
        <w:t xml:space="preserve"> </w:t>
      </w:r>
      <w:r w:rsidRPr="00CA2556">
        <w:rPr>
          <w:rFonts w:ascii="Open Sans" w:eastAsia="Aptos" w:hAnsi="Open Sans" w:cs="Open Sans"/>
          <w:sz w:val="21"/>
          <w:szCs w:val="21"/>
        </w:rPr>
        <w:t>property,</w:t>
      </w:r>
      <w:r w:rsidRPr="00CA2556">
        <w:rPr>
          <w:rFonts w:ascii="Open Sans" w:eastAsia="Aptos" w:hAnsi="Open Sans" w:cs="Open Sans"/>
          <w:spacing w:val="40"/>
          <w:sz w:val="21"/>
          <w:szCs w:val="21"/>
        </w:rPr>
        <w:t xml:space="preserve"> </w:t>
      </w:r>
      <w:r w:rsidRPr="00CA2556">
        <w:rPr>
          <w:rFonts w:ascii="Open Sans" w:eastAsia="Aptos" w:hAnsi="Open Sans" w:cs="Open Sans"/>
          <w:sz w:val="21"/>
          <w:szCs w:val="21"/>
        </w:rPr>
        <w:t>agriculture,</w:t>
      </w:r>
      <w:r w:rsidRPr="00CA2556">
        <w:rPr>
          <w:rFonts w:ascii="Open Sans" w:eastAsia="Aptos" w:hAnsi="Open Sans" w:cs="Open Sans"/>
          <w:spacing w:val="40"/>
          <w:sz w:val="21"/>
          <w:szCs w:val="21"/>
        </w:rPr>
        <w:t xml:space="preserve"> </w:t>
      </w:r>
      <w:r w:rsidRPr="00CA2556">
        <w:rPr>
          <w:rFonts w:ascii="Open Sans" w:eastAsia="Aptos" w:hAnsi="Open Sans" w:cs="Open Sans"/>
          <w:sz w:val="21"/>
          <w:szCs w:val="21"/>
        </w:rPr>
        <w:t>chemical</w:t>
      </w:r>
      <w:r w:rsidRPr="00CA2556">
        <w:rPr>
          <w:rFonts w:ascii="Open Sans" w:eastAsia="Aptos" w:hAnsi="Open Sans" w:cs="Open Sans"/>
          <w:spacing w:val="40"/>
          <w:sz w:val="21"/>
          <w:szCs w:val="21"/>
        </w:rPr>
        <w:t xml:space="preserve"> </w:t>
      </w:r>
      <w:r w:rsidRPr="00CA2556">
        <w:rPr>
          <w:rFonts w:ascii="Open Sans" w:eastAsia="Aptos" w:hAnsi="Open Sans" w:cs="Open Sans"/>
          <w:sz w:val="21"/>
          <w:szCs w:val="21"/>
        </w:rPr>
        <w:t>production</w:t>
      </w:r>
      <w:r w:rsidRPr="00CA2556">
        <w:rPr>
          <w:rFonts w:ascii="Open Sans" w:eastAsia="Aptos" w:hAnsi="Open Sans" w:cs="Open Sans"/>
          <w:spacing w:val="40"/>
          <w:sz w:val="21"/>
          <w:szCs w:val="21"/>
        </w:rPr>
        <w:t xml:space="preserve"> </w:t>
      </w:r>
      <w:r w:rsidRPr="00CA2556">
        <w:rPr>
          <w:rFonts w:ascii="Open Sans" w:eastAsia="Aptos" w:hAnsi="Open Sans" w:cs="Open Sans"/>
          <w:sz w:val="21"/>
          <w:szCs w:val="21"/>
        </w:rPr>
        <w:t>and refining.</w:t>
      </w:r>
      <w:r w:rsidRPr="00CA2556">
        <w:rPr>
          <w:rFonts w:ascii="Open Sans" w:eastAsia="Aptos" w:hAnsi="Open Sans" w:cs="Open Sans"/>
          <w:spacing w:val="40"/>
          <w:sz w:val="21"/>
          <w:szCs w:val="21"/>
        </w:rPr>
        <w:t xml:space="preserve"> </w:t>
      </w:r>
      <w:r w:rsidRPr="00CA2556">
        <w:rPr>
          <w:rFonts w:ascii="Open Sans" w:eastAsia="Aptos" w:hAnsi="Open Sans" w:cs="Open Sans"/>
          <w:sz w:val="21"/>
          <w:szCs w:val="21"/>
        </w:rPr>
        <w:t>However,</w:t>
      </w:r>
      <w:r w:rsidRPr="00CA2556">
        <w:rPr>
          <w:rFonts w:ascii="Open Sans" w:eastAsia="Aptos" w:hAnsi="Open Sans" w:cs="Open Sans"/>
          <w:spacing w:val="40"/>
          <w:sz w:val="21"/>
          <w:szCs w:val="21"/>
        </w:rPr>
        <w:t xml:space="preserve"> </w:t>
      </w:r>
      <w:r w:rsidRPr="00CA2556">
        <w:rPr>
          <w:rFonts w:ascii="Open Sans" w:eastAsia="Aptos" w:hAnsi="Open Sans" w:cs="Open Sans"/>
          <w:sz w:val="21"/>
          <w:szCs w:val="21"/>
        </w:rPr>
        <w:t>any</w:t>
      </w:r>
      <w:r w:rsidRPr="00CA2556">
        <w:rPr>
          <w:rFonts w:ascii="Open Sans" w:eastAsia="Aptos" w:hAnsi="Open Sans" w:cs="Open Sans"/>
          <w:spacing w:val="40"/>
          <w:sz w:val="21"/>
          <w:szCs w:val="21"/>
        </w:rPr>
        <w:t xml:space="preserve"> </w:t>
      </w:r>
      <w:r w:rsidRPr="00CA2556">
        <w:rPr>
          <w:rFonts w:ascii="Open Sans" w:eastAsia="Aptos" w:hAnsi="Open Sans" w:cs="Open Sans"/>
          <w:sz w:val="21"/>
          <w:szCs w:val="21"/>
        </w:rPr>
        <w:t>portion</w:t>
      </w:r>
      <w:r w:rsidRPr="00CA2556">
        <w:rPr>
          <w:rFonts w:ascii="Open Sans" w:eastAsia="Aptos" w:hAnsi="Open Sans" w:cs="Open Sans"/>
          <w:spacing w:val="40"/>
          <w:sz w:val="21"/>
          <w:szCs w:val="21"/>
        </w:rPr>
        <w:t xml:space="preserve"> </w:t>
      </w:r>
      <w:r w:rsidRPr="00CA2556">
        <w:rPr>
          <w:rFonts w:ascii="Open Sans" w:eastAsia="Aptos" w:hAnsi="Open Sans" w:cs="Open Sans"/>
          <w:sz w:val="21"/>
          <w:szCs w:val="21"/>
        </w:rPr>
        <w:t>of</w:t>
      </w:r>
      <w:r w:rsidRPr="00CA2556">
        <w:rPr>
          <w:rFonts w:ascii="Open Sans" w:eastAsia="Aptos" w:hAnsi="Open Sans" w:cs="Open Sans"/>
          <w:spacing w:val="40"/>
          <w:sz w:val="21"/>
          <w:szCs w:val="21"/>
        </w:rPr>
        <w:t xml:space="preserve"> </w:t>
      </w:r>
      <w:r w:rsidRPr="00CA2556">
        <w:rPr>
          <w:rFonts w:ascii="Open Sans" w:eastAsia="Aptos" w:hAnsi="Open Sans" w:cs="Open Sans"/>
          <w:sz w:val="21"/>
          <w:szCs w:val="21"/>
        </w:rPr>
        <w:t>the</w:t>
      </w:r>
      <w:r w:rsidRPr="00CA2556">
        <w:rPr>
          <w:rFonts w:ascii="Open Sans" w:eastAsia="Aptos" w:hAnsi="Open Sans" w:cs="Open Sans"/>
          <w:spacing w:val="40"/>
          <w:sz w:val="21"/>
          <w:szCs w:val="21"/>
        </w:rPr>
        <w:t xml:space="preserve"> </w:t>
      </w:r>
      <w:r w:rsidRPr="00CA2556">
        <w:rPr>
          <w:rFonts w:ascii="Open Sans" w:eastAsia="Aptos" w:hAnsi="Open Sans" w:cs="Open Sans"/>
          <w:sz w:val="21"/>
          <w:szCs w:val="21"/>
        </w:rPr>
        <w:t>building used for unrelated functions like offices, administration, parking, sales</w:t>
      </w:r>
      <w:r w:rsidR="003169CF">
        <w:rPr>
          <w:rFonts w:ascii="Open Sans" w:eastAsia="Aptos" w:hAnsi="Open Sans" w:cs="Open Sans"/>
          <w:sz w:val="21"/>
          <w:szCs w:val="21"/>
        </w:rPr>
        <w:t>,</w:t>
      </w:r>
      <w:r w:rsidRPr="00CA2556">
        <w:rPr>
          <w:rFonts w:ascii="Open Sans" w:eastAsia="Aptos" w:hAnsi="Open Sans" w:cs="Open Sans"/>
          <w:sz w:val="21"/>
          <w:szCs w:val="21"/>
        </w:rPr>
        <w:t xml:space="preserve"> or research is excluded from eligibility.</w:t>
      </w:r>
    </w:p>
    <w:p w14:paraId="2724F05A" w14:textId="77777777" w:rsidR="00CA2556" w:rsidRPr="00CA2556" w:rsidRDefault="00CA2556" w:rsidP="00CA2556">
      <w:pPr>
        <w:rPr>
          <w:rFonts w:ascii="Open Sans" w:eastAsia="Aptos" w:hAnsi="Open Sans" w:cs="Open Sans"/>
          <w:sz w:val="21"/>
          <w:szCs w:val="21"/>
        </w:rPr>
      </w:pPr>
      <w:r w:rsidRPr="00CA2556">
        <w:rPr>
          <w:rFonts w:ascii="Open Sans" w:eastAsia="Aptos" w:hAnsi="Open Sans" w:cs="Open Sans"/>
          <w:sz w:val="21"/>
          <w:szCs w:val="21"/>
        </w:rPr>
        <w:t>This election applies to construction beginning after January 19, 2025, and before December 31, 2029. To qualify, the property must be placed in service before the end of 2030.</w:t>
      </w:r>
    </w:p>
    <w:p w14:paraId="4F2582DD" w14:textId="2912A04B" w:rsidR="00CA2556" w:rsidRPr="00CA2556" w:rsidRDefault="00F04781" w:rsidP="00CA2556">
      <w:pPr>
        <w:rPr>
          <w:rFonts w:ascii="Open Sans" w:eastAsia="Aptos" w:hAnsi="Open Sans" w:cs="Open Sans"/>
          <w:sz w:val="21"/>
          <w:szCs w:val="21"/>
        </w:rPr>
      </w:pPr>
      <w:r>
        <w:rPr>
          <w:rFonts w:ascii="Open Sans" w:eastAsia="Aptos" w:hAnsi="Open Sans" w:cs="Open Sans"/>
          <w:sz w:val="21"/>
          <w:szCs w:val="21"/>
        </w:rPr>
        <w:t>OBBBA</w:t>
      </w:r>
      <w:r w:rsidR="00CA2556" w:rsidRPr="00CA2556">
        <w:rPr>
          <w:rFonts w:ascii="Open Sans" w:eastAsia="Aptos" w:hAnsi="Open Sans" w:cs="Open Sans"/>
          <w:sz w:val="21"/>
          <w:szCs w:val="21"/>
        </w:rPr>
        <w:t xml:space="preserve"> also increases Section 179 </w:t>
      </w:r>
      <w:proofErr w:type="gramStart"/>
      <w:r w:rsidR="00CA2556" w:rsidRPr="00CA2556">
        <w:rPr>
          <w:rFonts w:ascii="Open Sans" w:eastAsia="Aptos" w:hAnsi="Open Sans" w:cs="Open Sans"/>
          <w:sz w:val="21"/>
          <w:szCs w:val="21"/>
        </w:rPr>
        <w:t>expensing</w:t>
      </w:r>
      <w:proofErr w:type="gramEnd"/>
      <w:r w:rsidR="00CA2556" w:rsidRPr="00CA2556">
        <w:rPr>
          <w:rFonts w:ascii="Open Sans" w:eastAsia="Aptos" w:hAnsi="Open Sans" w:cs="Open Sans"/>
          <w:sz w:val="21"/>
          <w:szCs w:val="21"/>
        </w:rPr>
        <w:t xml:space="preserve"> limits.</w:t>
      </w:r>
      <w:r w:rsidR="00CA2556" w:rsidRPr="00CA2556">
        <w:rPr>
          <w:rFonts w:ascii="Open Sans" w:eastAsia="Aptos" w:hAnsi="Open Sans" w:cs="Open Sans"/>
          <w:spacing w:val="80"/>
          <w:sz w:val="21"/>
          <w:szCs w:val="21"/>
        </w:rPr>
        <w:t xml:space="preserve"> </w:t>
      </w:r>
      <w:r w:rsidR="00CA2556" w:rsidRPr="00CA2556">
        <w:rPr>
          <w:rFonts w:ascii="Open Sans" w:eastAsia="Aptos" w:hAnsi="Open Sans" w:cs="Open Sans"/>
          <w:sz w:val="21"/>
          <w:szCs w:val="21"/>
        </w:rPr>
        <w:t>Businesses can now deduct up to $2.5 million in</w:t>
      </w:r>
      <w:r w:rsidR="00CA2556" w:rsidRPr="00CA2556">
        <w:rPr>
          <w:rFonts w:ascii="Open Sans" w:eastAsia="Aptos" w:hAnsi="Open Sans" w:cs="Open Sans"/>
          <w:spacing w:val="80"/>
          <w:sz w:val="21"/>
          <w:szCs w:val="21"/>
        </w:rPr>
        <w:t xml:space="preserve"> </w:t>
      </w:r>
      <w:r w:rsidR="00CA2556" w:rsidRPr="00CA2556">
        <w:rPr>
          <w:rFonts w:ascii="Open Sans" w:eastAsia="Aptos" w:hAnsi="Open Sans" w:cs="Open Sans"/>
          <w:sz w:val="21"/>
          <w:szCs w:val="21"/>
        </w:rPr>
        <w:t>qualifying property, with the phase-out threshold</w:t>
      </w:r>
      <w:r w:rsidR="00CA2556" w:rsidRPr="00CA2556">
        <w:rPr>
          <w:rFonts w:ascii="Open Sans" w:eastAsia="Aptos" w:hAnsi="Open Sans" w:cs="Open Sans"/>
          <w:spacing w:val="80"/>
          <w:sz w:val="21"/>
          <w:szCs w:val="21"/>
        </w:rPr>
        <w:t xml:space="preserve"> </w:t>
      </w:r>
      <w:r w:rsidR="00CA2556" w:rsidRPr="00CA2556">
        <w:rPr>
          <w:rFonts w:ascii="Open Sans" w:eastAsia="Aptos" w:hAnsi="Open Sans" w:cs="Open Sans"/>
          <w:sz w:val="21"/>
          <w:szCs w:val="21"/>
        </w:rPr>
        <w:t>raised to $4 million (although one could elect bonus depreciation to avoid phase-out for certain costs). These new limits apply to</w:t>
      </w:r>
      <w:r w:rsidR="00CA2556" w:rsidRPr="00CA2556">
        <w:rPr>
          <w:rFonts w:ascii="Open Sans" w:eastAsia="Aptos" w:hAnsi="Open Sans" w:cs="Open Sans"/>
          <w:spacing w:val="80"/>
          <w:sz w:val="21"/>
          <w:szCs w:val="21"/>
        </w:rPr>
        <w:t xml:space="preserve"> </w:t>
      </w:r>
      <w:r w:rsidR="00CA2556" w:rsidRPr="00CA2556">
        <w:rPr>
          <w:rFonts w:ascii="Open Sans" w:eastAsia="Aptos" w:hAnsi="Open Sans" w:cs="Open Sans"/>
          <w:sz w:val="21"/>
          <w:szCs w:val="21"/>
        </w:rPr>
        <w:t>property</w:t>
      </w:r>
      <w:r w:rsidR="00CA2556" w:rsidRPr="00CA2556">
        <w:rPr>
          <w:rFonts w:ascii="Open Sans" w:eastAsia="Aptos" w:hAnsi="Open Sans" w:cs="Open Sans"/>
          <w:spacing w:val="37"/>
          <w:sz w:val="21"/>
          <w:szCs w:val="21"/>
        </w:rPr>
        <w:t xml:space="preserve"> </w:t>
      </w:r>
      <w:r w:rsidR="00CA2556" w:rsidRPr="00CA2556">
        <w:rPr>
          <w:rFonts w:ascii="Open Sans" w:eastAsia="Aptos" w:hAnsi="Open Sans" w:cs="Open Sans"/>
          <w:sz w:val="21"/>
          <w:szCs w:val="21"/>
        </w:rPr>
        <w:t>placed</w:t>
      </w:r>
      <w:r w:rsidR="00CA2556" w:rsidRPr="00CA2556">
        <w:rPr>
          <w:rFonts w:ascii="Open Sans" w:eastAsia="Aptos" w:hAnsi="Open Sans" w:cs="Open Sans"/>
          <w:spacing w:val="37"/>
          <w:sz w:val="21"/>
          <w:szCs w:val="21"/>
        </w:rPr>
        <w:t xml:space="preserve"> </w:t>
      </w:r>
      <w:r w:rsidR="00CA2556" w:rsidRPr="00CA2556">
        <w:rPr>
          <w:rFonts w:ascii="Open Sans" w:eastAsia="Aptos" w:hAnsi="Open Sans" w:cs="Open Sans"/>
          <w:sz w:val="21"/>
          <w:szCs w:val="21"/>
        </w:rPr>
        <w:t>in</w:t>
      </w:r>
      <w:r w:rsidR="00CA2556" w:rsidRPr="00CA2556">
        <w:rPr>
          <w:rFonts w:ascii="Open Sans" w:eastAsia="Aptos" w:hAnsi="Open Sans" w:cs="Open Sans"/>
          <w:spacing w:val="37"/>
          <w:sz w:val="21"/>
          <w:szCs w:val="21"/>
        </w:rPr>
        <w:t xml:space="preserve"> </w:t>
      </w:r>
      <w:r w:rsidR="00CA2556" w:rsidRPr="00CA2556">
        <w:rPr>
          <w:rFonts w:ascii="Open Sans" w:eastAsia="Aptos" w:hAnsi="Open Sans" w:cs="Open Sans"/>
          <w:sz w:val="21"/>
          <w:szCs w:val="21"/>
        </w:rPr>
        <w:t>service</w:t>
      </w:r>
      <w:r w:rsidR="00CA2556" w:rsidRPr="00CA2556">
        <w:rPr>
          <w:rFonts w:ascii="Open Sans" w:eastAsia="Aptos" w:hAnsi="Open Sans" w:cs="Open Sans"/>
          <w:spacing w:val="37"/>
          <w:sz w:val="21"/>
          <w:szCs w:val="21"/>
        </w:rPr>
        <w:t xml:space="preserve"> </w:t>
      </w:r>
      <w:r w:rsidR="00CA2556" w:rsidRPr="00CA2556">
        <w:rPr>
          <w:rFonts w:ascii="Open Sans" w:eastAsia="Aptos" w:hAnsi="Open Sans" w:cs="Open Sans"/>
          <w:sz w:val="21"/>
          <w:szCs w:val="21"/>
        </w:rPr>
        <w:t>after</w:t>
      </w:r>
      <w:r w:rsidR="00CA2556" w:rsidRPr="00CA2556">
        <w:rPr>
          <w:rFonts w:ascii="Open Sans" w:eastAsia="Aptos" w:hAnsi="Open Sans" w:cs="Open Sans"/>
          <w:spacing w:val="37"/>
          <w:sz w:val="21"/>
          <w:szCs w:val="21"/>
        </w:rPr>
        <w:t xml:space="preserve"> </w:t>
      </w:r>
      <w:r w:rsidR="00CA2556" w:rsidRPr="00CA2556">
        <w:rPr>
          <w:rFonts w:ascii="Open Sans" w:eastAsia="Aptos" w:hAnsi="Open Sans" w:cs="Open Sans"/>
          <w:sz w:val="21"/>
          <w:szCs w:val="21"/>
        </w:rPr>
        <w:t>December</w:t>
      </w:r>
      <w:r w:rsidR="00CA2556" w:rsidRPr="00CA2556">
        <w:rPr>
          <w:rFonts w:ascii="Open Sans" w:eastAsia="Aptos" w:hAnsi="Open Sans" w:cs="Open Sans"/>
          <w:spacing w:val="37"/>
          <w:sz w:val="21"/>
          <w:szCs w:val="21"/>
        </w:rPr>
        <w:t xml:space="preserve"> </w:t>
      </w:r>
      <w:r w:rsidR="00CA2556" w:rsidRPr="00CA2556">
        <w:rPr>
          <w:rFonts w:ascii="Open Sans" w:eastAsia="Aptos" w:hAnsi="Open Sans" w:cs="Open Sans"/>
          <w:sz w:val="21"/>
          <w:szCs w:val="21"/>
        </w:rPr>
        <w:t>31,</w:t>
      </w:r>
      <w:r w:rsidR="00CA2556" w:rsidRPr="00CA2556">
        <w:rPr>
          <w:rFonts w:ascii="Open Sans" w:eastAsia="Aptos" w:hAnsi="Open Sans" w:cs="Open Sans"/>
          <w:spacing w:val="37"/>
          <w:sz w:val="21"/>
          <w:szCs w:val="21"/>
        </w:rPr>
        <w:t xml:space="preserve"> </w:t>
      </w:r>
      <w:r w:rsidR="00CA2556" w:rsidRPr="00CA2556">
        <w:rPr>
          <w:rFonts w:ascii="Open Sans" w:eastAsia="Aptos" w:hAnsi="Open Sans" w:cs="Open Sans"/>
          <w:sz w:val="21"/>
          <w:szCs w:val="21"/>
        </w:rPr>
        <w:t xml:space="preserve">2024. </w:t>
      </w:r>
    </w:p>
    <w:p w14:paraId="6D1A2DC7" w14:textId="1D4ABEF6" w:rsidR="00CA2556" w:rsidRPr="00CA2556" w:rsidRDefault="00CA2556" w:rsidP="00CA2556">
      <w:pPr>
        <w:spacing w:before="106" w:line="276" w:lineRule="auto"/>
        <w:ind w:right="283"/>
        <w:rPr>
          <w:rFonts w:ascii="Open Sans" w:eastAsia="Aptos" w:hAnsi="Open Sans" w:cs="Open Sans"/>
          <w:sz w:val="21"/>
          <w:szCs w:val="21"/>
        </w:rPr>
      </w:pPr>
      <w:r w:rsidRPr="00CA2556">
        <w:rPr>
          <w:rFonts w:ascii="Open Sans" w:eastAsia="Aptos" w:hAnsi="Open Sans" w:cs="Open Sans"/>
          <w:sz w:val="21"/>
          <w:szCs w:val="21"/>
        </w:rPr>
        <w:t>This provision encourages</w:t>
      </w:r>
      <w:r w:rsidRPr="00CA2556">
        <w:rPr>
          <w:rFonts w:ascii="Open Sans" w:eastAsia="Aptos" w:hAnsi="Open Sans" w:cs="Open Sans"/>
          <w:spacing w:val="40"/>
          <w:sz w:val="21"/>
          <w:szCs w:val="21"/>
        </w:rPr>
        <w:t xml:space="preserve"> </w:t>
      </w:r>
      <w:r w:rsidRPr="00CA2556">
        <w:rPr>
          <w:rFonts w:ascii="Open Sans" w:eastAsia="Aptos" w:hAnsi="Open Sans" w:cs="Open Sans"/>
          <w:sz w:val="21"/>
          <w:szCs w:val="21"/>
        </w:rPr>
        <w:t>investment by allowing immediate write-offs for</w:t>
      </w:r>
      <w:r w:rsidRPr="00CA2556">
        <w:rPr>
          <w:rFonts w:ascii="Open Sans" w:eastAsia="Aptos" w:hAnsi="Open Sans" w:cs="Open Sans"/>
          <w:spacing w:val="80"/>
          <w:sz w:val="21"/>
          <w:szCs w:val="21"/>
        </w:rPr>
        <w:t xml:space="preserve"> </w:t>
      </w:r>
      <w:r w:rsidRPr="00CA2556">
        <w:rPr>
          <w:rFonts w:ascii="Open Sans" w:eastAsia="Aptos" w:hAnsi="Open Sans" w:cs="Open Sans"/>
          <w:sz w:val="21"/>
          <w:szCs w:val="21"/>
        </w:rPr>
        <w:t>qualifying purchases. If business asset</w:t>
      </w:r>
      <w:r w:rsidRPr="00CA2556">
        <w:rPr>
          <w:rFonts w:ascii="Open Sans" w:eastAsia="Aptos" w:hAnsi="Open Sans" w:cs="Open Sans"/>
          <w:spacing w:val="80"/>
          <w:sz w:val="21"/>
          <w:szCs w:val="21"/>
        </w:rPr>
        <w:t xml:space="preserve"> </w:t>
      </w:r>
      <w:r w:rsidRPr="00CA2556">
        <w:rPr>
          <w:rFonts w:ascii="Open Sans" w:eastAsia="Aptos" w:hAnsi="Open Sans" w:cs="Open Sans"/>
          <w:sz w:val="21"/>
          <w:szCs w:val="21"/>
        </w:rPr>
        <w:t xml:space="preserve">purchases </w:t>
      </w:r>
      <w:r w:rsidR="004A5EF2">
        <w:rPr>
          <w:rFonts w:ascii="Open Sans" w:eastAsia="Aptos" w:hAnsi="Open Sans" w:cs="Open Sans"/>
          <w:sz w:val="21"/>
          <w:szCs w:val="21"/>
        </w:rPr>
        <w:t xml:space="preserve">were made </w:t>
      </w:r>
      <w:r w:rsidRPr="00CA2556">
        <w:rPr>
          <w:rFonts w:ascii="Open Sans" w:eastAsia="Aptos" w:hAnsi="Open Sans" w:cs="Open Sans"/>
          <w:sz w:val="21"/>
          <w:szCs w:val="21"/>
        </w:rPr>
        <w:t xml:space="preserve">around January 19, 2025, </w:t>
      </w:r>
      <w:r w:rsidR="004A5EF2">
        <w:rPr>
          <w:rFonts w:ascii="Open Sans" w:eastAsia="Aptos" w:hAnsi="Open Sans" w:cs="Open Sans"/>
          <w:sz w:val="21"/>
          <w:szCs w:val="21"/>
        </w:rPr>
        <w:t>it is</w:t>
      </w:r>
      <w:r w:rsidRPr="00CA2556">
        <w:rPr>
          <w:rFonts w:ascii="Open Sans" w:eastAsia="Aptos" w:hAnsi="Open Sans" w:cs="Open Sans"/>
          <w:sz w:val="21"/>
          <w:szCs w:val="21"/>
        </w:rPr>
        <w:t xml:space="preserve"> critical to</w:t>
      </w:r>
      <w:r w:rsidRPr="00CA2556">
        <w:rPr>
          <w:rFonts w:ascii="Open Sans" w:eastAsia="Aptos" w:hAnsi="Open Sans" w:cs="Open Sans"/>
          <w:spacing w:val="80"/>
          <w:sz w:val="21"/>
          <w:szCs w:val="21"/>
        </w:rPr>
        <w:t xml:space="preserve"> </w:t>
      </w:r>
      <w:r w:rsidRPr="00CA2556">
        <w:rPr>
          <w:rFonts w:ascii="Open Sans" w:eastAsia="Aptos" w:hAnsi="Open Sans" w:cs="Open Sans"/>
          <w:sz w:val="21"/>
          <w:szCs w:val="21"/>
        </w:rPr>
        <w:t>review acquisition and in-service dates. Those before</w:t>
      </w:r>
      <w:r w:rsidRPr="00CA2556">
        <w:rPr>
          <w:rFonts w:ascii="Open Sans" w:eastAsia="Aptos" w:hAnsi="Open Sans" w:cs="Open Sans"/>
          <w:spacing w:val="80"/>
          <w:sz w:val="21"/>
          <w:szCs w:val="21"/>
        </w:rPr>
        <w:t xml:space="preserve"> </w:t>
      </w:r>
      <w:r w:rsidRPr="00CA2556">
        <w:rPr>
          <w:rFonts w:ascii="Open Sans" w:eastAsia="Aptos" w:hAnsi="Open Sans" w:cs="Open Sans"/>
          <w:sz w:val="21"/>
          <w:szCs w:val="21"/>
        </w:rPr>
        <w:t>January</w:t>
      </w:r>
      <w:r w:rsidRPr="00CA2556">
        <w:rPr>
          <w:rFonts w:ascii="Open Sans" w:eastAsia="Aptos" w:hAnsi="Open Sans" w:cs="Open Sans"/>
          <w:spacing w:val="40"/>
          <w:sz w:val="21"/>
          <w:szCs w:val="21"/>
        </w:rPr>
        <w:t xml:space="preserve"> </w:t>
      </w:r>
      <w:r w:rsidRPr="00CA2556">
        <w:rPr>
          <w:rFonts w:ascii="Open Sans" w:eastAsia="Aptos" w:hAnsi="Open Sans" w:cs="Open Sans"/>
          <w:sz w:val="21"/>
          <w:szCs w:val="21"/>
        </w:rPr>
        <w:t>19</w:t>
      </w:r>
      <w:r w:rsidRPr="00CA2556">
        <w:rPr>
          <w:rFonts w:ascii="Open Sans" w:eastAsia="Aptos" w:hAnsi="Open Sans" w:cs="Open Sans"/>
          <w:spacing w:val="40"/>
          <w:sz w:val="21"/>
          <w:szCs w:val="21"/>
        </w:rPr>
        <w:t xml:space="preserve"> </w:t>
      </w:r>
      <w:r w:rsidRPr="00CA2556">
        <w:rPr>
          <w:rFonts w:ascii="Open Sans" w:eastAsia="Aptos" w:hAnsi="Open Sans" w:cs="Open Sans"/>
          <w:sz w:val="21"/>
          <w:szCs w:val="21"/>
        </w:rPr>
        <w:t>may</w:t>
      </w:r>
      <w:r w:rsidRPr="00CA2556">
        <w:rPr>
          <w:rFonts w:ascii="Open Sans" w:eastAsia="Aptos" w:hAnsi="Open Sans" w:cs="Open Sans"/>
          <w:spacing w:val="40"/>
          <w:sz w:val="21"/>
          <w:szCs w:val="21"/>
        </w:rPr>
        <w:t xml:space="preserve"> </w:t>
      </w:r>
      <w:r w:rsidRPr="00CA2556">
        <w:rPr>
          <w:rFonts w:ascii="Open Sans" w:eastAsia="Aptos" w:hAnsi="Open Sans" w:cs="Open Sans"/>
          <w:sz w:val="21"/>
          <w:szCs w:val="21"/>
        </w:rPr>
        <w:t>fall</w:t>
      </w:r>
      <w:r w:rsidRPr="00CA2556">
        <w:rPr>
          <w:rFonts w:ascii="Open Sans" w:eastAsia="Aptos" w:hAnsi="Open Sans" w:cs="Open Sans"/>
          <w:spacing w:val="40"/>
          <w:sz w:val="21"/>
          <w:szCs w:val="21"/>
        </w:rPr>
        <w:t xml:space="preserve"> </w:t>
      </w:r>
      <w:r w:rsidRPr="00CA2556">
        <w:rPr>
          <w:rFonts w:ascii="Open Sans" w:eastAsia="Aptos" w:hAnsi="Open Sans" w:cs="Open Sans"/>
          <w:sz w:val="21"/>
          <w:szCs w:val="21"/>
        </w:rPr>
        <w:t>under</w:t>
      </w:r>
      <w:r w:rsidRPr="00CA2556">
        <w:rPr>
          <w:rFonts w:ascii="Open Sans" w:eastAsia="Aptos" w:hAnsi="Open Sans" w:cs="Open Sans"/>
          <w:spacing w:val="40"/>
          <w:sz w:val="21"/>
          <w:szCs w:val="21"/>
        </w:rPr>
        <w:t xml:space="preserve"> </w:t>
      </w:r>
      <w:r w:rsidRPr="00CA2556">
        <w:rPr>
          <w:rFonts w:ascii="Open Sans" w:eastAsia="Aptos" w:hAnsi="Open Sans" w:cs="Open Sans"/>
          <w:sz w:val="21"/>
          <w:szCs w:val="21"/>
        </w:rPr>
        <w:t>the</w:t>
      </w:r>
      <w:r w:rsidRPr="00CA2556">
        <w:rPr>
          <w:rFonts w:ascii="Open Sans" w:eastAsia="Aptos" w:hAnsi="Open Sans" w:cs="Open Sans"/>
          <w:spacing w:val="40"/>
          <w:sz w:val="21"/>
          <w:szCs w:val="21"/>
        </w:rPr>
        <w:t xml:space="preserve"> </w:t>
      </w:r>
      <w:r w:rsidRPr="00CA2556">
        <w:rPr>
          <w:rFonts w:ascii="Open Sans" w:eastAsia="Aptos" w:hAnsi="Open Sans" w:cs="Open Sans"/>
          <w:sz w:val="21"/>
          <w:szCs w:val="21"/>
        </w:rPr>
        <w:t>older,</w:t>
      </w:r>
      <w:r w:rsidRPr="00CA2556">
        <w:rPr>
          <w:rFonts w:ascii="Open Sans" w:eastAsia="Aptos" w:hAnsi="Open Sans" w:cs="Open Sans"/>
          <w:spacing w:val="40"/>
          <w:sz w:val="21"/>
          <w:szCs w:val="21"/>
        </w:rPr>
        <w:t xml:space="preserve"> </w:t>
      </w:r>
      <w:proofErr w:type="gramStart"/>
      <w:r w:rsidRPr="00CA2556">
        <w:rPr>
          <w:rFonts w:ascii="Open Sans" w:eastAsia="Aptos" w:hAnsi="Open Sans" w:cs="Open Sans"/>
          <w:sz w:val="21"/>
          <w:szCs w:val="21"/>
        </w:rPr>
        <w:t>phased-down</w:t>
      </w:r>
      <w:proofErr w:type="gramEnd"/>
      <w:r w:rsidRPr="00CA2556">
        <w:rPr>
          <w:rFonts w:ascii="Open Sans" w:eastAsia="Aptos" w:hAnsi="Open Sans" w:cs="Open Sans"/>
          <w:sz w:val="21"/>
          <w:szCs w:val="21"/>
        </w:rPr>
        <w:t xml:space="preserve"> 40% bonus depreciation rate. Discussing timing and</w:t>
      </w:r>
      <w:r w:rsidRPr="00CA2556">
        <w:rPr>
          <w:rFonts w:ascii="Open Sans" w:eastAsia="Aptos" w:hAnsi="Open Sans" w:cs="Open Sans"/>
          <w:spacing w:val="80"/>
          <w:sz w:val="21"/>
          <w:szCs w:val="21"/>
        </w:rPr>
        <w:t xml:space="preserve"> </w:t>
      </w:r>
      <w:r w:rsidRPr="00CA2556">
        <w:rPr>
          <w:rFonts w:ascii="Open Sans" w:eastAsia="Aptos" w:hAnsi="Open Sans" w:cs="Open Sans"/>
          <w:sz w:val="21"/>
          <w:szCs w:val="21"/>
        </w:rPr>
        <w:t xml:space="preserve">strategy with </w:t>
      </w:r>
      <w:r w:rsidR="004A5EF2">
        <w:rPr>
          <w:rFonts w:ascii="Open Sans" w:eastAsia="Aptos" w:hAnsi="Open Sans" w:cs="Open Sans"/>
          <w:sz w:val="21"/>
          <w:szCs w:val="21"/>
        </w:rPr>
        <w:t>a</w:t>
      </w:r>
      <w:r w:rsidRPr="00CA2556">
        <w:rPr>
          <w:rFonts w:ascii="Open Sans" w:eastAsia="Aptos" w:hAnsi="Open Sans" w:cs="Open Sans"/>
          <w:sz w:val="21"/>
          <w:szCs w:val="21"/>
        </w:rPr>
        <w:t xml:space="preserve"> tax advisor is key.</w:t>
      </w:r>
    </w:p>
    <w:p w14:paraId="205B0ECD" w14:textId="77777777" w:rsidR="00CA2556" w:rsidRPr="00CA2556" w:rsidRDefault="00CA2556" w:rsidP="00CA2556">
      <w:pPr>
        <w:spacing w:line="276" w:lineRule="auto"/>
        <w:ind w:right="283"/>
        <w:rPr>
          <w:rFonts w:ascii="Open Sans" w:eastAsia="Aptos" w:hAnsi="Open Sans" w:cs="Open Sans"/>
          <w:sz w:val="21"/>
          <w:szCs w:val="21"/>
        </w:rPr>
      </w:pPr>
      <w:r w:rsidRPr="00CA2556">
        <w:rPr>
          <w:rFonts w:ascii="Open Sans" w:eastAsia="Aptos" w:hAnsi="Open Sans" w:cs="Open Sans"/>
          <w:sz w:val="21"/>
          <w:szCs w:val="21"/>
        </w:rPr>
        <w:t>Cost segregation studies remain a powerful tool,</w:t>
      </w:r>
      <w:r w:rsidRPr="00CA2556">
        <w:rPr>
          <w:rFonts w:ascii="Open Sans" w:eastAsia="Aptos" w:hAnsi="Open Sans" w:cs="Open Sans"/>
          <w:spacing w:val="80"/>
          <w:sz w:val="21"/>
          <w:szCs w:val="21"/>
        </w:rPr>
        <w:t xml:space="preserve"> </w:t>
      </w:r>
      <w:r w:rsidRPr="00CA2556">
        <w:rPr>
          <w:rFonts w:ascii="Open Sans" w:eastAsia="Aptos" w:hAnsi="Open Sans" w:cs="Open Sans"/>
          <w:sz w:val="21"/>
          <w:szCs w:val="21"/>
        </w:rPr>
        <w:t>especially with the restored bonus depreciation and</w:t>
      </w:r>
      <w:r w:rsidRPr="00CA2556">
        <w:rPr>
          <w:rFonts w:ascii="Open Sans" w:eastAsia="Aptos" w:hAnsi="Open Sans" w:cs="Open Sans"/>
          <w:spacing w:val="80"/>
          <w:sz w:val="21"/>
          <w:szCs w:val="21"/>
        </w:rPr>
        <w:t xml:space="preserve"> </w:t>
      </w:r>
      <w:r w:rsidRPr="00CA2556">
        <w:rPr>
          <w:rFonts w:ascii="Open Sans" w:eastAsia="Aptos" w:hAnsi="Open Sans" w:cs="Open Sans"/>
          <w:sz w:val="21"/>
          <w:szCs w:val="21"/>
        </w:rPr>
        <w:t xml:space="preserve">expanded Section 179 expensing. As observed, “unrelated functions” still need to be depreciated. </w:t>
      </w:r>
    </w:p>
    <w:p w14:paraId="60538A57" w14:textId="4BF31B0E" w:rsidR="00CA2556" w:rsidRPr="00CA2556" w:rsidRDefault="00EF6223" w:rsidP="00CA2556">
      <w:pPr>
        <w:spacing w:before="1" w:line="276" w:lineRule="auto"/>
        <w:ind w:right="283"/>
        <w:rPr>
          <w:rFonts w:ascii="Open Sans" w:eastAsia="Aptos" w:hAnsi="Open Sans" w:cs="Open Sans"/>
          <w:sz w:val="21"/>
          <w:szCs w:val="21"/>
        </w:rPr>
      </w:pPr>
      <w:r>
        <w:rPr>
          <w:rFonts w:ascii="Open Sans" w:eastAsia="Aptos" w:hAnsi="Open Sans" w:cs="Open Sans"/>
          <w:sz w:val="21"/>
          <w:szCs w:val="21"/>
        </w:rPr>
        <w:t>The taxpayer</w:t>
      </w:r>
      <w:r w:rsidR="00CA2556" w:rsidRPr="00CA2556">
        <w:rPr>
          <w:rFonts w:ascii="Open Sans" w:eastAsia="Aptos" w:hAnsi="Open Sans" w:cs="Open Sans"/>
          <w:sz w:val="21"/>
          <w:szCs w:val="21"/>
        </w:rPr>
        <w:t xml:space="preserve"> should also model out the total impact of taking</w:t>
      </w:r>
      <w:r w:rsidR="00CA2556" w:rsidRPr="00CA2556">
        <w:rPr>
          <w:rFonts w:ascii="Open Sans" w:eastAsia="Aptos" w:hAnsi="Open Sans" w:cs="Open Sans"/>
          <w:spacing w:val="80"/>
          <w:sz w:val="21"/>
          <w:szCs w:val="21"/>
        </w:rPr>
        <w:t xml:space="preserve"> </w:t>
      </w:r>
      <w:r w:rsidR="00CA2556" w:rsidRPr="00CA2556">
        <w:rPr>
          <w:rFonts w:ascii="Open Sans" w:eastAsia="Aptos" w:hAnsi="Open Sans" w:cs="Open Sans"/>
          <w:sz w:val="21"/>
          <w:szCs w:val="21"/>
        </w:rPr>
        <w:t>the</w:t>
      </w:r>
      <w:r w:rsidR="00CA2556" w:rsidRPr="00CA2556">
        <w:rPr>
          <w:rFonts w:ascii="Open Sans" w:eastAsia="Aptos" w:hAnsi="Open Sans" w:cs="Open Sans"/>
          <w:spacing w:val="40"/>
          <w:sz w:val="21"/>
          <w:szCs w:val="21"/>
        </w:rPr>
        <w:t xml:space="preserve"> </w:t>
      </w:r>
      <w:r w:rsidR="00CA2556" w:rsidRPr="00CA2556">
        <w:rPr>
          <w:rFonts w:ascii="Open Sans" w:eastAsia="Aptos" w:hAnsi="Open Sans" w:cs="Open Sans"/>
          <w:sz w:val="21"/>
          <w:szCs w:val="21"/>
        </w:rPr>
        <w:t>bonus</w:t>
      </w:r>
      <w:r w:rsidR="00CA2556" w:rsidRPr="00CA2556">
        <w:rPr>
          <w:rFonts w:ascii="Open Sans" w:eastAsia="Aptos" w:hAnsi="Open Sans" w:cs="Open Sans"/>
          <w:spacing w:val="40"/>
          <w:sz w:val="21"/>
          <w:szCs w:val="21"/>
        </w:rPr>
        <w:t xml:space="preserve"> </w:t>
      </w:r>
      <w:r w:rsidR="00CA2556" w:rsidRPr="00CA2556">
        <w:rPr>
          <w:rFonts w:ascii="Open Sans" w:eastAsia="Aptos" w:hAnsi="Open Sans" w:cs="Open Sans"/>
          <w:sz w:val="21"/>
          <w:szCs w:val="21"/>
        </w:rPr>
        <w:t>depreciation.</w:t>
      </w:r>
      <w:r w:rsidR="00CA2556" w:rsidRPr="00CA2556">
        <w:rPr>
          <w:rFonts w:ascii="Open Sans" w:eastAsia="Aptos" w:hAnsi="Open Sans" w:cs="Open Sans"/>
          <w:spacing w:val="40"/>
          <w:sz w:val="21"/>
          <w:szCs w:val="21"/>
        </w:rPr>
        <w:t xml:space="preserve"> </w:t>
      </w:r>
      <w:r w:rsidR="00CA2556" w:rsidRPr="00CA2556">
        <w:rPr>
          <w:rFonts w:ascii="Open Sans" w:eastAsia="Aptos" w:hAnsi="Open Sans" w:cs="Open Sans"/>
          <w:sz w:val="21"/>
          <w:szCs w:val="21"/>
        </w:rPr>
        <w:t>This</w:t>
      </w:r>
      <w:r w:rsidR="00CA2556" w:rsidRPr="00CA2556">
        <w:rPr>
          <w:rFonts w:ascii="Open Sans" w:eastAsia="Aptos" w:hAnsi="Open Sans" w:cs="Open Sans"/>
          <w:spacing w:val="40"/>
          <w:sz w:val="21"/>
          <w:szCs w:val="21"/>
        </w:rPr>
        <w:t xml:space="preserve"> </w:t>
      </w:r>
      <w:r w:rsidR="00CA2556" w:rsidRPr="00CA2556">
        <w:rPr>
          <w:rFonts w:ascii="Open Sans" w:eastAsia="Aptos" w:hAnsi="Open Sans" w:cs="Open Sans"/>
          <w:sz w:val="21"/>
          <w:szCs w:val="21"/>
        </w:rPr>
        <w:t>will</w:t>
      </w:r>
      <w:r w:rsidR="00CA2556" w:rsidRPr="00CA2556">
        <w:rPr>
          <w:rFonts w:ascii="Open Sans" w:eastAsia="Aptos" w:hAnsi="Open Sans" w:cs="Open Sans"/>
          <w:spacing w:val="40"/>
          <w:sz w:val="21"/>
          <w:szCs w:val="21"/>
        </w:rPr>
        <w:t xml:space="preserve"> </w:t>
      </w:r>
      <w:r w:rsidR="00CA2556" w:rsidRPr="00CA2556">
        <w:rPr>
          <w:rFonts w:ascii="Open Sans" w:eastAsia="Aptos" w:hAnsi="Open Sans" w:cs="Open Sans"/>
          <w:sz w:val="21"/>
          <w:szCs w:val="21"/>
        </w:rPr>
        <w:t>help</w:t>
      </w:r>
      <w:r w:rsidR="00CA2556" w:rsidRPr="00CA2556">
        <w:rPr>
          <w:rFonts w:ascii="Open Sans" w:eastAsia="Aptos" w:hAnsi="Open Sans" w:cs="Open Sans"/>
          <w:spacing w:val="40"/>
          <w:sz w:val="21"/>
          <w:szCs w:val="21"/>
        </w:rPr>
        <w:t xml:space="preserve"> </w:t>
      </w:r>
      <w:r>
        <w:rPr>
          <w:rFonts w:ascii="Open Sans" w:eastAsia="Aptos" w:hAnsi="Open Sans" w:cs="Open Sans"/>
          <w:sz w:val="21"/>
          <w:szCs w:val="21"/>
        </w:rPr>
        <w:t>to</w:t>
      </w:r>
      <w:r w:rsidR="00CA2556" w:rsidRPr="00CA2556">
        <w:rPr>
          <w:rFonts w:ascii="Open Sans" w:eastAsia="Aptos" w:hAnsi="Open Sans" w:cs="Open Sans"/>
          <w:sz w:val="21"/>
          <w:szCs w:val="21"/>
        </w:rPr>
        <w:t xml:space="preserve"> understand the impact it has on other favorable</w:t>
      </w:r>
      <w:r w:rsidR="00CA2556" w:rsidRPr="00CA2556">
        <w:rPr>
          <w:rFonts w:ascii="Open Sans" w:eastAsia="Aptos" w:hAnsi="Open Sans" w:cs="Open Sans"/>
          <w:spacing w:val="80"/>
          <w:sz w:val="21"/>
          <w:szCs w:val="21"/>
        </w:rPr>
        <w:t xml:space="preserve"> </w:t>
      </w:r>
      <w:r w:rsidR="00CA2556" w:rsidRPr="00CA2556">
        <w:rPr>
          <w:rFonts w:ascii="Open Sans" w:eastAsia="Aptos" w:hAnsi="Open Sans" w:cs="Open Sans"/>
          <w:sz w:val="21"/>
          <w:szCs w:val="21"/>
        </w:rPr>
        <w:t>provisions like FDII and foreign tax credit. It may be</w:t>
      </w:r>
      <w:r w:rsidR="00CA2556" w:rsidRPr="00CA2556">
        <w:rPr>
          <w:rFonts w:ascii="Open Sans" w:eastAsia="Aptos" w:hAnsi="Open Sans" w:cs="Open Sans"/>
          <w:spacing w:val="80"/>
          <w:w w:val="150"/>
          <w:sz w:val="21"/>
          <w:szCs w:val="21"/>
        </w:rPr>
        <w:t xml:space="preserve"> </w:t>
      </w:r>
      <w:r w:rsidR="00CA2556" w:rsidRPr="00CA2556">
        <w:rPr>
          <w:rFonts w:ascii="Open Sans" w:eastAsia="Aptos" w:hAnsi="Open Sans" w:cs="Open Sans"/>
          <w:sz w:val="21"/>
          <w:szCs w:val="21"/>
        </w:rPr>
        <w:t>advantageous to continue to amortize.</w:t>
      </w:r>
    </w:p>
    <w:p w14:paraId="7FEF0A76" w14:textId="77777777" w:rsidR="00CA2556" w:rsidRPr="00CA2556" w:rsidRDefault="00CA2556" w:rsidP="00CA2556">
      <w:pPr>
        <w:spacing w:before="1" w:line="276" w:lineRule="auto"/>
        <w:ind w:right="283"/>
        <w:rPr>
          <w:rFonts w:ascii="Open Sans" w:eastAsia="Aptos" w:hAnsi="Open Sans" w:cs="Open Sans"/>
          <w:b/>
          <w:bCs/>
          <w:sz w:val="21"/>
          <w:szCs w:val="21"/>
        </w:rPr>
      </w:pPr>
      <w:r w:rsidRPr="00CA2556">
        <w:rPr>
          <w:rFonts w:ascii="Open Sans" w:eastAsia="Aptos" w:hAnsi="Open Sans" w:cs="Open Sans"/>
          <w:b/>
          <w:bCs/>
          <w:sz w:val="21"/>
          <w:szCs w:val="21"/>
        </w:rPr>
        <w:t>3.1.2. Section 174: Research and Development Expensing —</w:t>
      </w:r>
    </w:p>
    <w:p w14:paraId="10714F6D" w14:textId="77777777" w:rsidR="00CA2556" w:rsidRPr="00CA2556" w:rsidRDefault="00CA2556" w:rsidP="00CA2556">
      <w:pPr>
        <w:rPr>
          <w:rFonts w:ascii="Open Sans" w:eastAsia="Aptos" w:hAnsi="Open Sans" w:cs="Open Sans"/>
          <w:sz w:val="21"/>
          <w:szCs w:val="21"/>
        </w:rPr>
      </w:pPr>
      <w:r w:rsidRPr="00CA2556">
        <w:rPr>
          <w:rFonts w:ascii="Open Sans" w:eastAsia="Aptos" w:hAnsi="Open Sans" w:cs="Open Sans"/>
          <w:sz w:val="21"/>
          <w:szCs w:val="21"/>
        </w:rPr>
        <w:t>The TCJA had required businesses to amortize</w:t>
      </w:r>
      <w:r w:rsidRPr="00CA2556">
        <w:rPr>
          <w:rFonts w:ascii="Open Sans" w:eastAsia="Aptos" w:hAnsi="Open Sans" w:cs="Open Sans"/>
          <w:spacing w:val="40"/>
          <w:sz w:val="21"/>
          <w:szCs w:val="21"/>
        </w:rPr>
        <w:t xml:space="preserve"> </w:t>
      </w:r>
      <w:r w:rsidRPr="00CA2556">
        <w:rPr>
          <w:rFonts w:ascii="Open Sans" w:eastAsia="Aptos" w:hAnsi="Open Sans" w:cs="Open Sans"/>
          <w:sz w:val="21"/>
          <w:szCs w:val="21"/>
        </w:rPr>
        <w:t>domestic R&amp;D costs beginning in 2022 rather than</w:t>
      </w:r>
      <w:r w:rsidRPr="00CA2556">
        <w:rPr>
          <w:rFonts w:ascii="Open Sans" w:eastAsia="Aptos" w:hAnsi="Open Sans" w:cs="Open Sans"/>
          <w:spacing w:val="80"/>
          <w:sz w:val="21"/>
          <w:szCs w:val="21"/>
        </w:rPr>
        <w:t xml:space="preserve"> </w:t>
      </w:r>
      <w:r w:rsidRPr="00CA2556">
        <w:rPr>
          <w:rFonts w:ascii="Open Sans" w:eastAsia="Aptos" w:hAnsi="Open Sans" w:cs="Open Sans"/>
          <w:sz w:val="21"/>
          <w:szCs w:val="21"/>
        </w:rPr>
        <w:t>expense them outright. OBBBA reverses this change,</w:t>
      </w:r>
      <w:r w:rsidRPr="00CA2556">
        <w:rPr>
          <w:rFonts w:ascii="Open Sans" w:eastAsia="Aptos" w:hAnsi="Open Sans" w:cs="Open Sans"/>
          <w:spacing w:val="80"/>
          <w:sz w:val="21"/>
          <w:szCs w:val="21"/>
        </w:rPr>
        <w:t xml:space="preserve"> </w:t>
      </w:r>
      <w:r w:rsidRPr="00CA2556">
        <w:rPr>
          <w:rFonts w:ascii="Open Sans" w:eastAsia="Aptos" w:hAnsi="Open Sans" w:cs="Open Sans"/>
          <w:sz w:val="21"/>
          <w:szCs w:val="21"/>
        </w:rPr>
        <w:t>allowing</w:t>
      </w:r>
      <w:r w:rsidRPr="00CA2556">
        <w:rPr>
          <w:rFonts w:ascii="Open Sans" w:eastAsia="Aptos" w:hAnsi="Open Sans" w:cs="Open Sans"/>
          <w:spacing w:val="40"/>
          <w:sz w:val="21"/>
          <w:szCs w:val="21"/>
        </w:rPr>
        <w:t xml:space="preserve"> </w:t>
      </w:r>
      <w:r w:rsidRPr="00CA2556">
        <w:rPr>
          <w:rFonts w:ascii="Open Sans" w:eastAsia="Aptos" w:hAnsi="Open Sans" w:cs="Open Sans"/>
          <w:sz w:val="21"/>
          <w:szCs w:val="21"/>
        </w:rPr>
        <w:t>companies</w:t>
      </w:r>
      <w:r w:rsidRPr="00CA2556">
        <w:rPr>
          <w:rFonts w:ascii="Open Sans" w:eastAsia="Aptos" w:hAnsi="Open Sans" w:cs="Open Sans"/>
          <w:spacing w:val="40"/>
          <w:sz w:val="21"/>
          <w:szCs w:val="21"/>
        </w:rPr>
        <w:t xml:space="preserve"> </w:t>
      </w:r>
      <w:r w:rsidRPr="00CA2556">
        <w:rPr>
          <w:rFonts w:ascii="Open Sans" w:eastAsia="Aptos" w:hAnsi="Open Sans" w:cs="Open Sans"/>
          <w:sz w:val="21"/>
          <w:szCs w:val="21"/>
        </w:rPr>
        <w:t>to</w:t>
      </w:r>
      <w:r w:rsidRPr="00CA2556">
        <w:rPr>
          <w:rFonts w:ascii="Open Sans" w:eastAsia="Aptos" w:hAnsi="Open Sans" w:cs="Open Sans"/>
          <w:spacing w:val="40"/>
          <w:sz w:val="21"/>
          <w:szCs w:val="21"/>
        </w:rPr>
        <w:t xml:space="preserve"> </w:t>
      </w:r>
      <w:r w:rsidRPr="00CA2556">
        <w:rPr>
          <w:rFonts w:ascii="Open Sans" w:eastAsia="Aptos" w:hAnsi="Open Sans" w:cs="Open Sans"/>
          <w:sz w:val="21"/>
          <w:szCs w:val="21"/>
        </w:rPr>
        <w:t>fully</w:t>
      </w:r>
      <w:r w:rsidRPr="00CA2556">
        <w:rPr>
          <w:rFonts w:ascii="Open Sans" w:eastAsia="Aptos" w:hAnsi="Open Sans" w:cs="Open Sans"/>
          <w:spacing w:val="40"/>
          <w:sz w:val="21"/>
          <w:szCs w:val="21"/>
        </w:rPr>
        <w:t xml:space="preserve"> </w:t>
      </w:r>
      <w:r w:rsidRPr="00CA2556">
        <w:rPr>
          <w:rFonts w:ascii="Open Sans" w:eastAsia="Aptos" w:hAnsi="Open Sans" w:cs="Open Sans"/>
          <w:sz w:val="21"/>
          <w:szCs w:val="21"/>
        </w:rPr>
        <w:t>deduct</w:t>
      </w:r>
      <w:r w:rsidRPr="00CA2556">
        <w:rPr>
          <w:rFonts w:ascii="Open Sans" w:eastAsia="Aptos" w:hAnsi="Open Sans" w:cs="Open Sans"/>
          <w:spacing w:val="40"/>
          <w:sz w:val="21"/>
          <w:szCs w:val="21"/>
        </w:rPr>
        <w:t xml:space="preserve"> </w:t>
      </w:r>
      <w:r w:rsidRPr="00CA2556">
        <w:rPr>
          <w:rFonts w:ascii="Open Sans" w:eastAsia="Aptos" w:hAnsi="Open Sans" w:cs="Open Sans"/>
          <w:sz w:val="21"/>
          <w:szCs w:val="21"/>
        </w:rPr>
        <w:t>U.S.-based research costs once again, starting with tax years beginning after December 31, 2024.</w:t>
      </w:r>
    </w:p>
    <w:p w14:paraId="6600B421" w14:textId="6BF8ABCB" w:rsidR="00CA2556" w:rsidRPr="00CA2556" w:rsidRDefault="00CA2556" w:rsidP="00CA2556">
      <w:pPr>
        <w:rPr>
          <w:rFonts w:ascii="Open Sans" w:eastAsia="Aptos" w:hAnsi="Open Sans" w:cs="Open Sans"/>
          <w:sz w:val="21"/>
          <w:szCs w:val="21"/>
        </w:rPr>
      </w:pPr>
      <w:r w:rsidRPr="00CA2556">
        <w:rPr>
          <w:rFonts w:ascii="Open Sans" w:eastAsia="Aptos" w:hAnsi="Open Sans" w:cs="Open Sans"/>
          <w:sz w:val="21"/>
          <w:szCs w:val="21"/>
        </w:rPr>
        <w:t>For small businesses, there</w:t>
      </w:r>
      <w:r w:rsidR="00F04781">
        <w:rPr>
          <w:rFonts w:ascii="Open Sans" w:eastAsia="Aptos" w:hAnsi="Open Sans" w:cs="Open Sans"/>
          <w:sz w:val="21"/>
          <w:szCs w:val="21"/>
        </w:rPr>
        <w:t xml:space="preserve"> is</w:t>
      </w:r>
      <w:r w:rsidRPr="00CA2556">
        <w:rPr>
          <w:rFonts w:ascii="Open Sans" w:eastAsia="Aptos" w:hAnsi="Open Sans" w:cs="Open Sans"/>
          <w:sz w:val="21"/>
          <w:szCs w:val="21"/>
        </w:rPr>
        <w:t xml:space="preserve"> also relief for prior years. </w:t>
      </w:r>
      <w:r w:rsidR="00F04781">
        <w:rPr>
          <w:rFonts w:ascii="Open Sans" w:eastAsia="Aptos" w:hAnsi="Open Sans" w:cs="Open Sans"/>
          <w:sz w:val="21"/>
          <w:szCs w:val="21"/>
        </w:rPr>
        <w:t>The taxpayer</w:t>
      </w:r>
      <w:r w:rsidRPr="00CA2556">
        <w:rPr>
          <w:rFonts w:ascii="Open Sans" w:eastAsia="Aptos" w:hAnsi="Open Sans" w:cs="Open Sans"/>
          <w:sz w:val="21"/>
          <w:szCs w:val="21"/>
        </w:rPr>
        <w:t xml:space="preserve"> may be eligible to amend </w:t>
      </w:r>
      <w:r w:rsidR="00F04781">
        <w:rPr>
          <w:rFonts w:ascii="Open Sans" w:eastAsia="Aptos" w:hAnsi="Open Sans" w:cs="Open Sans"/>
          <w:sz w:val="21"/>
          <w:szCs w:val="21"/>
        </w:rPr>
        <w:t>their</w:t>
      </w:r>
      <w:r w:rsidRPr="00CA2556">
        <w:rPr>
          <w:rFonts w:ascii="Open Sans" w:eastAsia="Aptos" w:hAnsi="Open Sans" w:cs="Open Sans"/>
          <w:sz w:val="21"/>
          <w:szCs w:val="21"/>
        </w:rPr>
        <w:t xml:space="preserve"> 2022–2024</w:t>
      </w:r>
      <w:r w:rsidRPr="00CA2556">
        <w:rPr>
          <w:rFonts w:ascii="Open Sans" w:eastAsia="Aptos" w:hAnsi="Open Sans" w:cs="Open Sans"/>
          <w:spacing w:val="80"/>
          <w:sz w:val="21"/>
          <w:szCs w:val="21"/>
        </w:rPr>
        <w:t xml:space="preserve"> </w:t>
      </w:r>
      <w:r w:rsidRPr="00CA2556">
        <w:rPr>
          <w:rFonts w:ascii="Open Sans" w:eastAsia="Aptos" w:hAnsi="Open Sans" w:cs="Open Sans"/>
          <w:sz w:val="21"/>
          <w:szCs w:val="21"/>
        </w:rPr>
        <w:t>returns to claim the deduction through an accounting</w:t>
      </w:r>
      <w:r w:rsidRPr="00CA2556">
        <w:rPr>
          <w:rFonts w:ascii="Open Sans" w:eastAsia="Aptos" w:hAnsi="Open Sans" w:cs="Open Sans"/>
          <w:spacing w:val="80"/>
          <w:sz w:val="21"/>
          <w:szCs w:val="21"/>
        </w:rPr>
        <w:t xml:space="preserve"> </w:t>
      </w:r>
      <w:r w:rsidRPr="00CA2556">
        <w:rPr>
          <w:rFonts w:ascii="Open Sans" w:eastAsia="Aptos" w:hAnsi="Open Sans" w:cs="Open Sans"/>
          <w:sz w:val="21"/>
          <w:szCs w:val="21"/>
        </w:rPr>
        <w:t>method change. Larger taxpayers can apply for a</w:t>
      </w:r>
      <w:r w:rsidRPr="00CA2556">
        <w:rPr>
          <w:rFonts w:ascii="Open Sans" w:eastAsia="Aptos" w:hAnsi="Open Sans" w:cs="Open Sans"/>
          <w:spacing w:val="80"/>
          <w:sz w:val="21"/>
          <w:szCs w:val="21"/>
        </w:rPr>
        <w:t xml:space="preserve"> </w:t>
      </w:r>
      <w:r w:rsidRPr="00CA2556">
        <w:rPr>
          <w:rFonts w:ascii="Open Sans" w:eastAsia="Aptos" w:hAnsi="Open Sans" w:cs="Open Sans"/>
          <w:sz w:val="21"/>
          <w:szCs w:val="21"/>
        </w:rPr>
        <w:t>method change and either deduct the remaining</w:t>
      </w:r>
      <w:r w:rsidRPr="00CA2556">
        <w:rPr>
          <w:rFonts w:ascii="Open Sans" w:eastAsia="Aptos" w:hAnsi="Open Sans" w:cs="Open Sans"/>
          <w:spacing w:val="40"/>
          <w:sz w:val="21"/>
          <w:szCs w:val="21"/>
        </w:rPr>
        <w:t xml:space="preserve"> </w:t>
      </w:r>
      <w:r w:rsidRPr="00CA2556">
        <w:rPr>
          <w:rFonts w:ascii="Open Sans" w:eastAsia="Aptos" w:hAnsi="Open Sans" w:cs="Open Sans"/>
          <w:sz w:val="21"/>
          <w:szCs w:val="21"/>
        </w:rPr>
        <w:t>amortized costs in 2025 or spread them across 2025</w:t>
      </w:r>
      <w:r w:rsidRPr="00CA2556">
        <w:rPr>
          <w:rFonts w:ascii="Open Sans" w:eastAsia="Aptos" w:hAnsi="Open Sans" w:cs="Open Sans"/>
          <w:spacing w:val="80"/>
          <w:sz w:val="21"/>
          <w:szCs w:val="21"/>
        </w:rPr>
        <w:t xml:space="preserve"> </w:t>
      </w:r>
      <w:r w:rsidRPr="00CA2556">
        <w:rPr>
          <w:rFonts w:ascii="Open Sans" w:eastAsia="Aptos" w:hAnsi="Open Sans" w:cs="Open Sans"/>
          <w:sz w:val="21"/>
          <w:szCs w:val="21"/>
        </w:rPr>
        <w:t>and 2026.</w:t>
      </w:r>
    </w:p>
    <w:p w14:paraId="440B4448" w14:textId="77777777" w:rsidR="00CA2556" w:rsidRPr="00CA2556" w:rsidRDefault="00CA2556" w:rsidP="00CA2556">
      <w:pPr>
        <w:widowControl w:val="0"/>
        <w:autoSpaceDE w:val="0"/>
        <w:autoSpaceDN w:val="0"/>
        <w:spacing w:before="1" w:after="0" w:line="276" w:lineRule="auto"/>
        <w:ind w:right="881"/>
        <w:rPr>
          <w:rFonts w:ascii="Open Sans" w:eastAsia="Cambria" w:hAnsi="Open Sans" w:cs="Open Sans"/>
          <w:kern w:val="0"/>
          <w:sz w:val="21"/>
          <w:szCs w:val="21"/>
          <w14:ligatures w14:val="none"/>
        </w:rPr>
      </w:pPr>
      <w:r w:rsidRPr="00CA2556">
        <w:rPr>
          <w:rFonts w:ascii="Open Sans" w:eastAsia="Cambria" w:hAnsi="Open Sans" w:cs="Open Sans"/>
          <w:kern w:val="0"/>
          <w:sz w:val="21"/>
          <w:szCs w:val="21"/>
          <w14:ligatures w14:val="none"/>
        </w:rPr>
        <w:t>However, beginning in 2025, the R&amp;D deduction must</w:t>
      </w:r>
      <w:r w:rsidRPr="00CA2556">
        <w:rPr>
          <w:rFonts w:ascii="Open Sans" w:eastAsia="Cambria" w:hAnsi="Open Sans" w:cs="Open Sans"/>
          <w:spacing w:val="80"/>
          <w:w w:val="150"/>
          <w:kern w:val="0"/>
          <w:sz w:val="21"/>
          <w:szCs w:val="21"/>
          <w14:ligatures w14:val="none"/>
        </w:rPr>
        <w:t xml:space="preserve"> </w:t>
      </w:r>
      <w:r w:rsidRPr="00CA2556">
        <w:rPr>
          <w:rFonts w:ascii="Open Sans" w:eastAsia="Cambria" w:hAnsi="Open Sans" w:cs="Open Sans"/>
          <w:kern w:val="0"/>
          <w:sz w:val="21"/>
          <w:szCs w:val="21"/>
          <w14:ligatures w14:val="none"/>
        </w:rPr>
        <w:t>be reduced by any R&amp;D credit claimed.</w:t>
      </w:r>
    </w:p>
    <w:p w14:paraId="7F476661" w14:textId="5A5F802A" w:rsidR="00CA2556" w:rsidRPr="00CA2556" w:rsidRDefault="00CA2556" w:rsidP="00CA2556">
      <w:pPr>
        <w:spacing w:before="119" w:line="276" w:lineRule="auto"/>
        <w:ind w:right="306"/>
        <w:rPr>
          <w:rFonts w:ascii="Open Sans" w:eastAsia="Aptos" w:hAnsi="Open Sans" w:cs="Open Sans"/>
          <w:sz w:val="21"/>
          <w:szCs w:val="21"/>
        </w:rPr>
      </w:pPr>
      <w:r w:rsidRPr="00CA2556">
        <w:rPr>
          <w:rFonts w:ascii="Open Sans" w:eastAsia="Aptos" w:hAnsi="Open Sans" w:cs="Open Sans"/>
          <w:sz w:val="21"/>
          <w:szCs w:val="21"/>
        </w:rPr>
        <w:t>This provision makes R&amp;D more</w:t>
      </w:r>
      <w:r w:rsidRPr="00CA2556">
        <w:rPr>
          <w:rFonts w:ascii="Open Sans" w:eastAsia="Aptos" w:hAnsi="Open Sans" w:cs="Open Sans"/>
          <w:spacing w:val="40"/>
          <w:sz w:val="21"/>
          <w:szCs w:val="21"/>
        </w:rPr>
        <w:t xml:space="preserve"> </w:t>
      </w:r>
      <w:r w:rsidRPr="00CA2556">
        <w:rPr>
          <w:rFonts w:ascii="Open Sans" w:eastAsia="Aptos" w:hAnsi="Open Sans" w:cs="Open Sans"/>
          <w:sz w:val="21"/>
          <w:szCs w:val="21"/>
        </w:rPr>
        <w:t>tax-efficient again for U.S.-based activities. Foreign</w:t>
      </w:r>
      <w:r w:rsidRPr="00CA2556">
        <w:rPr>
          <w:rFonts w:ascii="Open Sans" w:eastAsia="Aptos" w:hAnsi="Open Sans" w:cs="Open Sans"/>
          <w:spacing w:val="80"/>
          <w:w w:val="150"/>
          <w:sz w:val="21"/>
          <w:szCs w:val="21"/>
        </w:rPr>
        <w:t xml:space="preserve"> </w:t>
      </w:r>
      <w:r w:rsidRPr="00CA2556">
        <w:rPr>
          <w:rFonts w:ascii="Open Sans" w:eastAsia="Aptos" w:hAnsi="Open Sans" w:cs="Open Sans"/>
          <w:sz w:val="21"/>
          <w:szCs w:val="21"/>
        </w:rPr>
        <w:t>research</w:t>
      </w:r>
      <w:r w:rsidRPr="00CA2556">
        <w:rPr>
          <w:rFonts w:ascii="Open Sans" w:eastAsia="Aptos" w:hAnsi="Open Sans" w:cs="Open Sans"/>
          <w:spacing w:val="40"/>
          <w:sz w:val="21"/>
          <w:szCs w:val="21"/>
        </w:rPr>
        <w:t xml:space="preserve"> </w:t>
      </w:r>
      <w:r w:rsidRPr="00CA2556">
        <w:rPr>
          <w:rFonts w:ascii="Open Sans" w:eastAsia="Aptos" w:hAnsi="Open Sans" w:cs="Open Sans"/>
          <w:sz w:val="21"/>
          <w:szCs w:val="21"/>
        </w:rPr>
        <w:t>remains</w:t>
      </w:r>
      <w:r w:rsidRPr="00CA2556">
        <w:rPr>
          <w:rFonts w:ascii="Open Sans" w:eastAsia="Aptos" w:hAnsi="Open Sans" w:cs="Open Sans"/>
          <w:spacing w:val="40"/>
          <w:sz w:val="21"/>
          <w:szCs w:val="21"/>
        </w:rPr>
        <w:t xml:space="preserve"> </w:t>
      </w:r>
      <w:r w:rsidRPr="00CA2556">
        <w:rPr>
          <w:rFonts w:ascii="Open Sans" w:eastAsia="Aptos" w:hAnsi="Open Sans" w:cs="Open Sans"/>
          <w:sz w:val="21"/>
          <w:szCs w:val="21"/>
        </w:rPr>
        <w:t>on</w:t>
      </w:r>
      <w:r w:rsidRPr="00CA2556">
        <w:rPr>
          <w:rFonts w:ascii="Open Sans" w:eastAsia="Aptos" w:hAnsi="Open Sans" w:cs="Open Sans"/>
          <w:spacing w:val="40"/>
          <w:sz w:val="21"/>
          <w:szCs w:val="21"/>
        </w:rPr>
        <w:t xml:space="preserve"> </w:t>
      </w:r>
      <w:r w:rsidRPr="00CA2556">
        <w:rPr>
          <w:rFonts w:ascii="Open Sans" w:eastAsia="Aptos" w:hAnsi="Open Sans" w:cs="Open Sans"/>
          <w:sz w:val="21"/>
          <w:szCs w:val="21"/>
        </w:rPr>
        <w:t>a</w:t>
      </w:r>
      <w:r w:rsidRPr="00CA2556">
        <w:rPr>
          <w:rFonts w:ascii="Open Sans" w:eastAsia="Aptos" w:hAnsi="Open Sans" w:cs="Open Sans"/>
          <w:spacing w:val="40"/>
          <w:sz w:val="21"/>
          <w:szCs w:val="21"/>
        </w:rPr>
        <w:t xml:space="preserve"> </w:t>
      </w:r>
      <w:r w:rsidRPr="00CA2556">
        <w:rPr>
          <w:rFonts w:ascii="Open Sans" w:eastAsia="Aptos" w:hAnsi="Open Sans" w:cs="Open Sans"/>
          <w:sz w:val="21"/>
          <w:szCs w:val="21"/>
        </w:rPr>
        <w:t>15-year</w:t>
      </w:r>
      <w:r w:rsidRPr="00CA2556">
        <w:rPr>
          <w:rFonts w:ascii="Open Sans" w:eastAsia="Aptos" w:hAnsi="Open Sans" w:cs="Open Sans"/>
          <w:spacing w:val="40"/>
          <w:sz w:val="21"/>
          <w:szCs w:val="21"/>
        </w:rPr>
        <w:t xml:space="preserve"> </w:t>
      </w:r>
      <w:r w:rsidRPr="00CA2556">
        <w:rPr>
          <w:rFonts w:ascii="Open Sans" w:eastAsia="Aptos" w:hAnsi="Open Sans" w:cs="Open Sans"/>
          <w:sz w:val="21"/>
          <w:szCs w:val="21"/>
        </w:rPr>
        <w:t>amortization schedule. The ability to amend returns is a</w:t>
      </w:r>
      <w:r w:rsidRPr="00CA2556">
        <w:rPr>
          <w:rFonts w:ascii="Open Sans" w:eastAsia="Aptos" w:hAnsi="Open Sans" w:cs="Open Sans"/>
          <w:spacing w:val="80"/>
          <w:w w:val="150"/>
          <w:sz w:val="21"/>
          <w:szCs w:val="21"/>
        </w:rPr>
        <w:t xml:space="preserve"> </w:t>
      </w:r>
      <w:r w:rsidRPr="00CA2556">
        <w:rPr>
          <w:rFonts w:ascii="Open Sans" w:eastAsia="Aptos" w:hAnsi="Open Sans" w:cs="Open Sans"/>
          <w:sz w:val="21"/>
          <w:szCs w:val="21"/>
        </w:rPr>
        <w:t>meaningful opportunity for small businesses (as it could result in relatively fast cash refunds), while</w:t>
      </w:r>
      <w:r w:rsidRPr="00CA2556">
        <w:rPr>
          <w:rFonts w:ascii="Open Sans" w:eastAsia="Aptos" w:hAnsi="Open Sans" w:cs="Open Sans"/>
          <w:spacing w:val="80"/>
          <w:sz w:val="21"/>
          <w:szCs w:val="21"/>
        </w:rPr>
        <w:t xml:space="preserve"> </w:t>
      </w:r>
      <w:r w:rsidRPr="00CA2556">
        <w:rPr>
          <w:rFonts w:ascii="Open Sans" w:eastAsia="Aptos" w:hAnsi="Open Sans" w:cs="Open Sans"/>
          <w:sz w:val="21"/>
          <w:szCs w:val="21"/>
        </w:rPr>
        <w:t>larger firms should carefully model their recovery</w:t>
      </w:r>
      <w:r w:rsidRPr="00CA2556">
        <w:rPr>
          <w:rFonts w:ascii="Open Sans" w:eastAsia="Aptos" w:hAnsi="Open Sans" w:cs="Open Sans"/>
          <w:spacing w:val="80"/>
          <w:sz w:val="21"/>
          <w:szCs w:val="21"/>
        </w:rPr>
        <w:t xml:space="preserve"> </w:t>
      </w:r>
      <w:r w:rsidRPr="00CA2556">
        <w:rPr>
          <w:rFonts w:ascii="Open Sans" w:eastAsia="Aptos" w:hAnsi="Open Sans" w:cs="Open Sans"/>
          <w:spacing w:val="-2"/>
          <w:sz w:val="21"/>
          <w:szCs w:val="21"/>
        </w:rPr>
        <w:t>options.</w:t>
      </w:r>
      <w:r w:rsidR="00F618FC">
        <w:rPr>
          <w:rStyle w:val="FootnoteReference"/>
          <w:rFonts w:ascii="Open Sans" w:eastAsia="Aptos" w:hAnsi="Open Sans" w:cs="Open Sans"/>
          <w:spacing w:val="-2"/>
          <w:sz w:val="21"/>
          <w:szCs w:val="21"/>
        </w:rPr>
        <w:footnoteReference w:id="2"/>
      </w:r>
    </w:p>
    <w:p w14:paraId="712F8A7A" w14:textId="1CE60843" w:rsidR="00CA2556" w:rsidRPr="00CA2556" w:rsidRDefault="00CA2556" w:rsidP="00CA2556">
      <w:pPr>
        <w:spacing w:line="276" w:lineRule="auto"/>
        <w:ind w:right="147"/>
        <w:rPr>
          <w:rFonts w:ascii="Open Sans" w:eastAsia="Aptos" w:hAnsi="Open Sans" w:cs="Open Sans"/>
          <w:sz w:val="21"/>
          <w:szCs w:val="21"/>
        </w:rPr>
      </w:pPr>
      <w:r w:rsidRPr="00CA2556">
        <w:rPr>
          <w:rFonts w:ascii="Open Sans" w:eastAsia="Aptos" w:hAnsi="Open Sans" w:cs="Open Sans"/>
          <w:sz w:val="21"/>
          <w:szCs w:val="21"/>
        </w:rPr>
        <w:t>This</w:t>
      </w:r>
      <w:r w:rsidRPr="00CA2556">
        <w:rPr>
          <w:rFonts w:ascii="Open Sans" w:eastAsia="Aptos" w:hAnsi="Open Sans" w:cs="Open Sans"/>
          <w:spacing w:val="40"/>
          <w:sz w:val="21"/>
          <w:szCs w:val="21"/>
        </w:rPr>
        <w:t xml:space="preserve"> </w:t>
      </w:r>
      <w:r w:rsidRPr="00CA2556">
        <w:rPr>
          <w:rFonts w:ascii="Open Sans" w:eastAsia="Aptos" w:hAnsi="Open Sans" w:cs="Open Sans"/>
          <w:sz w:val="21"/>
          <w:szCs w:val="21"/>
        </w:rPr>
        <w:t>is</w:t>
      </w:r>
      <w:r w:rsidRPr="00CA2556">
        <w:rPr>
          <w:rFonts w:ascii="Open Sans" w:eastAsia="Aptos" w:hAnsi="Open Sans" w:cs="Open Sans"/>
          <w:spacing w:val="40"/>
          <w:sz w:val="21"/>
          <w:szCs w:val="21"/>
        </w:rPr>
        <w:t xml:space="preserve"> </w:t>
      </w:r>
      <w:r w:rsidRPr="00CA2556">
        <w:rPr>
          <w:rFonts w:ascii="Open Sans" w:eastAsia="Aptos" w:hAnsi="Open Sans" w:cs="Open Sans"/>
          <w:sz w:val="21"/>
          <w:szCs w:val="21"/>
        </w:rPr>
        <w:t>another</w:t>
      </w:r>
      <w:r w:rsidRPr="00CA2556">
        <w:rPr>
          <w:rFonts w:ascii="Open Sans" w:eastAsia="Aptos" w:hAnsi="Open Sans" w:cs="Open Sans"/>
          <w:spacing w:val="40"/>
          <w:sz w:val="21"/>
          <w:szCs w:val="21"/>
        </w:rPr>
        <w:t xml:space="preserve"> </w:t>
      </w:r>
      <w:r w:rsidRPr="00CA2556">
        <w:rPr>
          <w:rFonts w:ascii="Open Sans" w:eastAsia="Aptos" w:hAnsi="Open Sans" w:cs="Open Sans"/>
          <w:sz w:val="21"/>
          <w:szCs w:val="21"/>
        </w:rPr>
        <w:t>area</w:t>
      </w:r>
      <w:r w:rsidRPr="00CA2556">
        <w:rPr>
          <w:rFonts w:ascii="Open Sans" w:eastAsia="Aptos" w:hAnsi="Open Sans" w:cs="Open Sans"/>
          <w:spacing w:val="40"/>
          <w:sz w:val="21"/>
          <w:szCs w:val="21"/>
        </w:rPr>
        <w:t xml:space="preserve"> </w:t>
      </w:r>
      <w:proofErr w:type="gramStart"/>
      <w:r w:rsidRPr="00CA2556">
        <w:rPr>
          <w:rFonts w:ascii="Open Sans" w:eastAsia="Aptos" w:hAnsi="Open Sans" w:cs="Open Sans"/>
          <w:sz w:val="21"/>
          <w:szCs w:val="21"/>
        </w:rPr>
        <w:t>where</w:t>
      </w:r>
      <w:r w:rsidRPr="00CA2556">
        <w:rPr>
          <w:rFonts w:ascii="Open Sans" w:eastAsia="Aptos" w:hAnsi="Open Sans" w:cs="Open Sans"/>
          <w:spacing w:val="40"/>
          <w:sz w:val="21"/>
          <w:szCs w:val="21"/>
        </w:rPr>
        <w:t xml:space="preserve"> </w:t>
      </w:r>
      <w:r w:rsidR="00E97C2B">
        <w:rPr>
          <w:rFonts w:ascii="Open Sans" w:eastAsia="Aptos" w:hAnsi="Open Sans" w:cs="Open Sans"/>
          <w:sz w:val="21"/>
          <w:szCs w:val="21"/>
        </w:rPr>
        <w:t>to</w:t>
      </w:r>
      <w:proofErr w:type="gramEnd"/>
      <w:r w:rsidR="00E97C2B">
        <w:rPr>
          <w:rFonts w:ascii="Open Sans" w:eastAsia="Aptos" w:hAnsi="Open Sans" w:cs="Open Sans"/>
          <w:sz w:val="21"/>
          <w:szCs w:val="21"/>
        </w:rPr>
        <w:t xml:space="preserve"> the taxpayer should</w:t>
      </w:r>
      <w:r w:rsidRPr="00CA2556">
        <w:rPr>
          <w:rFonts w:ascii="Open Sans" w:eastAsia="Aptos" w:hAnsi="Open Sans" w:cs="Open Sans"/>
          <w:spacing w:val="40"/>
          <w:sz w:val="21"/>
          <w:szCs w:val="21"/>
        </w:rPr>
        <w:t xml:space="preserve"> </w:t>
      </w:r>
      <w:r w:rsidRPr="00CA2556">
        <w:rPr>
          <w:rFonts w:ascii="Open Sans" w:eastAsia="Aptos" w:hAnsi="Open Sans" w:cs="Open Sans"/>
          <w:sz w:val="21"/>
          <w:szCs w:val="21"/>
        </w:rPr>
        <w:t>model</w:t>
      </w:r>
      <w:r w:rsidRPr="00CA2556">
        <w:rPr>
          <w:rFonts w:ascii="Open Sans" w:eastAsia="Aptos" w:hAnsi="Open Sans" w:cs="Open Sans"/>
          <w:spacing w:val="40"/>
          <w:sz w:val="21"/>
          <w:szCs w:val="21"/>
        </w:rPr>
        <w:t xml:space="preserve"> </w:t>
      </w:r>
      <w:r w:rsidRPr="00CA2556">
        <w:rPr>
          <w:rFonts w:ascii="Open Sans" w:eastAsia="Aptos" w:hAnsi="Open Sans" w:cs="Open Sans"/>
          <w:sz w:val="21"/>
          <w:szCs w:val="21"/>
        </w:rPr>
        <w:t>out the total impact of taking the deduction. It may be</w:t>
      </w:r>
      <w:r w:rsidRPr="00CA2556">
        <w:rPr>
          <w:rFonts w:ascii="Open Sans" w:eastAsia="Aptos" w:hAnsi="Open Sans" w:cs="Open Sans"/>
          <w:spacing w:val="80"/>
          <w:w w:val="150"/>
          <w:sz w:val="21"/>
          <w:szCs w:val="21"/>
        </w:rPr>
        <w:t xml:space="preserve"> </w:t>
      </w:r>
      <w:r w:rsidRPr="00CA2556">
        <w:rPr>
          <w:rFonts w:ascii="Open Sans" w:eastAsia="Aptos" w:hAnsi="Open Sans" w:cs="Open Sans"/>
          <w:sz w:val="21"/>
          <w:szCs w:val="21"/>
        </w:rPr>
        <w:t xml:space="preserve">more advantageous to amortize once </w:t>
      </w:r>
      <w:r w:rsidR="00E97C2B">
        <w:rPr>
          <w:rFonts w:ascii="Open Sans" w:eastAsia="Aptos" w:hAnsi="Open Sans" w:cs="Open Sans"/>
          <w:sz w:val="21"/>
          <w:szCs w:val="21"/>
        </w:rPr>
        <w:t>the taxpayer</w:t>
      </w:r>
      <w:r w:rsidRPr="00CA2556">
        <w:rPr>
          <w:rFonts w:ascii="Open Sans" w:eastAsia="Aptos" w:hAnsi="Open Sans" w:cs="Open Sans"/>
          <w:sz w:val="21"/>
          <w:szCs w:val="21"/>
        </w:rPr>
        <w:t xml:space="preserve"> understand</w:t>
      </w:r>
      <w:r w:rsidR="00E97C2B">
        <w:rPr>
          <w:rFonts w:ascii="Open Sans" w:eastAsia="Aptos" w:hAnsi="Open Sans" w:cs="Open Sans"/>
          <w:sz w:val="21"/>
          <w:szCs w:val="21"/>
        </w:rPr>
        <w:t>s</w:t>
      </w:r>
      <w:r w:rsidRPr="00CA2556">
        <w:rPr>
          <w:rFonts w:ascii="Open Sans" w:eastAsia="Aptos" w:hAnsi="Open Sans" w:cs="Open Sans"/>
          <w:spacing w:val="80"/>
          <w:sz w:val="21"/>
          <w:szCs w:val="21"/>
        </w:rPr>
        <w:t xml:space="preserve"> </w:t>
      </w:r>
      <w:r w:rsidRPr="00CA2556">
        <w:rPr>
          <w:rFonts w:ascii="Open Sans" w:eastAsia="Aptos" w:hAnsi="Open Sans" w:cs="Open Sans"/>
          <w:sz w:val="21"/>
          <w:szCs w:val="21"/>
        </w:rPr>
        <w:t>the</w:t>
      </w:r>
      <w:r w:rsidRPr="00CA2556">
        <w:rPr>
          <w:rFonts w:ascii="Open Sans" w:eastAsia="Aptos" w:hAnsi="Open Sans" w:cs="Open Sans"/>
          <w:spacing w:val="40"/>
          <w:sz w:val="21"/>
          <w:szCs w:val="21"/>
        </w:rPr>
        <w:t xml:space="preserve"> </w:t>
      </w:r>
      <w:r w:rsidRPr="00CA2556">
        <w:rPr>
          <w:rFonts w:ascii="Open Sans" w:eastAsia="Aptos" w:hAnsi="Open Sans" w:cs="Open Sans"/>
          <w:sz w:val="21"/>
          <w:szCs w:val="21"/>
        </w:rPr>
        <w:t>impact</w:t>
      </w:r>
      <w:r w:rsidRPr="00CA2556">
        <w:rPr>
          <w:rFonts w:ascii="Open Sans" w:eastAsia="Aptos" w:hAnsi="Open Sans" w:cs="Open Sans"/>
          <w:spacing w:val="40"/>
          <w:sz w:val="21"/>
          <w:szCs w:val="21"/>
        </w:rPr>
        <w:t xml:space="preserve"> </w:t>
      </w:r>
      <w:r w:rsidRPr="00CA2556">
        <w:rPr>
          <w:rFonts w:ascii="Open Sans" w:eastAsia="Aptos" w:hAnsi="Open Sans" w:cs="Open Sans"/>
          <w:sz w:val="21"/>
          <w:szCs w:val="21"/>
        </w:rPr>
        <w:t>on</w:t>
      </w:r>
      <w:r w:rsidRPr="00CA2556">
        <w:rPr>
          <w:rFonts w:ascii="Open Sans" w:eastAsia="Aptos" w:hAnsi="Open Sans" w:cs="Open Sans"/>
          <w:spacing w:val="40"/>
          <w:sz w:val="21"/>
          <w:szCs w:val="21"/>
        </w:rPr>
        <w:t xml:space="preserve"> </w:t>
      </w:r>
      <w:r w:rsidRPr="00CA2556">
        <w:rPr>
          <w:rFonts w:ascii="Open Sans" w:eastAsia="Aptos" w:hAnsi="Open Sans" w:cs="Open Sans"/>
          <w:sz w:val="21"/>
          <w:szCs w:val="21"/>
        </w:rPr>
        <w:t>other</w:t>
      </w:r>
      <w:r w:rsidRPr="00CA2556">
        <w:rPr>
          <w:rFonts w:ascii="Open Sans" w:eastAsia="Aptos" w:hAnsi="Open Sans" w:cs="Open Sans"/>
          <w:spacing w:val="40"/>
          <w:sz w:val="21"/>
          <w:szCs w:val="21"/>
        </w:rPr>
        <w:t xml:space="preserve"> </w:t>
      </w:r>
      <w:r w:rsidRPr="00CA2556">
        <w:rPr>
          <w:rFonts w:ascii="Open Sans" w:eastAsia="Aptos" w:hAnsi="Open Sans" w:cs="Open Sans"/>
          <w:sz w:val="21"/>
          <w:szCs w:val="21"/>
        </w:rPr>
        <w:t>favorable</w:t>
      </w:r>
      <w:r w:rsidRPr="00CA2556">
        <w:rPr>
          <w:rFonts w:ascii="Open Sans" w:eastAsia="Aptos" w:hAnsi="Open Sans" w:cs="Open Sans"/>
          <w:spacing w:val="40"/>
          <w:sz w:val="21"/>
          <w:szCs w:val="21"/>
        </w:rPr>
        <w:t xml:space="preserve"> </w:t>
      </w:r>
      <w:r w:rsidRPr="00CA2556">
        <w:rPr>
          <w:rFonts w:ascii="Open Sans" w:eastAsia="Aptos" w:hAnsi="Open Sans" w:cs="Open Sans"/>
          <w:sz w:val="21"/>
          <w:szCs w:val="21"/>
        </w:rPr>
        <w:t>provisions</w:t>
      </w:r>
      <w:r w:rsidRPr="00CA2556">
        <w:rPr>
          <w:rFonts w:ascii="Open Sans" w:eastAsia="Aptos" w:hAnsi="Open Sans" w:cs="Open Sans"/>
          <w:spacing w:val="40"/>
          <w:sz w:val="21"/>
          <w:szCs w:val="21"/>
        </w:rPr>
        <w:t xml:space="preserve"> </w:t>
      </w:r>
      <w:r w:rsidRPr="00CA2556">
        <w:rPr>
          <w:rFonts w:ascii="Open Sans" w:eastAsia="Aptos" w:hAnsi="Open Sans" w:cs="Open Sans"/>
          <w:sz w:val="21"/>
          <w:szCs w:val="21"/>
        </w:rPr>
        <w:t>like</w:t>
      </w:r>
      <w:r w:rsidRPr="00CA2556">
        <w:rPr>
          <w:rFonts w:ascii="Open Sans" w:eastAsia="Aptos" w:hAnsi="Open Sans" w:cs="Open Sans"/>
          <w:spacing w:val="40"/>
          <w:sz w:val="21"/>
          <w:szCs w:val="21"/>
        </w:rPr>
        <w:t xml:space="preserve"> </w:t>
      </w:r>
      <w:r w:rsidRPr="00CA2556">
        <w:rPr>
          <w:rFonts w:ascii="Open Sans" w:eastAsia="Aptos" w:hAnsi="Open Sans" w:cs="Open Sans"/>
          <w:sz w:val="21"/>
          <w:szCs w:val="21"/>
        </w:rPr>
        <w:t>FDII</w:t>
      </w:r>
      <w:r w:rsidRPr="00CA2556">
        <w:rPr>
          <w:rFonts w:ascii="Open Sans" w:eastAsia="Aptos" w:hAnsi="Open Sans" w:cs="Open Sans"/>
          <w:spacing w:val="40"/>
          <w:sz w:val="21"/>
          <w:szCs w:val="21"/>
        </w:rPr>
        <w:t xml:space="preserve"> </w:t>
      </w:r>
      <w:r w:rsidRPr="00CA2556">
        <w:rPr>
          <w:rFonts w:ascii="Open Sans" w:eastAsia="Aptos" w:hAnsi="Open Sans" w:cs="Open Sans"/>
          <w:sz w:val="21"/>
          <w:szCs w:val="21"/>
        </w:rPr>
        <w:t xml:space="preserve">and foreign tax credit, as they are interrelated. </w:t>
      </w:r>
    </w:p>
    <w:p w14:paraId="7A8BF961" w14:textId="77777777" w:rsidR="00CA2556" w:rsidRPr="00CA2556" w:rsidRDefault="00CA2556" w:rsidP="00CA2556">
      <w:pPr>
        <w:spacing w:line="276" w:lineRule="auto"/>
        <w:ind w:right="147"/>
        <w:rPr>
          <w:rFonts w:ascii="Open Sans" w:eastAsia="Aptos" w:hAnsi="Open Sans" w:cs="Open Sans"/>
          <w:b/>
          <w:bCs/>
          <w:sz w:val="21"/>
          <w:szCs w:val="21"/>
        </w:rPr>
      </w:pPr>
      <w:r w:rsidRPr="00CA2556">
        <w:rPr>
          <w:rFonts w:ascii="Open Sans" w:eastAsia="Aptos" w:hAnsi="Open Sans" w:cs="Open Sans"/>
          <w:b/>
          <w:bCs/>
          <w:sz w:val="21"/>
          <w:szCs w:val="21"/>
        </w:rPr>
        <w:t>3.1.3. Section 163(j): Business Interest Deduction Limitation —</w:t>
      </w:r>
    </w:p>
    <w:p w14:paraId="66EAE869" w14:textId="7AA121AD" w:rsidR="00CA2556" w:rsidRPr="00CA2556" w:rsidRDefault="00CA2556" w:rsidP="00CA2556">
      <w:pPr>
        <w:spacing w:line="276" w:lineRule="auto"/>
        <w:ind w:right="147"/>
        <w:rPr>
          <w:rFonts w:ascii="Open Sans" w:eastAsia="Aptos" w:hAnsi="Open Sans" w:cs="Open Sans"/>
          <w:sz w:val="21"/>
          <w:szCs w:val="21"/>
        </w:rPr>
      </w:pPr>
      <w:r w:rsidRPr="00CA2556">
        <w:rPr>
          <w:rFonts w:ascii="Open Sans" w:eastAsia="Aptos" w:hAnsi="Open Sans" w:cs="Open Sans"/>
          <w:sz w:val="21"/>
          <w:szCs w:val="21"/>
        </w:rPr>
        <w:t>For tax years ending after December 31, 2024, OBBBA restores the favorable EBITDA-based limitation for calculating earnings before interest, depreciation, taxes</w:t>
      </w:r>
      <w:r w:rsidR="00622AB6">
        <w:rPr>
          <w:rFonts w:ascii="Open Sans" w:eastAsia="Aptos" w:hAnsi="Open Sans" w:cs="Open Sans"/>
          <w:sz w:val="21"/>
          <w:szCs w:val="21"/>
        </w:rPr>
        <w:t>,</w:t>
      </w:r>
      <w:r w:rsidRPr="00CA2556">
        <w:rPr>
          <w:rFonts w:ascii="Open Sans" w:eastAsia="Aptos" w:hAnsi="Open Sans" w:cs="Open Sans"/>
          <w:sz w:val="21"/>
          <w:szCs w:val="21"/>
        </w:rPr>
        <w:t xml:space="preserve"> and amortization under Section</w:t>
      </w:r>
      <w:r w:rsidR="00393266">
        <w:rPr>
          <w:rFonts w:ascii="Open Sans" w:eastAsia="Aptos" w:hAnsi="Open Sans" w:cs="Open Sans"/>
          <w:sz w:val="21"/>
          <w:szCs w:val="21"/>
        </w:rPr>
        <w:t xml:space="preserve"> </w:t>
      </w:r>
      <w:r w:rsidRPr="00CA2556">
        <w:rPr>
          <w:rFonts w:ascii="Open Sans" w:eastAsia="Aptos" w:hAnsi="Open Sans" w:cs="Open Sans"/>
          <w:sz w:val="21"/>
          <w:szCs w:val="21"/>
        </w:rPr>
        <w:t>163(j). This replaces the less favorable EBIT-based limit that excluded “add-back” depreciation and amortization for calculating the adjusted taxable income (ATI). In that scenario, ATI was multiplied by 30% to determine the deductibility of business interest expense. Under the OBBA, the 30% cap on ATI still applies.</w:t>
      </w:r>
    </w:p>
    <w:p w14:paraId="5CE2ECD1" w14:textId="20A7E362" w:rsidR="00CA2556" w:rsidRPr="00CA2556" w:rsidRDefault="00CA2556" w:rsidP="00CA2556">
      <w:pPr>
        <w:spacing w:line="276" w:lineRule="auto"/>
        <w:ind w:right="147"/>
        <w:rPr>
          <w:rFonts w:ascii="Open Sans" w:eastAsia="Aptos" w:hAnsi="Open Sans" w:cs="Open Sans"/>
          <w:sz w:val="21"/>
          <w:szCs w:val="21"/>
        </w:rPr>
      </w:pPr>
      <w:r w:rsidRPr="00CA2556">
        <w:rPr>
          <w:rFonts w:ascii="Open Sans" w:eastAsia="Aptos" w:hAnsi="Open Sans" w:cs="Open Sans"/>
          <w:sz w:val="21"/>
          <w:szCs w:val="21"/>
        </w:rPr>
        <w:t>This change is especially beneficial for businesses that are highly leveraged or capital-intensive (per se hedge funds and private equities, etc.). Depreciation and amortization can now increase ATI, boosting allowable interest deductions. Taxpayers with accumulated excess interest carryforwards may also find new opportunities to use them</w:t>
      </w:r>
      <w:r w:rsidR="004764EF">
        <w:rPr>
          <w:rFonts w:ascii="Open Sans" w:eastAsia="Aptos" w:hAnsi="Open Sans" w:cs="Open Sans"/>
          <w:sz w:val="21"/>
          <w:szCs w:val="21"/>
        </w:rPr>
        <w:t>, so they should model the tax impact ahead of time</w:t>
      </w:r>
      <w:r w:rsidRPr="00CA2556">
        <w:rPr>
          <w:rFonts w:ascii="Open Sans" w:eastAsia="Aptos" w:hAnsi="Open Sans" w:cs="Open Sans"/>
          <w:sz w:val="21"/>
          <w:szCs w:val="21"/>
        </w:rPr>
        <w:t>.</w:t>
      </w:r>
      <w:r w:rsidR="007D2BAB">
        <w:rPr>
          <w:rStyle w:val="FootnoteReference"/>
          <w:rFonts w:ascii="Open Sans" w:eastAsia="Aptos" w:hAnsi="Open Sans" w:cs="Open Sans"/>
          <w:sz w:val="21"/>
          <w:szCs w:val="21"/>
        </w:rPr>
        <w:footnoteReference w:id="3"/>
      </w:r>
    </w:p>
    <w:p w14:paraId="08A4049E" w14:textId="77777777" w:rsidR="00CA2556" w:rsidRPr="00CA2556" w:rsidRDefault="00CA2556" w:rsidP="00CA2556">
      <w:pPr>
        <w:spacing w:line="276" w:lineRule="auto"/>
        <w:ind w:right="147"/>
        <w:rPr>
          <w:rFonts w:ascii="Open Sans" w:eastAsia="Aptos" w:hAnsi="Open Sans" w:cs="Open Sans"/>
          <w:b/>
          <w:bCs/>
          <w:sz w:val="21"/>
          <w:szCs w:val="21"/>
        </w:rPr>
      </w:pPr>
      <w:r w:rsidRPr="00CA2556">
        <w:rPr>
          <w:rFonts w:ascii="Open Sans" w:eastAsia="Aptos" w:hAnsi="Open Sans" w:cs="Open Sans"/>
          <w:b/>
          <w:bCs/>
          <w:sz w:val="21"/>
          <w:szCs w:val="21"/>
        </w:rPr>
        <w:t>3.1.4. Opportunity Zones —</w:t>
      </w:r>
    </w:p>
    <w:p w14:paraId="1751CA16" w14:textId="396557F2" w:rsidR="00CA2556" w:rsidRPr="00CA2556" w:rsidRDefault="00CA2556" w:rsidP="00CA2556">
      <w:pPr>
        <w:spacing w:line="276" w:lineRule="auto"/>
        <w:ind w:right="147"/>
        <w:rPr>
          <w:rFonts w:ascii="Open Sans" w:eastAsia="Aptos" w:hAnsi="Open Sans" w:cs="Open Sans"/>
          <w:sz w:val="21"/>
          <w:szCs w:val="21"/>
        </w:rPr>
      </w:pPr>
      <w:r w:rsidRPr="00CA2556">
        <w:rPr>
          <w:rFonts w:ascii="Open Sans" w:eastAsia="Aptos" w:hAnsi="Open Sans" w:cs="Open Sans"/>
          <w:sz w:val="21"/>
          <w:szCs w:val="21"/>
        </w:rPr>
        <w:t>OBBBA indefinitely extends the Qualified Opportunity Zone (QOZ) program, which was originally set to sunset at the end of 2026. The new rules, however, bring added complexity, oversight</w:t>
      </w:r>
      <w:r w:rsidR="00A7082E">
        <w:rPr>
          <w:rFonts w:ascii="Open Sans" w:eastAsia="Aptos" w:hAnsi="Open Sans" w:cs="Open Sans"/>
          <w:sz w:val="21"/>
          <w:szCs w:val="21"/>
        </w:rPr>
        <w:t>,</w:t>
      </w:r>
      <w:r w:rsidRPr="00CA2556">
        <w:rPr>
          <w:rFonts w:ascii="Open Sans" w:eastAsia="Aptos" w:hAnsi="Open Sans" w:cs="Open Sans"/>
          <w:sz w:val="21"/>
          <w:szCs w:val="21"/>
        </w:rPr>
        <w:t xml:space="preserve"> and transparency requirements. These changes take effect January 1, 2027.</w:t>
      </w:r>
    </w:p>
    <w:p w14:paraId="37C279AC" w14:textId="77777777" w:rsidR="00CA2556" w:rsidRPr="00CA2556" w:rsidRDefault="00CA2556" w:rsidP="00CA2556">
      <w:pPr>
        <w:spacing w:line="276" w:lineRule="auto"/>
        <w:ind w:right="147"/>
        <w:rPr>
          <w:rFonts w:ascii="Open Sans" w:eastAsia="Aptos" w:hAnsi="Open Sans" w:cs="Open Sans"/>
          <w:sz w:val="21"/>
          <w:szCs w:val="21"/>
        </w:rPr>
      </w:pPr>
      <w:r w:rsidRPr="00CA2556">
        <w:rPr>
          <w:rFonts w:ascii="Open Sans" w:eastAsia="Aptos" w:hAnsi="Open Sans" w:cs="Open Sans"/>
          <w:sz w:val="21"/>
          <w:szCs w:val="21"/>
        </w:rPr>
        <w:t>Under the updated rules:</w:t>
      </w:r>
    </w:p>
    <w:p w14:paraId="3AC2807E" w14:textId="2FA34E67" w:rsidR="00CA2556" w:rsidRPr="00CA2556" w:rsidRDefault="00CA2556" w:rsidP="00CA2556">
      <w:pPr>
        <w:spacing w:line="276" w:lineRule="auto"/>
        <w:ind w:right="147"/>
        <w:rPr>
          <w:rFonts w:ascii="Open Sans" w:eastAsia="Aptos" w:hAnsi="Open Sans" w:cs="Open Sans"/>
          <w:sz w:val="21"/>
          <w:szCs w:val="21"/>
        </w:rPr>
      </w:pPr>
      <w:r w:rsidRPr="00CA2556">
        <w:rPr>
          <w:rFonts w:ascii="Open Sans" w:eastAsia="Aptos" w:hAnsi="Open Sans" w:cs="Open Sans"/>
          <w:noProof/>
          <w:sz w:val="21"/>
          <w:szCs w:val="21"/>
        </w:rPr>
        <w:drawing>
          <wp:inline distT="0" distB="0" distL="0" distR="0" wp14:anchorId="30ECA9CE" wp14:editId="023B222D">
            <wp:extent cx="38100" cy="38099"/>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7" cstate="print"/>
                    <a:stretch>
                      <a:fillRect/>
                    </a:stretch>
                  </pic:blipFill>
                  <pic:spPr>
                    <a:xfrm>
                      <a:off x="0" y="0"/>
                      <a:ext cx="38100" cy="38099"/>
                    </a:xfrm>
                    <a:prstGeom prst="rect">
                      <a:avLst/>
                    </a:prstGeom>
                  </pic:spPr>
                </pic:pic>
              </a:graphicData>
            </a:graphic>
          </wp:inline>
        </w:drawing>
      </w:r>
      <w:r w:rsidRPr="00CA2556">
        <w:rPr>
          <w:rFonts w:ascii="Open Sans" w:eastAsia="Aptos" w:hAnsi="Open Sans" w:cs="Open Sans"/>
          <w:sz w:val="21"/>
          <w:szCs w:val="21"/>
        </w:rPr>
        <w:t xml:space="preserve"> QOZ census tracts will be </w:t>
      </w:r>
      <w:proofErr w:type="gramStart"/>
      <w:r w:rsidRPr="00CA2556">
        <w:rPr>
          <w:rFonts w:ascii="Open Sans" w:eastAsia="Aptos" w:hAnsi="Open Sans" w:cs="Open Sans"/>
          <w:sz w:val="21"/>
          <w:szCs w:val="21"/>
        </w:rPr>
        <w:t>redesignated</w:t>
      </w:r>
      <w:proofErr w:type="gramEnd"/>
      <w:r w:rsidRPr="00CA2556">
        <w:rPr>
          <w:rFonts w:ascii="Open Sans" w:eastAsia="Aptos" w:hAnsi="Open Sans" w:cs="Open Sans"/>
          <w:sz w:val="21"/>
          <w:szCs w:val="21"/>
        </w:rPr>
        <w:t xml:space="preserve"> every 10 years</w:t>
      </w:r>
      <w:r w:rsidR="00A7082E">
        <w:rPr>
          <w:rFonts w:ascii="Open Sans" w:eastAsia="Aptos" w:hAnsi="Open Sans" w:cs="Open Sans"/>
          <w:sz w:val="21"/>
          <w:szCs w:val="21"/>
        </w:rPr>
        <w:t>.</w:t>
      </w:r>
    </w:p>
    <w:p w14:paraId="52C846C7" w14:textId="63CAF62C" w:rsidR="00CA2556" w:rsidRPr="00CA2556" w:rsidRDefault="00CA2556" w:rsidP="00CA2556">
      <w:pPr>
        <w:spacing w:line="276" w:lineRule="auto"/>
        <w:ind w:right="147"/>
        <w:rPr>
          <w:rFonts w:ascii="Open Sans" w:eastAsia="Aptos" w:hAnsi="Open Sans" w:cs="Open Sans"/>
          <w:sz w:val="21"/>
          <w:szCs w:val="21"/>
        </w:rPr>
      </w:pPr>
      <w:r w:rsidRPr="00CA2556">
        <w:rPr>
          <w:rFonts w:ascii="Open Sans" w:eastAsia="Aptos" w:hAnsi="Open Sans" w:cs="Open Sans"/>
          <w:noProof/>
          <w:sz w:val="21"/>
          <w:szCs w:val="21"/>
        </w:rPr>
        <w:drawing>
          <wp:inline distT="0" distB="0" distL="0" distR="0" wp14:anchorId="319ABFC3" wp14:editId="18BB6427">
            <wp:extent cx="38100" cy="38099"/>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7" cstate="print"/>
                    <a:stretch>
                      <a:fillRect/>
                    </a:stretch>
                  </pic:blipFill>
                  <pic:spPr>
                    <a:xfrm>
                      <a:off x="0" y="0"/>
                      <a:ext cx="38100" cy="38099"/>
                    </a:xfrm>
                    <a:prstGeom prst="rect">
                      <a:avLst/>
                    </a:prstGeom>
                  </pic:spPr>
                </pic:pic>
              </a:graphicData>
            </a:graphic>
          </wp:inline>
        </w:drawing>
      </w:r>
      <w:r w:rsidRPr="00CA2556">
        <w:rPr>
          <w:rFonts w:ascii="Open Sans" w:eastAsia="Aptos" w:hAnsi="Open Sans" w:cs="Open Sans"/>
          <w:sz w:val="21"/>
          <w:szCs w:val="21"/>
        </w:rPr>
        <w:t xml:space="preserve"> Capital gains will be deferred but must be recognized five years after the investment date</w:t>
      </w:r>
      <w:r w:rsidR="00D56AC0">
        <w:rPr>
          <w:rFonts w:ascii="Open Sans" w:eastAsia="Aptos" w:hAnsi="Open Sans" w:cs="Open Sans"/>
          <w:sz w:val="21"/>
          <w:szCs w:val="21"/>
        </w:rPr>
        <w:t>.</w:t>
      </w:r>
    </w:p>
    <w:p w14:paraId="6850146F" w14:textId="0D8A8900" w:rsidR="00CA2556" w:rsidRPr="00CA2556" w:rsidRDefault="00CA2556" w:rsidP="00CA2556">
      <w:pPr>
        <w:spacing w:line="276" w:lineRule="auto"/>
        <w:ind w:right="147"/>
        <w:rPr>
          <w:rFonts w:ascii="Open Sans" w:eastAsia="Aptos" w:hAnsi="Open Sans" w:cs="Open Sans"/>
          <w:sz w:val="21"/>
          <w:szCs w:val="21"/>
        </w:rPr>
      </w:pPr>
      <w:r w:rsidRPr="00CA2556">
        <w:rPr>
          <w:rFonts w:ascii="Open Sans" w:eastAsia="Aptos" w:hAnsi="Open Sans" w:cs="Open Sans"/>
          <w:noProof/>
          <w:sz w:val="21"/>
          <w:szCs w:val="21"/>
        </w:rPr>
        <w:drawing>
          <wp:inline distT="0" distB="0" distL="0" distR="0" wp14:anchorId="67FDDB25" wp14:editId="10CD1660">
            <wp:extent cx="38100" cy="38099"/>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7" cstate="print"/>
                    <a:stretch>
                      <a:fillRect/>
                    </a:stretch>
                  </pic:blipFill>
                  <pic:spPr>
                    <a:xfrm>
                      <a:off x="0" y="0"/>
                      <a:ext cx="38100" cy="38099"/>
                    </a:xfrm>
                    <a:prstGeom prst="rect">
                      <a:avLst/>
                    </a:prstGeom>
                  </pic:spPr>
                </pic:pic>
              </a:graphicData>
            </a:graphic>
          </wp:inline>
        </w:drawing>
      </w:r>
      <w:r w:rsidRPr="00CA2556">
        <w:rPr>
          <w:rFonts w:ascii="Open Sans" w:eastAsia="Aptos" w:hAnsi="Open Sans" w:cs="Open Sans"/>
          <w:sz w:val="21"/>
          <w:szCs w:val="21"/>
        </w:rPr>
        <w:t xml:space="preserve"> The 10% basis step-up will be capped for investments not triggered by </w:t>
      </w:r>
      <w:proofErr w:type="gramStart"/>
      <w:r w:rsidRPr="00CA2556">
        <w:rPr>
          <w:rFonts w:ascii="Open Sans" w:eastAsia="Aptos" w:hAnsi="Open Sans" w:cs="Open Sans"/>
          <w:sz w:val="21"/>
          <w:szCs w:val="21"/>
        </w:rPr>
        <w:t>sale</w:t>
      </w:r>
      <w:proofErr w:type="gramEnd"/>
      <w:r w:rsidRPr="00CA2556">
        <w:rPr>
          <w:rFonts w:ascii="Open Sans" w:eastAsia="Aptos" w:hAnsi="Open Sans" w:cs="Open Sans"/>
          <w:sz w:val="21"/>
          <w:szCs w:val="21"/>
        </w:rPr>
        <w:t xml:space="preserve"> or exchange</w:t>
      </w:r>
      <w:r w:rsidR="00D56AC0">
        <w:rPr>
          <w:rFonts w:ascii="Open Sans" w:eastAsia="Aptos" w:hAnsi="Open Sans" w:cs="Open Sans"/>
          <w:sz w:val="21"/>
          <w:szCs w:val="21"/>
        </w:rPr>
        <w:t>.</w:t>
      </w:r>
    </w:p>
    <w:p w14:paraId="632CE5DA" w14:textId="4ECECCDB" w:rsidR="00CA2556" w:rsidRPr="00CA2556" w:rsidRDefault="00CA2556" w:rsidP="00CA2556">
      <w:pPr>
        <w:spacing w:line="276" w:lineRule="auto"/>
        <w:ind w:right="147"/>
        <w:rPr>
          <w:rFonts w:ascii="Open Sans" w:eastAsia="Aptos" w:hAnsi="Open Sans" w:cs="Open Sans"/>
          <w:sz w:val="21"/>
          <w:szCs w:val="21"/>
        </w:rPr>
      </w:pPr>
      <w:r w:rsidRPr="00CA2556">
        <w:rPr>
          <w:rFonts w:ascii="Open Sans" w:eastAsia="Aptos" w:hAnsi="Open Sans" w:cs="Open Sans"/>
          <w:noProof/>
          <w:sz w:val="21"/>
          <w:szCs w:val="21"/>
        </w:rPr>
        <w:drawing>
          <wp:inline distT="0" distB="0" distL="0" distR="0" wp14:anchorId="26E024FD" wp14:editId="7FF7B5A7">
            <wp:extent cx="38100" cy="38099"/>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7" cstate="print"/>
                    <a:stretch>
                      <a:fillRect/>
                    </a:stretch>
                  </pic:blipFill>
                  <pic:spPr>
                    <a:xfrm>
                      <a:off x="0" y="0"/>
                      <a:ext cx="38100" cy="38099"/>
                    </a:xfrm>
                    <a:prstGeom prst="rect">
                      <a:avLst/>
                    </a:prstGeom>
                  </pic:spPr>
                </pic:pic>
              </a:graphicData>
            </a:graphic>
          </wp:inline>
        </w:drawing>
      </w:r>
      <w:r w:rsidRPr="00CA2556">
        <w:rPr>
          <w:rFonts w:ascii="Open Sans" w:eastAsia="Aptos" w:hAnsi="Open Sans" w:cs="Open Sans"/>
          <w:sz w:val="21"/>
          <w:szCs w:val="21"/>
        </w:rPr>
        <w:t xml:space="preserve"> New designations include Qualified Rural Opportunity Funds (QROFs)</w:t>
      </w:r>
      <w:r w:rsidR="002D2DE5">
        <w:rPr>
          <w:rFonts w:ascii="Open Sans" w:eastAsia="Aptos" w:hAnsi="Open Sans" w:cs="Open Sans"/>
          <w:sz w:val="21"/>
          <w:szCs w:val="21"/>
        </w:rPr>
        <w:t>.</w:t>
      </w:r>
    </w:p>
    <w:p w14:paraId="4C7ABBE1" w14:textId="4A18A16E" w:rsidR="00CA2556" w:rsidRPr="00CA2556" w:rsidRDefault="00CA2556" w:rsidP="00CA2556">
      <w:pPr>
        <w:spacing w:line="276" w:lineRule="auto"/>
        <w:ind w:right="147"/>
        <w:rPr>
          <w:rFonts w:ascii="Open Sans" w:eastAsia="Aptos" w:hAnsi="Open Sans" w:cs="Open Sans"/>
          <w:sz w:val="21"/>
          <w:szCs w:val="21"/>
        </w:rPr>
      </w:pPr>
      <w:r w:rsidRPr="00CA2556">
        <w:rPr>
          <w:rFonts w:ascii="Open Sans" w:eastAsia="Aptos" w:hAnsi="Open Sans" w:cs="Open Sans"/>
          <w:noProof/>
          <w:sz w:val="21"/>
          <w:szCs w:val="21"/>
        </w:rPr>
        <w:drawing>
          <wp:inline distT="0" distB="0" distL="0" distR="0" wp14:anchorId="5D00CD43" wp14:editId="02CF7E73">
            <wp:extent cx="38100" cy="38099"/>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7" cstate="print"/>
                    <a:stretch>
                      <a:fillRect/>
                    </a:stretch>
                  </pic:blipFill>
                  <pic:spPr>
                    <a:xfrm>
                      <a:off x="0" y="0"/>
                      <a:ext cx="38100" cy="38099"/>
                    </a:xfrm>
                    <a:prstGeom prst="rect">
                      <a:avLst/>
                    </a:prstGeom>
                  </pic:spPr>
                </pic:pic>
              </a:graphicData>
            </a:graphic>
          </wp:inline>
        </w:drawing>
      </w:r>
      <w:r w:rsidRPr="00CA2556">
        <w:rPr>
          <w:rFonts w:ascii="Open Sans" w:eastAsia="Aptos" w:hAnsi="Open Sans" w:cs="Open Sans"/>
          <w:sz w:val="21"/>
          <w:szCs w:val="21"/>
        </w:rPr>
        <w:t xml:space="preserve"> Noncompliance penalties and expanded reporting requirements apply</w:t>
      </w:r>
      <w:r w:rsidR="002D2DE5">
        <w:rPr>
          <w:rFonts w:ascii="Open Sans" w:eastAsia="Aptos" w:hAnsi="Open Sans" w:cs="Open Sans"/>
          <w:sz w:val="21"/>
          <w:szCs w:val="21"/>
        </w:rPr>
        <w:t>.</w:t>
      </w:r>
    </w:p>
    <w:p w14:paraId="1B867EDB" w14:textId="7C52F270" w:rsidR="00CA2556" w:rsidRPr="00CA2556" w:rsidRDefault="00CA2556" w:rsidP="00CA2556">
      <w:pPr>
        <w:spacing w:line="276" w:lineRule="auto"/>
        <w:ind w:right="147"/>
        <w:rPr>
          <w:rFonts w:ascii="Open Sans" w:eastAsia="Aptos" w:hAnsi="Open Sans" w:cs="Open Sans"/>
          <w:sz w:val="21"/>
          <w:szCs w:val="21"/>
        </w:rPr>
      </w:pPr>
      <w:r w:rsidRPr="00CA2556">
        <w:rPr>
          <w:rFonts w:ascii="Open Sans" w:eastAsia="Aptos" w:hAnsi="Open Sans" w:cs="Open Sans"/>
          <w:sz w:val="21"/>
          <w:szCs w:val="21"/>
        </w:rPr>
        <w:t>While the extension offers long-term investment incentives, the added oversight means real estate investors and developers will need to maintain stricter compliance standards. These changes aim to ensure that the program stays true to its original economic development goals.</w:t>
      </w:r>
    </w:p>
    <w:p w14:paraId="11BD626A" w14:textId="77777777" w:rsidR="00CA2556" w:rsidRPr="00CA2556" w:rsidRDefault="00CA2556" w:rsidP="00CA2556">
      <w:pPr>
        <w:spacing w:line="276" w:lineRule="auto"/>
        <w:ind w:right="147"/>
        <w:rPr>
          <w:rFonts w:ascii="Open Sans" w:eastAsia="Aptos" w:hAnsi="Open Sans" w:cs="Open Sans"/>
          <w:b/>
          <w:bCs/>
          <w:sz w:val="21"/>
          <w:szCs w:val="21"/>
        </w:rPr>
      </w:pPr>
      <w:r w:rsidRPr="00CA2556">
        <w:rPr>
          <w:rFonts w:ascii="Open Sans" w:eastAsia="Aptos" w:hAnsi="Open Sans" w:cs="Open Sans"/>
          <w:b/>
          <w:bCs/>
          <w:sz w:val="21"/>
          <w:szCs w:val="21"/>
        </w:rPr>
        <w:t>3.1.5. Section 1202: Qualified Small Business Stock (</w:t>
      </w:r>
      <w:proofErr w:type="gramStart"/>
      <w:r w:rsidRPr="00CA2556">
        <w:rPr>
          <w:rFonts w:ascii="Open Sans" w:eastAsia="Aptos" w:hAnsi="Open Sans" w:cs="Open Sans"/>
          <w:b/>
          <w:bCs/>
          <w:sz w:val="21"/>
          <w:szCs w:val="21"/>
        </w:rPr>
        <w:t>QSBS) —</w:t>
      </w:r>
      <w:proofErr w:type="gramEnd"/>
    </w:p>
    <w:p w14:paraId="29754198" w14:textId="77777777" w:rsidR="00CA2556" w:rsidRPr="00CA2556" w:rsidRDefault="00CA2556" w:rsidP="00CA2556">
      <w:pPr>
        <w:ind w:right="147"/>
        <w:rPr>
          <w:rFonts w:ascii="Open Sans" w:eastAsia="Aptos" w:hAnsi="Open Sans" w:cs="Open Sans"/>
          <w:sz w:val="21"/>
          <w:szCs w:val="21"/>
        </w:rPr>
      </w:pPr>
      <w:r w:rsidRPr="00CA2556">
        <w:rPr>
          <w:rFonts w:ascii="Open Sans" w:eastAsia="Aptos" w:hAnsi="Open Sans" w:cs="Open Sans"/>
          <w:sz w:val="21"/>
          <w:szCs w:val="21"/>
        </w:rPr>
        <w:t>The OBBBA makes several adjustments to Section 1202, which is a tax savings tool that allows for partial or full exclusion of gains on the sale of qualified C corporation stock if certain criteria are met.</w:t>
      </w:r>
    </w:p>
    <w:p w14:paraId="16B5AB2D" w14:textId="77777777" w:rsidR="00CA2556" w:rsidRPr="00CA2556" w:rsidRDefault="00CA2556" w:rsidP="00CA2556">
      <w:pPr>
        <w:spacing w:line="276" w:lineRule="auto"/>
        <w:ind w:right="147"/>
        <w:rPr>
          <w:rFonts w:ascii="Open Sans" w:eastAsia="Aptos" w:hAnsi="Open Sans" w:cs="Open Sans"/>
          <w:sz w:val="21"/>
          <w:szCs w:val="21"/>
        </w:rPr>
      </w:pPr>
      <w:r w:rsidRPr="00CA2556">
        <w:rPr>
          <w:rFonts w:ascii="Open Sans" w:eastAsia="Aptos" w:hAnsi="Open Sans" w:cs="Open Sans"/>
          <w:sz w:val="21"/>
          <w:szCs w:val="21"/>
        </w:rPr>
        <w:t>For stock sold or exchanged on or after January 1, 2025:</w:t>
      </w:r>
    </w:p>
    <w:p w14:paraId="52749325" w14:textId="786FF52C" w:rsidR="00CA2556" w:rsidRPr="00CA2556" w:rsidRDefault="00CA2556" w:rsidP="00CA2556">
      <w:pPr>
        <w:spacing w:line="276" w:lineRule="auto"/>
        <w:ind w:right="147"/>
        <w:rPr>
          <w:rFonts w:ascii="Open Sans" w:eastAsia="Aptos" w:hAnsi="Open Sans" w:cs="Open Sans"/>
          <w:sz w:val="21"/>
          <w:szCs w:val="21"/>
        </w:rPr>
      </w:pPr>
      <w:r w:rsidRPr="00CA2556">
        <w:rPr>
          <w:rFonts w:ascii="Open Sans" w:eastAsia="Aptos" w:hAnsi="Open Sans" w:cs="Open Sans"/>
          <w:noProof/>
          <w:sz w:val="21"/>
          <w:szCs w:val="21"/>
        </w:rPr>
        <w:drawing>
          <wp:inline distT="0" distB="0" distL="0" distR="0" wp14:anchorId="6D32C5F6" wp14:editId="4FE15372">
            <wp:extent cx="38100" cy="38099"/>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7" cstate="print"/>
                    <a:stretch>
                      <a:fillRect/>
                    </a:stretch>
                  </pic:blipFill>
                  <pic:spPr>
                    <a:xfrm>
                      <a:off x="0" y="0"/>
                      <a:ext cx="38100" cy="38099"/>
                    </a:xfrm>
                    <a:prstGeom prst="rect">
                      <a:avLst/>
                    </a:prstGeom>
                  </pic:spPr>
                </pic:pic>
              </a:graphicData>
            </a:graphic>
          </wp:inline>
        </w:drawing>
      </w:r>
      <w:r w:rsidRPr="00CA2556">
        <w:rPr>
          <w:rFonts w:ascii="Open Sans" w:eastAsia="Aptos" w:hAnsi="Open Sans" w:cs="Open Sans"/>
          <w:sz w:val="21"/>
          <w:szCs w:val="21"/>
        </w:rPr>
        <w:t xml:space="preserve"> The percentage of gain excluded will now be indexed between 50% and 100%, depending on the holding period</w:t>
      </w:r>
      <w:r w:rsidR="00555ABC">
        <w:rPr>
          <w:rFonts w:ascii="Open Sans" w:eastAsia="Aptos" w:hAnsi="Open Sans" w:cs="Open Sans"/>
          <w:sz w:val="21"/>
          <w:szCs w:val="21"/>
        </w:rPr>
        <w:t>.</w:t>
      </w:r>
    </w:p>
    <w:p w14:paraId="5D3DDC50" w14:textId="18CC1C63" w:rsidR="00CA2556" w:rsidRPr="00CA2556" w:rsidRDefault="00CA2556" w:rsidP="00CA2556">
      <w:pPr>
        <w:spacing w:line="276" w:lineRule="auto"/>
        <w:ind w:right="147"/>
        <w:rPr>
          <w:rFonts w:ascii="Open Sans" w:eastAsia="Aptos" w:hAnsi="Open Sans" w:cs="Open Sans"/>
          <w:sz w:val="21"/>
          <w:szCs w:val="21"/>
        </w:rPr>
      </w:pPr>
      <w:r w:rsidRPr="00CA2556">
        <w:rPr>
          <w:rFonts w:ascii="Open Sans" w:eastAsia="Aptos" w:hAnsi="Open Sans" w:cs="Open Sans"/>
          <w:noProof/>
          <w:sz w:val="21"/>
          <w:szCs w:val="21"/>
        </w:rPr>
        <w:drawing>
          <wp:inline distT="0" distB="0" distL="0" distR="0" wp14:anchorId="124B2E88" wp14:editId="6944E362">
            <wp:extent cx="38100" cy="38099"/>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7" cstate="print"/>
                    <a:stretch>
                      <a:fillRect/>
                    </a:stretch>
                  </pic:blipFill>
                  <pic:spPr>
                    <a:xfrm>
                      <a:off x="0" y="0"/>
                      <a:ext cx="38100" cy="38099"/>
                    </a:xfrm>
                    <a:prstGeom prst="rect">
                      <a:avLst/>
                    </a:prstGeom>
                  </pic:spPr>
                </pic:pic>
              </a:graphicData>
            </a:graphic>
          </wp:inline>
        </w:drawing>
      </w:r>
      <w:r w:rsidRPr="00CA2556">
        <w:rPr>
          <w:rFonts w:ascii="Open Sans" w:eastAsia="Aptos" w:hAnsi="Open Sans" w:cs="Open Sans"/>
          <w:sz w:val="21"/>
          <w:szCs w:val="21"/>
        </w:rPr>
        <w:t xml:space="preserve"> The gross asset eligibility threshold increases from $50 million to $75 million</w:t>
      </w:r>
      <w:r w:rsidR="00774DD2">
        <w:rPr>
          <w:rFonts w:ascii="Open Sans" w:eastAsia="Aptos" w:hAnsi="Open Sans" w:cs="Open Sans"/>
          <w:sz w:val="21"/>
          <w:szCs w:val="21"/>
        </w:rPr>
        <w:t>.</w:t>
      </w:r>
    </w:p>
    <w:p w14:paraId="2939DC27" w14:textId="06D771F9" w:rsidR="00CA2556" w:rsidRPr="00CA2556" w:rsidRDefault="00CA2556" w:rsidP="00CA2556">
      <w:pPr>
        <w:spacing w:line="276" w:lineRule="auto"/>
        <w:ind w:right="147"/>
        <w:rPr>
          <w:rFonts w:ascii="Open Sans" w:eastAsia="Aptos" w:hAnsi="Open Sans" w:cs="Open Sans"/>
          <w:sz w:val="21"/>
          <w:szCs w:val="21"/>
        </w:rPr>
      </w:pPr>
      <w:r w:rsidRPr="00CA2556">
        <w:rPr>
          <w:rFonts w:ascii="Open Sans" w:eastAsia="Aptos" w:hAnsi="Open Sans" w:cs="Open Sans"/>
          <w:noProof/>
          <w:sz w:val="21"/>
          <w:szCs w:val="21"/>
        </w:rPr>
        <w:drawing>
          <wp:inline distT="0" distB="0" distL="0" distR="0" wp14:anchorId="12D4077D" wp14:editId="6B2FF490">
            <wp:extent cx="38100" cy="38099"/>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7" cstate="print"/>
                    <a:stretch>
                      <a:fillRect/>
                    </a:stretch>
                  </pic:blipFill>
                  <pic:spPr>
                    <a:xfrm>
                      <a:off x="0" y="0"/>
                      <a:ext cx="38100" cy="38099"/>
                    </a:xfrm>
                    <a:prstGeom prst="rect">
                      <a:avLst/>
                    </a:prstGeom>
                  </pic:spPr>
                </pic:pic>
              </a:graphicData>
            </a:graphic>
          </wp:inline>
        </w:drawing>
      </w:r>
      <w:r w:rsidRPr="00CA2556">
        <w:rPr>
          <w:rFonts w:ascii="Open Sans" w:eastAsia="Aptos" w:hAnsi="Open Sans" w:cs="Open Sans"/>
          <w:sz w:val="21"/>
          <w:szCs w:val="21"/>
        </w:rPr>
        <w:t xml:space="preserve"> The per-issuer cumulative gain exclusion limit increases to $15 million, an amount that was previously limited to $10 million per issuer</w:t>
      </w:r>
      <w:r w:rsidR="00774DD2">
        <w:rPr>
          <w:rFonts w:ascii="Open Sans" w:eastAsia="Aptos" w:hAnsi="Open Sans" w:cs="Open Sans"/>
          <w:sz w:val="21"/>
          <w:szCs w:val="21"/>
        </w:rPr>
        <w:t>.</w:t>
      </w:r>
    </w:p>
    <w:p w14:paraId="2BBF9E02" w14:textId="439C0E1F" w:rsidR="00CA2556" w:rsidRPr="00CA2556" w:rsidRDefault="00CA2556" w:rsidP="00CA2556">
      <w:pPr>
        <w:spacing w:line="276" w:lineRule="auto"/>
        <w:ind w:right="147"/>
        <w:rPr>
          <w:rFonts w:ascii="Open Sans" w:eastAsia="Aptos" w:hAnsi="Open Sans" w:cs="Open Sans"/>
          <w:sz w:val="21"/>
          <w:szCs w:val="21"/>
        </w:rPr>
      </w:pPr>
      <w:r w:rsidRPr="00CA2556">
        <w:rPr>
          <w:rFonts w:ascii="Open Sans" w:eastAsia="Aptos" w:hAnsi="Open Sans" w:cs="Open Sans"/>
          <w:sz w:val="21"/>
          <w:szCs w:val="21"/>
        </w:rPr>
        <w:t xml:space="preserve">If </w:t>
      </w:r>
      <w:r w:rsidR="00774DD2">
        <w:rPr>
          <w:rFonts w:ascii="Open Sans" w:eastAsia="Aptos" w:hAnsi="Open Sans" w:cs="Open Sans"/>
          <w:sz w:val="21"/>
          <w:szCs w:val="21"/>
        </w:rPr>
        <w:t>the taxpayer is</w:t>
      </w:r>
      <w:r w:rsidRPr="00CA2556">
        <w:rPr>
          <w:rFonts w:ascii="Open Sans" w:eastAsia="Aptos" w:hAnsi="Open Sans" w:cs="Open Sans"/>
          <w:sz w:val="21"/>
          <w:szCs w:val="21"/>
        </w:rPr>
        <w:t xml:space="preserve"> considering a business exit or the sale of qualified stock, these changes could significantly impact </w:t>
      </w:r>
      <w:r w:rsidR="00774DD2">
        <w:rPr>
          <w:rFonts w:ascii="Open Sans" w:eastAsia="Aptos" w:hAnsi="Open Sans" w:cs="Open Sans"/>
          <w:sz w:val="21"/>
          <w:szCs w:val="21"/>
        </w:rPr>
        <w:t>their</w:t>
      </w:r>
      <w:r w:rsidRPr="00CA2556">
        <w:rPr>
          <w:rFonts w:ascii="Open Sans" w:eastAsia="Aptos" w:hAnsi="Open Sans" w:cs="Open Sans"/>
          <w:sz w:val="21"/>
          <w:szCs w:val="21"/>
        </w:rPr>
        <w:t xml:space="preserve"> tax position. Timing, valuation</w:t>
      </w:r>
      <w:r w:rsidR="00CD491F">
        <w:rPr>
          <w:rFonts w:ascii="Open Sans" w:eastAsia="Aptos" w:hAnsi="Open Sans" w:cs="Open Sans"/>
          <w:sz w:val="21"/>
          <w:szCs w:val="21"/>
        </w:rPr>
        <w:t>,</w:t>
      </w:r>
      <w:r w:rsidRPr="00CA2556">
        <w:rPr>
          <w:rFonts w:ascii="Open Sans" w:eastAsia="Aptos" w:hAnsi="Open Sans" w:cs="Open Sans"/>
          <w:sz w:val="21"/>
          <w:szCs w:val="21"/>
        </w:rPr>
        <w:t xml:space="preserve"> and issuer-level thresholds all matter. </w:t>
      </w:r>
      <w:r w:rsidR="00CD491F">
        <w:rPr>
          <w:rFonts w:ascii="Open Sans" w:eastAsia="Aptos" w:hAnsi="Open Sans" w:cs="Open Sans"/>
          <w:sz w:val="21"/>
          <w:szCs w:val="21"/>
        </w:rPr>
        <w:t>The taxpayer should</w:t>
      </w:r>
      <w:r w:rsidRPr="00CA2556">
        <w:rPr>
          <w:rFonts w:ascii="Open Sans" w:eastAsia="Aptos" w:hAnsi="Open Sans" w:cs="Open Sans"/>
          <w:sz w:val="21"/>
          <w:szCs w:val="21"/>
        </w:rPr>
        <w:t xml:space="preserve"> model various sale scenarios to take full advantage of the new rules.</w:t>
      </w:r>
    </w:p>
    <w:p w14:paraId="711D8465" w14:textId="77777777" w:rsidR="00CA2556" w:rsidRPr="00CA2556" w:rsidRDefault="00CA2556" w:rsidP="00CA2556">
      <w:pPr>
        <w:spacing w:line="276" w:lineRule="auto"/>
        <w:ind w:right="147"/>
        <w:rPr>
          <w:rFonts w:ascii="Open Sans" w:eastAsia="Aptos" w:hAnsi="Open Sans" w:cs="Open Sans"/>
          <w:b/>
          <w:bCs/>
          <w:sz w:val="21"/>
          <w:szCs w:val="21"/>
        </w:rPr>
      </w:pPr>
      <w:r w:rsidRPr="00CA2556">
        <w:rPr>
          <w:rFonts w:ascii="Open Sans" w:eastAsia="Aptos" w:hAnsi="Open Sans" w:cs="Open Sans"/>
          <w:b/>
          <w:bCs/>
          <w:sz w:val="21"/>
          <w:szCs w:val="21"/>
        </w:rPr>
        <w:t>3.1.6. Completed Contract Method (CCM) for Contractors —</w:t>
      </w:r>
    </w:p>
    <w:p w14:paraId="146D1672" w14:textId="54D68B36" w:rsidR="00CA2556" w:rsidRPr="00CA2556" w:rsidRDefault="00CD491F" w:rsidP="00CA2556">
      <w:pPr>
        <w:spacing w:line="276" w:lineRule="auto"/>
        <w:ind w:right="147"/>
        <w:rPr>
          <w:rFonts w:ascii="Open Sans" w:eastAsia="Aptos" w:hAnsi="Open Sans" w:cs="Open Sans"/>
          <w:sz w:val="21"/>
          <w:szCs w:val="21"/>
        </w:rPr>
      </w:pPr>
      <w:r>
        <w:rPr>
          <w:rFonts w:ascii="Open Sans" w:eastAsia="Aptos" w:hAnsi="Open Sans" w:cs="Open Sans"/>
          <w:sz w:val="21"/>
          <w:szCs w:val="21"/>
        </w:rPr>
        <w:t>OBBBA</w:t>
      </w:r>
      <w:r w:rsidR="00CA2556" w:rsidRPr="00CA2556">
        <w:rPr>
          <w:rFonts w:ascii="Open Sans" w:eastAsia="Aptos" w:hAnsi="Open Sans" w:cs="Open Sans"/>
          <w:sz w:val="21"/>
          <w:szCs w:val="21"/>
        </w:rPr>
        <w:t xml:space="preserve"> expands eligibility for the completed contract method of accounting, a method often preferred by construction contractors because it allows revenue and expenses to be deferred until a project is substantially complete.</w:t>
      </w:r>
    </w:p>
    <w:p w14:paraId="3802E1B7" w14:textId="77777777" w:rsidR="00CA2556" w:rsidRPr="00CA2556" w:rsidRDefault="00CA2556" w:rsidP="00CA2556">
      <w:pPr>
        <w:spacing w:line="276" w:lineRule="auto"/>
        <w:ind w:right="147"/>
        <w:rPr>
          <w:rFonts w:ascii="Open Sans" w:eastAsia="Aptos" w:hAnsi="Open Sans" w:cs="Open Sans"/>
          <w:sz w:val="21"/>
          <w:szCs w:val="21"/>
        </w:rPr>
      </w:pPr>
      <w:r w:rsidRPr="00CA2556">
        <w:rPr>
          <w:rFonts w:ascii="Open Sans" w:eastAsia="Aptos" w:hAnsi="Open Sans" w:cs="Open Sans"/>
          <w:sz w:val="21"/>
          <w:szCs w:val="21"/>
        </w:rPr>
        <w:t xml:space="preserve">Previously, only home construction contracts and smaller contractors under a gross </w:t>
      </w:r>
      <w:proofErr w:type="gramStart"/>
      <w:r w:rsidRPr="00CA2556">
        <w:rPr>
          <w:rFonts w:ascii="Open Sans" w:eastAsia="Aptos" w:hAnsi="Open Sans" w:cs="Open Sans"/>
          <w:sz w:val="21"/>
          <w:szCs w:val="21"/>
        </w:rPr>
        <w:t>receipts</w:t>
      </w:r>
      <w:proofErr w:type="gramEnd"/>
      <w:r w:rsidRPr="00CA2556">
        <w:rPr>
          <w:rFonts w:ascii="Open Sans" w:eastAsia="Aptos" w:hAnsi="Open Sans" w:cs="Open Sans"/>
          <w:sz w:val="21"/>
          <w:szCs w:val="21"/>
        </w:rPr>
        <w:t xml:space="preserve"> threshold (about $31 million in 2024) could use the CCM. OBBBA now expands eligibility to all residential construction contracts.</w:t>
      </w:r>
    </w:p>
    <w:p w14:paraId="6199FC33" w14:textId="6ED27237" w:rsidR="00CA2556" w:rsidRPr="00CA2556" w:rsidRDefault="00CA2556" w:rsidP="00CA2556">
      <w:pPr>
        <w:spacing w:line="276" w:lineRule="auto"/>
        <w:ind w:right="147"/>
        <w:rPr>
          <w:rFonts w:ascii="Open Sans" w:eastAsia="Aptos" w:hAnsi="Open Sans" w:cs="Open Sans"/>
          <w:sz w:val="21"/>
          <w:szCs w:val="21"/>
        </w:rPr>
      </w:pPr>
      <w:r w:rsidRPr="00CA2556">
        <w:rPr>
          <w:rFonts w:ascii="Open Sans" w:eastAsia="Aptos" w:hAnsi="Open Sans" w:cs="Open Sans"/>
          <w:sz w:val="21"/>
          <w:szCs w:val="21"/>
        </w:rPr>
        <w:t xml:space="preserve">If </w:t>
      </w:r>
      <w:r w:rsidR="000A75D1">
        <w:rPr>
          <w:rFonts w:ascii="Open Sans" w:eastAsia="Aptos" w:hAnsi="Open Sans" w:cs="Open Sans"/>
          <w:sz w:val="21"/>
          <w:szCs w:val="21"/>
        </w:rPr>
        <w:t xml:space="preserve">a </w:t>
      </w:r>
      <w:r w:rsidR="00A02139">
        <w:rPr>
          <w:rFonts w:ascii="Open Sans" w:eastAsia="Aptos" w:hAnsi="Open Sans" w:cs="Open Sans"/>
          <w:sz w:val="21"/>
          <w:szCs w:val="21"/>
        </w:rPr>
        <w:t>taxpayer’s</w:t>
      </w:r>
      <w:r w:rsidRPr="00CA2556">
        <w:rPr>
          <w:rFonts w:ascii="Open Sans" w:eastAsia="Aptos" w:hAnsi="Open Sans" w:cs="Open Sans"/>
          <w:sz w:val="21"/>
          <w:szCs w:val="21"/>
        </w:rPr>
        <w:t xml:space="preserve"> construction business was previously excluded from using CCM due to size or contract type, it may now qualify. This is a great opportunity to revisit </w:t>
      </w:r>
      <w:r w:rsidR="00A02139">
        <w:rPr>
          <w:rFonts w:ascii="Open Sans" w:eastAsia="Aptos" w:hAnsi="Open Sans" w:cs="Open Sans"/>
          <w:sz w:val="21"/>
          <w:szCs w:val="21"/>
        </w:rPr>
        <w:t xml:space="preserve">the </w:t>
      </w:r>
      <w:proofErr w:type="gramStart"/>
      <w:r w:rsidR="00A02139">
        <w:rPr>
          <w:rFonts w:ascii="Open Sans" w:eastAsia="Aptos" w:hAnsi="Open Sans" w:cs="Open Sans"/>
          <w:sz w:val="21"/>
          <w:szCs w:val="21"/>
        </w:rPr>
        <w:t>taxpayer’s</w:t>
      </w:r>
      <w:proofErr w:type="gramEnd"/>
      <w:r w:rsidRPr="00CA2556">
        <w:rPr>
          <w:rFonts w:ascii="Open Sans" w:eastAsia="Aptos" w:hAnsi="Open Sans" w:cs="Open Sans"/>
          <w:sz w:val="21"/>
          <w:szCs w:val="21"/>
        </w:rPr>
        <w:t xml:space="preserve"> current accounting methods </w:t>
      </w:r>
      <w:r w:rsidR="00415248">
        <w:rPr>
          <w:rFonts w:ascii="Open Sans" w:eastAsia="Aptos" w:hAnsi="Open Sans" w:cs="Open Sans"/>
          <w:sz w:val="21"/>
          <w:szCs w:val="21"/>
        </w:rPr>
        <w:t>to</w:t>
      </w:r>
      <w:r w:rsidRPr="00CA2556">
        <w:rPr>
          <w:rFonts w:ascii="Open Sans" w:eastAsia="Aptos" w:hAnsi="Open Sans" w:cs="Open Sans"/>
          <w:sz w:val="21"/>
          <w:szCs w:val="21"/>
        </w:rPr>
        <w:t xml:space="preserve"> evaluate whether a switch could improve cash flow and reduce current tax liability.</w:t>
      </w:r>
    </w:p>
    <w:p w14:paraId="6B6D1EBF" w14:textId="77777777" w:rsidR="00CA2556" w:rsidRPr="00CA2556" w:rsidRDefault="00CA2556" w:rsidP="00CA2556">
      <w:pPr>
        <w:spacing w:line="276" w:lineRule="auto"/>
        <w:ind w:right="147"/>
        <w:rPr>
          <w:rFonts w:ascii="Open Sans" w:eastAsia="Aptos" w:hAnsi="Open Sans" w:cs="Open Sans"/>
          <w:b/>
          <w:bCs/>
          <w:sz w:val="21"/>
          <w:szCs w:val="21"/>
        </w:rPr>
      </w:pPr>
      <w:r w:rsidRPr="00CA2556">
        <w:rPr>
          <w:rFonts w:ascii="Open Sans" w:eastAsia="Aptos" w:hAnsi="Open Sans" w:cs="Open Sans"/>
          <w:b/>
          <w:bCs/>
          <w:sz w:val="21"/>
          <w:szCs w:val="21"/>
        </w:rPr>
        <w:t xml:space="preserve">3.1.7. Section 199A: Qualified Business Income Deduction — </w:t>
      </w:r>
    </w:p>
    <w:p w14:paraId="544166A5" w14:textId="1A74966D" w:rsidR="00CA2556" w:rsidRPr="00CA2556" w:rsidRDefault="00CA2556" w:rsidP="00CA2556">
      <w:pPr>
        <w:spacing w:line="276" w:lineRule="auto"/>
        <w:ind w:right="147"/>
        <w:rPr>
          <w:rFonts w:ascii="Open Sans" w:eastAsia="Aptos" w:hAnsi="Open Sans" w:cs="Open Sans"/>
          <w:sz w:val="21"/>
          <w:szCs w:val="21"/>
        </w:rPr>
      </w:pPr>
      <w:r w:rsidRPr="00CA2556">
        <w:rPr>
          <w:rFonts w:ascii="Open Sans" w:eastAsia="Aptos" w:hAnsi="Open Sans" w:cs="Open Sans"/>
          <w:sz w:val="21"/>
          <w:szCs w:val="21"/>
        </w:rPr>
        <w:t xml:space="preserve">The 20% deduction for pass-through business income </w:t>
      </w:r>
      <w:r w:rsidR="00CB6658">
        <w:rPr>
          <w:rFonts w:ascii="Open Sans" w:eastAsia="Aptos" w:hAnsi="Open Sans" w:cs="Open Sans"/>
          <w:sz w:val="21"/>
          <w:szCs w:val="21"/>
        </w:rPr>
        <w:t>was made</w:t>
      </w:r>
      <w:r w:rsidRPr="00CA2556">
        <w:rPr>
          <w:rFonts w:ascii="Open Sans" w:eastAsia="Aptos" w:hAnsi="Open Sans" w:cs="Open Sans"/>
          <w:sz w:val="21"/>
          <w:szCs w:val="21"/>
        </w:rPr>
        <w:t xml:space="preserve"> permanent under OBBBA, with some modifications. In particular, phase-out thresholds have been revised for taxpayers who do not meet wage and capital investment tests or who are engaged in specified service businesses.</w:t>
      </w:r>
    </w:p>
    <w:p w14:paraId="6C0B9916" w14:textId="4C65EA6D" w:rsidR="00CA2556" w:rsidRPr="00CA2556" w:rsidRDefault="00CA2556" w:rsidP="00CA2556">
      <w:pPr>
        <w:spacing w:line="276" w:lineRule="auto"/>
        <w:ind w:right="147"/>
        <w:rPr>
          <w:rFonts w:ascii="Open Sans" w:eastAsia="Aptos" w:hAnsi="Open Sans" w:cs="Open Sans"/>
          <w:sz w:val="21"/>
          <w:szCs w:val="21"/>
        </w:rPr>
      </w:pPr>
      <w:r w:rsidRPr="00CA2556">
        <w:rPr>
          <w:rFonts w:ascii="Open Sans" w:eastAsia="Aptos" w:hAnsi="Open Sans" w:cs="Open Sans"/>
          <w:sz w:val="21"/>
          <w:szCs w:val="21"/>
        </w:rPr>
        <w:t xml:space="preserve">While the deduction remains generous, changes to phaseouts could affect eligibility for some. </w:t>
      </w:r>
      <w:r w:rsidR="009873CF">
        <w:rPr>
          <w:rFonts w:ascii="Open Sans" w:eastAsia="Aptos" w:hAnsi="Open Sans" w:cs="Open Sans"/>
          <w:sz w:val="21"/>
          <w:szCs w:val="21"/>
        </w:rPr>
        <w:t>It is</w:t>
      </w:r>
      <w:r w:rsidRPr="00CA2556">
        <w:rPr>
          <w:rFonts w:ascii="Open Sans" w:eastAsia="Aptos" w:hAnsi="Open Sans" w:cs="Open Sans"/>
          <w:sz w:val="21"/>
          <w:szCs w:val="21"/>
        </w:rPr>
        <w:t xml:space="preserve"> important to revisit income </w:t>
      </w:r>
      <w:r w:rsidR="009873CF">
        <w:rPr>
          <w:rFonts w:ascii="Open Sans" w:eastAsia="Aptos" w:hAnsi="Open Sans" w:cs="Open Sans"/>
          <w:sz w:val="21"/>
          <w:szCs w:val="21"/>
        </w:rPr>
        <w:t>requirements</w:t>
      </w:r>
      <w:r w:rsidRPr="00CA2556">
        <w:rPr>
          <w:rFonts w:ascii="Open Sans" w:eastAsia="Aptos" w:hAnsi="Open Sans" w:cs="Open Sans"/>
          <w:sz w:val="21"/>
          <w:szCs w:val="21"/>
        </w:rPr>
        <w:t xml:space="preserve"> under the new rules.</w:t>
      </w:r>
      <w:r w:rsidR="00C801F6">
        <w:rPr>
          <w:rStyle w:val="FootnoteReference"/>
          <w:rFonts w:ascii="Open Sans" w:eastAsia="Aptos" w:hAnsi="Open Sans" w:cs="Open Sans"/>
          <w:sz w:val="21"/>
          <w:szCs w:val="21"/>
        </w:rPr>
        <w:footnoteReference w:id="4"/>
      </w:r>
    </w:p>
    <w:p w14:paraId="3C9617F5" w14:textId="77777777" w:rsidR="00CA2556" w:rsidRPr="00CA2556" w:rsidRDefault="00CA2556" w:rsidP="00CA2556">
      <w:pPr>
        <w:spacing w:line="276" w:lineRule="auto"/>
        <w:ind w:right="147"/>
        <w:rPr>
          <w:rFonts w:ascii="Open Sans" w:eastAsia="Aptos" w:hAnsi="Open Sans" w:cs="Open Sans"/>
          <w:b/>
          <w:bCs/>
          <w:sz w:val="21"/>
          <w:szCs w:val="21"/>
        </w:rPr>
      </w:pPr>
      <w:r w:rsidRPr="00CA2556">
        <w:rPr>
          <w:rFonts w:ascii="Open Sans" w:eastAsia="Aptos" w:hAnsi="Open Sans" w:cs="Open Sans"/>
          <w:b/>
          <w:bCs/>
          <w:sz w:val="21"/>
          <w:szCs w:val="21"/>
        </w:rPr>
        <w:t xml:space="preserve">3.1.8. Additional Business Changes — </w:t>
      </w:r>
    </w:p>
    <w:p w14:paraId="6521EA6B" w14:textId="77777777" w:rsidR="00CA2556" w:rsidRPr="00CA2556" w:rsidRDefault="00CA2556" w:rsidP="00CA2556">
      <w:pPr>
        <w:spacing w:line="276" w:lineRule="auto"/>
        <w:ind w:right="147"/>
        <w:rPr>
          <w:rFonts w:ascii="Open Sans" w:eastAsia="Aptos" w:hAnsi="Open Sans" w:cs="Open Sans"/>
          <w:sz w:val="21"/>
          <w:szCs w:val="21"/>
        </w:rPr>
      </w:pPr>
      <w:r w:rsidRPr="00CA2556">
        <w:rPr>
          <w:rFonts w:ascii="Open Sans" w:eastAsia="Aptos" w:hAnsi="Open Sans" w:cs="Open Sans"/>
          <w:sz w:val="21"/>
          <w:szCs w:val="21"/>
        </w:rPr>
        <w:t>OBBBA also includes:</w:t>
      </w:r>
    </w:p>
    <w:p w14:paraId="612AF199" w14:textId="7CDF460A" w:rsidR="00CA2556" w:rsidRPr="00CA2556" w:rsidRDefault="00CA2556" w:rsidP="00CA2556">
      <w:pPr>
        <w:spacing w:line="276" w:lineRule="auto"/>
        <w:ind w:right="147"/>
        <w:rPr>
          <w:rFonts w:ascii="Open Sans" w:eastAsia="Aptos" w:hAnsi="Open Sans" w:cs="Open Sans"/>
          <w:sz w:val="21"/>
          <w:szCs w:val="21"/>
        </w:rPr>
      </w:pPr>
      <w:r w:rsidRPr="00CA2556">
        <w:rPr>
          <w:rFonts w:ascii="Open Sans" w:eastAsia="Aptos" w:hAnsi="Open Sans" w:cs="Open Sans"/>
          <w:noProof/>
          <w:sz w:val="21"/>
          <w:szCs w:val="21"/>
        </w:rPr>
        <w:drawing>
          <wp:inline distT="0" distB="0" distL="0" distR="0" wp14:anchorId="29C63452" wp14:editId="33D1F8F1">
            <wp:extent cx="38100" cy="38099"/>
            <wp:effectExtent l="0" t="0" r="0" b="0"/>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7" cstate="print"/>
                    <a:stretch>
                      <a:fillRect/>
                    </a:stretch>
                  </pic:blipFill>
                  <pic:spPr>
                    <a:xfrm>
                      <a:off x="0" y="0"/>
                      <a:ext cx="38100" cy="38099"/>
                    </a:xfrm>
                    <a:prstGeom prst="rect">
                      <a:avLst/>
                    </a:prstGeom>
                  </pic:spPr>
                </pic:pic>
              </a:graphicData>
            </a:graphic>
          </wp:inline>
        </w:drawing>
      </w:r>
      <w:r w:rsidRPr="00CA2556">
        <w:rPr>
          <w:rFonts w:ascii="Open Sans" w:eastAsia="Aptos" w:hAnsi="Open Sans" w:cs="Open Sans"/>
          <w:sz w:val="21"/>
          <w:szCs w:val="21"/>
        </w:rPr>
        <w:t xml:space="preserve"> Revised higher </w:t>
      </w:r>
      <w:r w:rsidRPr="00CA2556">
        <w:rPr>
          <w:rFonts w:ascii="Open Sans" w:eastAsia="Aptos" w:hAnsi="Open Sans" w:cs="Open Sans"/>
          <w:b/>
          <w:sz w:val="21"/>
          <w:szCs w:val="21"/>
        </w:rPr>
        <w:t xml:space="preserve">1099 reporting thresholds </w:t>
      </w:r>
      <w:r w:rsidRPr="00CA2556">
        <w:rPr>
          <w:rFonts w:ascii="Open Sans" w:eastAsia="Aptos" w:hAnsi="Open Sans" w:cs="Open Sans"/>
          <w:sz w:val="21"/>
          <w:szCs w:val="21"/>
        </w:rPr>
        <w:t>(including 1099-K, 1099-NEC</w:t>
      </w:r>
      <w:r w:rsidR="00DA070E">
        <w:rPr>
          <w:rFonts w:ascii="Open Sans" w:eastAsia="Aptos" w:hAnsi="Open Sans" w:cs="Open Sans"/>
          <w:sz w:val="21"/>
          <w:szCs w:val="21"/>
        </w:rPr>
        <w:t>,</w:t>
      </w:r>
      <w:r w:rsidRPr="00CA2556">
        <w:rPr>
          <w:rFonts w:ascii="Open Sans" w:eastAsia="Aptos" w:hAnsi="Open Sans" w:cs="Open Sans"/>
          <w:sz w:val="21"/>
          <w:szCs w:val="21"/>
        </w:rPr>
        <w:t xml:space="preserve"> and 1099-MISC</w:t>
      </w:r>
      <w:proofErr w:type="gramStart"/>
      <w:r w:rsidRPr="00CA2556">
        <w:rPr>
          <w:rFonts w:ascii="Open Sans" w:eastAsia="Aptos" w:hAnsi="Open Sans" w:cs="Open Sans"/>
          <w:sz w:val="21"/>
          <w:szCs w:val="21"/>
        </w:rPr>
        <w:t>)</w:t>
      </w:r>
      <w:r w:rsidR="006C0B75">
        <w:rPr>
          <w:rFonts w:ascii="Open Sans" w:eastAsia="Aptos" w:hAnsi="Open Sans" w:cs="Open Sans"/>
          <w:sz w:val="21"/>
          <w:szCs w:val="21"/>
        </w:rPr>
        <w:t>;</w:t>
      </w:r>
      <w:proofErr w:type="gramEnd"/>
    </w:p>
    <w:p w14:paraId="4783558B" w14:textId="2D085AB1" w:rsidR="00CA2556" w:rsidRPr="00CA2556" w:rsidRDefault="00CA2556" w:rsidP="00CA2556">
      <w:pPr>
        <w:spacing w:line="276" w:lineRule="auto"/>
        <w:ind w:right="147"/>
        <w:rPr>
          <w:rFonts w:ascii="Open Sans" w:eastAsia="Aptos" w:hAnsi="Open Sans" w:cs="Open Sans"/>
          <w:b/>
          <w:sz w:val="21"/>
          <w:szCs w:val="21"/>
        </w:rPr>
      </w:pPr>
      <w:r w:rsidRPr="00CA2556">
        <w:rPr>
          <w:rFonts w:ascii="Open Sans" w:eastAsia="Aptos" w:hAnsi="Open Sans" w:cs="Open Sans"/>
          <w:noProof/>
          <w:sz w:val="21"/>
          <w:szCs w:val="21"/>
        </w:rPr>
        <w:drawing>
          <wp:inline distT="0" distB="0" distL="0" distR="0" wp14:anchorId="19481683" wp14:editId="7D9454B6">
            <wp:extent cx="38100" cy="38099"/>
            <wp:effectExtent l="0" t="0" r="0" b="0"/>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7" cstate="print"/>
                    <a:stretch>
                      <a:fillRect/>
                    </a:stretch>
                  </pic:blipFill>
                  <pic:spPr>
                    <a:xfrm>
                      <a:off x="0" y="0"/>
                      <a:ext cx="38100" cy="38099"/>
                    </a:xfrm>
                    <a:prstGeom prst="rect">
                      <a:avLst/>
                    </a:prstGeom>
                  </pic:spPr>
                </pic:pic>
              </a:graphicData>
            </a:graphic>
          </wp:inline>
        </w:drawing>
      </w:r>
      <w:r w:rsidRPr="00CA2556">
        <w:rPr>
          <w:rFonts w:ascii="Open Sans" w:eastAsia="Aptos" w:hAnsi="Open Sans" w:cs="Open Sans"/>
          <w:sz w:val="21"/>
          <w:szCs w:val="21"/>
        </w:rPr>
        <w:t xml:space="preserve"> New limitations on the deductibility of </w:t>
      </w:r>
      <w:r w:rsidRPr="00CA2556">
        <w:rPr>
          <w:rFonts w:ascii="Open Sans" w:eastAsia="Aptos" w:hAnsi="Open Sans" w:cs="Open Sans"/>
          <w:b/>
          <w:sz w:val="21"/>
          <w:szCs w:val="21"/>
        </w:rPr>
        <w:t>executive compensation for public companies</w:t>
      </w:r>
      <w:r w:rsidR="006C0B75" w:rsidRPr="006C0B75">
        <w:rPr>
          <w:rFonts w:ascii="Open Sans" w:eastAsia="Aptos" w:hAnsi="Open Sans" w:cs="Open Sans"/>
          <w:bCs/>
          <w:sz w:val="21"/>
          <w:szCs w:val="21"/>
        </w:rPr>
        <w:t>; and</w:t>
      </w:r>
    </w:p>
    <w:p w14:paraId="1475A2F8" w14:textId="7D41EAD9" w:rsidR="00CA2556" w:rsidRPr="00CA2556" w:rsidRDefault="00CA2556" w:rsidP="00CA2556">
      <w:pPr>
        <w:spacing w:line="276" w:lineRule="auto"/>
        <w:ind w:right="147"/>
        <w:rPr>
          <w:rFonts w:ascii="Open Sans" w:eastAsia="Aptos" w:hAnsi="Open Sans" w:cs="Open Sans"/>
          <w:b/>
          <w:sz w:val="21"/>
          <w:szCs w:val="21"/>
        </w:rPr>
      </w:pPr>
      <w:r w:rsidRPr="00CA2556">
        <w:rPr>
          <w:rFonts w:ascii="Open Sans" w:eastAsia="Aptos" w:hAnsi="Open Sans" w:cs="Open Sans"/>
          <w:noProof/>
          <w:sz w:val="21"/>
          <w:szCs w:val="21"/>
        </w:rPr>
        <w:drawing>
          <wp:inline distT="0" distB="0" distL="0" distR="0" wp14:anchorId="3E82C201" wp14:editId="39596BD1">
            <wp:extent cx="38100" cy="38099"/>
            <wp:effectExtent l="0" t="0" r="0" b="0"/>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7" cstate="print"/>
                    <a:stretch>
                      <a:fillRect/>
                    </a:stretch>
                  </pic:blipFill>
                  <pic:spPr>
                    <a:xfrm>
                      <a:off x="0" y="0"/>
                      <a:ext cx="38100" cy="38099"/>
                    </a:xfrm>
                    <a:prstGeom prst="rect">
                      <a:avLst/>
                    </a:prstGeom>
                  </pic:spPr>
                </pic:pic>
              </a:graphicData>
            </a:graphic>
          </wp:inline>
        </w:drawing>
      </w:r>
      <w:r w:rsidRPr="00CA2556">
        <w:rPr>
          <w:rFonts w:ascii="Open Sans" w:eastAsia="Aptos" w:hAnsi="Open Sans" w:cs="Open Sans"/>
          <w:sz w:val="21"/>
          <w:szCs w:val="21"/>
        </w:rPr>
        <w:t xml:space="preserve"> Changes to the </w:t>
      </w:r>
      <w:r w:rsidRPr="00CA2556">
        <w:rPr>
          <w:rFonts w:ascii="Open Sans" w:eastAsia="Aptos" w:hAnsi="Open Sans" w:cs="Open Sans"/>
          <w:b/>
          <w:sz w:val="21"/>
          <w:szCs w:val="21"/>
        </w:rPr>
        <w:t>Employee Retention Credit (ERC)</w:t>
      </w:r>
      <w:r w:rsidR="006C0B75" w:rsidRPr="00E73348">
        <w:rPr>
          <w:rFonts w:ascii="Open Sans" w:eastAsia="Aptos" w:hAnsi="Open Sans" w:cs="Open Sans"/>
          <w:bCs/>
          <w:sz w:val="21"/>
          <w:szCs w:val="21"/>
        </w:rPr>
        <w:t>.</w:t>
      </w:r>
    </w:p>
    <w:p w14:paraId="7FF9C607" w14:textId="77777777" w:rsidR="00CA2556" w:rsidRPr="00CA2556" w:rsidRDefault="00CA2556" w:rsidP="00CA2556">
      <w:pPr>
        <w:spacing w:line="276" w:lineRule="auto"/>
        <w:ind w:right="147"/>
        <w:rPr>
          <w:rFonts w:ascii="Open Sans" w:eastAsia="Aptos" w:hAnsi="Open Sans" w:cs="Open Sans"/>
          <w:b/>
          <w:sz w:val="21"/>
          <w:szCs w:val="21"/>
        </w:rPr>
      </w:pPr>
      <w:r w:rsidRPr="00CA2556">
        <w:rPr>
          <w:rFonts w:ascii="Open Sans" w:eastAsia="Aptos" w:hAnsi="Open Sans" w:cs="Open Sans"/>
          <w:b/>
          <w:sz w:val="21"/>
          <w:szCs w:val="21"/>
        </w:rPr>
        <w:t>3.1.9. International Provision – FDII Reformed as FDDEI —</w:t>
      </w:r>
    </w:p>
    <w:p w14:paraId="2C2EF4C1" w14:textId="77777777" w:rsidR="00CA2556" w:rsidRPr="00CA2556" w:rsidRDefault="00CA2556" w:rsidP="00CA2556">
      <w:pPr>
        <w:spacing w:line="276" w:lineRule="auto"/>
        <w:ind w:right="147"/>
        <w:rPr>
          <w:rFonts w:ascii="Open Sans" w:eastAsia="Aptos" w:hAnsi="Open Sans" w:cs="Open Sans"/>
          <w:sz w:val="21"/>
          <w:szCs w:val="21"/>
        </w:rPr>
      </w:pPr>
      <w:r w:rsidRPr="00CA2556">
        <w:rPr>
          <w:rFonts w:ascii="Open Sans" w:eastAsia="Aptos" w:hAnsi="Open Sans" w:cs="Open Sans"/>
          <w:sz w:val="21"/>
          <w:szCs w:val="21"/>
        </w:rPr>
        <w:t>OBBBA replaces the Foreign-Derived Intangible Income (FDII) regime with a newly named “Foreign- Derived Deduction Eligible Income” (FDDEI) regime. The new rules:</w:t>
      </w:r>
    </w:p>
    <w:p w14:paraId="20704D7B" w14:textId="4E13CFEF" w:rsidR="00CA2556" w:rsidRPr="00CA2556" w:rsidRDefault="00CA2556" w:rsidP="00CA2556">
      <w:pPr>
        <w:spacing w:line="276" w:lineRule="auto"/>
        <w:ind w:right="147"/>
        <w:rPr>
          <w:rFonts w:ascii="Open Sans" w:eastAsia="Aptos" w:hAnsi="Open Sans" w:cs="Open Sans"/>
          <w:sz w:val="21"/>
          <w:szCs w:val="21"/>
        </w:rPr>
      </w:pPr>
      <w:r w:rsidRPr="00CA2556">
        <w:rPr>
          <w:rFonts w:ascii="Open Sans" w:eastAsia="Aptos" w:hAnsi="Open Sans" w:cs="Open Sans"/>
          <w:noProof/>
          <w:sz w:val="21"/>
          <w:szCs w:val="21"/>
        </w:rPr>
        <w:drawing>
          <wp:inline distT="0" distB="0" distL="0" distR="0" wp14:anchorId="368A0765" wp14:editId="684A78B1">
            <wp:extent cx="38100" cy="38099"/>
            <wp:effectExtent l="0" t="0" r="0" b="0"/>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7" cstate="print"/>
                    <a:stretch>
                      <a:fillRect/>
                    </a:stretch>
                  </pic:blipFill>
                  <pic:spPr>
                    <a:xfrm>
                      <a:off x="0" y="0"/>
                      <a:ext cx="38100" cy="38099"/>
                    </a:xfrm>
                    <a:prstGeom prst="rect">
                      <a:avLst/>
                    </a:prstGeom>
                  </pic:spPr>
                </pic:pic>
              </a:graphicData>
            </a:graphic>
          </wp:inline>
        </w:drawing>
      </w:r>
      <w:r w:rsidRPr="00CA2556">
        <w:rPr>
          <w:rFonts w:ascii="Open Sans" w:eastAsia="Aptos" w:hAnsi="Open Sans" w:cs="Open Sans"/>
          <w:sz w:val="21"/>
          <w:szCs w:val="21"/>
        </w:rPr>
        <w:t xml:space="preserve"> Reduce the deduction from 37.5% to 33.34% (yielding a 14% effective tax rate</w:t>
      </w:r>
      <w:proofErr w:type="gramStart"/>
      <w:r w:rsidRPr="00CA2556">
        <w:rPr>
          <w:rFonts w:ascii="Open Sans" w:eastAsia="Aptos" w:hAnsi="Open Sans" w:cs="Open Sans"/>
          <w:sz w:val="21"/>
          <w:szCs w:val="21"/>
        </w:rPr>
        <w:t>)</w:t>
      </w:r>
      <w:r w:rsidR="00A036DC">
        <w:rPr>
          <w:rFonts w:ascii="Open Sans" w:eastAsia="Aptos" w:hAnsi="Open Sans" w:cs="Open Sans"/>
          <w:sz w:val="21"/>
          <w:szCs w:val="21"/>
        </w:rPr>
        <w:t>;</w:t>
      </w:r>
      <w:proofErr w:type="gramEnd"/>
    </w:p>
    <w:p w14:paraId="0F593876" w14:textId="7724F3E3" w:rsidR="00CA2556" w:rsidRPr="00CA2556" w:rsidRDefault="00CA2556" w:rsidP="00CA2556">
      <w:pPr>
        <w:spacing w:line="276" w:lineRule="auto"/>
        <w:ind w:right="147"/>
        <w:rPr>
          <w:rFonts w:ascii="Open Sans" w:eastAsia="Aptos" w:hAnsi="Open Sans" w:cs="Open Sans"/>
          <w:sz w:val="21"/>
          <w:szCs w:val="21"/>
        </w:rPr>
      </w:pPr>
      <w:r w:rsidRPr="00CA2556">
        <w:rPr>
          <w:rFonts w:ascii="Open Sans" w:eastAsia="Aptos" w:hAnsi="Open Sans" w:cs="Open Sans"/>
          <w:noProof/>
          <w:sz w:val="21"/>
          <w:szCs w:val="21"/>
        </w:rPr>
        <w:drawing>
          <wp:inline distT="0" distB="0" distL="0" distR="0" wp14:anchorId="0C0517B0" wp14:editId="3A6A784E">
            <wp:extent cx="38100" cy="38099"/>
            <wp:effectExtent l="0" t="0" r="0" b="0"/>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7" cstate="print"/>
                    <a:stretch>
                      <a:fillRect/>
                    </a:stretch>
                  </pic:blipFill>
                  <pic:spPr>
                    <a:xfrm>
                      <a:off x="0" y="0"/>
                      <a:ext cx="38100" cy="38099"/>
                    </a:xfrm>
                    <a:prstGeom prst="rect">
                      <a:avLst/>
                    </a:prstGeom>
                  </pic:spPr>
                </pic:pic>
              </a:graphicData>
            </a:graphic>
          </wp:inline>
        </w:drawing>
      </w:r>
      <w:r w:rsidRPr="00CA2556">
        <w:rPr>
          <w:rFonts w:ascii="Open Sans" w:eastAsia="Aptos" w:hAnsi="Open Sans" w:cs="Open Sans"/>
          <w:sz w:val="21"/>
          <w:szCs w:val="21"/>
        </w:rPr>
        <w:t xml:space="preserve"> Eliminate the Deemed Return on Qualified Business Asset Investment (QBAI</w:t>
      </w:r>
      <w:proofErr w:type="gramStart"/>
      <w:r w:rsidRPr="00CA2556">
        <w:rPr>
          <w:rFonts w:ascii="Open Sans" w:eastAsia="Aptos" w:hAnsi="Open Sans" w:cs="Open Sans"/>
          <w:sz w:val="21"/>
          <w:szCs w:val="21"/>
        </w:rPr>
        <w:t>)</w:t>
      </w:r>
      <w:r w:rsidR="00A036DC">
        <w:rPr>
          <w:rFonts w:ascii="Open Sans" w:eastAsia="Aptos" w:hAnsi="Open Sans" w:cs="Open Sans"/>
          <w:sz w:val="21"/>
          <w:szCs w:val="21"/>
        </w:rPr>
        <w:t>;</w:t>
      </w:r>
      <w:proofErr w:type="gramEnd"/>
    </w:p>
    <w:p w14:paraId="6CD7B2FF" w14:textId="1C8EE3CC" w:rsidR="00CA2556" w:rsidRPr="00CA2556" w:rsidRDefault="00CA2556" w:rsidP="00CA2556">
      <w:pPr>
        <w:spacing w:line="276" w:lineRule="auto"/>
        <w:ind w:right="147"/>
        <w:rPr>
          <w:rFonts w:ascii="Open Sans" w:eastAsia="Aptos" w:hAnsi="Open Sans" w:cs="Open Sans"/>
          <w:sz w:val="21"/>
          <w:szCs w:val="21"/>
        </w:rPr>
      </w:pPr>
      <w:r w:rsidRPr="00CA2556">
        <w:rPr>
          <w:rFonts w:ascii="Open Sans" w:eastAsia="Aptos" w:hAnsi="Open Sans" w:cs="Open Sans"/>
          <w:noProof/>
          <w:sz w:val="21"/>
          <w:szCs w:val="21"/>
        </w:rPr>
        <w:drawing>
          <wp:inline distT="0" distB="0" distL="0" distR="0" wp14:anchorId="2196191C" wp14:editId="164E19AC">
            <wp:extent cx="38100" cy="38099"/>
            <wp:effectExtent l="0" t="0" r="0" b="0"/>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7" cstate="print"/>
                    <a:stretch>
                      <a:fillRect/>
                    </a:stretch>
                  </pic:blipFill>
                  <pic:spPr>
                    <a:xfrm>
                      <a:off x="0" y="0"/>
                      <a:ext cx="38100" cy="38099"/>
                    </a:xfrm>
                    <a:prstGeom prst="rect">
                      <a:avLst/>
                    </a:prstGeom>
                  </pic:spPr>
                </pic:pic>
              </a:graphicData>
            </a:graphic>
          </wp:inline>
        </w:drawing>
      </w:r>
      <w:r w:rsidRPr="00CA2556">
        <w:rPr>
          <w:rFonts w:ascii="Open Sans" w:eastAsia="Aptos" w:hAnsi="Open Sans" w:cs="Open Sans"/>
          <w:sz w:val="21"/>
          <w:szCs w:val="21"/>
        </w:rPr>
        <w:t xml:space="preserve"> Prohibit allocation of interest and R&amp;D expenses against FDDEI</w:t>
      </w:r>
      <w:r w:rsidR="00ED32EF">
        <w:rPr>
          <w:rFonts w:ascii="Open Sans" w:eastAsia="Aptos" w:hAnsi="Open Sans" w:cs="Open Sans"/>
          <w:sz w:val="21"/>
          <w:szCs w:val="21"/>
        </w:rPr>
        <w:t xml:space="preserve"> and</w:t>
      </w:r>
      <w:r w:rsidRPr="00CA2556">
        <w:rPr>
          <w:rFonts w:ascii="Open Sans" w:eastAsia="Aptos" w:hAnsi="Open Sans" w:cs="Open Sans"/>
          <w:sz w:val="21"/>
          <w:szCs w:val="21"/>
        </w:rPr>
        <w:t xml:space="preserve"> only directly allocable deductions apply</w:t>
      </w:r>
      <w:r w:rsidR="00A036DC">
        <w:rPr>
          <w:rFonts w:ascii="Open Sans" w:eastAsia="Aptos" w:hAnsi="Open Sans" w:cs="Open Sans"/>
          <w:sz w:val="21"/>
          <w:szCs w:val="21"/>
        </w:rPr>
        <w:t>; and</w:t>
      </w:r>
    </w:p>
    <w:p w14:paraId="29FAE051" w14:textId="7E678B2A" w:rsidR="00CA2556" w:rsidRPr="00CA2556" w:rsidRDefault="00CA2556" w:rsidP="00CA2556">
      <w:pPr>
        <w:spacing w:line="276" w:lineRule="auto"/>
        <w:ind w:right="147"/>
        <w:rPr>
          <w:rFonts w:ascii="Open Sans" w:eastAsia="Aptos" w:hAnsi="Open Sans" w:cs="Open Sans"/>
          <w:sz w:val="21"/>
          <w:szCs w:val="21"/>
        </w:rPr>
      </w:pPr>
      <w:r w:rsidRPr="00CA2556">
        <w:rPr>
          <w:rFonts w:ascii="Open Sans" w:eastAsia="Aptos" w:hAnsi="Open Sans" w:cs="Open Sans"/>
          <w:noProof/>
          <w:sz w:val="21"/>
          <w:szCs w:val="21"/>
        </w:rPr>
        <w:drawing>
          <wp:inline distT="0" distB="0" distL="0" distR="0" wp14:anchorId="4D3B8E6F" wp14:editId="00D425F3">
            <wp:extent cx="38100" cy="38099"/>
            <wp:effectExtent l="0" t="0" r="0" b="0"/>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7" cstate="print"/>
                    <a:stretch>
                      <a:fillRect/>
                    </a:stretch>
                  </pic:blipFill>
                  <pic:spPr>
                    <a:xfrm>
                      <a:off x="0" y="0"/>
                      <a:ext cx="38100" cy="38099"/>
                    </a:xfrm>
                    <a:prstGeom prst="rect">
                      <a:avLst/>
                    </a:prstGeom>
                  </pic:spPr>
                </pic:pic>
              </a:graphicData>
            </a:graphic>
          </wp:inline>
        </w:drawing>
      </w:r>
      <w:r w:rsidRPr="00CA2556">
        <w:rPr>
          <w:rFonts w:ascii="Open Sans" w:eastAsia="Aptos" w:hAnsi="Open Sans" w:cs="Open Sans"/>
          <w:sz w:val="21"/>
          <w:szCs w:val="21"/>
        </w:rPr>
        <w:t xml:space="preserve"> Exclude Section 367(d) transfers of intangibles and depreciable property from eligible income</w:t>
      </w:r>
      <w:r w:rsidR="00A036DC">
        <w:rPr>
          <w:rFonts w:ascii="Open Sans" w:eastAsia="Aptos" w:hAnsi="Open Sans" w:cs="Open Sans"/>
          <w:sz w:val="21"/>
          <w:szCs w:val="21"/>
        </w:rPr>
        <w:t>.</w:t>
      </w:r>
    </w:p>
    <w:p w14:paraId="187C4AAF" w14:textId="77777777" w:rsidR="00CA2556" w:rsidRPr="00CA2556" w:rsidRDefault="00CA2556" w:rsidP="00CA2556">
      <w:pPr>
        <w:spacing w:line="276" w:lineRule="auto"/>
        <w:ind w:right="147"/>
        <w:rPr>
          <w:rFonts w:ascii="Open Sans" w:eastAsia="Aptos" w:hAnsi="Open Sans" w:cs="Open Sans"/>
          <w:sz w:val="21"/>
          <w:szCs w:val="21"/>
        </w:rPr>
      </w:pPr>
      <w:r w:rsidRPr="00CA2556">
        <w:rPr>
          <w:rFonts w:ascii="Open Sans" w:eastAsia="Aptos" w:hAnsi="Open Sans" w:cs="Open Sans"/>
          <w:sz w:val="21"/>
          <w:szCs w:val="21"/>
        </w:rPr>
        <w:t>These changes apply to tax years beginning after December 31, 2025. The exclusions for 367(d) transfers take effect after June 16, 2025.</w:t>
      </w:r>
    </w:p>
    <w:p w14:paraId="7349EB72" w14:textId="3391292B" w:rsidR="00CA2556" w:rsidRPr="00CA2556" w:rsidRDefault="00CA2556" w:rsidP="00CA2556">
      <w:pPr>
        <w:spacing w:line="276" w:lineRule="auto"/>
        <w:ind w:right="147"/>
        <w:rPr>
          <w:rFonts w:ascii="Open Sans" w:eastAsia="Aptos" w:hAnsi="Open Sans" w:cs="Open Sans"/>
          <w:sz w:val="21"/>
          <w:szCs w:val="21"/>
        </w:rPr>
      </w:pPr>
      <w:r w:rsidRPr="00CA2556">
        <w:rPr>
          <w:rFonts w:ascii="Open Sans" w:eastAsia="Aptos" w:hAnsi="Open Sans" w:cs="Open Sans"/>
          <w:sz w:val="21"/>
          <w:szCs w:val="21"/>
        </w:rPr>
        <w:t>The transition to FDDEI impact</w:t>
      </w:r>
      <w:r w:rsidR="005D0EB7">
        <w:rPr>
          <w:rFonts w:ascii="Open Sans" w:eastAsia="Aptos" w:hAnsi="Open Sans" w:cs="Open Sans"/>
          <w:sz w:val="21"/>
          <w:szCs w:val="21"/>
        </w:rPr>
        <w:t>s</w:t>
      </w:r>
      <w:r w:rsidRPr="00CA2556">
        <w:rPr>
          <w:rFonts w:ascii="Open Sans" w:eastAsia="Aptos" w:hAnsi="Open Sans" w:cs="Open Sans"/>
          <w:sz w:val="21"/>
          <w:szCs w:val="21"/>
        </w:rPr>
        <w:t xml:space="preserve"> companies with significant export income. R&amp;D deductions no longer being allocable in 2026 </w:t>
      </w:r>
      <w:proofErr w:type="gramStart"/>
      <w:r w:rsidRPr="00CA2556">
        <w:rPr>
          <w:rFonts w:ascii="Open Sans" w:eastAsia="Aptos" w:hAnsi="Open Sans" w:cs="Open Sans"/>
          <w:sz w:val="21"/>
          <w:szCs w:val="21"/>
        </w:rPr>
        <w:t>create</w:t>
      </w:r>
      <w:r w:rsidR="003412D2">
        <w:rPr>
          <w:rFonts w:ascii="Open Sans" w:eastAsia="Aptos" w:hAnsi="Open Sans" w:cs="Open Sans"/>
          <w:sz w:val="21"/>
          <w:szCs w:val="21"/>
        </w:rPr>
        <w:t>s</w:t>
      </w:r>
      <w:proofErr w:type="gramEnd"/>
      <w:r w:rsidRPr="00CA2556">
        <w:rPr>
          <w:rFonts w:ascii="Open Sans" w:eastAsia="Aptos" w:hAnsi="Open Sans" w:cs="Open Sans"/>
          <w:sz w:val="21"/>
          <w:szCs w:val="21"/>
        </w:rPr>
        <w:t xml:space="preserve"> a planning opportunity in 2025. </w:t>
      </w:r>
      <w:r w:rsidR="003412D2">
        <w:rPr>
          <w:rFonts w:ascii="Open Sans" w:eastAsia="Aptos" w:hAnsi="Open Sans" w:cs="Open Sans"/>
          <w:sz w:val="21"/>
          <w:szCs w:val="21"/>
        </w:rPr>
        <w:t>The taxpayer should c</w:t>
      </w:r>
      <w:r w:rsidRPr="00CA2556">
        <w:rPr>
          <w:rFonts w:ascii="Open Sans" w:eastAsia="Aptos" w:hAnsi="Open Sans" w:cs="Open Sans"/>
          <w:sz w:val="21"/>
          <w:szCs w:val="21"/>
        </w:rPr>
        <w:t xml:space="preserve">onsider accelerating qualifying export income and modeling how the rule changes affect </w:t>
      </w:r>
      <w:r w:rsidR="00D834F0">
        <w:rPr>
          <w:rFonts w:ascii="Open Sans" w:eastAsia="Aptos" w:hAnsi="Open Sans" w:cs="Open Sans"/>
          <w:sz w:val="21"/>
          <w:szCs w:val="21"/>
        </w:rPr>
        <w:t>their</w:t>
      </w:r>
      <w:r w:rsidRPr="00CA2556">
        <w:rPr>
          <w:rFonts w:ascii="Open Sans" w:eastAsia="Aptos" w:hAnsi="Open Sans" w:cs="Open Sans"/>
          <w:sz w:val="21"/>
          <w:szCs w:val="21"/>
        </w:rPr>
        <w:t xml:space="preserve"> deduction strategy. The impact of the additional deductions for depreciation and R&amp;D </w:t>
      </w:r>
      <w:proofErr w:type="gramStart"/>
      <w:r w:rsidRPr="00CA2556">
        <w:rPr>
          <w:rFonts w:ascii="Open Sans" w:eastAsia="Aptos" w:hAnsi="Open Sans" w:cs="Open Sans"/>
          <w:sz w:val="21"/>
          <w:szCs w:val="21"/>
        </w:rPr>
        <w:t>expensing</w:t>
      </w:r>
      <w:proofErr w:type="gramEnd"/>
      <w:r w:rsidRPr="00CA2556">
        <w:rPr>
          <w:rFonts w:ascii="Open Sans" w:eastAsia="Aptos" w:hAnsi="Open Sans" w:cs="Open Sans"/>
          <w:sz w:val="21"/>
          <w:szCs w:val="21"/>
        </w:rPr>
        <w:t xml:space="preserve"> (for 2025) should also be considered.</w:t>
      </w:r>
      <w:r w:rsidR="008804BF">
        <w:rPr>
          <w:rStyle w:val="FootnoteReference"/>
          <w:rFonts w:ascii="Open Sans" w:eastAsia="Aptos" w:hAnsi="Open Sans" w:cs="Open Sans"/>
          <w:sz w:val="21"/>
          <w:szCs w:val="21"/>
        </w:rPr>
        <w:footnoteReference w:id="5"/>
      </w:r>
    </w:p>
    <w:p w14:paraId="75DA6661" w14:textId="77777777" w:rsidR="00CA2556" w:rsidRPr="00CA2556" w:rsidRDefault="00CA2556" w:rsidP="00CA2556">
      <w:pPr>
        <w:spacing w:line="276" w:lineRule="auto"/>
        <w:ind w:right="147"/>
        <w:rPr>
          <w:rFonts w:ascii="Open Sans" w:eastAsia="Aptos" w:hAnsi="Open Sans" w:cs="Open Sans"/>
          <w:b/>
          <w:bCs/>
          <w:sz w:val="21"/>
          <w:szCs w:val="21"/>
        </w:rPr>
      </w:pPr>
      <w:r w:rsidRPr="00CA2556">
        <w:rPr>
          <w:rFonts w:ascii="Open Sans" w:eastAsia="Aptos" w:hAnsi="Open Sans" w:cs="Open Sans"/>
          <w:b/>
          <w:bCs/>
          <w:sz w:val="21"/>
          <w:szCs w:val="21"/>
        </w:rPr>
        <w:t>3.1.10. International Provision – GILTI Now “Net CFC Tested Income”</w:t>
      </w:r>
      <w:r w:rsidRPr="00CA2556">
        <w:rPr>
          <w:rFonts w:ascii="Open Sans" w:eastAsia="Aptos" w:hAnsi="Open Sans" w:cs="Open Sans"/>
          <w:color w:val="000000"/>
          <w:sz w:val="21"/>
          <w:szCs w:val="21"/>
        </w:rPr>
        <w:t xml:space="preserve"> </w:t>
      </w:r>
      <w:r w:rsidRPr="00CA2556">
        <w:rPr>
          <w:rFonts w:ascii="Open Sans" w:eastAsia="Aptos" w:hAnsi="Open Sans" w:cs="Open Sans"/>
          <w:b/>
          <w:bCs/>
          <w:sz w:val="21"/>
          <w:szCs w:val="21"/>
        </w:rPr>
        <w:t xml:space="preserve">— </w:t>
      </w:r>
    </w:p>
    <w:p w14:paraId="56967BB7" w14:textId="77777777" w:rsidR="00CA2556" w:rsidRPr="00CA2556" w:rsidRDefault="00CA2556" w:rsidP="00CA2556">
      <w:pPr>
        <w:spacing w:line="276" w:lineRule="auto"/>
        <w:ind w:right="147"/>
        <w:rPr>
          <w:rFonts w:ascii="Open Sans" w:eastAsia="Aptos" w:hAnsi="Open Sans" w:cs="Open Sans"/>
          <w:sz w:val="21"/>
          <w:szCs w:val="21"/>
        </w:rPr>
      </w:pPr>
      <w:r w:rsidRPr="00CA2556">
        <w:rPr>
          <w:rFonts w:ascii="Open Sans" w:eastAsia="Aptos" w:hAnsi="Open Sans" w:cs="Open Sans"/>
          <w:sz w:val="21"/>
          <w:szCs w:val="21"/>
        </w:rPr>
        <w:t>OBBBA also makes major changes to the Global Intangible Low-Taxed Income (GILTI) regime, now renamed “Net CFC Tested Income.” Key updates include:</w:t>
      </w:r>
    </w:p>
    <w:p w14:paraId="66150BA5" w14:textId="2F919629" w:rsidR="00CA2556" w:rsidRPr="00CA2556" w:rsidRDefault="00CA2556" w:rsidP="00CA2556">
      <w:pPr>
        <w:spacing w:line="276" w:lineRule="auto"/>
        <w:ind w:right="147"/>
        <w:rPr>
          <w:rFonts w:ascii="Open Sans" w:eastAsia="Aptos" w:hAnsi="Open Sans" w:cs="Open Sans"/>
          <w:sz w:val="21"/>
          <w:szCs w:val="21"/>
        </w:rPr>
      </w:pPr>
      <w:r w:rsidRPr="00CA2556">
        <w:rPr>
          <w:rFonts w:ascii="Calibri" w:eastAsia="Aptos" w:hAnsi="Calibri" w:cs="Times New Roman"/>
          <w:noProof/>
          <w:sz w:val="22"/>
        </w:rPr>
        <w:drawing>
          <wp:inline distT="0" distB="0" distL="0" distR="0" wp14:anchorId="6987F611" wp14:editId="26492996">
            <wp:extent cx="38100" cy="38100"/>
            <wp:effectExtent l="0" t="0" r="0" b="0"/>
            <wp:docPr id="59147425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60"/>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pic:spPr>
                </pic:pic>
              </a:graphicData>
            </a:graphic>
          </wp:inline>
        </w:drawing>
      </w:r>
      <w:r w:rsidRPr="00CA2556">
        <w:rPr>
          <w:rFonts w:ascii="Open Sans" w:eastAsia="Aptos" w:hAnsi="Open Sans" w:cs="Open Sans"/>
          <w:sz w:val="21"/>
          <w:szCs w:val="21"/>
        </w:rPr>
        <w:t xml:space="preserve">  Reducing the GILTI deduction from 50% to </w:t>
      </w:r>
      <w:proofErr w:type="gramStart"/>
      <w:r w:rsidRPr="00CA2556">
        <w:rPr>
          <w:rFonts w:ascii="Open Sans" w:eastAsia="Aptos" w:hAnsi="Open Sans" w:cs="Open Sans"/>
          <w:sz w:val="21"/>
          <w:szCs w:val="21"/>
        </w:rPr>
        <w:t>40%</w:t>
      </w:r>
      <w:r w:rsidR="00443DCA">
        <w:rPr>
          <w:rFonts w:ascii="Open Sans" w:eastAsia="Aptos" w:hAnsi="Open Sans" w:cs="Open Sans"/>
          <w:sz w:val="21"/>
          <w:szCs w:val="21"/>
        </w:rPr>
        <w:t>;</w:t>
      </w:r>
      <w:proofErr w:type="gramEnd"/>
      <w:r w:rsidRPr="00CA2556">
        <w:rPr>
          <w:rFonts w:ascii="Open Sans" w:eastAsia="Aptos" w:hAnsi="Open Sans" w:cs="Open Sans"/>
          <w:sz w:val="21"/>
          <w:szCs w:val="21"/>
        </w:rPr>
        <w:t xml:space="preserve"> </w:t>
      </w:r>
    </w:p>
    <w:p w14:paraId="506CB5EC" w14:textId="74961CE1" w:rsidR="00CA2556" w:rsidRPr="00CA2556" w:rsidRDefault="00CA2556" w:rsidP="00CA2556">
      <w:pPr>
        <w:spacing w:line="276" w:lineRule="auto"/>
        <w:ind w:right="147"/>
        <w:rPr>
          <w:rFonts w:ascii="Open Sans" w:eastAsia="Aptos" w:hAnsi="Open Sans" w:cs="Open Sans"/>
          <w:sz w:val="21"/>
          <w:szCs w:val="21"/>
        </w:rPr>
      </w:pPr>
      <w:r w:rsidRPr="00CA2556">
        <w:rPr>
          <w:rFonts w:ascii="Open Sans" w:eastAsia="Aptos" w:hAnsi="Open Sans" w:cs="Open Sans"/>
          <w:noProof/>
          <w:sz w:val="21"/>
          <w:szCs w:val="21"/>
        </w:rPr>
        <w:drawing>
          <wp:inline distT="0" distB="0" distL="0" distR="0" wp14:anchorId="65C084C9" wp14:editId="25B304FD">
            <wp:extent cx="38100" cy="38099"/>
            <wp:effectExtent l="0" t="0" r="0" b="0"/>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38100" cy="38099"/>
                    </a:xfrm>
                    <a:prstGeom prst="rect">
                      <a:avLst/>
                    </a:prstGeom>
                  </pic:spPr>
                </pic:pic>
              </a:graphicData>
            </a:graphic>
          </wp:inline>
        </w:drawing>
      </w:r>
      <w:r w:rsidRPr="00CA2556">
        <w:rPr>
          <w:rFonts w:ascii="Open Sans" w:eastAsia="Aptos" w:hAnsi="Open Sans" w:cs="Open Sans"/>
          <w:sz w:val="21"/>
          <w:szCs w:val="21"/>
        </w:rPr>
        <w:t xml:space="preserve"> Allowing 90% of foreign tax credits (FTCs)</w:t>
      </w:r>
      <w:r w:rsidR="006B7847">
        <w:rPr>
          <w:rFonts w:ascii="Open Sans" w:eastAsia="Aptos" w:hAnsi="Open Sans" w:cs="Open Sans"/>
          <w:sz w:val="21"/>
          <w:szCs w:val="21"/>
        </w:rPr>
        <w:t xml:space="preserve"> </w:t>
      </w:r>
      <w:r w:rsidRPr="00CA2556">
        <w:rPr>
          <w:rFonts w:ascii="Open Sans" w:eastAsia="Aptos" w:hAnsi="Open Sans" w:cs="Open Sans"/>
          <w:sz w:val="21"/>
          <w:szCs w:val="21"/>
        </w:rPr>
        <w:t xml:space="preserve">against </w:t>
      </w:r>
      <w:proofErr w:type="gramStart"/>
      <w:r w:rsidRPr="00CA2556">
        <w:rPr>
          <w:rFonts w:ascii="Open Sans" w:eastAsia="Aptos" w:hAnsi="Open Sans" w:cs="Open Sans"/>
          <w:sz w:val="21"/>
          <w:szCs w:val="21"/>
        </w:rPr>
        <w:t>GILTI</w:t>
      </w:r>
      <w:r w:rsidR="00443DCA">
        <w:rPr>
          <w:rFonts w:ascii="Open Sans" w:eastAsia="Aptos" w:hAnsi="Open Sans" w:cs="Open Sans"/>
          <w:sz w:val="21"/>
          <w:szCs w:val="21"/>
        </w:rPr>
        <w:t>;</w:t>
      </w:r>
      <w:proofErr w:type="gramEnd"/>
    </w:p>
    <w:p w14:paraId="758BF7AC" w14:textId="37D360D9" w:rsidR="00CA2556" w:rsidRPr="00CA2556" w:rsidRDefault="00CA2556" w:rsidP="00CA2556">
      <w:pPr>
        <w:spacing w:line="276" w:lineRule="auto"/>
        <w:ind w:right="147"/>
        <w:rPr>
          <w:rFonts w:ascii="Open Sans" w:eastAsia="Aptos" w:hAnsi="Open Sans" w:cs="Open Sans"/>
          <w:sz w:val="21"/>
          <w:szCs w:val="21"/>
        </w:rPr>
      </w:pPr>
      <w:r w:rsidRPr="00CA2556">
        <w:rPr>
          <w:rFonts w:ascii="Open Sans" w:eastAsia="Aptos" w:hAnsi="Open Sans" w:cs="Open Sans"/>
          <w:noProof/>
          <w:sz w:val="21"/>
          <w:szCs w:val="21"/>
        </w:rPr>
        <w:drawing>
          <wp:inline distT="0" distB="0" distL="0" distR="0" wp14:anchorId="5FD3276A" wp14:editId="429BEE9D">
            <wp:extent cx="38100" cy="38099"/>
            <wp:effectExtent l="0" t="0" r="0" b="0"/>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7" cstate="print"/>
                    <a:stretch>
                      <a:fillRect/>
                    </a:stretch>
                  </pic:blipFill>
                  <pic:spPr>
                    <a:xfrm>
                      <a:off x="0" y="0"/>
                      <a:ext cx="38100" cy="38099"/>
                    </a:xfrm>
                    <a:prstGeom prst="rect">
                      <a:avLst/>
                    </a:prstGeom>
                  </pic:spPr>
                </pic:pic>
              </a:graphicData>
            </a:graphic>
          </wp:inline>
        </w:drawing>
      </w:r>
      <w:r w:rsidRPr="00CA2556">
        <w:rPr>
          <w:rFonts w:ascii="Open Sans" w:eastAsia="Aptos" w:hAnsi="Open Sans" w:cs="Open Sans"/>
          <w:sz w:val="21"/>
          <w:szCs w:val="21"/>
        </w:rPr>
        <w:t xml:space="preserve"> Removing 10% of foreign taxes from Section 78 gross-up </w:t>
      </w:r>
      <w:proofErr w:type="gramStart"/>
      <w:r w:rsidRPr="00CA2556">
        <w:rPr>
          <w:rFonts w:ascii="Open Sans" w:eastAsia="Aptos" w:hAnsi="Open Sans" w:cs="Open Sans"/>
          <w:sz w:val="21"/>
          <w:szCs w:val="21"/>
        </w:rPr>
        <w:t>treatment</w:t>
      </w:r>
      <w:r w:rsidR="00443DCA">
        <w:rPr>
          <w:rFonts w:ascii="Open Sans" w:eastAsia="Aptos" w:hAnsi="Open Sans" w:cs="Open Sans"/>
          <w:sz w:val="21"/>
          <w:szCs w:val="21"/>
        </w:rPr>
        <w:t>;</w:t>
      </w:r>
      <w:proofErr w:type="gramEnd"/>
    </w:p>
    <w:p w14:paraId="15A972A1" w14:textId="6DB3F349" w:rsidR="00CA2556" w:rsidRPr="00CA2556" w:rsidRDefault="00CA2556" w:rsidP="00CA2556">
      <w:pPr>
        <w:spacing w:line="276" w:lineRule="auto"/>
        <w:ind w:right="147"/>
        <w:rPr>
          <w:rFonts w:ascii="Open Sans" w:eastAsia="Aptos" w:hAnsi="Open Sans" w:cs="Open Sans"/>
          <w:sz w:val="21"/>
          <w:szCs w:val="21"/>
        </w:rPr>
      </w:pPr>
      <w:r w:rsidRPr="00CA2556">
        <w:rPr>
          <w:rFonts w:ascii="Open Sans" w:eastAsia="Aptos" w:hAnsi="Open Sans" w:cs="Open Sans"/>
          <w:noProof/>
          <w:sz w:val="21"/>
          <w:szCs w:val="21"/>
        </w:rPr>
        <w:drawing>
          <wp:inline distT="0" distB="0" distL="0" distR="0" wp14:anchorId="731DE675" wp14:editId="5D1F0625">
            <wp:extent cx="38100" cy="38099"/>
            <wp:effectExtent l="0" t="0" r="0" b="0"/>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7" cstate="print"/>
                    <a:stretch>
                      <a:fillRect/>
                    </a:stretch>
                  </pic:blipFill>
                  <pic:spPr>
                    <a:xfrm>
                      <a:off x="0" y="0"/>
                      <a:ext cx="38100" cy="38099"/>
                    </a:xfrm>
                    <a:prstGeom prst="rect">
                      <a:avLst/>
                    </a:prstGeom>
                  </pic:spPr>
                </pic:pic>
              </a:graphicData>
            </a:graphic>
          </wp:inline>
        </w:drawing>
      </w:r>
      <w:r w:rsidRPr="00CA2556">
        <w:rPr>
          <w:rFonts w:ascii="Open Sans" w:eastAsia="Aptos" w:hAnsi="Open Sans" w:cs="Open Sans"/>
          <w:sz w:val="21"/>
          <w:szCs w:val="21"/>
        </w:rPr>
        <w:t xml:space="preserve">  Repealing QBAI for GILTI calculations</w:t>
      </w:r>
      <w:r w:rsidR="00443DCA">
        <w:rPr>
          <w:rFonts w:ascii="Open Sans" w:eastAsia="Aptos" w:hAnsi="Open Sans" w:cs="Open Sans"/>
          <w:sz w:val="21"/>
          <w:szCs w:val="21"/>
        </w:rPr>
        <w:t>; and</w:t>
      </w:r>
    </w:p>
    <w:p w14:paraId="209F48C2" w14:textId="69E06C34" w:rsidR="00CA2556" w:rsidRPr="00CA2556" w:rsidRDefault="00CA2556" w:rsidP="00CA2556">
      <w:pPr>
        <w:spacing w:line="276" w:lineRule="auto"/>
        <w:ind w:right="147"/>
        <w:rPr>
          <w:rFonts w:ascii="Open Sans" w:eastAsia="Aptos" w:hAnsi="Open Sans" w:cs="Open Sans"/>
          <w:sz w:val="21"/>
          <w:szCs w:val="21"/>
        </w:rPr>
      </w:pPr>
      <w:r w:rsidRPr="00CA2556">
        <w:rPr>
          <w:rFonts w:ascii="Open Sans" w:eastAsia="Aptos" w:hAnsi="Open Sans" w:cs="Open Sans"/>
          <w:noProof/>
          <w:sz w:val="21"/>
          <w:szCs w:val="21"/>
        </w:rPr>
        <w:drawing>
          <wp:inline distT="0" distB="0" distL="0" distR="0" wp14:anchorId="0A3BAC29" wp14:editId="2E4857E5">
            <wp:extent cx="38100" cy="38099"/>
            <wp:effectExtent l="0" t="0" r="0" b="0"/>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7" cstate="print"/>
                    <a:stretch>
                      <a:fillRect/>
                    </a:stretch>
                  </pic:blipFill>
                  <pic:spPr>
                    <a:xfrm>
                      <a:off x="0" y="0"/>
                      <a:ext cx="38100" cy="38099"/>
                    </a:xfrm>
                    <a:prstGeom prst="rect">
                      <a:avLst/>
                    </a:prstGeom>
                  </pic:spPr>
                </pic:pic>
              </a:graphicData>
            </a:graphic>
          </wp:inline>
        </w:drawing>
      </w:r>
      <w:r w:rsidRPr="00CA2556">
        <w:rPr>
          <w:rFonts w:ascii="Open Sans" w:eastAsia="Aptos" w:hAnsi="Open Sans" w:cs="Open Sans"/>
          <w:sz w:val="21"/>
          <w:szCs w:val="21"/>
        </w:rPr>
        <w:t xml:space="preserve"> Limiting expense allocations for FTC purposes to only directly allocable expenses (interest and R&amp;D are excluded)</w:t>
      </w:r>
      <w:r w:rsidR="00443DCA">
        <w:rPr>
          <w:rFonts w:ascii="Open Sans" w:eastAsia="Aptos" w:hAnsi="Open Sans" w:cs="Open Sans"/>
          <w:sz w:val="21"/>
          <w:szCs w:val="21"/>
        </w:rPr>
        <w:t>.</w:t>
      </w:r>
    </w:p>
    <w:p w14:paraId="19B6EBC8" w14:textId="1289232D" w:rsidR="00CA2556" w:rsidRPr="00CA2556" w:rsidRDefault="00CA2556" w:rsidP="00CA2556">
      <w:pPr>
        <w:spacing w:line="276" w:lineRule="auto"/>
        <w:ind w:right="147"/>
        <w:rPr>
          <w:rFonts w:ascii="Open Sans" w:eastAsia="Aptos" w:hAnsi="Open Sans" w:cs="Open Sans"/>
          <w:sz w:val="21"/>
          <w:szCs w:val="21"/>
        </w:rPr>
      </w:pPr>
      <w:r w:rsidRPr="00CA2556">
        <w:rPr>
          <w:rFonts w:ascii="Open Sans" w:eastAsia="Aptos" w:hAnsi="Open Sans" w:cs="Open Sans"/>
          <w:sz w:val="21"/>
          <w:szCs w:val="21"/>
        </w:rPr>
        <w:t>These changes apply to tax years beginning after December 31, 2025.</w:t>
      </w:r>
    </w:p>
    <w:p w14:paraId="19801F11" w14:textId="62E51E07" w:rsidR="00CA2556" w:rsidRPr="00CA2556" w:rsidRDefault="00CA2556" w:rsidP="00CA2556">
      <w:pPr>
        <w:spacing w:line="276" w:lineRule="auto"/>
        <w:ind w:right="147"/>
        <w:rPr>
          <w:rFonts w:ascii="Open Sans" w:eastAsia="Aptos" w:hAnsi="Open Sans" w:cs="Open Sans"/>
          <w:sz w:val="21"/>
          <w:szCs w:val="21"/>
        </w:rPr>
      </w:pPr>
      <w:r w:rsidRPr="00CA2556">
        <w:rPr>
          <w:rFonts w:ascii="Open Sans" w:eastAsia="Aptos" w:hAnsi="Open Sans" w:cs="Open Sans"/>
          <w:sz w:val="21"/>
          <w:szCs w:val="21"/>
        </w:rPr>
        <w:t>With reduced deductions and altered FTC calculations, taxpayers with CFCs should run side-by-side models to understand how these changes shift their liability between 2025 and 2026.</w:t>
      </w:r>
      <w:r w:rsidR="00C211E7">
        <w:rPr>
          <w:rStyle w:val="FootnoteReference"/>
          <w:rFonts w:ascii="Open Sans" w:eastAsia="Aptos" w:hAnsi="Open Sans" w:cs="Open Sans"/>
          <w:sz w:val="21"/>
          <w:szCs w:val="21"/>
        </w:rPr>
        <w:footnoteReference w:id="6"/>
      </w:r>
    </w:p>
    <w:p w14:paraId="6334869F" w14:textId="77777777" w:rsidR="00CA2556" w:rsidRPr="00CA2556" w:rsidRDefault="00CA2556" w:rsidP="00CA2556">
      <w:pPr>
        <w:shd w:val="clear" w:color="auto" w:fill="FFFFFF"/>
        <w:rPr>
          <w:rFonts w:ascii="Open Sans" w:eastAsia="Aptos" w:hAnsi="Open Sans" w:cs="Open Sans"/>
          <w:color w:val="000000"/>
          <w:sz w:val="21"/>
          <w:szCs w:val="21"/>
        </w:rPr>
      </w:pPr>
      <w:bookmarkStart w:id="23" w:name="section(3)(3)(2)_0"/>
      <w:r w:rsidRPr="00CA2556">
        <w:rPr>
          <w:rFonts w:ascii="Open Sans" w:eastAsia="Aptos" w:hAnsi="Open Sans" w:cs="Open Sans"/>
          <w:b/>
          <w:bCs/>
          <w:color w:val="333333"/>
          <w:sz w:val="21"/>
          <w:szCs w:val="21"/>
        </w:rPr>
        <w:t>3.2. </w:t>
      </w:r>
      <w:bookmarkEnd w:id="23"/>
      <w:r w:rsidRPr="00CA2556">
        <w:rPr>
          <w:rFonts w:ascii="Open Sans" w:eastAsia="Aptos" w:hAnsi="Open Sans" w:cs="Open Sans"/>
          <w:color w:val="000000"/>
          <w:sz w:val="21"/>
          <w:szCs w:val="21"/>
        </w:rPr>
        <w:t> </w:t>
      </w:r>
      <w:r w:rsidRPr="00003317">
        <w:t>U.S. State Taxes and Tariffs</w:t>
      </w:r>
      <w:r w:rsidRPr="00CA2556">
        <w:rPr>
          <w:rFonts w:ascii="Open Sans" w:eastAsia="Aptos" w:hAnsi="Open Sans" w:cs="Open Sans"/>
          <w:color w:val="000000"/>
          <w:sz w:val="21"/>
          <w:szCs w:val="21"/>
        </w:rPr>
        <w:t> —</w:t>
      </w:r>
    </w:p>
    <w:p w14:paraId="711D6B7C" w14:textId="17BF5A43" w:rsidR="00CA2556" w:rsidRPr="00CA2556" w:rsidRDefault="00CA2556" w:rsidP="00CA2556">
      <w:pPr>
        <w:shd w:val="clear" w:color="auto" w:fill="FFFFFF"/>
        <w:rPr>
          <w:rFonts w:ascii="Open Sans" w:eastAsia="Aptos" w:hAnsi="Open Sans" w:cs="Open Sans"/>
          <w:color w:val="000000"/>
          <w:sz w:val="21"/>
          <w:szCs w:val="21"/>
        </w:rPr>
      </w:pPr>
      <w:r w:rsidRPr="00CA2556">
        <w:rPr>
          <w:rFonts w:ascii="Open Sans" w:eastAsia="Aptos" w:hAnsi="Open Sans" w:cs="Open Sans"/>
          <w:color w:val="000000"/>
          <w:sz w:val="21"/>
          <w:szCs w:val="21"/>
        </w:rPr>
        <w:t xml:space="preserve">Tariffs imposed at the federal level also can have significant state and local tax (SALT) </w:t>
      </w:r>
      <w:proofErr w:type="gramStart"/>
      <w:r w:rsidRPr="00CA2556">
        <w:rPr>
          <w:rFonts w:ascii="Open Sans" w:eastAsia="Aptos" w:hAnsi="Open Sans" w:cs="Open Sans"/>
          <w:color w:val="000000"/>
          <w:sz w:val="21"/>
          <w:szCs w:val="21"/>
        </w:rPr>
        <w:t>impacts .</w:t>
      </w:r>
      <w:proofErr w:type="gramEnd"/>
      <w:r w:rsidR="00B57F0C">
        <w:rPr>
          <w:rStyle w:val="FootnoteReference"/>
          <w:rFonts w:ascii="Open Sans" w:eastAsia="Aptos" w:hAnsi="Open Sans" w:cs="Open Sans"/>
          <w:color w:val="000000"/>
          <w:sz w:val="21"/>
          <w:szCs w:val="21"/>
        </w:rPr>
        <w:footnoteReference w:id="7"/>
      </w:r>
      <w:r w:rsidRPr="00CA2556">
        <w:rPr>
          <w:rFonts w:ascii="Open Sans" w:eastAsia="Aptos" w:hAnsi="Open Sans" w:cs="Open Sans"/>
          <w:color w:val="000000"/>
          <w:sz w:val="21"/>
          <w:szCs w:val="21"/>
        </w:rPr>
        <w:t xml:space="preserve"> Businesses should include SALT considerations in their tariff analysis and proactively identify alternatives to minimize these impacts.</w:t>
      </w:r>
    </w:p>
    <w:p w14:paraId="7EB7DBC1" w14:textId="77777777" w:rsidR="00CA2556" w:rsidRPr="00CA2556" w:rsidRDefault="00CA2556" w:rsidP="00CA2556">
      <w:pPr>
        <w:shd w:val="clear" w:color="auto" w:fill="FFFFFF"/>
        <w:rPr>
          <w:rFonts w:ascii="Open Sans" w:eastAsia="Aptos" w:hAnsi="Open Sans" w:cs="Open Sans"/>
          <w:color w:val="000000"/>
          <w:sz w:val="21"/>
          <w:szCs w:val="21"/>
        </w:rPr>
      </w:pPr>
      <w:r w:rsidRPr="00CA2556">
        <w:rPr>
          <w:rFonts w:ascii="Open Sans" w:eastAsia="Aptos" w:hAnsi="Open Sans" w:cs="Open Sans"/>
          <w:color w:val="000000"/>
          <w:sz w:val="21"/>
          <w:szCs w:val="21"/>
        </w:rPr>
        <w:t>These issues primarily relate to:</w:t>
      </w:r>
    </w:p>
    <w:p w14:paraId="6E768055" w14:textId="67CF863E" w:rsidR="00CA2556" w:rsidRPr="00CA2556" w:rsidRDefault="00CA2556" w:rsidP="00CA2556">
      <w:pPr>
        <w:shd w:val="clear" w:color="auto" w:fill="FFFFFF"/>
        <w:rPr>
          <w:rFonts w:ascii="Open Sans" w:eastAsia="Aptos" w:hAnsi="Open Sans" w:cs="Open Sans"/>
          <w:color w:val="000000"/>
          <w:sz w:val="21"/>
          <w:szCs w:val="21"/>
        </w:rPr>
      </w:pPr>
      <w:r w:rsidRPr="00CA2556">
        <w:rPr>
          <w:rFonts w:ascii="Open Sans" w:eastAsia="Aptos" w:hAnsi="Open Sans" w:cs="Open Sans"/>
          <w:color w:val="000000"/>
          <w:sz w:val="21"/>
          <w:szCs w:val="21"/>
        </w:rPr>
        <w:t xml:space="preserve">1) The impact of tariffs on sales/use taxes and ad valorem taxes, </w:t>
      </w:r>
      <w:proofErr w:type="gramStart"/>
      <w:r w:rsidRPr="00CA2556">
        <w:rPr>
          <w:rFonts w:ascii="Open Sans" w:eastAsia="Aptos" w:hAnsi="Open Sans" w:cs="Open Sans"/>
          <w:color w:val="000000"/>
          <w:sz w:val="21"/>
          <w:szCs w:val="21"/>
        </w:rPr>
        <w:t>and;</w:t>
      </w:r>
      <w:proofErr w:type="gramEnd"/>
    </w:p>
    <w:p w14:paraId="53263B95" w14:textId="77777777" w:rsidR="00CA2556" w:rsidRPr="00CA2556" w:rsidRDefault="00CA2556" w:rsidP="00CA2556">
      <w:pPr>
        <w:shd w:val="clear" w:color="auto" w:fill="FFFFFF"/>
        <w:rPr>
          <w:rFonts w:ascii="Open Sans" w:eastAsia="Aptos" w:hAnsi="Open Sans" w:cs="Open Sans"/>
          <w:color w:val="000000"/>
          <w:sz w:val="21"/>
          <w:szCs w:val="21"/>
        </w:rPr>
      </w:pPr>
      <w:r w:rsidRPr="00CA2556">
        <w:rPr>
          <w:rFonts w:ascii="Open Sans" w:eastAsia="Aptos" w:hAnsi="Open Sans" w:cs="Open Sans"/>
          <w:color w:val="000000"/>
          <w:sz w:val="21"/>
          <w:szCs w:val="21"/>
        </w:rPr>
        <w:t>2) SALT considerations for businesses onshoring their manufacturing operations to the U.S.</w:t>
      </w:r>
    </w:p>
    <w:p w14:paraId="7CC8A2F5" w14:textId="77777777" w:rsidR="00CA2556" w:rsidRPr="00CA2556" w:rsidRDefault="00CA2556" w:rsidP="00CA2556">
      <w:pPr>
        <w:shd w:val="clear" w:color="auto" w:fill="FFFFFF"/>
        <w:rPr>
          <w:rFonts w:ascii="Open Sans" w:eastAsia="Aptos" w:hAnsi="Open Sans" w:cs="Open Sans"/>
          <w:color w:val="000000"/>
          <w:sz w:val="21"/>
          <w:szCs w:val="21"/>
        </w:rPr>
      </w:pPr>
      <w:r w:rsidRPr="00CA2556">
        <w:rPr>
          <w:rFonts w:ascii="Open Sans" w:eastAsia="Aptos" w:hAnsi="Open Sans" w:cs="Open Sans"/>
          <w:color w:val="000000"/>
          <w:sz w:val="21"/>
          <w:szCs w:val="21"/>
        </w:rPr>
        <w:t xml:space="preserve">As tariffs increase the price of imported goods, they may also increase the sales tax liability, making imported goods even more expensive for U.S. businesses and consumers. Whether, and to what extent, tariffs will impact the sales tax liability generally will depend on how the transaction is structured, who pays the tariff to whom, and how the tariffs are invoiced. Tariffs paid directly by the purchaser, as the importer of record, generally will not be subject to sales tax because the payment is made directly to the U.S. Customs and Border Protection (CBP) solely for the tariff and not to the seller for the purchase of the product. However, if the seller increases the price of its products to cover the tariff costs, that price increase will increase the sales tax due </w:t>
      </w:r>
      <w:proofErr w:type="gramStart"/>
      <w:r w:rsidRPr="00CA2556">
        <w:rPr>
          <w:rFonts w:ascii="Open Sans" w:eastAsia="Aptos" w:hAnsi="Open Sans" w:cs="Open Sans"/>
          <w:color w:val="000000"/>
          <w:sz w:val="21"/>
          <w:szCs w:val="21"/>
        </w:rPr>
        <w:t>on</w:t>
      </w:r>
      <w:proofErr w:type="gramEnd"/>
      <w:r w:rsidRPr="00CA2556">
        <w:rPr>
          <w:rFonts w:ascii="Open Sans" w:eastAsia="Aptos" w:hAnsi="Open Sans" w:cs="Open Sans"/>
          <w:color w:val="000000"/>
          <w:sz w:val="21"/>
          <w:szCs w:val="21"/>
        </w:rPr>
        <w:t xml:space="preserve"> the subsequent sale transaction, since sales tax is imposed on the sales price of the product.</w:t>
      </w:r>
    </w:p>
    <w:p w14:paraId="38209D6C" w14:textId="77777777" w:rsidR="00CA2556" w:rsidRPr="00CA2556" w:rsidRDefault="00CA2556" w:rsidP="00CA2556">
      <w:pPr>
        <w:shd w:val="clear" w:color="auto" w:fill="FFFFFF"/>
        <w:rPr>
          <w:rFonts w:ascii="Open Sans" w:eastAsia="Aptos" w:hAnsi="Open Sans" w:cs="Open Sans"/>
          <w:color w:val="000000"/>
          <w:sz w:val="21"/>
          <w:szCs w:val="21"/>
        </w:rPr>
      </w:pPr>
      <w:r w:rsidRPr="00CA2556">
        <w:rPr>
          <w:rFonts w:ascii="Open Sans" w:eastAsia="Aptos" w:hAnsi="Open Sans" w:cs="Open Sans"/>
          <w:color w:val="000000"/>
          <w:sz w:val="21"/>
          <w:szCs w:val="21"/>
        </w:rPr>
        <w:t>Tariffs paid by the seller, as the importer of record, and passed on its customers as an invoice line-item (also called “tariff fees”) likely will be subject to sales tax as part of the sales price of taxable items. States generally define the “sales price” for sales tax purposes as the total amount of consideration for which tangible personal property or taxable services are sold, without deduction for fees or other costs or charges incidental to the sale.</w:t>
      </w:r>
    </w:p>
    <w:p w14:paraId="5643FAFF" w14:textId="1F5DE13D" w:rsidR="00CA2556" w:rsidRPr="00CA2556" w:rsidRDefault="00CA2556" w:rsidP="00CA2556">
      <w:pPr>
        <w:shd w:val="clear" w:color="auto" w:fill="FFFFFF"/>
        <w:rPr>
          <w:rFonts w:ascii="Open Sans" w:eastAsia="Aptos" w:hAnsi="Open Sans" w:cs="Open Sans"/>
          <w:color w:val="000000"/>
          <w:sz w:val="21"/>
          <w:szCs w:val="21"/>
        </w:rPr>
      </w:pPr>
      <w:r w:rsidRPr="00CA2556">
        <w:rPr>
          <w:rFonts w:ascii="Open Sans" w:eastAsia="Aptos" w:hAnsi="Open Sans" w:cs="Open Sans"/>
          <w:color w:val="000000"/>
          <w:sz w:val="21"/>
          <w:szCs w:val="21"/>
        </w:rPr>
        <w:t>The treatment, ultimately, will depend on each specific state's law. Some states may choose to exclude tariffs from the tax base if they are shown as a separate invoice line-item. To</w:t>
      </w:r>
      <w:r w:rsidR="00C36ACD">
        <w:rPr>
          <w:rFonts w:ascii="Open Sans" w:eastAsia="Aptos" w:hAnsi="Open Sans" w:cs="Open Sans"/>
          <w:color w:val="000000"/>
          <w:sz w:val="21"/>
          <w:szCs w:val="21"/>
        </w:rPr>
        <w:t xml:space="preserve"> </w:t>
      </w:r>
      <w:r w:rsidRPr="00CA2556">
        <w:rPr>
          <w:rFonts w:ascii="Open Sans" w:eastAsia="Aptos" w:hAnsi="Open Sans" w:cs="Open Sans"/>
          <w:color w:val="000000"/>
          <w:sz w:val="21"/>
          <w:szCs w:val="21"/>
        </w:rPr>
        <w:t>date, the few states that have issued guidance on this have held that tariffs invoiced by a seller to a purchaser are included in the taxable sales price of the items being sold, regardless of whether the tariff is shown as a separate line-item on the invoice. California, New Jersey, and Washington have issued guidance confirming this. If the invoice includes both tariff and non-tariff items or both taxable and nontaxable items, businesses need to ensure that they allocate the correct amount of tariff to each item with different tariff rates. Businesses will need to proactively review and adapt their sales tax systems and processes to correctly apply sales tax to tariff fees charged on customer invoices.</w:t>
      </w:r>
    </w:p>
    <w:p w14:paraId="0900DC69" w14:textId="77777777" w:rsidR="00CA2556" w:rsidRPr="00CA2556" w:rsidRDefault="00CA2556" w:rsidP="00CA2556">
      <w:pPr>
        <w:shd w:val="clear" w:color="auto" w:fill="FFFFFF"/>
        <w:rPr>
          <w:rFonts w:ascii="Open Sans" w:eastAsia="Aptos" w:hAnsi="Open Sans" w:cs="Open Sans"/>
          <w:color w:val="000000"/>
          <w:sz w:val="21"/>
          <w:szCs w:val="21"/>
        </w:rPr>
      </w:pPr>
      <w:r w:rsidRPr="00CA2556">
        <w:rPr>
          <w:rFonts w:ascii="Open Sans" w:eastAsia="Aptos" w:hAnsi="Open Sans" w:cs="Open Sans"/>
          <w:color w:val="000000"/>
          <w:sz w:val="21"/>
          <w:szCs w:val="21"/>
        </w:rPr>
        <w:t>Use tax on purchases from foreign suppliers also should be considered. Businesses are required to accrue and remit use tax on taxable purchases for which sales tax was not charged. Purchases from foreign suppliers often fall into this category. For accounting purposes, tariffs may be capitalized as part of the cost of the asset. Businesses will need to carefully examine these purchases to determine whether the tariff should or should not be included in the tax base for use tax purposes. Failure to do so may result in significant overpayment of use tax on these types of purchases.</w:t>
      </w:r>
    </w:p>
    <w:p w14:paraId="01145E79" w14:textId="77777777" w:rsidR="00CA2556" w:rsidRPr="00CA2556" w:rsidRDefault="00CA2556" w:rsidP="00CA2556">
      <w:pPr>
        <w:shd w:val="clear" w:color="auto" w:fill="FFFFFF"/>
        <w:rPr>
          <w:rFonts w:ascii="Open Sans" w:eastAsia="Aptos" w:hAnsi="Open Sans" w:cs="Open Sans"/>
          <w:color w:val="000000"/>
          <w:sz w:val="21"/>
          <w:szCs w:val="21"/>
        </w:rPr>
      </w:pPr>
      <w:r w:rsidRPr="00CA2556">
        <w:rPr>
          <w:rFonts w:ascii="Open Sans" w:eastAsia="Aptos" w:hAnsi="Open Sans" w:cs="Open Sans"/>
          <w:color w:val="000000"/>
          <w:sz w:val="21"/>
          <w:szCs w:val="21"/>
        </w:rPr>
        <w:t>Business personal property taxes generally are imposed on the value of a business’ fixed assets located in the taxing jurisdiction. Some states also tax the value of inventory.</w:t>
      </w:r>
    </w:p>
    <w:p w14:paraId="0578EF86" w14:textId="77777777" w:rsidR="00CA2556" w:rsidRPr="00CA2556" w:rsidRDefault="00CA2556" w:rsidP="00CA2556">
      <w:pPr>
        <w:shd w:val="clear" w:color="auto" w:fill="FFFFFF"/>
        <w:rPr>
          <w:rFonts w:ascii="Open Sans" w:eastAsia="Aptos" w:hAnsi="Open Sans" w:cs="Open Sans"/>
          <w:color w:val="000000"/>
          <w:sz w:val="21"/>
          <w:szCs w:val="21"/>
        </w:rPr>
      </w:pPr>
      <w:r w:rsidRPr="00CA2556">
        <w:rPr>
          <w:rFonts w:ascii="Open Sans" w:eastAsia="Aptos" w:hAnsi="Open Sans" w:cs="Open Sans"/>
          <w:color w:val="000000"/>
          <w:sz w:val="21"/>
          <w:szCs w:val="21"/>
        </w:rPr>
        <w:t>Most states use some type of cost-based valuation process to determine the taxable value of fixed assets, and one or more financial accounting valuation methods for inventory. Therefore, an increased cost for these assets may result in an increased valuation, and hence a higher property tax burden. Businesses should examine their states’ valuation procedures to determine whether tariff costs can be excluded from the property tax values of these assets. Also, potential Freeport exemptions should be considered if inventory will be stored only temporarily in the state.</w:t>
      </w:r>
    </w:p>
    <w:p w14:paraId="0B899790" w14:textId="77777777" w:rsidR="00CA2556" w:rsidRPr="00CA2556" w:rsidRDefault="00CA2556" w:rsidP="00CA2556">
      <w:pPr>
        <w:shd w:val="clear" w:color="auto" w:fill="FFFFFF"/>
        <w:rPr>
          <w:rFonts w:ascii="Open Sans" w:eastAsia="Aptos" w:hAnsi="Open Sans" w:cs="Open Sans"/>
          <w:color w:val="000000"/>
          <w:sz w:val="21"/>
          <w:szCs w:val="21"/>
        </w:rPr>
      </w:pPr>
      <w:r w:rsidRPr="00CA2556">
        <w:rPr>
          <w:rFonts w:ascii="Open Sans" w:eastAsia="Aptos" w:hAnsi="Open Sans" w:cs="Open Sans"/>
          <w:color w:val="000000"/>
          <w:sz w:val="21"/>
          <w:szCs w:val="21"/>
        </w:rPr>
        <w:t xml:space="preserve">Finally, ad valorem (property taxes) </w:t>
      </w:r>
      <w:proofErr w:type="gramStart"/>
      <w:r w:rsidRPr="00CA2556">
        <w:rPr>
          <w:rFonts w:ascii="Open Sans" w:eastAsia="Aptos" w:hAnsi="Open Sans" w:cs="Open Sans"/>
          <w:color w:val="000000"/>
          <w:sz w:val="21"/>
          <w:szCs w:val="21"/>
        </w:rPr>
        <w:t>are</w:t>
      </w:r>
      <w:proofErr w:type="gramEnd"/>
      <w:r w:rsidRPr="00CA2556">
        <w:rPr>
          <w:rFonts w:ascii="Open Sans" w:eastAsia="Aptos" w:hAnsi="Open Sans" w:cs="Open Sans"/>
          <w:color w:val="000000"/>
          <w:sz w:val="21"/>
          <w:szCs w:val="21"/>
        </w:rPr>
        <w:t xml:space="preserve"> another area where tariffs can impact tax liability.</w:t>
      </w:r>
    </w:p>
    <w:p w14:paraId="388830E9" w14:textId="77777777" w:rsidR="00CA2556" w:rsidRPr="00CA2556" w:rsidRDefault="00CA2556" w:rsidP="00CA2556">
      <w:pPr>
        <w:shd w:val="clear" w:color="auto" w:fill="FFFFFF"/>
        <w:rPr>
          <w:rFonts w:ascii="Open Sans" w:eastAsia="Aptos" w:hAnsi="Open Sans" w:cs="Open Sans"/>
          <w:color w:val="000000"/>
          <w:sz w:val="21"/>
          <w:szCs w:val="21"/>
        </w:rPr>
      </w:pPr>
      <w:bookmarkStart w:id="24" w:name="section(3)(3)(3)_0"/>
      <w:r w:rsidRPr="00CA2556">
        <w:rPr>
          <w:rFonts w:ascii="Open Sans" w:eastAsia="Aptos" w:hAnsi="Open Sans" w:cs="Open Sans"/>
          <w:b/>
          <w:bCs/>
          <w:color w:val="333333"/>
          <w:sz w:val="21"/>
          <w:szCs w:val="21"/>
        </w:rPr>
        <w:t>3.3. </w:t>
      </w:r>
      <w:bookmarkEnd w:id="24"/>
      <w:r w:rsidRPr="00CA2556">
        <w:rPr>
          <w:rFonts w:ascii="Open Sans" w:eastAsia="Aptos" w:hAnsi="Open Sans" w:cs="Open Sans"/>
          <w:color w:val="000000"/>
          <w:sz w:val="21"/>
          <w:szCs w:val="21"/>
        </w:rPr>
        <w:t> </w:t>
      </w:r>
      <w:r w:rsidRPr="00003317">
        <w:t xml:space="preserve">State Impacts of </w:t>
      </w:r>
      <w:proofErr w:type="gramStart"/>
      <w:r w:rsidRPr="00003317">
        <w:t>on-shoring</w:t>
      </w:r>
      <w:proofErr w:type="gramEnd"/>
      <w:r w:rsidRPr="00003317">
        <w:t xml:space="preserve"> Manufacturing Operations to the U.S.</w:t>
      </w:r>
      <w:r w:rsidRPr="00CA2556">
        <w:rPr>
          <w:rFonts w:ascii="Open Sans" w:eastAsia="Aptos" w:hAnsi="Open Sans" w:cs="Open Sans"/>
          <w:color w:val="000000"/>
          <w:sz w:val="21"/>
          <w:szCs w:val="21"/>
        </w:rPr>
        <w:t> —</w:t>
      </w:r>
    </w:p>
    <w:p w14:paraId="5BC91AB0" w14:textId="77777777" w:rsidR="00CA2556" w:rsidRPr="00CA2556" w:rsidRDefault="00CA2556" w:rsidP="00CA2556">
      <w:pPr>
        <w:shd w:val="clear" w:color="auto" w:fill="FFFFFF"/>
        <w:rPr>
          <w:rFonts w:ascii="Open Sans" w:eastAsia="Aptos" w:hAnsi="Open Sans" w:cs="Open Sans"/>
          <w:color w:val="000000"/>
          <w:sz w:val="21"/>
          <w:szCs w:val="21"/>
        </w:rPr>
      </w:pPr>
      <w:r w:rsidRPr="00CA2556">
        <w:rPr>
          <w:rFonts w:ascii="Open Sans" w:eastAsia="Aptos" w:hAnsi="Open Sans" w:cs="Open Sans"/>
          <w:color w:val="000000"/>
          <w:sz w:val="21"/>
          <w:szCs w:val="21"/>
        </w:rPr>
        <w:t xml:space="preserve">State tax can be a cost or a benefit when making tariff strategic </w:t>
      </w:r>
      <w:proofErr w:type="gramStart"/>
      <w:r w:rsidRPr="00CA2556">
        <w:rPr>
          <w:rFonts w:ascii="Open Sans" w:eastAsia="Aptos" w:hAnsi="Open Sans" w:cs="Open Sans"/>
          <w:color w:val="000000"/>
          <w:sz w:val="21"/>
          <w:szCs w:val="21"/>
        </w:rPr>
        <w:t>decisions, and</w:t>
      </w:r>
      <w:proofErr w:type="gramEnd"/>
      <w:r w:rsidRPr="00CA2556">
        <w:rPr>
          <w:rFonts w:ascii="Open Sans" w:eastAsia="Aptos" w:hAnsi="Open Sans" w:cs="Open Sans"/>
          <w:color w:val="000000"/>
          <w:sz w:val="21"/>
          <w:szCs w:val="21"/>
        </w:rPr>
        <w:t xml:space="preserve"> needs to be modeled out and monitored. Businesses deciding whether to relocate manufacturing operations to the U.S. should consider the many SALT issues that could significantly impact their bottom line. Core considerations include:</w:t>
      </w:r>
    </w:p>
    <w:p w14:paraId="4D11BF42" w14:textId="77777777" w:rsidR="00CA2556" w:rsidRPr="00CA2556" w:rsidRDefault="00CA2556" w:rsidP="00CA2556">
      <w:pPr>
        <w:shd w:val="clear" w:color="auto" w:fill="FFFFFF"/>
        <w:rPr>
          <w:rFonts w:ascii="Open Sans" w:eastAsia="Aptos" w:hAnsi="Open Sans" w:cs="Open Sans"/>
          <w:color w:val="000000"/>
          <w:sz w:val="21"/>
          <w:szCs w:val="21"/>
        </w:rPr>
      </w:pPr>
      <w:bookmarkStart w:id="25" w:name="section(3)(3)(3)(3)(3)(1)_0"/>
      <w:r w:rsidRPr="00CA2556">
        <w:rPr>
          <w:rFonts w:ascii="Open Sans" w:eastAsia="Aptos" w:hAnsi="Open Sans" w:cs="Open Sans"/>
          <w:b/>
          <w:bCs/>
          <w:color w:val="333333"/>
          <w:sz w:val="21"/>
          <w:szCs w:val="21"/>
        </w:rPr>
        <w:t>3.3.1. </w:t>
      </w:r>
      <w:bookmarkEnd w:id="25"/>
      <w:r w:rsidRPr="00003317">
        <w:t>Most beneficial entity and structure</w:t>
      </w:r>
      <w:r w:rsidRPr="00CA2556">
        <w:rPr>
          <w:rFonts w:ascii="Open Sans" w:eastAsia="Aptos" w:hAnsi="Open Sans" w:cs="Open Sans"/>
          <w:color w:val="000000"/>
          <w:sz w:val="21"/>
          <w:szCs w:val="21"/>
        </w:rPr>
        <w:t> —</w:t>
      </w:r>
    </w:p>
    <w:p w14:paraId="3CE32157" w14:textId="77777777" w:rsidR="00CA2556" w:rsidRPr="00CA2556" w:rsidRDefault="00CA2556" w:rsidP="00CA2556">
      <w:pPr>
        <w:shd w:val="clear" w:color="auto" w:fill="FFFFFF"/>
        <w:rPr>
          <w:rFonts w:ascii="Open Sans" w:eastAsia="Aptos" w:hAnsi="Open Sans" w:cs="Open Sans"/>
          <w:color w:val="000000"/>
          <w:sz w:val="21"/>
          <w:szCs w:val="21"/>
        </w:rPr>
      </w:pPr>
      <w:r w:rsidRPr="00CA2556">
        <w:rPr>
          <w:rFonts w:ascii="Open Sans" w:eastAsia="Aptos" w:hAnsi="Open Sans" w:cs="Open Sans"/>
          <w:color w:val="000000"/>
          <w:sz w:val="21"/>
          <w:szCs w:val="21"/>
        </w:rPr>
        <w:t>When forming a U.S. business entity to conduct operations in the U.S., it is important to consider state tax treatment of each type of entity. Most states will deem an investment in a passthrough entity (partnership or S-corporation) to create “flow-through nexus” for its owners. Since a C-corporation does not create nexus for its owners, this entity type often is preferable to a passthrough entity.</w:t>
      </w:r>
    </w:p>
    <w:p w14:paraId="7082E2B1" w14:textId="77777777" w:rsidR="00CA2556" w:rsidRPr="00CA2556" w:rsidRDefault="00CA2556" w:rsidP="00CA2556">
      <w:pPr>
        <w:shd w:val="clear" w:color="auto" w:fill="FFFFFF"/>
        <w:rPr>
          <w:rFonts w:ascii="Open Sans" w:eastAsia="Aptos" w:hAnsi="Open Sans" w:cs="Open Sans"/>
          <w:color w:val="000000"/>
          <w:sz w:val="21"/>
          <w:szCs w:val="21"/>
        </w:rPr>
      </w:pPr>
      <w:r w:rsidRPr="00CA2556">
        <w:rPr>
          <w:rFonts w:ascii="Open Sans" w:eastAsia="Aptos" w:hAnsi="Open Sans" w:cs="Open Sans"/>
          <w:color w:val="000000"/>
          <w:sz w:val="21"/>
          <w:szCs w:val="21"/>
        </w:rPr>
        <w:t>State of incorporation may also have a significant impact on overall tax liability. For example, Delaware is a popular state for incorporation because of its business-friendly legal environment. However, Delaware's franchise tax liability (which is imposed only on entities formed or incorporated in the state) can become quite significant if careful attention is not paid to how the entity is capitalized.</w:t>
      </w:r>
    </w:p>
    <w:p w14:paraId="683F8334" w14:textId="77777777" w:rsidR="00CA2556" w:rsidRPr="00CA2556" w:rsidRDefault="00CA2556" w:rsidP="00CA2556">
      <w:pPr>
        <w:shd w:val="clear" w:color="auto" w:fill="FFFFFF"/>
        <w:rPr>
          <w:rFonts w:ascii="Open Sans" w:eastAsia="Aptos" w:hAnsi="Open Sans" w:cs="Open Sans"/>
          <w:color w:val="000000"/>
          <w:sz w:val="21"/>
          <w:szCs w:val="21"/>
        </w:rPr>
      </w:pPr>
      <w:bookmarkStart w:id="26" w:name="section(3)(3)(3)(3)(3)(2)_0"/>
      <w:r w:rsidRPr="00CA2556">
        <w:rPr>
          <w:rFonts w:ascii="Open Sans" w:eastAsia="Aptos" w:hAnsi="Open Sans" w:cs="Open Sans"/>
          <w:b/>
          <w:bCs/>
          <w:color w:val="333333"/>
          <w:sz w:val="21"/>
          <w:szCs w:val="21"/>
        </w:rPr>
        <w:t>3.3.2. </w:t>
      </w:r>
      <w:bookmarkEnd w:id="26"/>
      <w:r w:rsidRPr="00003317">
        <w:t xml:space="preserve">Location of the manufacturing </w:t>
      </w:r>
      <w:proofErr w:type="gramStart"/>
      <w:r w:rsidRPr="00003317">
        <w:t>operation</w:t>
      </w:r>
      <w:r w:rsidRPr="00CA2556">
        <w:rPr>
          <w:rFonts w:ascii="Open Sans" w:eastAsia="Aptos" w:hAnsi="Open Sans" w:cs="Open Sans"/>
          <w:color w:val="000000"/>
          <w:sz w:val="21"/>
          <w:szCs w:val="21"/>
        </w:rPr>
        <w:t> —</w:t>
      </w:r>
      <w:proofErr w:type="gramEnd"/>
    </w:p>
    <w:p w14:paraId="67995919" w14:textId="77777777" w:rsidR="00CA2556" w:rsidRPr="00CA2556" w:rsidRDefault="00CA2556" w:rsidP="00CA2556">
      <w:pPr>
        <w:shd w:val="clear" w:color="auto" w:fill="FFFFFF"/>
        <w:rPr>
          <w:rFonts w:ascii="Open Sans" w:eastAsia="Aptos" w:hAnsi="Open Sans" w:cs="Open Sans"/>
          <w:color w:val="000000"/>
          <w:sz w:val="21"/>
          <w:szCs w:val="21"/>
        </w:rPr>
      </w:pPr>
      <w:r w:rsidRPr="00CA2556">
        <w:rPr>
          <w:rFonts w:ascii="Open Sans" w:eastAsia="Aptos" w:hAnsi="Open Sans" w:cs="Open Sans"/>
          <w:color w:val="000000"/>
          <w:sz w:val="21"/>
          <w:szCs w:val="21"/>
        </w:rPr>
        <w:t xml:space="preserve">State and local taxes are a significant aspect of location selection and should not be overlooked when determining where the new U.S. manufacturing operation should be located. Businesses should consider the overall state tax climate, including tax rates, types of taxes imposed, and </w:t>
      </w:r>
      <w:proofErr w:type="gramStart"/>
      <w:r w:rsidRPr="00CA2556">
        <w:rPr>
          <w:rFonts w:ascii="Open Sans" w:eastAsia="Aptos" w:hAnsi="Open Sans" w:cs="Open Sans"/>
          <w:color w:val="000000"/>
          <w:sz w:val="21"/>
          <w:szCs w:val="21"/>
        </w:rPr>
        <w:t>taxing</w:t>
      </w:r>
      <w:proofErr w:type="gramEnd"/>
      <w:r w:rsidRPr="00CA2556">
        <w:rPr>
          <w:rFonts w:ascii="Open Sans" w:eastAsia="Aptos" w:hAnsi="Open Sans" w:cs="Open Sans"/>
          <w:color w:val="000000"/>
          <w:sz w:val="21"/>
          <w:szCs w:val="21"/>
        </w:rPr>
        <w:t xml:space="preserve"> levels (state, local and sub-local).</w:t>
      </w:r>
    </w:p>
    <w:p w14:paraId="00FC13EA" w14:textId="77777777" w:rsidR="00CA2556" w:rsidRPr="00CA2556" w:rsidRDefault="00CA2556" w:rsidP="00CA2556">
      <w:pPr>
        <w:shd w:val="clear" w:color="auto" w:fill="FFFFFF"/>
        <w:rPr>
          <w:rFonts w:ascii="Open Sans" w:eastAsia="Aptos" w:hAnsi="Open Sans" w:cs="Open Sans"/>
          <w:color w:val="000000"/>
          <w:sz w:val="21"/>
          <w:szCs w:val="21"/>
        </w:rPr>
      </w:pPr>
      <w:r w:rsidRPr="00CA2556">
        <w:rPr>
          <w:rFonts w:ascii="Open Sans" w:eastAsia="Aptos" w:hAnsi="Open Sans" w:cs="Open Sans"/>
          <w:color w:val="000000"/>
          <w:sz w:val="21"/>
          <w:szCs w:val="21"/>
        </w:rPr>
        <w:t>Property taxes can be a significant cost for capital-intensive businesses like manufacturers. Businesses should assess the property tax rates and valuation procedures at the state level.</w:t>
      </w:r>
    </w:p>
    <w:p w14:paraId="6194A6D6" w14:textId="77777777" w:rsidR="00CA2556" w:rsidRPr="00CA2556" w:rsidRDefault="00CA2556" w:rsidP="00CA2556">
      <w:pPr>
        <w:shd w:val="clear" w:color="auto" w:fill="FFFFFF"/>
        <w:rPr>
          <w:rFonts w:ascii="Open Sans" w:eastAsia="Aptos" w:hAnsi="Open Sans" w:cs="Open Sans"/>
          <w:color w:val="000000"/>
          <w:sz w:val="21"/>
          <w:szCs w:val="21"/>
        </w:rPr>
      </w:pPr>
      <w:r w:rsidRPr="00CA2556">
        <w:rPr>
          <w:rFonts w:ascii="Open Sans" w:eastAsia="Aptos" w:hAnsi="Open Sans" w:cs="Open Sans"/>
          <w:color w:val="000000"/>
          <w:sz w:val="21"/>
          <w:szCs w:val="21"/>
        </w:rPr>
        <w:t>Further, as states continue to aggressively compete for capital investment and manufacturing jobs, state and local tax incentives and credits have become a key element of the location selection process. Businesses should consider both statutory and negotiated incentives. Statutory incentives often include tax credits for investment and hiring, industry-specific credits, targeted credits (e.g., port usage, historic property rehabilitation), research and development (R&amp;D) credits, special zones (e.g., enterprise zones), sales tax manufacturing exemptions, and property tax Fee-in-Lieu-of-Tax (FILOT) agreements. Negotiated incentives also should be considered and pursued </w:t>
      </w:r>
      <w:r w:rsidRPr="00003317">
        <w:t>before</w:t>
      </w:r>
      <w:r w:rsidRPr="00CA2556">
        <w:rPr>
          <w:rFonts w:ascii="Open Sans" w:eastAsia="Aptos" w:hAnsi="Open Sans" w:cs="Open Sans"/>
          <w:color w:val="000000"/>
          <w:sz w:val="21"/>
          <w:szCs w:val="21"/>
        </w:rPr>
        <w:t> finalizing a location decision because the state and/or local economic development board generally is required to demonstrate that the incentives being proposed would impact the business’ decision to choose that location.</w:t>
      </w:r>
    </w:p>
    <w:p w14:paraId="1ED14DBE" w14:textId="77777777" w:rsidR="00CA2556" w:rsidRPr="00CA2556" w:rsidRDefault="00CA2556" w:rsidP="00CA2556">
      <w:pPr>
        <w:shd w:val="clear" w:color="auto" w:fill="FFFFFF"/>
        <w:rPr>
          <w:rFonts w:ascii="Open Sans" w:eastAsia="Aptos" w:hAnsi="Open Sans" w:cs="Open Sans"/>
          <w:color w:val="000000"/>
          <w:sz w:val="21"/>
          <w:szCs w:val="21"/>
        </w:rPr>
      </w:pPr>
      <w:bookmarkStart w:id="27" w:name="section(3)(3)(3)(3)(3)(3)_0"/>
      <w:r w:rsidRPr="00CA2556">
        <w:rPr>
          <w:rFonts w:ascii="Open Sans" w:eastAsia="Aptos" w:hAnsi="Open Sans" w:cs="Open Sans"/>
          <w:b/>
          <w:bCs/>
          <w:color w:val="333333"/>
          <w:sz w:val="21"/>
          <w:szCs w:val="21"/>
        </w:rPr>
        <w:t>3.3.3. </w:t>
      </w:r>
      <w:bookmarkEnd w:id="27"/>
      <w:r w:rsidRPr="00003317">
        <w:t>State where tax returns are filed</w:t>
      </w:r>
      <w:r w:rsidRPr="00CA2556">
        <w:rPr>
          <w:rFonts w:ascii="Open Sans" w:eastAsia="Aptos" w:hAnsi="Open Sans" w:cs="Open Sans"/>
          <w:color w:val="000000"/>
          <w:sz w:val="21"/>
          <w:szCs w:val="21"/>
        </w:rPr>
        <w:t> —</w:t>
      </w:r>
    </w:p>
    <w:p w14:paraId="5EA02379" w14:textId="77777777" w:rsidR="00CA2556" w:rsidRPr="00CA2556" w:rsidRDefault="00CA2556" w:rsidP="00CA2556">
      <w:pPr>
        <w:shd w:val="clear" w:color="auto" w:fill="FFFFFF"/>
        <w:rPr>
          <w:rFonts w:ascii="Open Sans" w:eastAsia="Aptos" w:hAnsi="Open Sans" w:cs="Open Sans"/>
          <w:color w:val="000000"/>
          <w:sz w:val="21"/>
          <w:szCs w:val="21"/>
        </w:rPr>
      </w:pPr>
      <w:r w:rsidRPr="00CA2556">
        <w:rPr>
          <w:rFonts w:ascii="Open Sans" w:eastAsia="Aptos" w:hAnsi="Open Sans" w:cs="Open Sans"/>
          <w:color w:val="000000"/>
          <w:sz w:val="21"/>
          <w:szCs w:val="21"/>
        </w:rPr>
        <w:t>Nexus (a.k.a. filing requirement) is one of the most fundamental (and most highly litigated) concepts in state taxation. Foreign businesses often find the U.S. state tax nexus rules, and the multiple levels at which U.S. taxes can be imposed, complex and confusing. State tax nexus can be triggered by either physical activities or economic activities. Even if the new U.S. entity confines its physical facilities to only one state, the level of its sales to customers in other states can trigger nexus, as can the manner in which it markets its products, engages with customers, and ships its products. Once nexus is triggered, the business may be subject to a patchwork of income, franchise, sales/use, gross receipts, and other types of taxes at both the state and local level. It is advisable to conduct an initial nexus analysis ahead of beginning U.S. business operations, and a nexus review annually thereafter to avoid being surprised by costly state tax filing obligations and tax liabilities.</w:t>
      </w:r>
    </w:p>
    <w:p w14:paraId="407DD4AA" w14:textId="77777777" w:rsidR="00CA2556" w:rsidRPr="00CA2556" w:rsidRDefault="00CA2556" w:rsidP="00CA2556">
      <w:pPr>
        <w:shd w:val="clear" w:color="auto" w:fill="FFFFFF"/>
        <w:rPr>
          <w:rFonts w:ascii="Open Sans" w:eastAsia="Aptos" w:hAnsi="Open Sans" w:cs="Open Sans"/>
          <w:color w:val="000000"/>
          <w:sz w:val="21"/>
          <w:szCs w:val="21"/>
        </w:rPr>
      </w:pPr>
      <w:bookmarkStart w:id="28" w:name="section(3)(3)(3)(3)(3)(4)_0"/>
      <w:r w:rsidRPr="00CA2556">
        <w:rPr>
          <w:rFonts w:ascii="Open Sans" w:eastAsia="Aptos" w:hAnsi="Open Sans" w:cs="Open Sans"/>
          <w:b/>
          <w:bCs/>
          <w:color w:val="333333"/>
          <w:sz w:val="21"/>
          <w:szCs w:val="21"/>
        </w:rPr>
        <w:t>3.3.4. </w:t>
      </w:r>
      <w:bookmarkEnd w:id="28"/>
      <w:r w:rsidRPr="00003317">
        <w:t>Products subject to sales/use taxes</w:t>
      </w:r>
      <w:r w:rsidRPr="00CA2556">
        <w:rPr>
          <w:rFonts w:ascii="Open Sans" w:eastAsia="Aptos" w:hAnsi="Open Sans" w:cs="Open Sans"/>
          <w:color w:val="000000"/>
          <w:sz w:val="21"/>
          <w:szCs w:val="21"/>
        </w:rPr>
        <w:t> —</w:t>
      </w:r>
    </w:p>
    <w:p w14:paraId="36545354" w14:textId="77777777" w:rsidR="00CA2556" w:rsidRPr="00CA2556" w:rsidRDefault="00CA2556" w:rsidP="00CA2556">
      <w:pPr>
        <w:shd w:val="clear" w:color="auto" w:fill="FFFFFF"/>
        <w:rPr>
          <w:rFonts w:ascii="Open Sans" w:eastAsia="Aptos" w:hAnsi="Open Sans" w:cs="Open Sans"/>
          <w:color w:val="000000"/>
          <w:sz w:val="21"/>
          <w:szCs w:val="21"/>
        </w:rPr>
      </w:pPr>
      <w:r w:rsidRPr="00CA2556">
        <w:rPr>
          <w:rFonts w:ascii="Open Sans" w:eastAsia="Aptos" w:hAnsi="Open Sans" w:cs="Open Sans"/>
          <w:color w:val="000000"/>
          <w:sz w:val="21"/>
          <w:szCs w:val="21"/>
        </w:rPr>
        <w:t>Rules regarding taxability and exemptions vary by state. It is important to determine the taxability of each product or service in each state where the entity has nexus. It also is important to understand how the product will be sold and distributed to determine who is responsible for paying the sales tax and what exemption certificates must be obtained or provided to claim applicable exemptions.</w:t>
      </w:r>
    </w:p>
    <w:p w14:paraId="5C0D81A0" w14:textId="77777777" w:rsidR="00CA2556" w:rsidRPr="00CA2556" w:rsidRDefault="00CA2556" w:rsidP="00CA2556">
      <w:pPr>
        <w:shd w:val="clear" w:color="auto" w:fill="FFFFFF"/>
        <w:rPr>
          <w:rFonts w:ascii="Open Sans" w:eastAsia="Aptos" w:hAnsi="Open Sans" w:cs="Open Sans"/>
          <w:color w:val="000000"/>
          <w:sz w:val="21"/>
          <w:szCs w:val="21"/>
        </w:rPr>
      </w:pPr>
      <w:bookmarkStart w:id="29" w:name="section(3)(3)(4)_0"/>
      <w:r w:rsidRPr="00CA2556">
        <w:rPr>
          <w:rFonts w:ascii="Open Sans" w:eastAsia="Aptos" w:hAnsi="Open Sans" w:cs="Open Sans"/>
          <w:b/>
          <w:bCs/>
          <w:color w:val="333333"/>
          <w:sz w:val="21"/>
          <w:szCs w:val="21"/>
        </w:rPr>
        <w:t>3.4. </w:t>
      </w:r>
      <w:bookmarkEnd w:id="29"/>
      <w:r w:rsidRPr="00CA2556">
        <w:rPr>
          <w:rFonts w:ascii="Open Sans" w:eastAsia="Aptos" w:hAnsi="Open Sans" w:cs="Open Sans"/>
          <w:color w:val="000000"/>
          <w:sz w:val="21"/>
          <w:szCs w:val="21"/>
        </w:rPr>
        <w:t> </w:t>
      </w:r>
      <w:r w:rsidRPr="00003317">
        <w:t>State Tax Navigator Links </w:t>
      </w:r>
      <w:r w:rsidRPr="00CA2556">
        <w:rPr>
          <w:rFonts w:ascii="Open Sans" w:eastAsia="Aptos" w:hAnsi="Open Sans" w:cs="Open Sans"/>
          <w:color w:val="000000"/>
          <w:sz w:val="21"/>
          <w:szCs w:val="21"/>
        </w:rPr>
        <w:t>—</w:t>
      </w:r>
      <w:bookmarkStart w:id="30" w:name=""/>
      <w:bookmarkEnd w:id="30"/>
    </w:p>
    <w:p w14:paraId="0D32B53D" w14:textId="77777777" w:rsidR="00CA2556" w:rsidRPr="00CA2556" w:rsidRDefault="00CA2556" w:rsidP="00CA2556">
      <w:pPr>
        <w:shd w:val="clear" w:color="auto" w:fill="FFFFFF"/>
        <w:rPr>
          <w:rFonts w:ascii="Open Sans" w:eastAsia="Aptos" w:hAnsi="Open Sans" w:cs="Open Sans"/>
          <w:color w:val="000000"/>
          <w:sz w:val="21"/>
          <w:szCs w:val="21"/>
        </w:rPr>
      </w:pPr>
      <w:r w:rsidRPr="00003317">
        <w:t>Sales &amp; Use Tax Navigator Charts</w:t>
      </w:r>
    </w:p>
    <w:p w14:paraId="6D5F9E07" w14:textId="77777777" w:rsidR="00CA2556" w:rsidRPr="00CA2556" w:rsidRDefault="00CA2556" w:rsidP="00CA2556">
      <w:pPr>
        <w:shd w:val="clear" w:color="auto" w:fill="FFFFFF"/>
        <w:rPr>
          <w:rFonts w:ascii="Open Sans" w:eastAsia="Aptos" w:hAnsi="Open Sans" w:cs="Open Sans"/>
          <w:color w:val="000000"/>
          <w:sz w:val="21"/>
          <w:szCs w:val="21"/>
        </w:rPr>
      </w:pPr>
      <w:r w:rsidRPr="00CA2556">
        <w:rPr>
          <w:rFonts w:ascii="Open Sans" w:eastAsia="Aptos" w:hAnsi="Open Sans" w:cs="Open Sans"/>
          <w:color w:val="000000"/>
          <w:sz w:val="21"/>
          <w:szCs w:val="21"/>
        </w:rPr>
        <w:t>• </w:t>
      </w:r>
      <w:hyperlink r:id="rId8" w:history="1">
        <w:r w:rsidRPr="00003317">
          <w:t>Sales Tax Base</w:t>
        </w:r>
      </w:hyperlink>
    </w:p>
    <w:p w14:paraId="083E6D94" w14:textId="77777777" w:rsidR="00CA2556" w:rsidRPr="00CA2556" w:rsidRDefault="00CA2556" w:rsidP="00CA2556">
      <w:pPr>
        <w:shd w:val="clear" w:color="auto" w:fill="FFFFFF"/>
        <w:rPr>
          <w:rFonts w:ascii="Open Sans" w:eastAsia="Aptos" w:hAnsi="Open Sans" w:cs="Open Sans"/>
          <w:color w:val="000000"/>
          <w:sz w:val="21"/>
          <w:szCs w:val="21"/>
        </w:rPr>
      </w:pPr>
      <w:r w:rsidRPr="00CA2556">
        <w:rPr>
          <w:rFonts w:ascii="Open Sans" w:eastAsia="Aptos" w:hAnsi="Open Sans" w:cs="Open Sans"/>
          <w:color w:val="000000"/>
          <w:sz w:val="21"/>
          <w:szCs w:val="21"/>
        </w:rPr>
        <w:t>• </w:t>
      </w:r>
      <w:hyperlink r:id="rId9" w:history="1">
        <w:r w:rsidRPr="00003317">
          <w:t>Use Tax Base</w:t>
        </w:r>
      </w:hyperlink>
    </w:p>
    <w:p w14:paraId="5DFE8421" w14:textId="77777777" w:rsidR="00CA2556" w:rsidRPr="00CA2556" w:rsidRDefault="00CA2556" w:rsidP="00CA2556">
      <w:pPr>
        <w:shd w:val="clear" w:color="auto" w:fill="FFFFFF"/>
        <w:rPr>
          <w:rFonts w:ascii="Open Sans" w:eastAsia="Aptos" w:hAnsi="Open Sans" w:cs="Open Sans"/>
          <w:color w:val="000000"/>
          <w:sz w:val="21"/>
          <w:szCs w:val="21"/>
        </w:rPr>
      </w:pPr>
      <w:r w:rsidRPr="00CA2556">
        <w:rPr>
          <w:rFonts w:ascii="Open Sans" w:eastAsia="Aptos" w:hAnsi="Open Sans" w:cs="Open Sans"/>
          <w:color w:val="000000"/>
          <w:sz w:val="21"/>
          <w:szCs w:val="21"/>
        </w:rPr>
        <w:t>• </w:t>
      </w:r>
      <w:hyperlink r:id="rId10" w:history="1">
        <w:r w:rsidRPr="00003317">
          <w:t>Local Sales and Use Tax Base</w:t>
        </w:r>
      </w:hyperlink>
    </w:p>
    <w:p w14:paraId="081FDD21" w14:textId="77777777" w:rsidR="00CA2556" w:rsidRPr="00CA2556" w:rsidRDefault="00CA2556" w:rsidP="00CA2556">
      <w:pPr>
        <w:shd w:val="clear" w:color="auto" w:fill="FFFFFF"/>
        <w:rPr>
          <w:rFonts w:ascii="Open Sans" w:eastAsia="Aptos" w:hAnsi="Open Sans" w:cs="Open Sans"/>
          <w:color w:val="000000"/>
          <w:sz w:val="21"/>
          <w:szCs w:val="21"/>
        </w:rPr>
      </w:pPr>
      <w:r w:rsidRPr="00CA2556">
        <w:rPr>
          <w:rFonts w:ascii="Open Sans" w:eastAsia="Aptos" w:hAnsi="Open Sans" w:cs="Open Sans"/>
          <w:color w:val="000000"/>
          <w:sz w:val="21"/>
          <w:szCs w:val="21"/>
        </w:rPr>
        <w:t>• </w:t>
      </w:r>
      <w:hyperlink r:id="rId11" w:history="1">
        <w:r w:rsidRPr="00003317">
          <w:t>Tax Base: Federal Excise Taxes and Fees</w:t>
        </w:r>
      </w:hyperlink>
    </w:p>
    <w:p w14:paraId="4972E71F" w14:textId="77777777" w:rsidR="00CA2556" w:rsidRPr="00CA2556" w:rsidRDefault="00CA2556" w:rsidP="00CA2556">
      <w:pPr>
        <w:shd w:val="clear" w:color="auto" w:fill="FFFFFF"/>
        <w:rPr>
          <w:rFonts w:ascii="Open Sans" w:eastAsia="Aptos" w:hAnsi="Open Sans" w:cs="Open Sans"/>
          <w:color w:val="000000"/>
          <w:sz w:val="21"/>
          <w:szCs w:val="21"/>
        </w:rPr>
      </w:pPr>
      <w:r w:rsidRPr="00CA2556">
        <w:rPr>
          <w:rFonts w:ascii="Open Sans" w:eastAsia="Aptos" w:hAnsi="Open Sans" w:cs="Open Sans"/>
          <w:color w:val="000000"/>
          <w:sz w:val="21"/>
          <w:szCs w:val="21"/>
        </w:rPr>
        <w:t>• </w:t>
      </w:r>
      <w:hyperlink r:id="rId12" w:history="1">
        <w:r w:rsidRPr="00003317">
          <w:t>Nexus, State and Local Interpretation: Standard for Substantial Nexus</w:t>
        </w:r>
      </w:hyperlink>
    </w:p>
    <w:p w14:paraId="58196993" w14:textId="77777777" w:rsidR="00CA2556" w:rsidRPr="00CA2556" w:rsidRDefault="00CA2556" w:rsidP="00CA2556">
      <w:pPr>
        <w:shd w:val="clear" w:color="auto" w:fill="FFFFFF"/>
        <w:rPr>
          <w:rFonts w:ascii="Open Sans" w:eastAsia="Aptos" w:hAnsi="Open Sans" w:cs="Open Sans"/>
          <w:color w:val="000000"/>
          <w:sz w:val="21"/>
          <w:szCs w:val="21"/>
        </w:rPr>
      </w:pPr>
      <w:r w:rsidRPr="00003317">
        <w:t>Property Tax Navigator Charts</w:t>
      </w:r>
    </w:p>
    <w:p w14:paraId="61F41A05" w14:textId="77777777" w:rsidR="00CA2556" w:rsidRPr="00CA2556" w:rsidRDefault="00CA2556" w:rsidP="00CA2556">
      <w:pPr>
        <w:shd w:val="clear" w:color="auto" w:fill="FFFFFF"/>
        <w:rPr>
          <w:rFonts w:ascii="Open Sans" w:eastAsia="Aptos" w:hAnsi="Open Sans" w:cs="Open Sans"/>
          <w:color w:val="000000"/>
          <w:sz w:val="21"/>
          <w:szCs w:val="21"/>
        </w:rPr>
      </w:pPr>
      <w:r w:rsidRPr="00CA2556">
        <w:rPr>
          <w:rFonts w:ascii="Open Sans" w:eastAsia="Aptos" w:hAnsi="Open Sans" w:cs="Open Sans"/>
          <w:color w:val="000000"/>
          <w:sz w:val="21"/>
          <w:szCs w:val="21"/>
        </w:rPr>
        <w:t>• </w:t>
      </w:r>
      <w:hyperlink r:id="rId13" w:history="1">
        <w:r w:rsidRPr="00003317">
          <w:t>Valuation, Assessment and Equalization: Tax Rates</w:t>
        </w:r>
      </w:hyperlink>
    </w:p>
    <w:p w14:paraId="6C97280D" w14:textId="77777777" w:rsidR="00CA2556" w:rsidRPr="00CA2556" w:rsidRDefault="00CA2556" w:rsidP="00CA2556">
      <w:pPr>
        <w:shd w:val="clear" w:color="auto" w:fill="FFFFFF"/>
        <w:rPr>
          <w:rFonts w:ascii="Open Sans" w:eastAsia="Aptos" w:hAnsi="Open Sans" w:cs="Open Sans"/>
          <w:color w:val="000000"/>
          <w:sz w:val="21"/>
          <w:szCs w:val="21"/>
        </w:rPr>
      </w:pPr>
      <w:r w:rsidRPr="00CA2556">
        <w:rPr>
          <w:rFonts w:ascii="Open Sans" w:eastAsia="Aptos" w:hAnsi="Open Sans" w:cs="Open Sans"/>
          <w:color w:val="000000"/>
          <w:sz w:val="21"/>
          <w:szCs w:val="21"/>
        </w:rPr>
        <w:t>• </w:t>
      </w:r>
      <w:hyperlink r:id="rId14" w:history="1">
        <w:r w:rsidRPr="00003317">
          <w:t>Business, Commercial, and Industrial Property</w:t>
        </w:r>
      </w:hyperlink>
    </w:p>
    <w:p w14:paraId="7DE86CAF" w14:textId="77777777" w:rsidR="00CA2556" w:rsidRPr="00CA2556" w:rsidRDefault="00CA2556" w:rsidP="00CA2556">
      <w:pPr>
        <w:shd w:val="clear" w:color="auto" w:fill="FFFFFF"/>
        <w:rPr>
          <w:rFonts w:ascii="Open Sans" w:eastAsia="Aptos" w:hAnsi="Open Sans" w:cs="Open Sans"/>
          <w:color w:val="000000"/>
          <w:sz w:val="21"/>
          <w:szCs w:val="21"/>
        </w:rPr>
      </w:pPr>
      <w:r w:rsidRPr="00CA2556">
        <w:rPr>
          <w:rFonts w:ascii="Open Sans" w:eastAsia="Aptos" w:hAnsi="Open Sans" w:cs="Open Sans"/>
          <w:color w:val="000000"/>
          <w:sz w:val="21"/>
          <w:szCs w:val="21"/>
        </w:rPr>
        <w:t>• </w:t>
      </w:r>
      <w:hyperlink r:id="rId15" w:history="1">
        <w:r w:rsidRPr="00003317">
          <w:t>Payments in Lieu of Property Taxes (PILOT)</w:t>
        </w:r>
      </w:hyperlink>
    </w:p>
    <w:p w14:paraId="589E806A" w14:textId="77777777" w:rsidR="00CA2556" w:rsidRPr="00CA2556" w:rsidRDefault="00CA2556" w:rsidP="00CA2556">
      <w:pPr>
        <w:shd w:val="clear" w:color="auto" w:fill="FFFFFF"/>
        <w:rPr>
          <w:rFonts w:ascii="Open Sans" w:eastAsia="Aptos" w:hAnsi="Open Sans" w:cs="Open Sans"/>
          <w:color w:val="000000"/>
          <w:sz w:val="21"/>
          <w:szCs w:val="21"/>
        </w:rPr>
      </w:pPr>
      <w:r w:rsidRPr="00003317">
        <w:t>Corporate Income Tax Navigator Charts</w:t>
      </w:r>
    </w:p>
    <w:p w14:paraId="53B152AD" w14:textId="77777777" w:rsidR="00CA2556" w:rsidRPr="00CA2556" w:rsidRDefault="00CA2556" w:rsidP="00CA2556">
      <w:pPr>
        <w:shd w:val="clear" w:color="auto" w:fill="FFFFFF"/>
        <w:rPr>
          <w:rFonts w:ascii="Open Sans" w:eastAsia="Aptos" w:hAnsi="Open Sans" w:cs="Open Sans"/>
          <w:color w:val="000000"/>
          <w:sz w:val="21"/>
          <w:szCs w:val="21"/>
        </w:rPr>
      </w:pPr>
      <w:r w:rsidRPr="00CA2556">
        <w:rPr>
          <w:rFonts w:ascii="Open Sans" w:eastAsia="Aptos" w:hAnsi="Open Sans" w:cs="Open Sans"/>
          <w:color w:val="000000"/>
          <w:sz w:val="21"/>
          <w:szCs w:val="21"/>
        </w:rPr>
        <w:t>• </w:t>
      </w:r>
      <w:hyperlink r:id="rId16" w:history="1">
        <w:r w:rsidRPr="00003317">
          <w:t>Jurisdiction to Tax and Limitations on State Taxation, Nexus</w:t>
        </w:r>
      </w:hyperlink>
    </w:p>
    <w:p w14:paraId="54BD8D77" w14:textId="77777777" w:rsidR="00CA2556" w:rsidRPr="00CA2556" w:rsidRDefault="00CA2556" w:rsidP="00CA2556">
      <w:pPr>
        <w:shd w:val="clear" w:color="auto" w:fill="FFFFFF"/>
        <w:rPr>
          <w:rFonts w:ascii="Open Sans" w:eastAsia="Aptos" w:hAnsi="Open Sans" w:cs="Open Sans"/>
          <w:color w:val="000000"/>
          <w:sz w:val="21"/>
          <w:szCs w:val="21"/>
        </w:rPr>
      </w:pPr>
      <w:r w:rsidRPr="00CA2556">
        <w:rPr>
          <w:rFonts w:ascii="Open Sans" w:eastAsia="Aptos" w:hAnsi="Open Sans" w:cs="Open Sans"/>
          <w:color w:val="000000"/>
          <w:sz w:val="21"/>
          <w:szCs w:val="21"/>
        </w:rPr>
        <w:t>• </w:t>
      </w:r>
      <w:hyperlink r:id="rId17" w:history="1">
        <w:r w:rsidRPr="00003317">
          <w:t>Entities Subject to Corporate Income Tax/Definitions</w:t>
        </w:r>
      </w:hyperlink>
    </w:p>
    <w:p w14:paraId="06E8E72D" w14:textId="77777777" w:rsidR="00CA2556" w:rsidRPr="00CA2556" w:rsidRDefault="00CA2556" w:rsidP="00CA2556">
      <w:pPr>
        <w:shd w:val="clear" w:color="auto" w:fill="FFFFFF"/>
        <w:rPr>
          <w:rFonts w:ascii="Open Sans" w:eastAsia="Aptos" w:hAnsi="Open Sans" w:cs="Open Sans"/>
          <w:color w:val="000000"/>
          <w:sz w:val="21"/>
          <w:szCs w:val="21"/>
        </w:rPr>
      </w:pPr>
      <w:r w:rsidRPr="00003317">
        <w:t>Passthrough Entities Navigator Charts</w:t>
      </w:r>
    </w:p>
    <w:p w14:paraId="2FF94DC4" w14:textId="77777777" w:rsidR="00CA2556" w:rsidRPr="00CA2556" w:rsidRDefault="00CA2556" w:rsidP="00CA2556">
      <w:pPr>
        <w:shd w:val="clear" w:color="auto" w:fill="FFFFFF"/>
        <w:rPr>
          <w:rFonts w:ascii="Open Sans" w:eastAsia="Aptos" w:hAnsi="Open Sans" w:cs="Open Sans"/>
          <w:color w:val="000000"/>
          <w:sz w:val="21"/>
          <w:szCs w:val="21"/>
        </w:rPr>
      </w:pPr>
      <w:r w:rsidRPr="00CA2556">
        <w:rPr>
          <w:rFonts w:ascii="Open Sans" w:eastAsia="Aptos" w:hAnsi="Open Sans" w:cs="Open Sans"/>
          <w:color w:val="000000"/>
          <w:sz w:val="21"/>
          <w:szCs w:val="21"/>
        </w:rPr>
        <w:t>• </w:t>
      </w:r>
      <w:hyperlink r:id="rId18" w:history="1">
        <w:r w:rsidRPr="00003317">
          <w:t>Overview: Nexus</w:t>
        </w:r>
      </w:hyperlink>
    </w:p>
    <w:p w14:paraId="0A291653" w14:textId="77777777" w:rsidR="00CA2556" w:rsidRPr="00CA2556" w:rsidRDefault="00CA2556" w:rsidP="00CA2556">
      <w:pPr>
        <w:shd w:val="clear" w:color="auto" w:fill="FFFFFF"/>
        <w:rPr>
          <w:rFonts w:ascii="Open Sans" w:eastAsia="Aptos" w:hAnsi="Open Sans" w:cs="Open Sans"/>
          <w:color w:val="000000"/>
          <w:sz w:val="21"/>
          <w:szCs w:val="21"/>
        </w:rPr>
      </w:pPr>
      <w:r w:rsidRPr="00CA2556">
        <w:rPr>
          <w:rFonts w:ascii="Open Sans" w:eastAsia="Aptos" w:hAnsi="Open Sans" w:cs="Open Sans"/>
          <w:color w:val="000000"/>
          <w:sz w:val="21"/>
          <w:szCs w:val="21"/>
        </w:rPr>
        <w:t>• </w:t>
      </w:r>
      <w:hyperlink r:id="rId19" w:history="1">
        <w:r w:rsidRPr="00003317">
          <w:t>Mandatory Taxes Imposed on Pass-Through Entities</w:t>
        </w:r>
      </w:hyperlink>
    </w:p>
    <w:p w14:paraId="654A1184" w14:textId="77777777" w:rsidR="00CA2556" w:rsidRPr="00CA2556" w:rsidRDefault="00CA2556" w:rsidP="00CA2556">
      <w:pPr>
        <w:shd w:val="clear" w:color="auto" w:fill="FFFFFF"/>
        <w:rPr>
          <w:rFonts w:ascii="Open Sans" w:eastAsia="Aptos" w:hAnsi="Open Sans" w:cs="Open Sans"/>
          <w:color w:val="000000"/>
          <w:sz w:val="21"/>
          <w:szCs w:val="21"/>
        </w:rPr>
      </w:pPr>
      <w:r w:rsidRPr="00003317">
        <w:t>Credits &amp; Incentives Navigator Charts</w:t>
      </w:r>
    </w:p>
    <w:p w14:paraId="658EEAF7" w14:textId="77777777" w:rsidR="00CA2556" w:rsidRPr="00CA2556" w:rsidRDefault="00CA2556" w:rsidP="00CA2556">
      <w:pPr>
        <w:shd w:val="clear" w:color="auto" w:fill="FFFFFF"/>
        <w:rPr>
          <w:rFonts w:ascii="Open Sans" w:eastAsia="Aptos" w:hAnsi="Open Sans" w:cs="Open Sans"/>
          <w:color w:val="000000"/>
          <w:sz w:val="21"/>
          <w:szCs w:val="21"/>
        </w:rPr>
      </w:pPr>
      <w:r w:rsidRPr="00CA2556">
        <w:rPr>
          <w:rFonts w:ascii="Open Sans" w:eastAsia="Aptos" w:hAnsi="Open Sans" w:cs="Open Sans"/>
          <w:color w:val="000000"/>
          <w:sz w:val="21"/>
          <w:szCs w:val="21"/>
        </w:rPr>
        <w:t>• </w:t>
      </w:r>
      <w:hyperlink r:id="rId20" w:history="1">
        <w:r w:rsidRPr="00003317">
          <w:t>Economic Development and Investment Credits</w:t>
        </w:r>
      </w:hyperlink>
    </w:p>
    <w:p w14:paraId="36D8E2CB" w14:textId="77777777" w:rsidR="00CA2556" w:rsidRPr="00CA2556" w:rsidRDefault="00CA2556" w:rsidP="00CA2556">
      <w:pPr>
        <w:shd w:val="clear" w:color="auto" w:fill="FFFFFF"/>
        <w:rPr>
          <w:rFonts w:ascii="Open Sans" w:eastAsia="Aptos" w:hAnsi="Open Sans" w:cs="Open Sans"/>
          <w:color w:val="000000"/>
          <w:sz w:val="21"/>
          <w:szCs w:val="21"/>
        </w:rPr>
      </w:pPr>
      <w:r w:rsidRPr="00CA2556">
        <w:rPr>
          <w:rFonts w:ascii="Open Sans" w:eastAsia="Aptos" w:hAnsi="Open Sans" w:cs="Open Sans"/>
          <w:color w:val="000000"/>
          <w:sz w:val="21"/>
          <w:szCs w:val="21"/>
        </w:rPr>
        <w:t>• </w:t>
      </w:r>
      <w:hyperlink r:id="rId21" w:history="1">
        <w:r w:rsidRPr="00003317">
          <w:t>Historic Rehabilitation</w:t>
        </w:r>
      </w:hyperlink>
    </w:p>
    <w:p w14:paraId="39815027" w14:textId="77777777" w:rsidR="00CA2556" w:rsidRPr="00CA2556" w:rsidRDefault="00CA2556" w:rsidP="00CA2556">
      <w:pPr>
        <w:rPr>
          <w:rFonts w:ascii="Calibri" w:eastAsia="Aptos" w:hAnsi="Calibri" w:cs="Times New Roman"/>
          <w:sz w:val="22"/>
        </w:rPr>
      </w:pPr>
    </w:p>
    <w:p w14:paraId="3D6595A4" w14:textId="77777777" w:rsidR="00CA2556" w:rsidRDefault="00CA2556"/>
    <w:sectPr w:rsidR="00CA255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A959F" w14:textId="77777777" w:rsidR="00BB6018" w:rsidRDefault="00BB6018" w:rsidP="00DB4EAC">
      <w:pPr>
        <w:spacing w:after="0" w:line="240" w:lineRule="auto"/>
      </w:pPr>
      <w:r>
        <w:separator/>
      </w:r>
    </w:p>
  </w:endnote>
  <w:endnote w:type="continuationSeparator" w:id="0">
    <w:p w14:paraId="40F41E35" w14:textId="77777777" w:rsidR="00BB6018" w:rsidRDefault="00BB6018" w:rsidP="00DB4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868D8" w14:textId="77777777" w:rsidR="00BB6018" w:rsidRDefault="00BB6018" w:rsidP="00DB4EAC">
      <w:pPr>
        <w:spacing w:after="0" w:line="240" w:lineRule="auto"/>
      </w:pPr>
      <w:r>
        <w:separator/>
      </w:r>
    </w:p>
  </w:footnote>
  <w:footnote w:type="continuationSeparator" w:id="0">
    <w:p w14:paraId="0B19BF40" w14:textId="77777777" w:rsidR="00BB6018" w:rsidRDefault="00BB6018" w:rsidP="00DB4EAC">
      <w:pPr>
        <w:spacing w:after="0" w:line="240" w:lineRule="auto"/>
      </w:pPr>
      <w:r>
        <w:continuationSeparator/>
      </w:r>
    </w:p>
  </w:footnote>
  <w:footnote w:id="1">
    <w:p w14:paraId="2515AA2C" w14:textId="6428E991" w:rsidR="00DB4EAC" w:rsidRPr="00DB4EAC" w:rsidRDefault="00DB4EAC">
      <w:pPr>
        <w:pStyle w:val="FootnoteText"/>
      </w:pPr>
      <w:r>
        <w:rPr>
          <w:rStyle w:val="FootnoteReference"/>
        </w:rPr>
        <w:footnoteRef/>
      </w:r>
      <w:r>
        <w:t xml:space="preserve"> </w:t>
      </w:r>
      <w:r w:rsidR="00260A02">
        <w:t>“</w:t>
      </w:r>
      <w:r w:rsidR="00260A02" w:rsidRPr="00260A02">
        <w:t>An Update About CBO's Projections of the Budgetary Effects of Tariffs</w:t>
      </w:r>
      <w:r w:rsidR="00260A02">
        <w:t xml:space="preserve">”, </w:t>
      </w:r>
      <w:r w:rsidRPr="00DB4EAC">
        <w:t>https://www.cbo.gov/publication/61697</w:t>
      </w:r>
      <w:r>
        <w:t>.</w:t>
      </w:r>
    </w:p>
  </w:footnote>
  <w:footnote w:id="2">
    <w:p w14:paraId="6BFD3C45" w14:textId="571F7C25" w:rsidR="00F618FC" w:rsidRDefault="00F618FC" w:rsidP="009E04DF">
      <w:pPr>
        <w:shd w:val="clear" w:color="auto" w:fill="FFFFFF"/>
      </w:pPr>
      <w:r>
        <w:rPr>
          <w:rStyle w:val="FootnoteReference"/>
        </w:rPr>
        <w:footnoteRef/>
      </w:r>
      <w:r>
        <w:t xml:space="preserve"> </w:t>
      </w:r>
      <w:r w:rsidR="009E04DF">
        <w:rPr>
          <w:rFonts w:ascii="Open Sans" w:hAnsi="Open Sans" w:cs="Open Sans"/>
          <w:color w:val="000000"/>
          <w:sz w:val="18"/>
          <w:szCs w:val="18"/>
        </w:rPr>
        <w:t>For further information, see </w:t>
      </w:r>
      <w:hyperlink r:id="rId1" w:history="1">
        <w:r w:rsidR="009E04DF">
          <w:rPr>
            <w:rStyle w:val="Hyperlink"/>
            <w:rFonts w:ascii="Open Sans" w:hAnsi="Open Sans" w:cs="Open Sans"/>
            <w:b/>
            <w:bCs/>
            <w:color w:val="225379"/>
            <w:sz w:val="18"/>
            <w:szCs w:val="18"/>
          </w:rPr>
          <w:t>T.M. 556, Research and Development Expenditures</w:t>
        </w:r>
      </w:hyperlink>
      <w:r w:rsidR="009E04DF">
        <w:rPr>
          <w:rFonts w:ascii="Open Sans" w:hAnsi="Open Sans" w:cs="Open Sans"/>
          <w:color w:val="000000"/>
          <w:sz w:val="18"/>
          <w:szCs w:val="18"/>
        </w:rPr>
        <w:t>.</w:t>
      </w:r>
    </w:p>
  </w:footnote>
  <w:footnote w:id="3">
    <w:p w14:paraId="1CC08B8C" w14:textId="66E877F6" w:rsidR="007D2BAB" w:rsidRDefault="007D2BAB">
      <w:pPr>
        <w:pStyle w:val="FootnoteText"/>
      </w:pPr>
      <w:r>
        <w:rPr>
          <w:rStyle w:val="FootnoteReference"/>
        </w:rPr>
        <w:footnoteRef/>
      </w:r>
      <w:r>
        <w:t xml:space="preserve"> </w:t>
      </w:r>
      <w:r w:rsidR="00797FC8">
        <w:rPr>
          <w:rFonts w:ascii="Open Sans" w:hAnsi="Open Sans" w:cs="Open Sans"/>
          <w:color w:val="000000"/>
          <w:sz w:val="18"/>
          <w:szCs w:val="18"/>
          <w:shd w:val="clear" w:color="auto" w:fill="FFFFFF"/>
        </w:rPr>
        <w:t>For further information, see </w:t>
      </w:r>
      <w:hyperlink r:id="rId2" w:history="1">
        <w:r w:rsidR="00797FC8">
          <w:rPr>
            <w:rStyle w:val="Hyperlink"/>
            <w:rFonts w:ascii="Open Sans" w:hAnsi="Open Sans" w:cs="Open Sans"/>
            <w:b/>
            <w:bCs/>
            <w:color w:val="225379"/>
            <w:sz w:val="18"/>
            <w:szCs w:val="18"/>
            <w:shd w:val="clear" w:color="auto" w:fill="FFFFFF"/>
          </w:rPr>
          <w:t>T.M. 536, Interest Expense Deductions</w:t>
        </w:r>
      </w:hyperlink>
      <w:r w:rsidR="00797FC8">
        <w:rPr>
          <w:rFonts w:ascii="Open Sans" w:hAnsi="Open Sans" w:cs="Open Sans"/>
          <w:color w:val="000000"/>
          <w:sz w:val="18"/>
          <w:szCs w:val="18"/>
          <w:shd w:val="clear" w:color="auto" w:fill="FFFFFF"/>
        </w:rPr>
        <w:t>.</w:t>
      </w:r>
    </w:p>
  </w:footnote>
  <w:footnote w:id="4">
    <w:p w14:paraId="301C1132" w14:textId="77777777" w:rsidR="00D50CFD" w:rsidRDefault="00C801F6" w:rsidP="00D50CFD">
      <w:pPr>
        <w:shd w:val="clear" w:color="auto" w:fill="FFFFFF"/>
        <w:rPr>
          <w:rFonts w:ascii="Open Sans" w:hAnsi="Open Sans" w:cs="Open Sans"/>
          <w:color w:val="000000"/>
          <w:sz w:val="18"/>
          <w:szCs w:val="18"/>
        </w:rPr>
      </w:pPr>
      <w:r>
        <w:rPr>
          <w:rStyle w:val="FootnoteReference"/>
        </w:rPr>
        <w:footnoteRef/>
      </w:r>
      <w:r>
        <w:t xml:space="preserve"> </w:t>
      </w:r>
      <w:r w:rsidR="00D50CFD">
        <w:rPr>
          <w:rFonts w:ascii="Open Sans" w:hAnsi="Open Sans" w:cs="Open Sans"/>
          <w:color w:val="000000"/>
          <w:sz w:val="18"/>
          <w:szCs w:val="18"/>
        </w:rPr>
        <w:t>For further information, see </w:t>
      </w:r>
      <w:hyperlink r:id="rId3" w:history="1">
        <w:r w:rsidR="00D50CFD">
          <w:rPr>
            <w:rStyle w:val="Hyperlink"/>
            <w:rFonts w:ascii="Open Sans" w:hAnsi="Open Sans" w:cs="Open Sans"/>
            <w:b/>
            <w:bCs/>
            <w:color w:val="225379"/>
            <w:sz w:val="18"/>
            <w:szCs w:val="18"/>
          </w:rPr>
          <w:t>T.M. 537, Qualified Business Deduction: Section 199A</w:t>
        </w:r>
      </w:hyperlink>
      <w:r w:rsidR="00D50CFD">
        <w:rPr>
          <w:rFonts w:ascii="Open Sans" w:hAnsi="Open Sans" w:cs="Open Sans"/>
          <w:color w:val="000000"/>
          <w:sz w:val="18"/>
          <w:szCs w:val="18"/>
        </w:rPr>
        <w:t>.</w:t>
      </w:r>
    </w:p>
    <w:p w14:paraId="548F1F48" w14:textId="3FCC7B43" w:rsidR="00C801F6" w:rsidRDefault="00C801F6">
      <w:pPr>
        <w:pStyle w:val="FootnoteText"/>
      </w:pPr>
    </w:p>
  </w:footnote>
  <w:footnote w:id="5">
    <w:p w14:paraId="1C5FC60D" w14:textId="44AC6FB2" w:rsidR="008804BF" w:rsidRDefault="008804BF">
      <w:pPr>
        <w:pStyle w:val="FootnoteText"/>
      </w:pPr>
      <w:r>
        <w:rPr>
          <w:rStyle w:val="FootnoteReference"/>
        </w:rPr>
        <w:footnoteRef/>
      </w:r>
      <w:r>
        <w:t xml:space="preserve"> </w:t>
      </w:r>
      <w:r>
        <w:rPr>
          <w:rFonts w:ascii="Open Sans" w:hAnsi="Open Sans" w:cs="Open Sans"/>
          <w:color w:val="000000"/>
          <w:sz w:val="18"/>
          <w:szCs w:val="18"/>
        </w:rPr>
        <w:t>For further information, see </w:t>
      </w:r>
      <w:hyperlink r:id="rId4" w:history="1">
        <w:r w:rsidRPr="003454CC">
          <w:rPr>
            <w:rStyle w:val="Hyperlink"/>
            <w:rFonts w:ascii="Open Sans" w:hAnsi="Open Sans" w:cs="Open Sans"/>
            <w:b/>
            <w:bCs/>
            <w:color w:val="225379"/>
            <w:sz w:val="18"/>
            <w:szCs w:val="18"/>
          </w:rPr>
          <w:t xml:space="preserve">T.M. 6200, </w:t>
        </w:r>
        <w:r w:rsidR="003454CC" w:rsidRPr="003454CC">
          <w:rPr>
            <w:rStyle w:val="Hyperlink"/>
            <w:rFonts w:ascii="Open Sans" w:hAnsi="Open Sans" w:cs="Open Sans"/>
            <w:b/>
            <w:bCs/>
            <w:color w:val="225379"/>
            <w:sz w:val="18"/>
            <w:szCs w:val="18"/>
          </w:rPr>
          <w:t>CFCs</w:t>
        </w:r>
      </w:hyperlink>
      <w:r w:rsidR="003454CC" w:rsidRPr="00E73348">
        <w:rPr>
          <w:rFonts w:ascii="Open Sans" w:hAnsi="Open Sans" w:cs="Open Sans"/>
          <w:b/>
          <w:bCs/>
          <w:color w:val="000000"/>
          <w:sz w:val="18"/>
          <w:szCs w:val="18"/>
        </w:rPr>
        <w:t xml:space="preserve"> – </w:t>
      </w:r>
      <w:hyperlink r:id="rId5" w:history="1">
        <w:r w:rsidR="003454CC" w:rsidRPr="00E73348">
          <w:rPr>
            <w:rStyle w:val="Hyperlink"/>
            <w:rFonts w:ascii="Open Sans" w:hAnsi="Open Sans" w:cs="Open Sans"/>
            <w:b/>
            <w:bCs/>
            <w:sz w:val="18"/>
            <w:szCs w:val="18"/>
          </w:rPr>
          <w:t>General</w:t>
        </w:r>
      </w:hyperlink>
      <w:r w:rsidR="003454CC" w:rsidRPr="00E73348">
        <w:rPr>
          <w:rFonts w:ascii="Open Sans" w:hAnsi="Open Sans" w:cs="Open Sans"/>
          <w:b/>
          <w:bCs/>
          <w:color w:val="000000"/>
          <w:sz w:val="18"/>
          <w:szCs w:val="18"/>
        </w:rPr>
        <w:t xml:space="preserve"> Overview</w:t>
      </w:r>
      <w:r w:rsidRPr="00E73348">
        <w:rPr>
          <w:rFonts w:ascii="Open Sans" w:hAnsi="Open Sans" w:cs="Open Sans"/>
          <w:b/>
          <w:bCs/>
          <w:color w:val="000000"/>
          <w:sz w:val="18"/>
          <w:szCs w:val="18"/>
        </w:rPr>
        <w:t>.</w:t>
      </w:r>
    </w:p>
  </w:footnote>
  <w:footnote w:id="6">
    <w:p w14:paraId="7636FD98" w14:textId="6A26A51B" w:rsidR="00C211E7" w:rsidRDefault="00C211E7">
      <w:pPr>
        <w:pStyle w:val="FootnoteText"/>
      </w:pPr>
      <w:r>
        <w:rPr>
          <w:rStyle w:val="FootnoteReference"/>
        </w:rPr>
        <w:footnoteRef/>
      </w:r>
      <w:r>
        <w:t xml:space="preserve"> </w:t>
      </w:r>
      <w:r w:rsidR="004815F6">
        <w:t xml:space="preserve">For further information, see </w:t>
      </w:r>
      <w:hyperlink r:id="rId6" w:history="1">
        <w:r w:rsidR="004815F6" w:rsidRPr="00E73348">
          <w:rPr>
            <w:rStyle w:val="Hyperlink"/>
            <w:b/>
            <w:bCs/>
          </w:rPr>
          <w:t xml:space="preserve">T.M. </w:t>
        </w:r>
        <w:r w:rsidR="00B9504D" w:rsidRPr="00E73348">
          <w:rPr>
            <w:rStyle w:val="Hyperlink"/>
            <w:b/>
            <w:bCs/>
          </w:rPr>
          <w:t>6060</w:t>
        </w:r>
      </w:hyperlink>
      <w:r w:rsidR="00B9504D">
        <w:t xml:space="preserve">, </w:t>
      </w:r>
      <w:hyperlink r:id="rId7" w:history="1">
        <w:r w:rsidR="00B9504D" w:rsidRPr="00E73348">
          <w:rPr>
            <w:rStyle w:val="Hyperlink"/>
            <w:b/>
            <w:bCs/>
          </w:rPr>
          <w:t>T.M. 6215</w:t>
        </w:r>
      </w:hyperlink>
      <w:r w:rsidR="00B9504D">
        <w:t xml:space="preserve">, </w:t>
      </w:r>
      <w:r w:rsidR="00B9504D" w:rsidRPr="00A37130">
        <w:t>and</w:t>
      </w:r>
      <w:r w:rsidR="00B9504D" w:rsidRPr="00E73348">
        <w:rPr>
          <w:b/>
          <w:bCs/>
        </w:rPr>
        <w:t xml:space="preserve"> </w:t>
      </w:r>
      <w:hyperlink r:id="rId8" w:history="1">
        <w:r w:rsidR="00B9504D" w:rsidRPr="00E73348">
          <w:rPr>
            <w:rStyle w:val="Hyperlink"/>
            <w:b/>
            <w:bCs/>
          </w:rPr>
          <w:t>T.M. 6240</w:t>
        </w:r>
      </w:hyperlink>
      <w:r w:rsidR="00B9504D">
        <w:t>.</w:t>
      </w:r>
    </w:p>
  </w:footnote>
  <w:footnote w:id="7">
    <w:p w14:paraId="4D851BE1" w14:textId="4CF6D43B" w:rsidR="00B57F0C" w:rsidRDefault="00B57F0C">
      <w:pPr>
        <w:pStyle w:val="FootnoteText"/>
      </w:pPr>
      <w:r>
        <w:rPr>
          <w:rStyle w:val="FootnoteReference"/>
        </w:rPr>
        <w:footnoteRef/>
      </w:r>
      <w:r>
        <w:t xml:space="preserve"> </w:t>
      </w:r>
      <w:r w:rsidRPr="00CA2556">
        <w:rPr>
          <w:rFonts w:ascii="Open Sans" w:eastAsia="Aptos" w:hAnsi="Open Sans" w:cs="Open Sans"/>
          <w:color w:val="000000"/>
          <w:sz w:val="18"/>
          <w:szCs w:val="18"/>
        </w:rPr>
        <w:t>For further information on the state-tax related issues referenced below see the State Tax Navigator links at the end of this Guide</w:t>
      </w:r>
      <w:r>
        <w:rPr>
          <w:rFonts w:ascii="Open Sans" w:eastAsia="Aptos" w:hAnsi="Open Sans" w:cs="Open Sans"/>
          <w:color w:val="000000"/>
          <w:sz w:val="18"/>
          <w:szCs w:val="18"/>
        </w:rPr>
        <w:t>.</w:t>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ho, Peter">
    <w15:presenceInfo w15:providerId="None" w15:userId="Rho, Pet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556"/>
    <w:rsid w:val="00002C28"/>
    <w:rsid w:val="00003317"/>
    <w:rsid w:val="00033809"/>
    <w:rsid w:val="00040F80"/>
    <w:rsid w:val="000576F2"/>
    <w:rsid w:val="000A75D1"/>
    <w:rsid w:val="000A7BA6"/>
    <w:rsid w:val="000C40EA"/>
    <w:rsid w:val="000C756A"/>
    <w:rsid w:val="000D0AD9"/>
    <w:rsid w:val="000D27C8"/>
    <w:rsid w:val="000E4337"/>
    <w:rsid w:val="00114B47"/>
    <w:rsid w:val="00127A0E"/>
    <w:rsid w:val="0014650C"/>
    <w:rsid w:val="00177713"/>
    <w:rsid w:val="00180240"/>
    <w:rsid w:val="001A51E2"/>
    <w:rsid w:val="001B33B1"/>
    <w:rsid w:val="001C2FC4"/>
    <w:rsid w:val="001F37A5"/>
    <w:rsid w:val="0023249F"/>
    <w:rsid w:val="00260A02"/>
    <w:rsid w:val="002A246E"/>
    <w:rsid w:val="002A5147"/>
    <w:rsid w:val="002C0C81"/>
    <w:rsid w:val="002D2DE5"/>
    <w:rsid w:val="002D2E51"/>
    <w:rsid w:val="002D3AEE"/>
    <w:rsid w:val="003169CF"/>
    <w:rsid w:val="003412D2"/>
    <w:rsid w:val="003454CC"/>
    <w:rsid w:val="003524F3"/>
    <w:rsid w:val="00366E0F"/>
    <w:rsid w:val="00393266"/>
    <w:rsid w:val="003D106B"/>
    <w:rsid w:val="003E0B13"/>
    <w:rsid w:val="00415248"/>
    <w:rsid w:val="004215B5"/>
    <w:rsid w:val="00433EE2"/>
    <w:rsid w:val="004433DA"/>
    <w:rsid w:val="00443DCA"/>
    <w:rsid w:val="004764EF"/>
    <w:rsid w:val="004815F6"/>
    <w:rsid w:val="004831C7"/>
    <w:rsid w:val="00495AFB"/>
    <w:rsid w:val="004A5EF2"/>
    <w:rsid w:val="004D114F"/>
    <w:rsid w:val="004E00B9"/>
    <w:rsid w:val="004F3D1D"/>
    <w:rsid w:val="00503D5F"/>
    <w:rsid w:val="00505E4F"/>
    <w:rsid w:val="00555ABC"/>
    <w:rsid w:val="00584024"/>
    <w:rsid w:val="005B329C"/>
    <w:rsid w:val="005D0EB7"/>
    <w:rsid w:val="005D6122"/>
    <w:rsid w:val="00605E71"/>
    <w:rsid w:val="0061613C"/>
    <w:rsid w:val="0062238D"/>
    <w:rsid w:val="00622AB6"/>
    <w:rsid w:val="00623752"/>
    <w:rsid w:val="006758F4"/>
    <w:rsid w:val="00683783"/>
    <w:rsid w:val="006A4ED3"/>
    <w:rsid w:val="006B7847"/>
    <w:rsid w:val="006C084B"/>
    <w:rsid w:val="006C0B75"/>
    <w:rsid w:val="006C21D8"/>
    <w:rsid w:val="00727532"/>
    <w:rsid w:val="00774DD2"/>
    <w:rsid w:val="00797FC8"/>
    <w:rsid w:val="007A03B9"/>
    <w:rsid w:val="007D2BAB"/>
    <w:rsid w:val="0081212B"/>
    <w:rsid w:val="00857577"/>
    <w:rsid w:val="008804BF"/>
    <w:rsid w:val="008F61F7"/>
    <w:rsid w:val="008F72B5"/>
    <w:rsid w:val="009570A3"/>
    <w:rsid w:val="009873CF"/>
    <w:rsid w:val="009A66C3"/>
    <w:rsid w:val="009D7989"/>
    <w:rsid w:val="009E04DF"/>
    <w:rsid w:val="00A02139"/>
    <w:rsid w:val="00A036DC"/>
    <w:rsid w:val="00A04D7B"/>
    <w:rsid w:val="00A33575"/>
    <w:rsid w:val="00A37130"/>
    <w:rsid w:val="00A7082E"/>
    <w:rsid w:val="00A8129A"/>
    <w:rsid w:val="00B2422C"/>
    <w:rsid w:val="00B4348F"/>
    <w:rsid w:val="00B57F0C"/>
    <w:rsid w:val="00B63E95"/>
    <w:rsid w:val="00B75B27"/>
    <w:rsid w:val="00B86AC6"/>
    <w:rsid w:val="00B9504D"/>
    <w:rsid w:val="00BA1B9C"/>
    <w:rsid w:val="00BB106A"/>
    <w:rsid w:val="00BB6018"/>
    <w:rsid w:val="00C0473F"/>
    <w:rsid w:val="00C211E7"/>
    <w:rsid w:val="00C36ACD"/>
    <w:rsid w:val="00C801F6"/>
    <w:rsid w:val="00C807D1"/>
    <w:rsid w:val="00C81FFC"/>
    <w:rsid w:val="00CA2556"/>
    <w:rsid w:val="00CB6658"/>
    <w:rsid w:val="00CD491F"/>
    <w:rsid w:val="00CF7B47"/>
    <w:rsid w:val="00D07894"/>
    <w:rsid w:val="00D50CFD"/>
    <w:rsid w:val="00D56AC0"/>
    <w:rsid w:val="00D7513E"/>
    <w:rsid w:val="00D834F0"/>
    <w:rsid w:val="00DA070E"/>
    <w:rsid w:val="00DB4E2F"/>
    <w:rsid w:val="00DB4EAC"/>
    <w:rsid w:val="00DB62D6"/>
    <w:rsid w:val="00DD2F8A"/>
    <w:rsid w:val="00E31D76"/>
    <w:rsid w:val="00E476E6"/>
    <w:rsid w:val="00E73348"/>
    <w:rsid w:val="00E97C2B"/>
    <w:rsid w:val="00EA2D95"/>
    <w:rsid w:val="00ED32EF"/>
    <w:rsid w:val="00EF1BF0"/>
    <w:rsid w:val="00EF6223"/>
    <w:rsid w:val="00F04781"/>
    <w:rsid w:val="00F31500"/>
    <w:rsid w:val="00F618FC"/>
    <w:rsid w:val="00F95ACE"/>
    <w:rsid w:val="00F96C99"/>
    <w:rsid w:val="00FE7607"/>
    <w:rsid w:val="00FF0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D5B633"/>
  <w15:chartTrackingRefBased/>
  <w15:docId w15:val="{BA02F877-B7EB-4584-8ED4-ED1718378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25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25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33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33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33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33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33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33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33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25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25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25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25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25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25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25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25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2556"/>
    <w:rPr>
      <w:rFonts w:eastAsiaTheme="majorEastAsia" w:cstheme="majorBidi"/>
      <w:color w:val="272727" w:themeColor="text1" w:themeTint="D8"/>
    </w:rPr>
  </w:style>
  <w:style w:type="paragraph" w:styleId="Title">
    <w:name w:val="Title"/>
    <w:basedOn w:val="Normal"/>
    <w:next w:val="Normal"/>
    <w:link w:val="TitleChar"/>
    <w:uiPriority w:val="10"/>
    <w:qFormat/>
    <w:rsid w:val="00CA25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25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33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25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2556"/>
    <w:pPr>
      <w:spacing w:before="160"/>
      <w:jc w:val="center"/>
    </w:pPr>
    <w:rPr>
      <w:i/>
      <w:iCs/>
      <w:color w:val="404040" w:themeColor="text1" w:themeTint="BF"/>
    </w:rPr>
  </w:style>
  <w:style w:type="character" w:customStyle="1" w:styleId="QuoteChar">
    <w:name w:val="Quote Char"/>
    <w:basedOn w:val="DefaultParagraphFont"/>
    <w:link w:val="Quote"/>
    <w:uiPriority w:val="29"/>
    <w:rsid w:val="00CA2556"/>
    <w:rPr>
      <w:i/>
      <w:iCs/>
      <w:color w:val="404040" w:themeColor="text1" w:themeTint="BF"/>
    </w:rPr>
  </w:style>
  <w:style w:type="paragraph" w:styleId="ListParagraph">
    <w:name w:val="List Paragraph"/>
    <w:basedOn w:val="Normal"/>
    <w:uiPriority w:val="34"/>
    <w:qFormat/>
    <w:rsid w:val="00CA2556"/>
    <w:pPr>
      <w:ind w:left="720"/>
      <w:contextualSpacing/>
    </w:pPr>
  </w:style>
  <w:style w:type="character" w:styleId="IntenseEmphasis">
    <w:name w:val="Intense Emphasis"/>
    <w:basedOn w:val="DefaultParagraphFont"/>
    <w:uiPriority w:val="21"/>
    <w:qFormat/>
    <w:rsid w:val="00CA2556"/>
    <w:rPr>
      <w:i/>
      <w:iCs/>
      <w:color w:val="0F4761" w:themeColor="accent1" w:themeShade="BF"/>
    </w:rPr>
  </w:style>
  <w:style w:type="paragraph" w:styleId="IntenseQuote">
    <w:name w:val="Intense Quote"/>
    <w:basedOn w:val="Normal"/>
    <w:next w:val="Normal"/>
    <w:link w:val="IntenseQuoteChar"/>
    <w:uiPriority w:val="30"/>
    <w:qFormat/>
    <w:rsid w:val="00CA25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2556"/>
    <w:rPr>
      <w:i/>
      <w:iCs/>
      <w:color w:val="0F4761" w:themeColor="accent1" w:themeShade="BF"/>
    </w:rPr>
  </w:style>
  <w:style w:type="character" w:styleId="IntenseReference">
    <w:name w:val="Intense Reference"/>
    <w:basedOn w:val="DefaultParagraphFont"/>
    <w:uiPriority w:val="32"/>
    <w:qFormat/>
    <w:rsid w:val="00CA2556"/>
    <w:rPr>
      <w:b/>
      <w:bCs/>
      <w:smallCaps/>
      <w:color w:val="0F4761" w:themeColor="accent1" w:themeShade="BF"/>
      <w:spacing w:val="5"/>
    </w:rPr>
  </w:style>
  <w:style w:type="character" w:styleId="CommentReference">
    <w:name w:val="annotation reference"/>
    <w:basedOn w:val="DefaultParagraphFont"/>
    <w:uiPriority w:val="99"/>
    <w:semiHidden/>
    <w:unhideWhenUsed/>
    <w:rsid w:val="00CA2556"/>
    <w:rPr>
      <w:sz w:val="16"/>
      <w:szCs w:val="16"/>
    </w:rPr>
  </w:style>
  <w:style w:type="paragraph" w:styleId="CommentText">
    <w:name w:val="annotation text"/>
    <w:basedOn w:val="Normal"/>
    <w:link w:val="CommentTextChar"/>
    <w:uiPriority w:val="99"/>
    <w:unhideWhenUsed/>
    <w:rsid w:val="00E73348"/>
    <w:pPr>
      <w:spacing w:line="240" w:lineRule="auto"/>
      <w:pPrChange w:id="0" w:author="Rho, Peter" w:date="2025-10-01T13:59:00Z">
        <w:pPr>
          <w:spacing w:after="160"/>
        </w:pPr>
      </w:pPrChange>
    </w:pPr>
    <w:rPr>
      <w:rFonts w:ascii="Calibri" w:hAnsi="Calibri"/>
      <w:sz w:val="20"/>
      <w:szCs w:val="20"/>
      <w:rPrChange w:id="0" w:author="Rho, Peter" w:date="2025-10-01T13:59:00Z">
        <w:rPr>
          <w:rFonts w:ascii="Calibri" w:eastAsiaTheme="minorHAnsi" w:hAnsi="Calibri" w:cstheme="minorBidi"/>
          <w:kern w:val="2"/>
          <w:lang w:val="en-US" w:eastAsia="en-US" w:bidi="ar-SA"/>
          <w14:ligatures w14:val="standardContextual"/>
        </w:rPr>
      </w:rPrChange>
    </w:rPr>
  </w:style>
  <w:style w:type="character" w:customStyle="1" w:styleId="CommentTextChar">
    <w:name w:val="Comment Text Char"/>
    <w:basedOn w:val="DefaultParagraphFont"/>
    <w:link w:val="CommentText"/>
    <w:uiPriority w:val="99"/>
    <w:rsid w:val="00CA2556"/>
    <w:rPr>
      <w:rFonts w:ascii="Calibri" w:hAnsi="Calibri"/>
      <w:sz w:val="20"/>
      <w:szCs w:val="20"/>
    </w:rPr>
  </w:style>
  <w:style w:type="character" w:customStyle="1" w:styleId="heading-enum">
    <w:name w:val="heading-enum"/>
    <w:basedOn w:val="DefaultParagraphFont"/>
    <w:rsid w:val="009A66C3"/>
  </w:style>
  <w:style w:type="character" w:customStyle="1" w:styleId="bold">
    <w:name w:val="bold"/>
    <w:basedOn w:val="DefaultParagraphFont"/>
    <w:rsid w:val="009A66C3"/>
  </w:style>
  <w:style w:type="character" w:styleId="Hyperlink">
    <w:name w:val="Hyperlink"/>
    <w:basedOn w:val="DefaultParagraphFont"/>
    <w:uiPriority w:val="99"/>
    <w:unhideWhenUsed/>
    <w:rsid w:val="00E73348"/>
    <w:rPr>
      <w:color w:val="0000FF"/>
      <w:u w:val="single"/>
    </w:rPr>
  </w:style>
  <w:style w:type="character" w:customStyle="1" w:styleId="italic">
    <w:name w:val="italic"/>
    <w:basedOn w:val="DefaultParagraphFont"/>
    <w:rsid w:val="009A66C3"/>
  </w:style>
  <w:style w:type="paragraph" w:styleId="CommentSubject">
    <w:name w:val="annotation subject"/>
    <w:basedOn w:val="CommentText"/>
    <w:next w:val="CommentText"/>
    <w:link w:val="CommentSubjectChar"/>
    <w:uiPriority w:val="99"/>
    <w:semiHidden/>
    <w:unhideWhenUsed/>
    <w:rsid w:val="009A66C3"/>
    <w:rPr>
      <w:b/>
      <w:bCs/>
    </w:rPr>
  </w:style>
  <w:style w:type="character" w:customStyle="1" w:styleId="CommentSubjectChar">
    <w:name w:val="Comment Subject Char"/>
    <w:basedOn w:val="CommentTextChar"/>
    <w:link w:val="CommentSubject"/>
    <w:uiPriority w:val="99"/>
    <w:semiHidden/>
    <w:rsid w:val="009A66C3"/>
    <w:rPr>
      <w:rFonts w:ascii="Calibri" w:hAnsi="Calibri"/>
      <w:b/>
      <w:bCs/>
      <w:sz w:val="20"/>
      <w:szCs w:val="20"/>
    </w:rPr>
  </w:style>
  <w:style w:type="paragraph" w:styleId="Revision">
    <w:name w:val="Revision"/>
    <w:hidden/>
    <w:uiPriority w:val="99"/>
    <w:semiHidden/>
    <w:rsid w:val="00E73348"/>
    <w:pPr>
      <w:spacing w:after="0" w:line="240" w:lineRule="auto"/>
    </w:pPr>
    <w:rPr>
      <w:rFonts w:ascii="Calibri" w:hAnsi="Calibri"/>
      <w:sz w:val="22"/>
    </w:rPr>
  </w:style>
  <w:style w:type="paragraph" w:styleId="FootnoteText">
    <w:name w:val="footnote text"/>
    <w:basedOn w:val="Normal"/>
    <w:link w:val="FootnoteTextChar"/>
    <w:uiPriority w:val="99"/>
    <w:semiHidden/>
    <w:unhideWhenUsed/>
    <w:rsid w:val="00DB4EA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B4EAC"/>
    <w:rPr>
      <w:sz w:val="20"/>
      <w:szCs w:val="20"/>
    </w:rPr>
  </w:style>
  <w:style w:type="character" w:styleId="FootnoteReference">
    <w:name w:val="footnote reference"/>
    <w:basedOn w:val="DefaultParagraphFont"/>
    <w:uiPriority w:val="99"/>
    <w:semiHidden/>
    <w:unhideWhenUsed/>
    <w:rsid w:val="00DB4EAC"/>
    <w:rPr>
      <w:vertAlign w:val="superscript"/>
    </w:rPr>
  </w:style>
  <w:style w:type="character" w:styleId="UnresolvedMention">
    <w:name w:val="Unresolved Mention"/>
    <w:basedOn w:val="DefaultParagraphFont"/>
    <w:uiPriority w:val="99"/>
    <w:semiHidden/>
    <w:unhideWhenUsed/>
    <w:rsid w:val="00E476E6"/>
    <w:rPr>
      <w:color w:val="605E5C"/>
      <w:shd w:val="clear" w:color="auto" w:fill="E1DFDD"/>
    </w:rPr>
  </w:style>
  <w:style w:type="paragraph" w:styleId="Header">
    <w:name w:val="header"/>
    <w:basedOn w:val="Normal"/>
    <w:link w:val="HeaderChar"/>
    <w:uiPriority w:val="99"/>
    <w:unhideWhenUsed/>
    <w:rsid w:val="00E733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3348"/>
  </w:style>
  <w:style w:type="paragraph" w:styleId="Footer">
    <w:name w:val="footer"/>
    <w:basedOn w:val="Normal"/>
    <w:link w:val="FooterChar"/>
    <w:uiPriority w:val="99"/>
    <w:unhideWhenUsed/>
    <w:rsid w:val="00E733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3348"/>
  </w:style>
  <w:style w:type="character" w:styleId="FollowedHyperlink">
    <w:name w:val="FollowedHyperlink"/>
    <w:basedOn w:val="DefaultParagraphFont"/>
    <w:uiPriority w:val="99"/>
    <w:semiHidden/>
    <w:unhideWhenUsed/>
    <w:rsid w:val="00503D5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bloombergtax.com/product/tax/bbna/chart/2/10071/b91bd0459a46f84e2b09fe3bd16b67ba" TargetMode="External"/><Relationship Id="rId13" Type="http://schemas.openxmlformats.org/officeDocument/2006/relationships/hyperlink" Target="https://go.bloombergtax.com/product/tax/bbna/chart/2/10090/503531d9f5513776c85a19fc2e06be31" TargetMode="External"/><Relationship Id="rId18" Type="http://schemas.openxmlformats.org/officeDocument/2006/relationships/hyperlink" Target="https://go.bloombergtax.com/product/tax/bbna/chart/2/10070/e42927f3abf54d1e850106b768c487b6" TargetMode="External"/><Relationship Id="rId3" Type="http://schemas.openxmlformats.org/officeDocument/2006/relationships/settings" Target="settings.xml"/><Relationship Id="rId21" Type="http://schemas.openxmlformats.org/officeDocument/2006/relationships/hyperlink" Target="https://go.bloombergtax.com/product/tax/bbna/chart/2/10084/2b7d2eb7672f61c344d314d9f33a5466" TargetMode="External"/><Relationship Id="rId7" Type="http://schemas.openxmlformats.org/officeDocument/2006/relationships/image" Target="media/image1.png"/><Relationship Id="rId12" Type="http://schemas.openxmlformats.org/officeDocument/2006/relationships/hyperlink" Target="https://go.bloombergtax.com/product/tax/charts/state/701c7c8e14f84959ab9c9d1a0e052aa3/edit" TargetMode="External"/><Relationship Id="rId17" Type="http://schemas.openxmlformats.org/officeDocument/2006/relationships/hyperlink" Target="https://go.bloombergtax.com/product/tax/bbna/chart/2/10069/46fca7abaf338c829c94bd9cf19a4890" TargetMode="External"/><Relationship Id="rId2" Type="http://schemas.openxmlformats.org/officeDocument/2006/relationships/styles" Target="styles.xml"/><Relationship Id="rId16" Type="http://schemas.openxmlformats.org/officeDocument/2006/relationships/hyperlink" Target="https://go.bloombergtax.com/product/tax/bbna/chart/2/10069/ac96a126ab3a66a06f77b0f88de441f5" TargetMode="External"/><Relationship Id="rId20" Type="http://schemas.openxmlformats.org/officeDocument/2006/relationships/hyperlink" Target="https://go.bloombergtax.com/product/tax/bbna/chart/2/10084/2a04348507679a0ff36256635f9aa221"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go.bloombergtax.com/product/tax/bbna/chart/2/10071/701c7c8e14f84959ab9c9d1a0e052aa3"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go.bloombergtax.com/product/tax/bbna/chart/2/10090/75fbd668ff825944d24c246404357f4c" TargetMode="External"/><Relationship Id="rId23" Type="http://schemas.microsoft.com/office/2011/relationships/people" Target="people.xml"/><Relationship Id="rId10" Type="http://schemas.openxmlformats.org/officeDocument/2006/relationships/hyperlink" Target="https://go.bloombergtax.com/product/tax/bbna/chart/2/10071/89454df0b4dbc8f6aa653309951171aa" TargetMode="External"/><Relationship Id="rId19" Type="http://schemas.openxmlformats.org/officeDocument/2006/relationships/hyperlink" Target="https://go.bloombergtax.com/product/tax/bbna/chart/2/10070/f819f96da737b2e1cd1962f311e26f63" TargetMode="External"/><Relationship Id="rId4" Type="http://schemas.openxmlformats.org/officeDocument/2006/relationships/webSettings" Target="webSettings.xml"/><Relationship Id="rId9" Type="http://schemas.openxmlformats.org/officeDocument/2006/relationships/hyperlink" Target="https://go.bloombergtax.com/product/tax/bbna/chart/2/10071/5d2382ef5829d13a03663d3ab80c2151" TargetMode="External"/><Relationship Id="rId14" Type="http://schemas.openxmlformats.org/officeDocument/2006/relationships/hyperlink" Target="https://go.bloombergtax.com/product/tax/bbna/chart/2/10090/f4945ba3ea3e65d223bcbc0efb3034f4"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go.bloombergtax.com/product/tax/toc_view_menu/159495398?exp_all=true" TargetMode="External"/><Relationship Id="rId3" Type="http://schemas.openxmlformats.org/officeDocument/2006/relationships/hyperlink" Target="https://go.bloombergtax.com/product/tax/document/spa/24211237416" TargetMode="External"/><Relationship Id="rId7" Type="http://schemas.openxmlformats.org/officeDocument/2006/relationships/hyperlink" Target="https://go.bloombergtax.com/product/tax/toc_view_menu/168083902?exp_all=true" TargetMode="External"/><Relationship Id="rId2" Type="http://schemas.openxmlformats.org/officeDocument/2006/relationships/hyperlink" Target="https://go.bloombergtax.com/product/tax/document/spa/28208772648" TargetMode="External"/><Relationship Id="rId1" Type="http://schemas.openxmlformats.org/officeDocument/2006/relationships/hyperlink" Target="https://go.bloombergtax.com/product/tax/document/spa/25322277928" TargetMode="External"/><Relationship Id="rId6" Type="http://schemas.openxmlformats.org/officeDocument/2006/relationships/hyperlink" Target="https://go.bloombergtax.com/product/tax/toc_view_menu/159495424?exp_all=true" TargetMode="External"/><Relationship Id="rId5" Type="http://schemas.openxmlformats.org/officeDocument/2006/relationships/hyperlink" Target="https://go.bloombergtax.com/product/tax/toc_view_menu/167900958?exp_all=true" TargetMode="External"/><Relationship Id="rId4" Type="http://schemas.openxmlformats.org/officeDocument/2006/relationships/hyperlink" Target="https://go.bloombergtax.com/product/tax/document/spa/242112374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BC5DA-2B97-47AA-8A05-DDE27CABED24}">
  <ds:schemaRefs>
    <ds:schemaRef ds:uri="http://schemas.openxmlformats.org/officeDocument/2006/bibliography"/>
  </ds:schemaRefs>
</ds:datastoreItem>
</file>

<file path=docMetadata/LabelInfo.xml><?xml version="1.0" encoding="utf-8"?>
<clbl:labelList xmlns:clbl="http://schemas.microsoft.com/office/2020/mipLabelMetadata">
  <clbl:label id="{f786616f-5bb4-45d1-b9c4-7a19bded0f1d}" enabled="1" method="Standard" siteId="{97be21fd-c601-4b16-9920-f5accc69da65}" removed="0"/>
</clbl:labelList>
</file>

<file path=docProps/app.xml><?xml version="1.0" encoding="utf-8"?>
<Properties xmlns="http://schemas.openxmlformats.org/officeDocument/2006/extended-properties" xmlns:vt="http://schemas.openxmlformats.org/officeDocument/2006/docPropsVTypes">
  <Template>Normal</Template>
  <TotalTime>126</TotalTime>
  <Pages>1</Pages>
  <Words>4040</Words>
  <Characters>30909</Characters>
  <Application>Microsoft Office Word</Application>
  <DocSecurity>0</DocSecurity>
  <Lines>551</Lines>
  <Paragraphs>251</Paragraphs>
  <ScaleCrop>false</ScaleCrop>
  <Company/>
  <LinksUpToDate>false</LinksUpToDate>
  <CharactersWithSpaces>34698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VanDenburgh</dc:creator>
  <cp:keywords/>
  <dc:description/>
  <cp:lastModifiedBy>Cruz, Ricky</cp:lastModifiedBy>
  <cp:revision>3</cp:revision>
  <dcterms:created xsi:type="dcterms:W3CDTF">2025-10-01T20:46:00Z</dcterms:created>
  <dcterms:modified xsi:type="dcterms:W3CDTF">2025-10-02T20:37:00Z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b03a8fbf-87ae-40c3-8c65-60ebb6ce6fd3</vt:lpwstr>
  </property>
</Properties>
</file>