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A736" w14:textId="77777777" w:rsidR="00D64BAD" w:rsidRDefault="00D64BAD" w:rsidP="00D64BAD">
      <w:r>
        <w:t>&lt;pdm.module&gt;</w:t>
      </w:r>
    </w:p>
    <w:p w14:paraId="785781EE" w14:textId="77777777" w:rsidR="00D64BAD" w:rsidRDefault="00D64BAD" w:rsidP="00D64BAD">
      <w:r>
        <w:t xml:space="preserve">  &lt;info.unit&gt;</w:t>
      </w:r>
    </w:p>
    <w:p w14:paraId="502073F5" w14:textId="77777777" w:rsidR="00D64BAD" w:rsidRDefault="00D64BAD" w:rsidP="00D64BAD">
      <w:r>
        <w:t xml:space="preserve">    &lt;portfolio.unit.start bna.id.prefix="7360" class.code="A" class.name="Detailed Analysis" folio="1" pdm.name="DA" portfolio.classification="bo" portfolio.name="Business Operations in Spain" print.tagline="1" publication.num="7360-1st" service.code="tmip-por" tab.name="DETAILED ANALYSIS" tab.position="1" unit.code="I" unit.name="Spain — General Background"/&gt;</w:t>
      </w:r>
    </w:p>
    <w:p w14:paraId="080D5872" w14:textId="77777777" w:rsidR="00D64BAD" w:rsidRDefault="00D64BAD" w:rsidP="00D64BAD">
      <w:r>
        <w:t xml:space="preserve">    &lt;analysis.98 id="69212ca6484d4747b842034d0112feae"&gt;</w:t>
      </w:r>
    </w:p>
    <w:p w14:paraId="0306CA1C" w14:textId="77777777" w:rsidR="00D64BAD" w:rsidRDefault="00D64BAD" w:rsidP="00D64BAD">
      <w:r>
        <w:t>&lt;bna.id&gt;I.&lt;/bna.id&gt;</w:t>
      </w:r>
    </w:p>
    <w:p w14:paraId="36844C98" w14:textId="77777777" w:rsidR="00D64BAD" w:rsidRDefault="00D64BAD" w:rsidP="00D64BAD">
      <w:r>
        <w:t>&lt;name&gt;Spain — General Background&lt;/name&gt;</w:t>
      </w:r>
    </w:p>
    <w:p w14:paraId="0C7B3472" w14:textId="77777777" w:rsidR="00D64BAD" w:rsidRDefault="00D64BAD" w:rsidP="00D64BAD">
      <w:r>
        <w:t>&lt;content.group id="1967276701614c1cbf49ed9de7fced5d"&gt;</w:t>
      </w:r>
    </w:p>
    <w:p w14:paraId="6D97BFFE" w14:textId="77777777" w:rsidR="00D64BAD" w:rsidRDefault="00D64BAD" w:rsidP="00D64BAD">
      <w:r>
        <w:t>&lt;bna.id&gt;A.&lt;/bna.id&gt;</w:t>
      </w:r>
    </w:p>
    <w:p w14:paraId="71AD7785" w14:textId="77777777" w:rsidR="00D64BAD" w:rsidRDefault="00D64BAD" w:rsidP="00D64BAD">
      <w:r>
        <w:t>&lt;name&gt;Tax System Overview&lt;/name&gt;</w:t>
      </w:r>
    </w:p>
    <w:p w14:paraId="26CF1A16" w14:textId="77777777" w:rsidR="00D64BAD" w:rsidRDefault="00D64BAD" w:rsidP="00D64BAD">
      <w:r>
        <w:t>&lt;content.group id="4ffba31aa07c4979b13a8ac7484bd044"&gt;</w:t>
      </w:r>
    </w:p>
    <w:p w14:paraId="72287FB4" w14:textId="77777777" w:rsidR="00D64BAD" w:rsidRDefault="00D64BAD" w:rsidP="00D64BAD">
      <w:r>
        <w:t>&lt;bna.id&gt;1.&lt;/bna.id&gt;</w:t>
      </w:r>
    </w:p>
    <w:p w14:paraId="16B801B2" w14:textId="77777777" w:rsidR="00D64BAD" w:rsidRDefault="00D64BAD" w:rsidP="00D64BAD">
      <w:r>
        <w:t>&lt;name&gt;General&lt;/name&gt;</w:t>
      </w:r>
    </w:p>
    <w:p w14:paraId="2C25D352" w14:textId="77777777" w:rsidR="00D64BAD" w:rsidRDefault="00D64BAD" w:rsidP="00D64BAD">
      <w:r>
        <w:t>&lt;table pgwide="1" frame="all" id="1bf7e2338b6243269f193ae032986169"&gt;</w:t>
      </w:r>
    </w:p>
    <w:p w14:paraId="4228B978" w14:textId="77777777" w:rsidR="00D64BAD" w:rsidRDefault="00D64BAD" w:rsidP="00D64BAD">
      <w:r>
        <w:t>&lt;tgroup cols="2" rowsep="1" colsep="1"&gt;&lt;colspec colnum="1" colname="col1" align="left" colwidth="30*" typesize="10" colsep="1"/&gt;&lt;colspec colnum="2" colname="col2" align="left" colwidth="70*" typesize="10" colsep="0"/&gt;&lt;spanspec align="left" nameend="col2" namest="col1" spanname="sp1"/&gt;</w:t>
      </w:r>
    </w:p>
    <w:p w14:paraId="2F6011C7" w14:textId="77777777" w:rsidR="00D64BAD" w:rsidRDefault="00D64BAD" w:rsidP="00D64BAD">
      <w:r>
        <w:t>&lt;tbody&gt;</w:t>
      </w:r>
    </w:p>
    <w:p w14:paraId="1396C953" w14:textId="77777777" w:rsidR="00D64BAD" w:rsidRDefault="00D64BAD" w:rsidP="00D64BAD">
      <w:r>
        <w:t>&lt;row id="65a0831f73724978b49e127c1fcd989e"&gt;</w:t>
      </w:r>
    </w:p>
    <w:p w14:paraId="1AB63A50" w14:textId="77777777" w:rsidR="00D64BAD" w:rsidRDefault="00D64BAD" w:rsidP="00D64BAD">
      <w:r>
        <w:t>&lt;entry&gt;</w:t>
      </w:r>
    </w:p>
    <w:p w14:paraId="5BE7DBA3" w14:textId="77777777" w:rsidR="00D64BAD" w:rsidRDefault="00D64BAD" w:rsidP="00D64BAD">
      <w:r>
        <w:t>&lt;p id="bd5f9d6c733e428b9fdb537462e9cf12"&gt;&lt;emph face="b"&gt;Characteristics&lt;/emph&gt; &lt;/p&gt;</w:t>
      </w:r>
    </w:p>
    <w:p w14:paraId="68E1EE7A" w14:textId="77777777" w:rsidR="00D64BAD" w:rsidRDefault="00D64BAD" w:rsidP="00D64BAD">
      <w:r>
        <w:t>&lt;/entry&gt;</w:t>
      </w:r>
    </w:p>
    <w:p w14:paraId="3E86BE99" w14:textId="77777777" w:rsidR="00D64BAD" w:rsidRDefault="00D64BAD" w:rsidP="00D64BAD">
      <w:r>
        <w:t>&lt;entry&gt;</w:t>
      </w:r>
    </w:p>
    <w:p w14:paraId="524ACC39" w14:textId="77777777" w:rsidR="00D64BAD" w:rsidRDefault="00D64BAD" w:rsidP="00D64BAD">
      <w:r>
        <w:lastRenderedPageBreak/>
        <w:t>&lt;p id="d38f72580fcd43e78d6d706100046728"&gt;&lt;emph face="b"&gt;Portfolio Content&lt;/emph&gt; &lt;/p&gt;</w:t>
      </w:r>
    </w:p>
    <w:p w14:paraId="1A897BFA" w14:textId="77777777" w:rsidR="00D64BAD" w:rsidRDefault="00D64BAD" w:rsidP="00D64BAD">
      <w:r>
        <w:t>&lt;/entry&gt;</w:t>
      </w:r>
    </w:p>
    <w:p w14:paraId="2765F46C" w14:textId="77777777" w:rsidR="00D64BAD" w:rsidRDefault="00D64BAD" w:rsidP="00D64BAD">
      <w:r>
        <w:t>&lt;/row&gt;</w:t>
      </w:r>
    </w:p>
    <w:p w14:paraId="0D5E9B78" w14:textId="77777777" w:rsidR="00D64BAD" w:rsidRDefault="00D64BAD" w:rsidP="00D64BAD">
      <w:r>
        <w:t>&lt;row id="f9d77265d15d468580b0127fed0cc15b"&gt;</w:t>
      </w:r>
    </w:p>
    <w:p w14:paraId="017F01F8" w14:textId="77777777" w:rsidR="00D64BAD" w:rsidRDefault="00D64BAD" w:rsidP="00D64BAD">
      <w:r>
        <w:t>&lt;entry spanname="sp1"&gt;</w:t>
      </w:r>
    </w:p>
    <w:p w14:paraId="007B437D" w14:textId="77777777" w:rsidR="00D64BAD" w:rsidRDefault="00D64BAD" w:rsidP="00D64BAD">
      <w:r>
        <w:t>&lt;p id="0a0945a7b6ec48d794147e2e1e284d40"&gt;&lt;emph face="b"&gt;General&lt;/emph&gt; &lt;/p&gt;</w:t>
      </w:r>
    </w:p>
    <w:p w14:paraId="13D8D553" w14:textId="77777777" w:rsidR="00D64BAD" w:rsidRDefault="00D64BAD" w:rsidP="00D64BAD">
      <w:r>
        <w:t>&lt;/entry&gt;</w:t>
      </w:r>
    </w:p>
    <w:p w14:paraId="007C9800" w14:textId="77777777" w:rsidR="00D64BAD" w:rsidRDefault="00D64BAD" w:rsidP="00D64BAD">
      <w:r>
        <w:t>&lt;/row&gt;</w:t>
      </w:r>
    </w:p>
    <w:p w14:paraId="46DFDDBA" w14:textId="77777777" w:rsidR="00D64BAD" w:rsidRDefault="00D64BAD" w:rsidP="00D64BAD">
      <w:r>
        <w:t>&lt;row id="3bf5b2fb4b0d4743a03e2cbb702c6626"&gt;</w:t>
      </w:r>
    </w:p>
    <w:p w14:paraId="154A00BA" w14:textId="77777777" w:rsidR="00D64BAD" w:rsidRDefault="00D64BAD" w:rsidP="00D64BAD">
      <w:r>
        <w:t>&lt;entry&gt;</w:t>
      </w:r>
    </w:p>
    <w:p w14:paraId="530AA63A" w14:textId="77777777" w:rsidR="00D64BAD" w:rsidRDefault="00D64BAD" w:rsidP="00D64BAD">
      <w:r>
        <w:t>&lt;p id="444699ed4a36431d86c674e6943c73bd"&gt;&lt;emph face="b"&gt;Revenue authority&lt;/emph&gt; &lt;/p&gt;</w:t>
      </w:r>
    </w:p>
    <w:p w14:paraId="5A97E3EC" w14:textId="77777777" w:rsidR="00D64BAD" w:rsidRDefault="00D64BAD" w:rsidP="00D64BAD">
      <w:r>
        <w:t>&lt;/entry&gt;</w:t>
      </w:r>
    </w:p>
    <w:p w14:paraId="100FC14F" w14:textId="77777777" w:rsidR="00D64BAD" w:rsidRDefault="00D64BAD" w:rsidP="00D64BAD">
      <w:r>
        <w:t>&lt;entry&gt;</w:t>
      </w:r>
    </w:p>
    <w:p w14:paraId="4777AEBE" w14:textId="77777777" w:rsidR="00D64BAD" w:rsidRDefault="00D64BAD" w:rsidP="00D64BAD">
      <w:r>
        <w:t>&lt;p id="5e54172e2aaa41c7bfb3fbdbae354887"&gt;&lt;cite.url ref="https://sede.agenciatributaria.gob.es/"&gt;Agencia Estatal de Administración Tributaria (AEAT)&lt;/cite.url&gt; (Section I.B.2.) &lt;/p&gt;</w:t>
      </w:r>
    </w:p>
    <w:p w14:paraId="55778DF5" w14:textId="77777777" w:rsidR="00D64BAD" w:rsidRDefault="00D64BAD" w:rsidP="00D64BAD">
      <w:r>
        <w:t>&lt;/entry&gt;</w:t>
      </w:r>
    </w:p>
    <w:p w14:paraId="668DCF29" w14:textId="77777777" w:rsidR="00D64BAD" w:rsidRDefault="00D64BAD" w:rsidP="00D64BAD">
      <w:r>
        <w:t>&lt;/row&gt;</w:t>
      </w:r>
    </w:p>
    <w:p w14:paraId="69514BF5" w14:textId="77777777" w:rsidR="00D64BAD" w:rsidRDefault="00D64BAD" w:rsidP="00D64BAD">
      <w:r>
        <w:t>&lt;row id="e9755f7a491a474d851c12694e8d4848"&gt;</w:t>
      </w:r>
    </w:p>
    <w:p w14:paraId="6EDBDDB4" w14:textId="77777777" w:rsidR="00D64BAD" w:rsidRDefault="00D64BAD" w:rsidP="00D64BAD">
      <w:r>
        <w:t>&lt;entry&gt;</w:t>
      </w:r>
    </w:p>
    <w:p w14:paraId="03D52B38" w14:textId="77777777" w:rsidR="00D64BAD" w:rsidRDefault="00D64BAD" w:rsidP="00D64BAD">
      <w:r>
        <w:t>&lt;p id="044e63de2ad44f4b89f859d095e9a041"&gt;&lt;emph face="b"&gt;Type of tax system &lt;/emph&gt; &lt;/p&gt;</w:t>
      </w:r>
    </w:p>
    <w:p w14:paraId="23E7BB51" w14:textId="77777777" w:rsidR="00D64BAD" w:rsidRDefault="00D64BAD" w:rsidP="00D64BAD">
      <w:r>
        <w:t>&lt;/entry&gt;</w:t>
      </w:r>
    </w:p>
    <w:p w14:paraId="0C09E034" w14:textId="77777777" w:rsidR="00D64BAD" w:rsidRDefault="00D64BAD" w:rsidP="00D64BAD">
      <w:r>
        <w:t>&lt;entry&gt;</w:t>
      </w:r>
    </w:p>
    <w:p w14:paraId="71EAF332" w14:textId="77777777" w:rsidR="00D64BAD" w:rsidRDefault="00D64BAD" w:rsidP="00D64BAD">
      <w:r>
        <w:t xml:space="preserve">&lt;p id="617bd7f328a44af2b0ea38701ce99b9b"&gt;&lt;source.list.item&gt;• Residents: Worldwide income (&lt;cite.bna.reference ref="TM\7360.V.A"&gt;Section </w:t>
      </w:r>
      <w:r>
        <w:lastRenderedPageBreak/>
        <w:t>V.A.&lt;/cite.bna.reference&gt;)&lt;/source.list.item&gt;&lt;source.list.item&gt;• Nonresidents: Spanish-source income (&lt;cite.bna.reference ref="TM\7360.VI.B.1"&gt;Section VI.B.1.&lt;/cite.bna.reference&gt;)&lt;/source.list.item&gt;&lt;/p&gt;</w:t>
      </w:r>
    </w:p>
    <w:p w14:paraId="5D80A9DE" w14:textId="77777777" w:rsidR="00D64BAD" w:rsidRDefault="00D64BAD" w:rsidP="00D64BAD">
      <w:r>
        <w:t>&lt;/entry&gt;</w:t>
      </w:r>
    </w:p>
    <w:p w14:paraId="2C018849" w14:textId="77777777" w:rsidR="00D64BAD" w:rsidRDefault="00D64BAD" w:rsidP="00D64BAD">
      <w:r>
        <w:t>&lt;/row&gt;</w:t>
      </w:r>
    </w:p>
    <w:p w14:paraId="51D61BCE" w14:textId="77777777" w:rsidR="00D64BAD" w:rsidRDefault="00D64BAD" w:rsidP="00D64BAD">
      <w:r>
        <w:t>&lt;row id="f913eccb6b8043828d02aeb37a45e638"&gt;</w:t>
      </w:r>
    </w:p>
    <w:p w14:paraId="1DF58C06" w14:textId="77777777" w:rsidR="00D64BAD" w:rsidRDefault="00D64BAD" w:rsidP="00D64BAD">
      <w:r>
        <w:t>&lt;entry&gt;</w:t>
      </w:r>
    </w:p>
    <w:p w14:paraId="70098204" w14:textId="77777777" w:rsidR="00D64BAD" w:rsidRDefault="00D64BAD" w:rsidP="00D64BAD">
      <w:r>
        <w:t>&lt;p id="b2efbe0aa50346a2bbcf1a1921703864"&gt;&lt;emph face="b"&gt;Residence&lt;/emph&gt; &lt;/p&gt;</w:t>
      </w:r>
    </w:p>
    <w:p w14:paraId="37CDCA5D" w14:textId="77777777" w:rsidR="00D64BAD" w:rsidRDefault="00D64BAD" w:rsidP="00D64BAD">
      <w:r>
        <w:t>&lt;/entry&gt;</w:t>
      </w:r>
    </w:p>
    <w:p w14:paraId="6CD935D0" w14:textId="77777777" w:rsidR="00D64BAD" w:rsidRDefault="00D64BAD" w:rsidP="00D64BAD">
      <w:r>
        <w:t>&lt;entry&gt;</w:t>
      </w:r>
    </w:p>
    <w:p w14:paraId="63F25935" w14:textId="77777777" w:rsidR="00D64BAD" w:rsidRDefault="00D64BAD" w:rsidP="00D64BAD">
      <w:r>
        <w:t>&lt;p id="c74c832ee77d4b1d9831c883cdc1a4fc"&gt;A company is tax resident in Spain if:&lt;source.list.item&gt;• It is incorporated in Spain;&lt;/source.list.item&gt;&lt;source.list.item&gt; • Its registered office is in Spain; or&lt;/source.list.item&gt;&lt;source.list.item&gt;• Its place of effective management is in Spain. &lt;line.break/&gt;(&lt;cite.bna.reference ref="TM\7360.A.2.a"&gt;Section V.A.2.a&lt;/cite.bna.reference&gt;.)&lt;/source.list.item&gt;An individual is tax resident in Spain if:&lt;source.list.item&gt;• The individual is present in Spain for more than 183 days during the calendar year;&lt;/source.list.item&gt;&lt;source.list.item&gt;• The taxpayer's main center of economic interests is located in Spain; or&lt;/source.list.item&gt;&lt;source.list.item&gt;• The taxpayer's spouse and minor dependents are resident in Spain. &lt;line.break/&gt;(&lt;cite.bna.reference ref="TM\7360.X.A.2.a"&gt;Section X.A.2.a.&lt;/cite.bna.reference&gt;)&lt;/source.list.item&gt;&lt;/p&gt;</w:t>
      </w:r>
    </w:p>
    <w:p w14:paraId="63552EC7" w14:textId="77777777" w:rsidR="00D64BAD" w:rsidRDefault="00D64BAD" w:rsidP="00D64BAD">
      <w:r>
        <w:t>&lt;/entry&gt;</w:t>
      </w:r>
    </w:p>
    <w:p w14:paraId="55F0710B" w14:textId="77777777" w:rsidR="00D64BAD" w:rsidRDefault="00D64BAD" w:rsidP="00D64BAD">
      <w:r>
        <w:t>&lt;/row&gt;</w:t>
      </w:r>
    </w:p>
    <w:p w14:paraId="042D8A4B" w14:textId="77777777" w:rsidR="00D64BAD" w:rsidRDefault="00D64BAD" w:rsidP="00D64BAD">
      <w:r>
        <w:t>&lt;row id="6f7ca6ec98d24905a2cd9cf07ea1ba74"&gt;</w:t>
      </w:r>
    </w:p>
    <w:p w14:paraId="621F03CF" w14:textId="77777777" w:rsidR="00D64BAD" w:rsidRDefault="00D64BAD" w:rsidP="00D64BAD">
      <w:r>
        <w:t>&lt;entry&gt;</w:t>
      </w:r>
    </w:p>
    <w:p w14:paraId="5AE20E9D" w14:textId="77777777" w:rsidR="00D64BAD" w:rsidRDefault="00D64BAD" w:rsidP="00D64BAD">
      <w:r>
        <w:t>&lt;p id="b58f05b0de524ea28fc2c3d2d7e5deea"&gt;&lt;emph face="b"&gt;Basic domestic nexus rule for &lt;line.break/&gt;foreign corporations &lt;/emph&gt; &lt;/p&gt;</w:t>
      </w:r>
    </w:p>
    <w:p w14:paraId="2D5784E3" w14:textId="77777777" w:rsidR="00D64BAD" w:rsidRDefault="00D64BAD" w:rsidP="00D64BAD">
      <w:r>
        <w:t>&lt;/entry&gt;</w:t>
      </w:r>
    </w:p>
    <w:p w14:paraId="1191C8DE" w14:textId="77777777" w:rsidR="00D64BAD" w:rsidRDefault="00D64BAD" w:rsidP="00D64BAD">
      <w:r>
        <w:t>&lt;entry&gt;</w:t>
      </w:r>
    </w:p>
    <w:p w14:paraId="20D39C4E" w14:textId="77777777" w:rsidR="00D64BAD" w:rsidRDefault="00D64BAD" w:rsidP="00D64BAD">
      <w:r>
        <w:lastRenderedPageBreak/>
        <w:t>&lt;p id="60a25ec09da748abb84c4c26a0a696e2"&gt;A nonresident company is subject to corporation tax on the worldwide income attributable to its activities if it carries on a trade in Spain through a permanent establishment. &lt;line.break/&gt;A nonresident company operating in Spain without a permanent establishment is subject to nonresident income tax on its Spanish-source income and is generally taxed on the gross amount received. (&lt;cite.bna.reference ref="TM\7360VI.B.1"&gt;Section VI.B.1.&lt;/cite.bna.reference&gt;)&lt;/p&gt;</w:t>
      </w:r>
    </w:p>
    <w:p w14:paraId="712023E4" w14:textId="77777777" w:rsidR="00D64BAD" w:rsidRDefault="00D64BAD" w:rsidP="00D64BAD">
      <w:r>
        <w:t>&lt;/entry&gt;</w:t>
      </w:r>
    </w:p>
    <w:p w14:paraId="790DCD92" w14:textId="77777777" w:rsidR="00D64BAD" w:rsidRDefault="00D64BAD" w:rsidP="00D64BAD">
      <w:r>
        <w:t>&lt;/row&gt;</w:t>
      </w:r>
    </w:p>
    <w:p w14:paraId="21946209" w14:textId="77777777" w:rsidR="00D64BAD" w:rsidRDefault="00D64BAD" w:rsidP="00D64BAD">
      <w:r>
        <w:t>&lt;row id="9eeb403e3d6549c79c96b4ab617feaf1"&gt;</w:t>
      </w:r>
    </w:p>
    <w:p w14:paraId="5481C0D2" w14:textId="77777777" w:rsidR="00D64BAD" w:rsidRDefault="00D64BAD" w:rsidP="00D64BAD">
      <w:r>
        <w:t>&lt;entry&gt;</w:t>
      </w:r>
    </w:p>
    <w:p w14:paraId="10CF120E" w14:textId="77777777" w:rsidR="00D64BAD" w:rsidRDefault="00D64BAD" w:rsidP="00D64BAD">
      <w:r>
        <w:t>&lt;p id="5096093024794eb1abbfca1f2aa9b979"&gt;&lt;emph face="b"&gt;Treaty network&lt;/emph&gt; &lt;/p&gt;</w:t>
      </w:r>
    </w:p>
    <w:p w14:paraId="72F46DC9" w14:textId="77777777" w:rsidR="00D64BAD" w:rsidRDefault="00D64BAD" w:rsidP="00D64BAD">
      <w:r>
        <w:t>&lt;/entry&gt;</w:t>
      </w:r>
    </w:p>
    <w:p w14:paraId="2624BBE5" w14:textId="77777777" w:rsidR="00D64BAD" w:rsidRDefault="00D64BAD" w:rsidP="00D64BAD">
      <w:r>
        <w:t>&lt;entry&gt;</w:t>
      </w:r>
    </w:p>
    <w:p w14:paraId="6A490E0A" w14:textId="77777777" w:rsidR="00D64BAD" w:rsidRDefault="00D64BAD" w:rsidP="00D64BAD">
      <w:r>
        <w:t>&lt;p id="5208596e13df4c8fa907f4760be772ca"&gt;Spain concluded tax treaties with over 100 countries, including the United States. (Section XVI.A.) &lt;line.break/&gt;MLI signatory: Yes. (Section XVI.A.) &lt;line.break/&gt;For the texts and status of Spain's tax treaties, see &lt;cite.url ref="https://www.bloomberglaw.com/product/tax/view_go_bar_search/international_tax_treaties"&gt;International Tax Treaties&lt;/cite.url&gt;.&lt;/p&gt;</w:t>
      </w:r>
    </w:p>
    <w:p w14:paraId="0FAC8B46" w14:textId="77777777" w:rsidR="00D64BAD" w:rsidRDefault="00D64BAD" w:rsidP="00D64BAD">
      <w:r>
        <w:t>&lt;/entry&gt;</w:t>
      </w:r>
    </w:p>
    <w:p w14:paraId="6967B6A6" w14:textId="77777777" w:rsidR="00D64BAD" w:rsidRDefault="00D64BAD" w:rsidP="00D64BAD">
      <w:r>
        <w:t>&lt;/row&gt;</w:t>
      </w:r>
    </w:p>
    <w:p w14:paraId="4AD6DD50" w14:textId="77777777" w:rsidR="00D64BAD" w:rsidRDefault="00D64BAD" w:rsidP="00D64BAD">
      <w:r>
        <w:t>&lt;row id="63fb62f5bbd04a369e0e3fc8e1634b4d"&gt;</w:t>
      </w:r>
    </w:p>
    <w:p w14:paraId="2FF52C31" w14:textId="77777777" w:rsidR="00D64BAD" w:rsidRDefault="00D64BAD" w:rsidP="00D64BAD">
      <w:r>
        <w:t>&lt;entry spanname="sp1"&gt;&lt;text/&gt;</w:t>
      </w:r>
    </w:p>
    <w:p w14:paraId="6BAD1D61" w14:textId="77777777" w:rsidR="00D64BAD" w:rsidRDefault="00D64BAD" w:rsidP="00D64BAD">
      <w:r>
        <w:t>&lt;/entry&gt;</w:t>
      </w:r>
    </w:p>
    <w:p w14:paraId="6B4CFA50" w14:textId="77777777" w:rsidR="00D64BAD" w:rsidRDefault="00D64BAD" w:rsidP="00D64BAD">
      <w:r>
        <w:t>&lt;/row&gt;</w:t>
      </w:r>
    </w:p>
    <w:p w14:paraId="032BB472" w14:textId="77777777" w:rsidR="00D64BAD" w:rsidRDefault="00D64BAD" w:rsidP="00D64BAD">
      <w:r>
        <w:t>&lt;row id="e82d55a512054851b8d06e2d167b7fc7"&gt;</w:t>
      </w:r>
    </w:p>
    <w:p w14:paraId="3EB623C0" w14:textId="77777777" w:rsidR="00D64BAD" w:rsidRDefault="00D64BAD" w:rsidP="00D64BAD">
      <w:r>
        <w:t>&lt;entry spanname="sp1"&gt;</w:t>
      </w:r>
    </w:p>
    <w:p w14:paraId="6C864847" w14:textId="77777777" w:rsidR="00D64BAD" w:rsidRDefault="00D64BAD" w:rsidP="00D64BAD">
      <w:r>
        <w:t>&lt;p id="3b994b6ed6d940dab4b87cd79ab6da79"&gt;&lt;emph face="b"&gt;Corporations&lt;/emph&gt; &lt;/p&gt;</w:t>
      </w:r>
    </w:p>
    <w:p w14:paraId="768FC03B" w14:textId="77777777" w:rsidR="00D64BAD" w:rsidRDefault="00D64BAD" w:rsidP="00D64BAD">
      <w:r>
        <w:lastRenderedPageBreak/>
        <w:t>&lt;/entry&gt;</w:t>
      </w:r>
    </w:p>
    <w:p w14:paraId="03CE7BC4" w14:textId="77777777" w:rsidR="00D64BAD" w:rsidRDefault="00D64BAD" w:rsidP="00D64BAD">
      <w:r>
        <w:t>&lt;/row&gt;</w:t>
      </w:r>
    </w:p>
    <w:p w14:paraId="236ECA13" w14:textId="77777777" w:rsidR="00D64BAD" w:rsidRDefault="00D64BAD" w:rsidP="00D64BAD">
      <w:r>
        <w:t>&lt;row id="8cf3232793cb45f1ada055b90d5ad820"&gt;</w:t>
      </w:r>
    </w:p>
    <w:p w14:paraId="6C4AF365" w14:textId="77777777" w:rsidR="00D64BAD" w:rsidRDefault="00D64BAD" w:rsidP="00D64BAD">
      <w:r>
        <w:t>&lt;entry&gt;</w:t>
      </w:r>
    </w:p>
    <w:p w14:paraId="12686840" w14:textId="77777777" w:rsidR="00D64BAD" w:rsidRDefault="00D64BAD" w:rsidP="00D64BAD">
      <w:r>
        <w:t>&lt;p id="daf0883a167048adaaa4af3ac1ed87cb"&gt;&lt;emph face="b"&gt;Corporate income tax rate&lt;/emph&gt; &lt;/p&gt;</w:t>
      </w:r>
    </w:p>
    <w:p w14:paraId="4A740AC8" w14:textId="77777777" w:rsidR="00D64BAD" w:rsidRDefault="00D64BAD" w:rsidP="00D64BAD">
      <w:r>
        <w:t>&lt;/entry&gt;</w:t>
      </w:r>
    </w:p>
    <w:p w14:paraId="60CE88F3" w14:textId="77777777" w:rsidR="00D64BAD" w:rsidRDefault="00D64BAD" w:rsidP="00D64BAD">
      <w:r>
        <w:t>&lt;entry&gt;</w:t>
      </w:r>
    </w:p>
    <w:p w14:paraId="6E68BA80" w14:textId="77777777" w:rsidR="00D64BAD" w:rsidRDefault="00D64BAD" w:rsidP="00D64BAD">
      <w:r>
        <w:t>&lt;p id="972f9c37e13d422a882c2f70f212f7b5"&gt;&lt;underline&gt;Corporate income tax&lt;/underline&gt;: &lt;line.break/&gt;General rate of 25%. There is a minimum 15% tax rate for large companies. (&lt;cite.bna.reference ref="https://www.bloomberglaw.com/product/tax/document/XS9077H8#section(7)(7)(a)_0"&gt;Section V.A.7.a.&lt;/cite.bna.reference&gt;)&lt;line.break/&gt;&lt;line.break/&gt;&lt;underline&gt;Nonresident income tax&lt;/underline&gt;:&lt;line.break/&gt; Flat rate of 24% for business income of a foreign company without a Spanish PE. Reduced rate of 19% for EU residents or residents of EEA countries that have an effective exchange of tax information with Spain. (&lt;cite.bna.reference ref="TM\7360.VI.C.1"&gt;Section VI.C.1.&lt;/cite.bna.reference&gt;)&lt;line.break/&gt;&lt;line.break/&gt;Investment income (dividends and interest) and certain capital gains are taxed at 19%. (&lt;cite.bna.reference ref="TM\7360.VI.C.2"&gt;Section VI.C.2.&lt;/cite.bna.reference&gt;)&lt;/p&gt;</w:t>
      </w:r>
    </w:p>
    <w:p w14:paraId="42C7B3BD" w14:textId="77777777" w:rsidR="00D64BAD" w:rsidRDefault="00D64BAD" w:rsidP="00D64BAD">
      <w:r>
        <w:t>&lt;/entry&gt;</w:t>
      </w:r>
    </w:p>
    <w:p w14:paraId="02474197" w14:textId="77777777" w:rsidR="00D64BAD" w:rsidRDefault="00D64BAD" w:rsidP="00D64BAD">
      <w:r>
        <w:t>&lt;/row&gt;</w:t>
      </w:r>
    </w:p>
    <w:p w14:paraId="02ABEEDD" w14:textId="77777777" w:rsidR="00D64BAD" w:rsidRDefault="00D64BAD" w:rsidP="00D64BAD">
      <w:r>
        <w:t>&lt;row id="b704c7084e7949e3b0c4e47c6df6bbc3"&gt;</w:t>
      </w:r>
    </w:p>
    <w:p w14:paraId="18F73FD3" w14:textId="77777777" w:rsidR="00D64BAD" w:rsidRDefault="00D64BAD" w:rsidP="00D64BAD">
      <w:r>
        <w:t>&lt;entry&gt;</w:t>
      </w:r>
    </w:p>
    <w:p w14:paraId="60583A38" w14:textId="77777777" w:rsidR="00D64BAD" w:rsidRDefault="00D64BAD" w:rsidP="00D64BAD">
      <w:r>
        <w:t>&lt;p id="69f99ef711c24ddf8f7684ed46f82dd9"&gt;&lt;emph face="b"&gt;General withholding tax rates on payments to non-resident companies&lt;/emph&gt; &lt;/p&gt;</w:t>
      </w:r>
    </w:p>
    <w:p w14:paraId="33BE4DE1" w14:textId="77777777" w:rsidR="00D64BAD" w:rsidRDefault="00D64BAD" w:rsidP="00D64BAD">
      <w:r>
        <w:t>&lt;/entry&gt;</w:t>
      </w:r>
    </w:p>
    <w:p w14:paraId="26BE88B5" w14:textId="77777777" w:rsidR="00D64BAD" w:rsidRDefault="00D64BAD" w:rsidP="00D64BAD">
      <w:r>
        <w:t>&lt;entry&gt;</w:t>
      </w:r>
    </w:p>
    <w:p w14:paraId="768F44AB" w14:textId="77777777" w:rsidR="00D64BAD" w:rsidRDefault="00D64BAD" w:rsidP="00D64BAD">
      <w:r>
        <w:t xml:space="preserve">&lt;p id="8c13039d56ac43d1bf2f3a7d80848edc"&gt;&lt;source.list.item&gt;• &lt;underline&gt;Dividends:&lt;/underline&gt; 19% (&lt;cite.bna.reference </w:t>
      </w:r>
      <w:r>
        <w:lastRenderedPageBreak/>
        <w:t>ref="TM\7360.V.C.2.a"&gt;Section VI.C.2.a.&lt;/cite.bna.reference&gt;)&lt;/source.list.item&gt;&lt;source.list.item&gt;• &lt;underline&gt;Interest:&lt;/underline&gt; 19% (&lt;cite.bna.reference ref="TM\7360.VI.C.2.b"&gt;Section VI.C.2.b.&lt;/cite.bna.reference&gt;)&lt;/source.list.item&gt;&lt;source.list.item&gt;• &lt;underline&gt;Royalties:&lt;/underline&gt; 24%, reduced to 19% when paid to EU residents or residents of EEA countries that have an effective exchange of tax information with Spain. (&lt;cite.bna.reference ref="TM\7360.VI.C.2.c"&gt;Section VI.C.2.c.&lt;/cite.bna.reference&gt;)&lt;/source.list.item&gt;&lt;line.break/&gt;&lt;line.break/&gt;For the rates of source country taxation applying to investment income, services income and capital gains under Spanish domestic law and tax treaties and the context for the application of those rates, see the &lt;cite.url ref="https://www.bloomberglaw.com/product/tax/bbna/chart/3/10092"&gt;Withholding Tax Chart&lt;/cite.url&gt;.&lt;/p&gt;</w:t>
      </w:r>
    </w:p>
    <w:p w14:paraId="714A47CF" w14:textId="77777777" w:rsidR="00D64BAD" w:rsidRDefault="00D64BAD" w:rsidP="00D64BAD">
      <w:r>
        <w:t>&lt;/entry&gt;</w:t>
      </w:r>
    </w:p>
    <w:p w14:paraId="49B1BB6C" w14:textId="77777777" w:rsidR="00D64BAD" w:rsidRDefault="00D64BAD" w:rsidP="00D64BAD">
      <w:r>
        <w:t>&lt;/row&gt;</w:t>
      </w:r>
    </w:p>
    <w:p w14:paraId="426FF560" w14:textId="77777777" w:rsidR="00D64BAD" w:rsidRDefault="00D64BAD" w:rsidP="00D64BAD">
      <w:r>
        <w:t>&lt;row id="0c70ad0c762e468eb0da76c773624c49"&gt;</w:t>
      </w:r>
    </w:p>
    <w:p w14:paraId="5C25473B" w14:textId="77777777" w:rsidR="00D64BAD" w:rsidRDefault="00D64BAD" w:rsidP="00D64BAD">
      <w:r>
        <w:t>&lt;entry&gt;</w:t>
      </w:r>
    </w:p>
    <w:p w14:paraId="1D2A76BB" w14:textId="77777777" w:rsidR="00D64BAD" w:rsidRDefault="00D64BAD" w:rsidP="00D64BAD">
      <w:r>
        <w:t>&lt;p id="1c480b6d55144df19b1daa6a6cba8e52"&gt;&lt;emph face="b"&gt;Net operating losses carry &lt;line.break/&gt;back/forward&lt;/emph&gt; &lt;/p&gt;</w:t>
      </w:r>
    </w:p>
    <w:p w14:paraId="0119A4AD" w14:textId="77777777" w:rsidR="00D64BAD" w:rsidRDefault="00D64BAD" w:rsidP="00D64BAD">
      <w:r>
        <w:t>&lt;/entry&gt;</w:t>
      </w:r>
    </w:p>
    <w:p w14:paraId="4FCF31ED" w14:textId="77777777" w:rsidR="00D64BAD" w:rsidRDefault="00D64BAD" w:rsidP="00D64BAD">
      <w:r>
        <w:t>&lt;entry&gt;</w:t>
      </w:r>
    </w:p>
    <w:p w14:paraId="5ABB29F6" w14:textId="77777777" w:rsidR="00D64BAD" w:rsidRDefault="00D64BAD" w:rsidP="00D64BAD">
      <w:r>
        <w:t>&lt;p id="d769aed174504429a543e5a543399159"&gt;&lt;underline&gt;Carryback&lt;/underline&gt;: Not allowed (&lt;cite.bna.reference ref="TM\7360..V.A.6"&gt;Section V.A.6.&lt;/cite.bna.reference&gt;)&lt;line.break/&gt;&lt;line.break/&gt;&lt;underline&gt;Carryforward&lt;/underline&gt;: Indefinite, subject to limitations (&lt;cite.bna.reference ref="TM\7360.V.A.6"&gt;Section V.A.6.&lt;/cite.bna.reference&gt;)&lt;/p&gt;</w:t>
      </w:r>
    </w:p>
    <w:p w14:paraId="5945B801" w14:textId="77777777" w:rsidR="00D64BAD" w:rsidRDefault="00D64BAD" w:rsidP="00D64BAD">
      <w:r>
        <w:t>&lt;/entry&gt;</w:t>
      </w:r>
    </w:p>
    <w:p w14:paraId="62B0DEF2" w14:textId="77777777" w:rsidR="00D64BAD" w:rsidRDefault="00D64BAD" w:rsidP="00D64BAD">
      <w:r>
        <w:t>&lt;/row&gt;</w:t>
      </w:r>
    </w:p>
    <w:p w14:paraId="3665C8ED" w14:textId="77777777" w:rsidR="00D64BAD" w:rsidRDefault="00D64BAD" w:rsidP="00D64BAD">
      <w:r>
        <w:t>&lt;row id="387719d7eaa3468eb2ef9d3241786e33"&gt;</w:t>
      </w:r>
    </w:p>
    <w:p w14:paraId="79D9EBDC" w14:textId="77777777" w:rsidR="00D64BAD" w:rsidRDefault="00D64BAD" w:rsidP="00D64BAD">
      <w:r>
        <w:t>&lt;entry&gt;</w:t>
      </w:r>
    </w:p>
    <w:p w14:paraId="383A46DE" w14:textId="77777777" w:rsidR="00D64BAD" w:rsidRDefault="00D64BAD" w:rsidP="00D64BAD">
      <w:r>
        <w:lastRenderedPageBreak/>
        <w:t>&lt;p id="4780085c5daf4884a4eccd8fb1c03cb2"&gt;&lt;emph face="b"&gt;Restrictions on deductibility of &lt;line.break/&gt;interest expenses &lt;/emph&gt; &lt;/p&gt;</w:t>
      </w:r>
    </w:p>
    <w:p w14:paraId="2EBD7483" w14:textId="77777777" w:rsidR="00D64BAD" w:rsidRDefault="00D64BAD" w:rsidP="00D64BAD">
      <w:r>
        <w:t>&lt;/entry&gt;</w:t>
      </w:r>
    </w:p>
    <w:p w14:paraId="352B9278" w14:textId="77777777" w:rsidR="00D64BAD" w:rsidRDefault="00D64BAD" w:rsidP="00D64BAD">
      <w:r>
        <w:t>&lt;entry&gt;</w:t>
      </w:r>
    </w:p>
    <w:p w14:paraId="639EC701" w14:textId="77777777" w:rsidR="00D64BAD" w:rsidRDefault="00D64BAD" w:rsidP="00D64BAD">
      <w:r>
        <w:t>&lt;p id="931c293a09e64acd89a2f0d8f8e55a56"&gt;Yes, generally limited to 30% of a company's or group's EBITDA, subject to a threshold of 1 million euros of net interest expense per taxable year. Interest payments on profit-participating loans are nondeductible. Borrowing costs related to an acquisition of shares in excess of 30% of the operating income of the acquirer for the period are not deductible if the acquired entity is subsequently included in the tax group of the acquirer or merged with the acquirer. (&lt;cite.bna.reference ref="TM\7360.V.A.5.b"&gt;Section V.A.5.b.&lt;/cite.bna.reference&gt;)&lt;/p&gt;</w:t>
      </w:r>
    </w:p>
    <w:p w14:paraId="5D456128" w14:textId="77777777" w:rsidR="00D64BAD" w:rsidRDefault="00D64BAD" w:rsidP="00D64BAD">
      <w:r>
        <w:t>&lt;/entry&gt;</w:t>
      </w:r>
    </w:p>
    <w:p w14:paraId="49AD15AB" w14:textId="77777777" w:rsidR="00D64BAD" w:rsidRDefault="00D64BAD" w:rsidP="00D64BAD">
      <w:r>
        <w:t>&lt;/row&gt;</w:t>
      </w:r>
    </w:p>
    <w:p w14:paraId="10252EAB" w14:textId="77777777" w:rsidR="00D64BAD" w:rsidRDefault="00D64BAD" w:rsidP="00D64BAD">
      <w:r>
        <w:t>&lt;row id="0794f76ec51d44d5968bdcec4b7a7d2d"&gt;</w:t>
      </w:r>
    </w:p>
    <w:p w14:paraId="7D7C1F06" w14:textId="77777777" w:rsidR="00D64BAD" w:rsidRDefault="00D64BAD" w:rsidP="00D64BAD">
      <w:r>
        <w:t>&lt;entry&gt;</w:t>
      </w:r>
    </w:p>
    <w:p w14:paraId="1DBF1F45" w14:textId="77777777" w:rsidR="00D64BAD" w:rsidRDefault="00D64BAD" w:rsidP="00D64BAD">
      <w:r>
        <w:t>&lt;p id="d3dfbd6fbc794f719c05c3a3e48efa3f"&gt;&lt;emph face="b"&gt;Anti-Hybrid mismatch rules&lt;/emph&gt; &lt;/p&gt;</w:t>
      </w:r>
    </w:p>
    <w:p w14:paraId="481F57BB" w14:textId="77777777" w:rsidR="00D64BAD" w:rsidRDefault="00D64BAD" w:rsidP="00D64BAD">
      <w:r>
        <w:t>&lt;/entry&gt;</w:t>
      </w:r>
    </w:p>
    <w:p w14:paraId="75758D94" w14:textId="77777777" w:rsidR="00D64BAD" w:rsidRDefault="00D64BAD" w:rsidP="00D64BAD">
      <w:r>
        <w:t>&lt;entry&gt;</w:t>
      </w:r>
    </w:p>
    <w:p w14:paraId="39C54F24" w14:textId="77777777" w:rsidR="00D64BAD" w:rsidRDefault="00D64BAD" w:rsidP="00D64BAD">
      <w:r>
        <w:t>&lt;p id="14ae5075b1ef44d1ac34594028b3c5a4"&gt;Yes (&lt;cite.bna.reference ref="TM\7360.VA.5.q.(2)"&gt;Section V.A.5.q.(2).&lt;/cite.bna.reference&gt;)&lt;/p&gt;</w:t>
      </w:r>
    </w:p>
    <w:p w14:paraId="6179F2F7" w14:textId="77777777" w:rsidR="00D64BAD" w:rsidRDefault="00D64BAD" w:rsidP="00D64BAD">
      <w:r>
        <w:t>&lt;/entry&gt;</w:t>
      </w:r>
    </w:p>
    <w:p w14:paraId="1E6AD43C" w14:textId="77777777" w:rsidR="00D64BAD" w:rsidRDefault="00D64BAD" w:rsidP="00D64BAD">
      <w:r>
        <w:t>&lt;/row&gt;</w:t>
      </w:r>
    </w:p>
    <w:p w14:paraId="035CC7DC" w14:textId="77777777" w:rsidR="00D64BAD" w:rsidRDefault="00D64BAD" w:rsidP="00D64BAD">
      <w:r>
        <w:t>&lt;row id="d2832f51314c433bbe57efbfbfb88265"&gt;</w:t>
      </w:r>
    </w:p>
    <w:p w14:paraId="196BF008" w14:textId="77777777" w:rsidR="00D64BAD" w:rsidRDefault="00D64BAD" w:rsidP="00D64BAD">
      <w:r>
        <w:t>&lt;entry&gt;</w:t>
      </w:r>
    </w:p>
    <w:p w14:paraId="5CE423B8" w14:textId="77777777" w:rsidR="00D64BAD" w:rsidRDefault="00D64BAD" w:rsidP="00D64BAD">
      <w:r>
        <w:t>&lt;p id="0557773767fc4cd985265b1373720515"&gt;&lt;emph face="b"&gt;Incentives&lt;/emph&gt; &lt;emph face="b"&gt; (major)&lt;/emph&gt; &lt;/p&gt;</w:t>
      </w:r>
    </w:p>
    <w:p w14:paraId="373B2841" w14:textId="77777777" w:rsidR="00D64BAD" w:rsidRDefault="00D64BAD" w:rsidP="00D64BAD">
      <w:r>
        <w:t>&lt;/entry&gt;</w:t>
      </w:r>
    </w:p>
    <w:p w14:paraId="73841A5B" w14:textId="77777777" w:rsidR="00D64BAD" w:rsidRDefault="00D64BAD" w:rsidP="00D64BAD">
      <w:r>
        <w:t>&lt;entry&gt;</w:t>
      </w:r>
    </w:p>
    <w:p w14:paraId="2DF3FF9C" w14:textId="77777777" w:rsidR="00D64BAD" w:rsidRDefault="00D64BAD" w:rsidP="00D64BAD">
      <w:r>
        <w:lastRenderedPageBreak/>
        <w:t>&lt;p id="fc8052076b3e4bae85aaebdefc12f356"&gt;Generally, yes (&lt;cite.bna.reference ref="TM\7360.V.A.7.b.(6).(b)"&gt;Section V.A.7.b.(6).(b).&lt;/cite.bna.reference&gt; and &lt;cite.bna.reference ref="TM\7360.V.A.8"&gt;Section V.A.8.&lt;/cite.bna.reference&gt;)&lt;source.list.item&gt;• R&amp;amp;D: Yes (&lt;cite.bna.reference ref="TM\7360.V.A.8.e"&gt;Section V.A.8.e&lt;/cite.bna.reference&gt;)&lt;/source.list.item&gt;&lt;source.list.item&gt;• Patent box: Yes (&lt;cite.bna.reference ref="TM\7360.V.A.4.f.(1)"&gt;Section V.A.4.f.(1)&lt;/cite.bna.reference&gt;)&lt;/source.list.item&gt;&lt;source.list.item&gt;• Enhanced depreciation / capital allowance: Limited free depreciation and amortization regime for certain assets including R&amp;amp;D-related assets (&lt;cite.bna.reference ref="TM\7360.V.A.5.f"&gt;Section V.A.5.f&lt;/cite.bna.reference&gt;)&lt;/source.list.item&gt;&lt;source.list.item&gt;• Environmental: N/A&lt;/source.list.item&gt;&lt;source.list.item&gt;• Other: Film Productions and Performing Arts and Music Tax Credits (&lt;cite.bna.reference ref="TM\7360.V.A.8.f"&gt;Section V.A.8.f&lt;/cite.bna.reference&gt;)&lt;/source.list.item&gt;&lt;/p&gt;</w:t>
      </w:r>
    </w:p>
    <w:p w14:paraId="04A1C28A" w14:textId="77777777" w:rsidR="00D64BAD" w:rsidRDefault="00D64BAD" w:rsidP="00D64BAD">
      <w:r>
        <w:t>&lt;/entry&gt;</w:t>
      </w:r>
    </w:p>
    <w:p w14:paraId="4CB0EAD2" w14:textId="77777777" w:rsidR="00D64BAD" w:rsidRDefault="00D64BAD" w:rsidP="00D64BAD">
      <w:r>
        <w:t>&lt;/row&gt;</w:t>
      </w:r>
    </w:p>
    <w:p w14:paraId="3A2D4717" w14:textId="77777777" w:rsidR="00D64BAD" w:rsidRDefault="00D64BAD" w:rsidP="00D64BAD">
      <w:r>
        <w:t>&lt;row id="7f92983b589147c5a445adb42198c376"&gt;</w:t>
      </w:r>
    </w:p>
    <w:p w14:paraId="760D1E29" w14:textId="77777777" w:rsidR="00D64BAD" w:rsidRDefault="00D64BAD" w:rsidP="00D64BAD">
      <w:r>
        <w:t>&lt;entry&gt;</w:t>
      </w:r>
    </w:p>
    <w:p w14:paraId="704AFECE" w14:textId="77777777" w:rsidR="00D64BAD" w:rsidRDefault="00D64BAD" w:rsidP="00D64BAD">
      <w:r>
        <w:t>&lt;p id="5ee910da16444d1e9b55857db78c7b86"&gt;&lt;emph face="b"&gt;Participation exemption (or similar regime&lt;/emph&gt; &lt;emph face="b"&gt;)&lt;/emph&gt; &lt;/p&gt;</w:t>
      </w:r>
    </w:p>
    <w:p w14:paraId="081E250B" w14:textId="77777777" w:rsidR="00D64BAD" w:rsidRDefault="00D64BAD" w:rsidP="00D64BAD">
      <w:r>
        <w:t>&lt;/entry&gt;</w:t>
      </w:r>
    </w:p>
    <w:p w14:paraId="077FC262" w14:textId="77777777" w:rsidR="00D64BAD" w:rsidRDefault="00D64BAD" w:rsidP="00D64BAD">
      <w:r>
        <w:t>&lt;entry&gt;</w:t>
      </w:r>
    </w:p>
    <w:p w14:paraId="4B50E398" w14:textId="77777777" w:rsidR="00D64BAD" w:rsidRDefault="00D64BAD" w:rsidP="00D64BAD">
      <w:r>
        <w:t>&lt;p id="6c8712334ba54981a2691fba46c2d72a"&gt;Yes, a 95% participation exemption can apply for dividends and certain gains and interest subject to conditions (&lt;cite.bna.reference ref="TM\7360.XVI.C.1.a"&gt;Section XVI.C.1.a&lt;/cite.bna.reference&gt;). There is also a dedicated holding company regime, &lt;emph&gt;ETVE&lt;/emph&gt; (&lt;cite.bna.reference ref="TM\7360.V.A.7.b.(5)"&gt;Section V.A.7.b.(5).&lt;/cite.bna.reference&gt;)&lt;/p&gt;</w:t>
      </w:r>
    </w:p>
    <w:p w14:paraId="79382EAF" w14:textId="77777777" w:rsidR="00D64BAD" w:rsidRDefault="00D64BAD" w:rsidP="00D64BAD">
      <w:r>
        <w:t>&lt;/entry&gt;</w:t>
      </w:r>
    </w:p>
    <w:p w14:paraId="7B63E210" w14:textId="77777777" w:rsidR="00D64BAD" w:rsidRDefault="00D64BAD" w:rsidP="00D64BAD">
      <w:r>
        <w:t>&lt;/row&gt;</w:t>
      </w:r>
    </w:p>
    <w:p w14:paraId="41E46EA2" w14:textId="77777777" w:rsidR="00D64BAD" w:rsidRDefault="00D64BAD" w:rsidP="00D64BAD">
      <w:r>
        <w:t>&lt;row id="16588a64e2af4d42b58f8fe225b1a33c"&gt;</w:t>
      </w:r>
    </w:p>
    <w:p w14:paraId="73750933" w14:textId="77777777" w:rsidR="00D64BAD" w:rsidRDefault="00D64BAD" w:rsidP="00D64BAD">
      <w:r>
        <w:lastRenderedPageBreak/>
        <w:t>&lt;entry&gt;</w:t>
      </w:r>
    </w:p>
    <w:p w14:paraId="6BEEED40" w14:textId="77777777" w:rsidR="00D64BAD" w:rsidRDefault="00D64BAD" w:rsidP="00D64BAD">
      <w:r>
        <w:t>&lt;p id="9852be838e544cdbbc97616396803af0"&gt;&lt;emph face="b"&gt;Tax consolidation&lt;/emph&gt; &lt;/p&gt;</w:t>
      </w:r>
    </w:p>
    <w:p w14:paraId="481096AD" w14:textId="77777777" w:rsidR="00D64BAD" w:rsidRDefault="00D64BAD" w:rsidP="00D64BAD">
      <w:r>
        <w:t>&lt;/entry&gt;</w:t>
      </w:r>
    </w:p>
    <w:p w14:paraId="3F715060" w14:textId="77777777" w:rsidR="00D64BAD" w:rsidRDefault="00D64BAD" w:rsidP="00D64BAD">
      <w:r>
        <w:t>&lt;entry&gt;</w:t>
      </w:r>
    </w:p>
    <w:p w14:paraId="7925516E" w14:textId="77777777" w:rsidR="00D64BAD" w:rsidRDefault="00D64BAD" w:rsidP="00D64BAD">
      <w:r>
        <w:t>&lt;p id="f8210a5be2dc461f87c58dcc50234ab8"&gt;Corporate taxpayers can opt to be taxed on a consolidated basis, irrespective of whether they consolidate for accounting purposes. (&lt;cite.bna.reference ref="TM\7360.V.A.11"&gt;Section V.A.11.&lt;/cite.bna.reference&gt;)&lt;/p&gt;</w:t>
      </w:r>
    </w:p>
    <w:p w14:paraId="27B1F202" w14:textId="77777777" w:rsidR="00D64BAD" w:rsidRDefault="00D64BAD" w:rsidP="00D64BAD">
      <w:r>
        <w:t>&lt;/entry&gt;</w:t>
      </w:r>
    </w:p>
    <w:p w14:paraId="709DF2BE" w14:textId="77777777" w:rsidR="00D64BAD" w:rsidRDefault="00D64BAD" w:rsidP="00D64BAD">
      <w:r>
        <w:t>&lt;/row&gt;</w:t>
      </w:r>
    </w:p>
    <w:p w14:paraId="76764FD1" w14:textId="77777777" w:rsidR="00D64BAD" w:rsidRDefault="00D64BAD" w:rsidP="00D64BAD">
      <w:r>
        <w:t>&lt;row id="2b07de72104c4b4696419089a15b69d8"&gt;</w:t>
      </w:r>
    </w:p>
    <w:p w14:paraId="33E0FB3D" w14:textId="77777777" w:rsidR="00D64BAD" w:rsidRDefault="00D64BAD" w:rsidP="00D64BAD">
      <w:r>
        <w:t>&lt;entry&gt;</w:t>
      </w:r>
    </w:p>
    <w:p w14:paraId="591325CE" w14:textId="77777777" w:rsidR="00D64BAD" w:rsidRDefault="00D64BAD" w:rsidP="00D64BAD">
      <w:r>
        <w:t>&lt;p id="27905928bd2543e589a9989397bff869"&gt;&lt;emph face="b"&gt;M&amp;amp;A&lt;/emph&gt; &lt;emph face="b"&gt; regime&lt;/emph&gt; &lt;/p&gt;</w:t>
      </w:r>
    </w:p>
    <w:p w14:paraId="4E9E3716" w14:textId="77777777" w:rsidR="00D64BAD" w:rsidRDefault="00D64BAD" w:rsidP="00D64BAD">
      <w:r>
        <w:t>&lt;/entry&gt;</w:t>
      </w:r>
    </w:p>
    <w:p w14:paraId="26B42C5F" w14:textId="77777777" w:rsidR="00D64BAD" w:rsidRDefault="00D64BAD" w:rsidP="00D64BAD">
      <w:r>
        <w:t>&lt;entry&gt;</w:t>
      </w:r>
    </w:p>
    <w:p w14:paraId="69170922" w14:textId="77777777" w:rsidR="00D64BAD" w:rsidRDefault="00D64BAD" w:rsidP="00D64BAD">
      <w:r>
        <w:t>&lt;p id="ecaf198ec8b54a69991ee8256d2ba9f8"&gt;&lt;underline&gt;Tax-free or tax-privileged transaction&lt;/underline&gt;: Special tax neutral regime based on the tax regime of the EU Merger Directive applicable to certain corporate reorganizations. (&lt;cite.bna.reference ref="TM\7360.V.A.12"&gt;Section V.A.12.&lt;/cite.bna.reference&gt;)&lt;line.break/&gt;&lt;line.break/&gt;&lt;underline&gt;Stamp duty/share transfer taxes&lt;/underline&gt;: Yes, a Financial Transaction Tax (&lt;cite.bna.reference ref="TM\7360.V.B.8"&gt;Section V.B.8&lt;/cite.bna.reference&gt;) may apply to transfers of certain shares. Stamp Duty does not apply to shares.&lt;line.break/&gt;&lt;line.break/&gt;&lt;underline&gt;Limitation on pre-deal NOL carryforwards&lt;/underline&gt;: No&lt;/p&gt;</w:t>
      </w:r>
    </w:p>
    <w:p w14:paraId="33C64846" w14:textId="77777777" w:rsidR="00D64BAD" w:rsidRDefault="00D64BAD" w:rsidP="00D64BAD">
      <w:r>
        <w:t>&lt;/entry&gt;</w:t>
      </w:r>
    </w:p>
    <w:p w14:paraId="58CF86FC" w14:textId="77777777" w:rsidR="00D64BAD" w:rsidRDefault="00D64BAD" w:rsidP="00D64BAD">
      <w:r>
        <w:t>&lt;/row&gt;</w:t>
      </w:r>
    </w:p>
    <w:p w14:paraId="2C7A5E6B" w14:textId="77777777" w:rsidR="00D64BAD" w:rsidRDefault="00D64BAD" w:rsidP="00D64BAD">
      <w:r>
        <w:t>&lt;row id="589073ff5242472b99bd4fe9d4e5c63a"&gt;</w:t>
      </w:r>
    </w:p>
    <w:p w14:paraId="6D8505C9" w14:textId="77777777" w:rsidR="00D64BAD" w:rsidRDefault="00D64BAD" w:rsidP="00D64BAD">
      <w:r>
        <w:t>&lt;entry&gt;</w:t>
      </w:r>
    </w:p>
    <w:p w14:paraId="233BE4D6" w14:textId="77777777" w:rsidR="00D64BAD" w:rsidRDefault="00D64BAD" w:rsidP="00D64BAD">
      <w:r>
        <w:lastRenderedPageBreak/>
        <w:t>&lt;p id="e9b871cb38824e23bc9f3e04a4be3aa1"&gt;&lt;emph face="b"&gt;Pillar&lt;/emph&gt; &lt;emph face="b"&gt; One and Two&lt;/emph&gt; &lt;/p&gt;</w:t>
      </w:r>
    </w:p>
    <w:p w14:paraId="4BC6A01C" w14:textId="77777777" w:rsidR="00D64BAD" w:rsidRDefault="00D64BAD" w:rsidP="00D64BAD">
      <w:r>
        <w:t>&lt;/entry&gt;</w:t>
      </w:r>
    </w:p>
    <w:p w14:paraId="1DF93F1F" w14:textId="77777777" w:rsidR="00D64BAD" w:rsidRDefault="00D64BAD" w:rsidP="00D64BAD">
      <w:r>
        <w:t>&lt;entry&gt;</w:t>
      </w:r>
    </w:p>
    <w:p w14:paraId="7DF73FC8" w14:textId="77777777" w:rsidR="00D64BAD" w:rsidRDefault="00D64BAD" w:rsidP="00D64BAD">
      <w:r>
        <w:t>&lt;p id="ab459ddcce064da5a4789c3b8acf3583"&gt;Pillar Two: Legislation adopted implementing Pillar Two. (&lt;cite.bna.reference ref="TM\7360.XV.D.2"&gt;Section XV.D.2.&lt;/cite.bna.reference&gt;)&lt;/p&gt;</w:t>
      </w:r>
    </w:p>
    <w:p w14:paraId="1156CC5A" w14:textId="77777777" w:rsidR="00D64BAD" w:rsidRDefault="00D64BAD" w:rsidP="00D64BAD">
      <w:r>
        <w:t>&lt;/entry&gt;</w:t>
      </w:r>
    </w:p>
    <w:p w14:paraId="49EA535D" w14:textId="77777777" w:rsidR="00D64BAD" w:rsidRDefault="00D64BAD" w:rsidP="00D64BAD">
      <w:r>
        <w:t>&lt;/row&gt;</w:t>
      </w:r>
    </w:p>
    <w:p w14:paraId="3D8CF93E" w14:textId="77777777" w:rsidR="00D64BAD" w:rsidRDefault="00D64BAD" w:rsidP="00D64BAD">
      <w:r>
        <w:t>&lt;row id="ddff0a93d8fe4fdc9818e20aab5b2073"&gt;</w:t>
      </w:r>
    </w:p>
    <w:p w14:paraId="64428CEC" w14:textId="77777777" w:rsidR="00D64BAD" w:rsidRDefault="00D64BAD" w:rsidP="00D64BAD">
      <w:r>
        <w:t>&lt;entry&gt;</w:t>
      </w:r>
    </w:p>
    <w:p w14:paraId="68252BEC" w14:textId="77777777" w:rsidR="00D64BAD" w:rsidRDefault="00D64BAD" w:rsidP="00D64BAD">
      <w:r>
        <w:t>&lt;p id="443fa1992b0c49b7a63a63963d4dfdb8"&gt;&lt;emph face="b"&gt;Controlled foreign company regime&lt;/emph&gt; &lt;/p&gt;</w:t>
      </w:r>
    </w:p>
    <w:p w14:paraId="7512F60A" w14:textId="77777777" w:rsidR="00D64BAD" w:rsidRDefault="00D64BAD" w:rsidP="00D64BAD">
      <w:r>
        <w:t>&lt;/entry&gt;</w:t>
      </w:r>
    </w:p>
    <w:p w14:paraId="7375E0C1" w14:textId="77777777" w:rsidR="00D64BAD" w:rsidRDefault="00D64BAD" w:rsidP="00D64BAD">
      <w:r>
        <w:t>&lt;entry&gt;</w:t>
      </w:r>
    </w:p>
    <w:p w14:paraId="0C3C4786" w14:textId="77777777" w:rsidR="00D64BAD" w:rsidRDefault="00D64BAD" w:rsidP="00D64BAD">
      <w:r>
        <w:t>&lt;p id="e3eb6b480e024cdf89477dfcfa7c0f3b"&gt;Yes (&lt;cite.bna.reference ref="TM\7360.XV.C"&gt;Section XV.C.&lt;/cite.bna.reference&gt;)&lt;/p&gt;</w:t>
      </w:r>
    </w:p>
    <w:p w14:paraId="7F909972" w14:textId="77777777" w:rsidR="00D64BAD" w:rsidRDefault="00D64BAD" w:rsidP="00D64BAD">
      <w:r>
        <w:t>&lt;/entry&gt;</w:t>
      </w:r>
    </w:p>
    <w:p w14:paraId="695BAC56" w14:textId="77777777" w:rsidR="00D64BAD" w:rsidRDefault="00D64BAD" w:rsidP="00D64BAD">
      <w:r>
        <w:t>&lt;/row&gt;</w:t>
      </w:r>
    </w:p>
    <w:p w14:paraId="7CEF5E3E" w14:textId="77777777" w:rsidR="00D64BAD" w:rsidRDefault="00D64BAD" w:rsidP="00D64BAD">
      <w:r>
        <w:t>&lt;row id="b0191e6b000141059afc0f6b9bb26c17"&gt;</w:t>
      </w:r>
    </w:p>
    <w:p w14:paraId="05FF6C29" w14:textId="77777777" w:rsidR="00D64BAD" w:rsidRDefault="00D64BAD" w:rsidP="00D64BAD">
      <w:r>
        <w:t>&lt;entry&gt;</w:t>
      </w:r>
    </w:p>
    <w:p w14:paraId="32E50948" w14:textId="77777777" w:rsidR="00D64BAD" w:rsidRDefault="00D64BAD" w:rsidP="00D64BAD">
      <w:r>
        <w:t>&lt;p id="c3fdb3322c824afb90f9f7913c4b07a6"&gt;&lt;emph face="b"&gt;Transfer pricing regime&lt;/emph&gt; &lt;/p&gt;</w:t>
      </w:r>
    </w:p>
    <w:p w14:paraId="17A1E554" w14:textId="77777777" w:rsidR="00D64BAD" w:rsidRDefault="00D64BAD" w:rsidP="00D64BAD">
      <w:r>
        <w:t>&lt;/entry&gt;</w:t>
      </w:r>
    </w:p>
    <w:p w14:paraId="38E776A5" w14:textId="77777777" w:rsidR="00D64BAD" w:rsidRDefault="00D64BAD" w:rsidP="00D64BAD">
      <w:r>
        <w:t>&lt;entry&gt;</w:t>
      </w:r>
    </w:p>
    <w:p w14:paraId="22BF7B73" w14:textId="77777777" w:rsidR="00D64BAD" w:rsidRDefault="00D64BAD" w:rsidP="00D64BAD">
      <w:r>
        <w:t xml:space="preserve">&lt;p id="029166dce7354790acd355565f330265"&gt;Yes (&lt;cite.bna.reference ref="TM\7360.XIV"&gt;Section XIV.&lt;/cite.bna.reference&gt;) &lt;line.break/&gt;&lt;line.break/&gt;Country-by-country report: Yes (&lt;cite.bna.reference ref="TM\7360.XIV.D.4"&gt;Section XIV.D.4.&lt;/cite.bna.reference&gt;) &lt;line.break/&gt;&lt;line.break/&gt;See also Chapter 150 of </w:t>
      </w:r>
      <w:r>
        <w:lastRenderedPageBreak/>
        <w:t>&lt;cite.bna.reference bna.id.ref="TM\6970"&gt;6970 T.M.&lt;/cite.bna.reference&gt;, &lt;cite.bna.reference ref="https://www.bloomberglaw.com/product/tax/document/XPVIIMH8#section(1)_0"&gt;Transfer Pricing: Rules and Practice in Selected Countries (Q-S) &lt;/cite.bna.reference&gt;&lt;/p&gt;</w:t>
      </w:r>
    </w:p>
    <w:p w14:paraId="26EFA6A6" w14:textId="77777777" w:rsidR="00D64BAD" w:rsidRDefault="00D64BAD" w:rsidP="00D64BAD">
      <w:r>
        <w:t>&lt;/entry&gt;</w:t>
      </w:r>
    </w:p>
    <w:p w14:paraId="52D8E6CD" w14:textId="77777777" w:rsidR="00D64BAD" w:rsidRDefault="00D64BAD" w:rsidP="00D64BAD">
      <w:r>
        <w:t>&lt;/row&gt;</w:t>
      </w:r>
    </w:p>
    <w:p w14:paraId="661B1EA9" w14:textId="77777777" w:rsidR="00D64BAD" w:rsidRDefault="00D64BAD" w:rsidP="00D64BAD">
      <w:r>
        <w:t>&lt;row id="80a0585f56224c56aabe40b5cd838cf5"&gt;</w:t>
      </w:r>
    </w:p>
    <w:p w14:paraId="39743195" w14:textId="77777777" w:rsidR="00D64BAD" w:rsidRDefault="00D64BAD" w:rsidP="00D64BAD">
      <w:r>
        <w:t>&lt;entry&gt;</w:t>
      </w:r>
    </w:p>
    <w:p w14:paraId="399EE218" w14:textId="77777777" w:rsidR="00D64BAD" w:rsidRDefault="00D64BAD" w:rsidP="00D64BAD">
      <w:r>
        <w:t>&lt;p id="2b60316f8d7e488dbc4ef3a197d4181e"&gt;&lt;emph face="b"&gt;Mandatory disclosure regime&lt;/emph&gt; &lt;/p&gt;</w:t>
      </w:r>
    </w:p>
    <w:p w14:paraId="1F5478B4" w14:textId="77777777" w:rsidR="00D64BAD" w:rsidRDefault="00D64BAD" w:rsidP="00D64BAD">
      <w:r>
        <w:t>&lt;/entry&gt;</w:t>
      </w:r>
    </w:p>
    <w:p w14:paraId="06A75DE5" w14:textId="77777777" w:rsidR="00D64BAD" w:rsidRDefault="00D64BAD" w:rsidP="00D64BAD">
      <w:r>
        <w:t>&lt;entry&gt;</w:t>
      </w:r>
    </w:p>
    <w:p w14:paraId="5DC9DF20" w14:textId="77777777" w:rsidR="00D64BAD" w:rsidRDefault="00D64BAD" w:rsidP="00D64BAD">
      <w:r>
        <w:t>&lt;p id="2ecb7b80725345ca9de77bec05ffc006"&gt;Yes (&lt;cite.bna.reference ref="TM\7360.XVI.B"&gt;Section XVI.B.&lt;/cite.bna.reference&gt;)&lt;/p&gt;</w:t>
      </w:r>
    </w:p>
    <w:p w14:paraId="2481ACA9" w14:textId="77777777" w:rsidR="00D64BAD" w:rsidRDefault="00D64BAD" w:rsidP="00D64BAD">
      <w:r>
        <w:t>&lt;/entry&gt;</w:t>
      </w:r>
    </w:p>
    <w:p w14:paraId="1DC9A7AA" w14:textId="77777777" w:rsidR="00D64BAD" w:rsidRDefault="00D64BAD" w:rsidP="00D64BAD">
      <w:r>
        <w:t>&lt;/row&gt;</w:t>
      </w:r>
    </w:p>
    <w:p w14:paraId="5C31D72F" w14:textId="77777777" w:rsidR="00D64BAD" w:rsidRDefault="00D64BAD" w:rsidP="00D64BAD">
      <w:r>
        <w:t>&lt;row id="ac1af616a01a4bef83170cf405ed9e3d"&gt;</w:t>
      </w:r>
    </w:p>
    <w:p w14:paraId="7F190947" w14:textId="77777777" w:rsidR="00D64BAD" w:rsidRDefault="00D64BAD" w:rsidP="00D64BAD">
      <w:r>
        <w:t>&lt;entry&gt;</w:t>
      </w:r>
    </w:p>
    <w:p w14:paraId="7E85D583" w14:textId="77777777" w:rsidR="00D64BAD" w:rsidRDefault="00D64BAD" w:rsidP="00D64BAD">
      <w:r>
        <w:t>&lt;p id="7e4129e29cd24afd98a99e1acb88cd6c"&gt;&lt;emph face="b"&gt;Foreign tax relief &lt;/emph&gt; &lt;/p&gt;</w:t>
      </w:r>
    </w:p>
    <w:p w14:paraId="6F5CF201" w14:textId="77777777" w:rsidR="00D64BAD" w:rsidRDefault="00D64BAD" w:rsidP="00D64BAD">
      <w:r>
        <w:t>&lt;/entry&gt;</w:t>
      </w:r>
    </w:p>
    <w:p w14:paraId="5BBD1476" w14:textId="77777777" w:rsidR="00D64BAD" w:rsidRDefault="00D64BAD" w:rsidP="00D64BAD">
      <w:r>
        <w:t>&lt;entry&gt;</w:t>
      </w:r>
    </w:p>
    <w:p w14:paraId="7FC6D5B2" w14:textId="77777777" w:rsidR="00D64BAD" w:rsidRDefault="00D64BAD" w:rsidP="00D64BAD">
      <w:r>
        <w:t>&lt;p id="23cd2c924b1441f89aa60f6ab1b6159c"&gt;Participation exemption (Section XVI.C.1.a.); foreign tax credit (Section XVI.C.1.b.). While some of Spain's tax treaties provide for exemption with progression, this is in the process of being abolished and replaced with the credit method, where possible. (Section XVI.C.2.)&lt;/p&gt;</w:t>
      </w:r>
    </w:p>
    <w:p w14:paraId="0A00FDE9" w14:textId="77777777" w:rsidR="00D64BAD" w:rsidRDefault="00D64BAD" w:rsidP="00D64BAD">
      <w:r>
        <w:t>&lt;/entry&gt;</w:t>
      </w:r>
    </w:p>
    <w:p w14:paraId="63198B04" w14:textId="77777777" w:rsidR="00D64BAD" w:rsidRDefault="00D64BAD" w:rsidP="00D64BAD">
      <w:r>
        <w:t>&lt;/row&gt;</w:t>
      </w:r>
    </w:p>
    <w:p w14:paraId="65F6FB35" w14:textId="77777777" w:rsidR="00D64BAD" w:rsidRDefault="00D64BAD" w:rsidP="00D64BAD">
      <w:r>
        <w:t>&lt;row id="2597894406b14ba58607eba46f388fb3"&gt;</w:t>
      </w:r>
    </w:p>
    <w:p w14:paraId="4F100987" w14:textId="77777777" w:rsidR="00D64BAD" w:rsidRDefault="00D64BAD" w:rsidP="00D64BAD">
      <w:r>
        <w:lastRenderedPageBreak/>
        <w:t>&lt;entry spanname="sp1"&gt;</w:t>
      </w:r>
    </w:p>
    <w:p w14:paraId="354A61C0" w14:textId="77777777" w:rsidR="00D64BAD" w:rsidRDefault="00D64BAD" w:rsidP="00D64BAD">
      <w:r>
        <w:t>&lt;p id="e8818b5477204972b24569cd274a73d4"&gt;&lt;emph face="b"&gt;Individuals&lt;/emph&gt; &lt;/p&gt;</w:t>
      </w:r>
    </w:p>
    <w:p w14:paraId="0194D733" w14:textId="77777777" w:rsidR="00D64BAD" w:rsidRDefault="00D64BAD" w:rsidP="00D64BAD">
      <w:r>
        <w:t>&lt;/entry&gt;</w:t>
      </w:r>
    </w:p>
    <w:p w14:paraId="461067D7" w14:textId="77777777" w:rsidR="00D64BAD" w:rsidRDefault="00D64BAD" w:rsidP="00D64BAD">
      <w:r>
        <w:t>&lt;/row&gt;</w:t>
      </w:r>
    </w:p>
    <w:p w14:paraId="7E6C724D" w14:textId="77777777" w:rsidR="00D64BAD" w:rsidRDefault="00D64BAD" w:rsidP="00D64BAD">
      <w:r>
        <w:t>&lt;row id="a23fbd5e34834d3fa4c4558a281533a3"&gt;</w:t>
      </w:r>
    </w:p>
    <w:p w14:paraId="2169FF6B" w14:textId="77777777" w:rsidR="00D64BAD" w:rsidRDefault="00D64BAD" w:rsidP="00D64BAD">
      <w:r>
        <w:t>&lt;entry&gt;</w:t>
      </w:r>
    </w:p>
    <w:p w14:paraId="7A7860B1" w14:textId="77777777" w:rsidR="00D64BAD" w:rsidRDefault="00D64BAD" w:rsidP="00D64BAD">
      <w:r>
        <w:t>&lt;p id="149bf69f4921419da6a36644dba95310"&gt;&lt;emph face="b"&gt;Personal income tax rates &lt;/emph&gt; &lt;/p&gt;</w:t>
      </w:r>
    </w:p>
    <w:p w14:paraId="772268AC" w14:textId="77777777" w:rsidR="00D64BAD" w:rsidRDefault="00D64BAD" w:rsidP="00D64BAD">
      <w:r>
        <w:t>&lt;/entry&gt;</w:t>
      </w:r>
    </w:p>
    <w:p w14:paraId="7E1690C8" w14:textId="77777777" w:rsidR="00D64BAD" w:rsidRDefault="00D64BAD" w:rsidP="00D64BAD">
      <w:r>
        <w:t>&lt;entry&gt;</w:t>
      </w:r>
    </w:p>
    <w:p w14:paraId="42BD4410" w14:textId="77777777" w:rsidR="00D64BAD" w:rsidRDefault="00D64BAD" w:rsidP="00D64BAD">
      <w:r>
        <w:t>&lt;p id="651e3acd2c6243459457aafa5c6c4309"&gt;Income tax payable by a resident individual is a combination of national and regional tax rates on both ordinary and savings income. The national tax rates apply to 50% of a taxpayer's ordinary income (at progressive rates ranging from 9.5% to 24.5%) and the regional tax rates apply to the remaining 50% (at progressive rates). Since the regions apply different tax rates and tax credits, the combined effective income tax rate on a resident individual will vary depending on the region in which the individual resides. &lt;/p&gt;</w:t>
      </w:r>
    </w:p>
    <w:p w14:paraId="71E8F9F1" w14:textId="77777777" w:rsidR="00D64BAD" w:rsidRDefault="00D64BAD" w:rsidP="00D64BAD">
      <w:r>
        <w:t>&lt;/entry&gt;</w:t>
      </w:r>
    </w:p>
    <w:p w14:paraId="11C9947B" w14:textId="77777777" w:rsidR="00D64BAD" w:rsidRDefault="00D64BAD" w:rsidP="00D64BAD">
      <w:r>
        <w:t>&lt;/row&gt;</w:t>
      </w:r>
    </w:p>
    <w:p w14:paraId="7D51E4F5" w14:textId="77777777" w:rsidR="00D64BAD" w:rsidRDefault="00D64BAD" w:rsidP="00D64BAD">
      <w:r>
        <w:t>&lt;row id="ed77475cf2a54935bec0ca7335f60198"&gt;</w:t>
      </w:r>
    </w:p>
    <w:p w14:paraId="49C986A3" w14:textId="77777777" w:rsidR="00D64BAD" w:rsidRDefault="00D64BAD" w:rsidP="00D64BAD">
      <w:r>
        <w:t>&lt;entry&gt;</w:t>
      </w:r>
    </w:p>
    <w:p w14:paraId="533EE9F7" w14:textId="77777777" w:rsidR="00D64BAD" w:rsidRDefault="00D64BAD" w:rsidP="00D64BAD">
      <w:r>
        <w:t>&lt;p id="8d20e0c84cab475d9e4889d6891206da"&gt;&lt;emph face="b"&gt;Equity incentives&lt;/emph&gt; &lt;/p&gt;</w:t>
      </w:r>
    </w:p>
    <w:p w14:paraId="2FA27EE6" w14:textId="77777777" w:rsidR="00D64BAD" w:rsidRDefault="00D64BAD" w:rsidP="00D64BAD">
      <w:r>
        <w:t>&lt;/entry&gt;</w:t>
      </w:r>
    </w:p>
    <w:p w14:paraId="07EB130D" w14:textId="77777777" w:rsidR="00D64BAD" w:rsidRDefault="00D64BAD" w:rsidP="00D64BAD">
      <w:r>
        <w:t>&lt;entry&gt;</w:t>
      </w:r>
    </w:p>
    <w:p w14:paraId="604696DD" w14:textId="77777777" w:rsidR="00D64BAD" w:rsidRDefault="00D64BAD" w:rsidP="00D64BAD">
      <w:r>
        <w:t>&lt;p id="56a7b6f554fa47c3929f2727f37a118d"&gt;Yes (&lt;cite.bna.reference ref="TM\7360.X.A.3.b.(1).(a)"&gt;Section X.A.3.b.(1).(a).&lt;/cite.bna.reference&gt;)&lt;/p&gt;</w:t>
      </w:r>
    </w:p>
    <w:p w14:paraId="0F167E85" w14:textId="77777777" w:rsidR="00D64BAD" w:rsidRDefault="00D64BAD" w:rsidP="00D64BAD">
      <w:r>
        <w:t>&lt;/entry&gt;</w:t>
      </w:r>
    </w:p>
    <w:p w14:paraId="6D006CCF" w14:textId="77777777" w:rsidR="00D64BAD" w:rsidRDefault="00D64BAD" w:rsidP="00D64BAD">
      <w:r>
        <w:lastRenderedPageBreak/>
        <w:t>&lt;/row&gt;</w:t>
      </w:r>
    </w:p>
    <w:p w14:paraId="445B3FC1" w14:textId="77777777" w:rsidR="00D64BAD" w:rsidRDefault="00D64BAD" w:rsidP="00D64BAD">
      <w:r>
        <w:t>&lt;row id="90541158f0ec4722a1b31bd562b82ccb"&gt;</w:t>
      </w:r>
    </w:p>
    <w:p w14:paraId="7BA9A102" w14:textId="77777777" w:rsidR="00D64BAD" w:rsidRDefault="00D64BAD" w:rsidP="00D64BAD">
      <w:r>
        <w:t>&lt;entry&gt;</w:t>
      </w:r>
    </w:p>
    <w:p w14:paraId="3592B806" w14:textId="77777777" w:rsidR="00D64BAD" w:rsidRDefault="00D64BAD" w:rsidP="00D64BAD">
      <w:r>
        <w:t>&lt;p id="bd95315532394ee8a1c3441afbe9640a"&gt;&lt;emph face="b"&gt;Foreign tax relief&lt;/emph&gt; &lt;/p&gt;</w:t>
      </w:r>
    </w:p>
    <w:p w14:paraId="58AA800A" w14:textId="77777777" w:rsidR="00D64BAD" w:rsidRDefault="00D64BAD" w:rsidP="00D64BAD">
      <w:r>
        <w:t>&lt;/entry&gt;</w:t>
      </w:r>
    </w:p>
    <w:p w14:paraId="1FFEF2E0" w14:textId="77777777" w:rsidR="00D64BAD" w:rsidRDefault="00D64BAD" w:rsidP="00D64BAD">
      <w:r>
        <w:t>&lt;entry&gt;</w:t>
      </w:r>
    </w:p>
    <w:p w14:paraId="12B83CCA" w14:textId="77777777" w:rsidR="00D64BAD" w:rsidRDefault="00D64BAD" w:rsidP="00D64BAD">
      <w:r>
        <w:t>&lt;p id="e3e32e519a994de1aea25be389985550"&gt;Yes (&lt;cite.bna.reference ref="TM\7360.X.A.6.g"&gt;Section X.A.6.g.&lt;/cite.bna.reference&gt;)&lt;/p&gt;</w:t>
      </w:r>
    </w:p>
    <w:p w14:paraId="4100DAD0" w14:textId="77777777" w:rsidR="00D64BAD" w:rsidRDefault="00D64BAD" w:rsidP="00D64BAD">
      <w:r>
        <w:t>&lt;/entry&gt;</w:t>
      </w:r>
    </w:p>
    <w:p w14:paraId="58D737B3" w14:textId="77777777" w:rsidR="00D64BAD" w:rsidRDefault="00D64BAD" w:rsidP="00D64BAD">
      <w:r>
        <w:t>&lt;/row&gt;</w:t>
      </w:r>
    </w:p>
    <w:p w14:paraId="5380BB92" w14:textId="77777777" w:rsidR="00D64BAD" w:rsidRDefault="00D64BAD" w:rsidP="00D64BAD">
      <w:r>
        <w:t>&lt;row id="c0b1797ddb8741af88d1600a0b412f7c"&gt;</w:t>
      </w:r>
    </w:p>
    <w:p w14:paraId="0CA8BF50" w14:textId="77777777" w:rsidR="00D64BAD" w:rsidRDefault="00D64BAD" w:rsidP="00D64BAD">
      <w:r>
        <w:t>&lt;entry&gt;</w:t>
      </w:r>
    </w:p>
    <w:p w14:paraId="40C0096C" w14:textId="77777777" w:rsidR="00D64BAD" w:rsidRDefault="00D64BAD" w:rsidP="00D64BAD">
      <w:r>
        <w:t>&lt;p id="cb099afbaa2844cebec4019256089b90"&gt;&lt;emph face="b"&gt;Wealth tax &lt;/emph&gt; &lt;emph face="b"&gt;Inheritance tax&lt;/emph&gt; &lt;emph face="b"&gt; and gift tax&lt;/emph&gt; &lt;/p&gt;</w:t>
      </w:r>
    </w:p>
    <w:p w14:paraId="22365844" w14:textId="77777777" w:rsidR="00D64BAD" w:rsidRDefault="00D64BAD" w:rsidP="00D64BAD">
      <w:r>
        <w:t>&lt;/entry&gt;</w:t>
      </w:r>
    </w:p>
    <w:p w14:paraId="19E4EEFD" w14:textId="77777777" w:rsidR="00D64BAD" w:rsidRDefault="00D64BAD" w:rsidP="00D64BAD">
      <w:r>
        <w:t>&lt;entry&gt;</w:t>
      </w:r>
    </w:p>
    <w:p w14:paraId="7EB121EB" w14:textId="77777777" w:rsidR="00D64BAD" w:rsidRDefault="00D64BAD" w:rsidP="00D64BAD">
      <w:r>
        <w:t>&lt;p id="af024a0b5331430cb0bc2b02aaaf39a6"&gt;&lt;source.list.item&gt;• Net worth tax (&lt;cite.bna.reference ref="TM\7360.X.B"&gt;Section X.B.&lt;/cite.bna.reference&gt; and &lt;cite.bna.reference ref="TM\7360.XI.B"&gt;Section XI.B.&lt;/cite.bna.reference&gt;)&lt;/source.list.item&gt;&lt;source.list.item&gt;• Inheritance and gift tax rates are generally set out in the tax legislation of the competent region. (&lt;cite.bna.reference ref="TM\7360.XII.D.1"&gt;Section XII.D.1.&lt;/cite.bna.reference&gt;)&lt;/source.list.item&gt;&lt;/p&gt;</w:t>
      </w:r>
    </w:p>
    <w:p w14:paraId="6C6F358C" w14:textId="77777777" w:rsidR="00D64BAD" w:rsidRDefault="00D64BAD" w:rsidP="00D64BAD">
      <w:r>
        <w:t>&lt;/entry&gt;</w:t>
      </w:r>
    </w:p>
    <w:p w14:paraId="01661B66" w14:textId="77777777" w:rsidR="00D64BAD" w:rsidRDefault="00D64BAD" w:rsidP="00D64BAD">
      <w:r>
        <w:t>&lt;/row&gt;</w:t>
      </w:r>
    </w:p>
    <w:p w14:paraId="4535BBF2" w14:textId="77777777" w:rsidR="00D64BAD" w:rsidRDefault="00D64BAD" w:rsidP="00D64BAD">
      <w:r>
        <w:t>&lt;row id="56979cb1fefe4a4d9e2bb46e9965070d"&gt;</w:t>
      </w:r>
    </w:p>
    <w:p w14:paraId="39780CFB" w14:textId="77777777" w:rsidR="00D64BAD" w:rsidRDefault="00D64BAD" w:rsidP="00D64BAD">
      <w:r>
        <w:t>&lt;entry&gt;</w:t>
      </w:r>
    </w:p>
    <w:p w14:paraId="4D96C4DC" w14:textId="77777777" w:rsidR="00D64BAD" w:rsidRDefault="00D64BAD" w:rsidP="00D64BAD">
      <w:r>
        <w:t>&lt;p id="4701819859604dafbaabcd2671fa7e28"&gt;&lt;emph face="b"&gt;Exit taxes&lt;/emph&gt; &lt;/p&gt;</w:t>
      </w:r>
    </w:p>
    <w:p w14:paraId="2C0B174C" w14:textId="77777777" w:rsidR="00D64BAD" w:rsidRDefault="00D64BAD" w:rsidP="00D64BAD">
      <w:r>
        <w:lastRenderedPageBreak/>
        <w:t>&lt;/entry&gt;</w:t>
      </w:r>
    </w:p>
    <w:p w14:paraId="40897D40" w14:textId="77777777" w:rsidR="00D64BAD" w:rsidRDefault="00D64BAD" w:rsidP="00D64BAD">
      <w:r>
        <w:t>&lt;entry&gt;</w:t>
      </w:r>
    </w:p>
    <w:p w14:paraId="7596D464" w14:textId="77777777" w:rsidR="00D64BAD" w:rsidRDefault="00D64BAD" w:rsidP="00D64BAD">
      <w:r>
        <w:t>&lt;p id="2ac69dc093514c739d60aeef79df7c4c"&gt;Yes (&lt;cite.bna.reference ref="TM\7360.X.A.3.b.(4).(c)"&gt;Section X.A.3.b.(4).(c).&lt;/cite.bna.reference&gt;)&lt;/p&gt;</w:t>
      </w:r>
    </w:p>
    <w:p w14:paraId="365EFFDB" w14:textId="77777777" w:rsidR="00D64BAD" w:rsidRDefault="00D64BAD" w:rsidP="00D64BAD">
      <w:r>
        <w:t>&lt;/entry&gt;</w:t>
      </w:r>
    </w:p>
    <w:p w14:paraId="758A5464" w14:textId="77777777" w:rsidR="00D64BAD" w:rsidRDefault="00D64BAD" w:rsidP="00D64BAD">
      <w:r>
        <w:t>&lt;/row&gt;</w:t>
      </w:r>
    </w:p>
    <w:p w14:paraId="56D46661" w14:textId="77777777" w:rsidR="00D64BAD" w:rsidRDefault="00D64BAD" w:rsidP="00D64BAD">
      <w:r>
        <w:t>&lt;row id="919a14fcdd0744808ca4674df4e0db8e"&gt;</w:t>
      </w:r>
    </w:p>
    <w:p w14:paraId="2D68805D" w14:textId="77777777" w:rsidR="00D64BAD" w:rsidRDefault="00D64BAD" w:rsidP="00D64BAD">
      <w:r>
        <w:t>&lt;entry spanname="sp1"&gt;</w:t>
      </w:r>
    </w:p>
    <w:p w14:paraId="1D11438F" w14:textId="77777777" w:rsidR="00D64BAD" w:rsidRDefault="00D64BAD" w:rsidP="00D64BAD">
      <w:r>
        <w:t>&lt;p id="532f6dcca75445ac980a6aad9dffdbea"&gt;&lt;emph face="b"&gt;Other Taxes&lt;/emph&gt; &lt;/p&gt;</w:t>
      </w:r>
    </w:p>
    <w:p w14:paraId="3A597B46" w14:textId="77777777" w:rsidR="00D64BAD" w:rsidRDefault="00D64BAD" w:rsidP="00D64BAD">
      <w:r>
        <w:t>&lt;/entry&gt;</w:t>
      </w:r>
    </w:p>
    <w:p w14:paraId="15DAFA5C" w14:textId="77777777" w:rsidR="00D64BAD" w:rsidRDefault="00D64BAD" w:rsidP="00D64BAD">
      <w:r>
        <w:t>&lt;/row&gt;</w:t>
      </w:r>
    </w:p>
    <w:p w14:paraId="0CC34B4E" w14:textId="77777777" w:rsidR="00D64BAD" w:rsidRDefault="00D64BAD" w:rsidP="00D64BAD">
      <w:r>
        <w:t>&lt;row id="e76e1cd784e743dea5ff3318db3f4e6d"&gt;</w:t>
      </w:r>
    </w:p>
    <w:p w14:paraId="3B2CA56F" w14:textId="77777777" w:rsidR="00D64BAD" w:rsidRDefault="00D64BAD" w:rsidP="00D64BAD">
      <w:r>
        <w:t>&lt;entry&gt;</w:t>
      </w:r>
    </w:p>
    <w:p w14:paraId="3AD372B5" w14:textId="77777777" w:rsidR="00D64BAD" w:rsidRDefault="00D64BAD" w:rsidP="00D64BAD">
      <w:r>
        <w:t>&lt;p id="786da14b727844daa859600362f9198e"&gt;&lt;emph face="b"&gt;VAT/GST&lt;/emph&gt;&lt;emph face="b"&gt;/Sales tax&lt;/emph&gt; &lt;/p&gt;</w:t>
      </w:r>
    </w:p>
    <w:p w14:paraId="5CE46C5C" w14:textId="77777777" w:rsidR="00D64BAD" w:rsidRDefault="00D64BAD" w:rsidP="00D64BAD">
      <w:r>
        <w:t>&lt;/entry&gt;</w:t>
      </w:r>
    </w:p>
    <w:p w14:paraId="421DE0C2" w14:textId="77777777" w:rsidR="00D64BAD" w:rsidRDefault="00D64BAD" w:rsidP="00D64BAD">
      <w:r>
        <w:t>&lt;entry&gt;</w:t>
      </w:r>
    </w:p>
    <w:p w14:paraId="0F445C6E" w14:textId="77777777" w:rsidR="00D64BAD" w:rsidRDefault="00D64BAD" w:rsidP="00D64BAD">
      <w:r>
        <w:t>&lt;p id="2f49a3a100cd44cfad44ffdad581f311"&gt;VAT is charged at a standard rate of 21%. (&lt;cite.bna.reference ref="TM\7360.XIII.G"&gt;Section XIII.G.&lt;/cite.bna.reference&gt;) &lt;line.break/&gt;&lt;line.break/&gt;There is no VAT registration threshold in Spain. (&lt;cite.bna.reference ref="TM\7360.XIII.A.2.b.(2)"&gt;Section XIII.A.2.b.(2).&lt;/cite.bna.reference&gt;) &lt;line.break/&gt;&lt;line.break/&gt;For further research on the Spanish VAT system, see also the VAT Navigator.&lt;/p&gt;</w:t>
      </w:r>
    </w:p>
    <w:p w14:paraId="4C9A954B" w14:textId="77777777" w:rsidR="00D64BAD" w:rsidRDefault="00D64BAD" w:rsidP="00D64BAD">
      <w:r>
        <w:t>&lt;/entry&gt;</w:t>
      </w:r>
    </w:p>
    <w:p w14:paraId="615E33F6" w14:textId="77777777" w:rsidR="00D64BAD" w:rsidRDefault="00D64BAD" w:rsidP="00D64BAD">
      <w:r>
        <w:t>&lt;/row&gt;</w:t>
      </w:r>
    </w:p>
    <w:p w14:paraId="75FC5CC6" w14:textId="77777777" w:rsidR="00D64BAD" w:rsidRDefault="00D64BAD" w:rsidP="00D64BAD">
      <w:r>
        <w:t>&lt;row id="2f6867ba543248ec94ea1ecc60d8dd70"&gt;</w:t>
      </w:r>
    </w:p>
    <w:p w14:paraId="6D801429" w14:textId="77777777" w:rsidR="00D64BAD" w:rsidRDefault="00D64BAD" w:rsidP="00D64BAD">
      <w:r>
        <w:t>&lt;entry&gt;</w:t>
      </w:r>
    </w:p>
    <w:p w14:paraId="65924907" w14:textId="77777777" w:rsidR="00D64BAD" w:rsidRDefault="00D64BAD" w:rsidP="00D64BAD">
      <w:r>
        <w:lastRenderedPageBreak/>
        <w:t>&lt;p id="1ef63ae4c5794d9493a5a1787d6c5805"&gt;&lt;emph face="b"&gt;Digital services tax &lt;/emph&gt; &lt;/p&gt;</w:t>
      </w:r>
    </w:p>
    <w:p w14:paraId="38086D2E" w14:textId="77777777" w:rsidR="00D64BAD" w:rsidRDefault="00D64BAD" w:rsidP="00D64BAD">
      <w:r>
        <w:t>&lt;/entry&gt;</w:t>
      </w:r>
    </w:p>
    <w:p w14:paraId="36515D2C" w14:textId="77777777" w:rsidR="00D64BAD" w:rsidRDefault="00D64BAD" w:rsidP="00D64BAD">
      <w:r>
        <w:t>&lt;entry&gt;</w:t>
      </w:r>
    </w:p>
    <w:p w14:paraId="6A702431" w14:textId="77777777" w:rsidR="00D64BAD" w:rsidRDefault="00D64BAD" w:rsidP="00D64BAD">
      <w:r>
        <w:t>&lt;p id="d41830b0ec074da7818d587c19a6398d"&gt;3% digital services tax is levied on the provision of online advertising services, online intermediation services and data transmission services that derive value from Spanish users. (&lt;cite.bna.reference ref="TM\7360.IV.F"&gt;Section IV.F.&lt;/cite.bna.reference&gt; and &lt;cite.bna.reference ref="TM\7360.V.B.9"&gt;Section V.B.9.&lt;/cite.bna.reference&gt;)&lt;/p&gt;</w:t>
      </w:r>
    </w:p>
    <w:p w14:paraId="6B296961" w14:textId="77777777" w:rsidR="00D64BAD" w:rsidRDefault="00D64BAD" w:rsidP="00D64BAD">
      <w:r>
        <w:t>&lt;/entry&gt;</w:t>
      </w:r>
    </w:p>
    <w:p w14:paraId="2EBC9890" w14:textId="77777777" w:rsidR="00D64BAD" w:rsidRDefault="00D64BAD" w:rsidP="00D64BAD">
      <w:r>
        <w:t>&lt;/row&gt;</w:t>
      </w:r>
    </w:p>
    <w:p w14:paraId="14359C90" w14:textId="77777777" w:rsidR="00D64BAD" w:rsidRDefault="00D64BAD" w:rsidP="00D64BAD">
      <w:r>
        <w:t>&lt;row id="cce94a93ff544dd3a6ffb08239d83c2c"&gt;</w:t>
      </w:r>
    </w:p>
    <w:p w14:paraId="67C40864" w14:textId="77777777" w:rsidR="00D64BAD" w:rsidRDefault="00D64BAD" w:rsidP="00D64BAD">
      <w:r>
        <w:t>&lt;entry&gt;</w:t>
      </w:r>
    </w:p>
    <w:p w14:paraId="6682DA7D" w14:textId="77777777" w:rsidR="00D64BAD" w:rsidRDefault="00D64BAD" w:rsidP="00D64BAD">
      <w:r>
        <w:t>&lt;p id="97e30fbc82984ddfbfea31c17a13fd5c"&gt;&lt;emph face="b"&gt;Local taxes &lt;/emph&gt; &lt;/p&gt;</w:t>
      </w:r>
    </w:p>
    <w:p w14:paraId="4504D868" w14:textId="77777777" w:rsidR="00D64BAD" w:rsidRDefault="00D64BAD" w:rsidP="00D64BAD">
      <w:r>
        <w:t>&lt;/entry&gt;</w:t>
      </w:r>
    </w:p>
    <w:p w14:paraId="65EEF64E" w14:textId="77777777" w:rsidR="00D64BAD" w:rsidRDefault="00D64BAD" w:rsidP="00D64BAD">
      <w:r>
        <w:t>&lt;entry&gt;</w:t>
      </w:r>
    </w:p>
    <w:p w14:paraId="1B6BF717" w14:textId="77777777" w:rsidR="00D64BAD" w:rsidRDefault="00D64BAD" w:rsidP="00D64BAD">
      <w:r>
        <w:t>&lt;p id="02106cf55d5c4452a07f70781697a766"&gt;Compulsory taxes levied by all municipalities (including business activities tax, real property tax and motor vehicle tax) and optional local taxes (such as taxes on construction, urban land appreciation or luxury expenses). (&lt;cite.bna.reference ref="TM\7360.V.B.10"&gt;Section V.B.10.&lt;/cite.bna.reference&gt;)&lt;/p&gt;</w:t>
      </w:r>
    </w:p>
    <w:p w14:paraId="17F2DE49" w14:textId="77777777" w:rsidR="00D64BAD" w:rsidRDefault="00D64BAD" w:rsidP="00D64BAD">
      <w:r>
        <w:t>&lt;/entry&gt;</w:t>
      </w:r>
    </w:p>
    <w:p w14:paraId="5B466172" w14:textId="77777777" w:rsidR="00D64BAD" w:rsidRDefault="00D64BAD" w:rsidP="00D64BAD">
      <w:r>
        <w:t>&lt;/row&gt;</w:t>
      </w:r>
    </w:p>
    <w:p w14:paraId="361544D5" w14:textId="77777777" w:rsidR="00D64BAD" w:rsidRDefault="00D64BAD" w:rsidP="00D64BAD">
      <w:r>
        <w:t>&lt;row id="0548a3b6e564421ba32d69886701fb04"&gt;</w:t>
      </w:r>
    </w:p>
    <w:p w14:paraId="68FE60DD" w14:textId="77777777" w:rsidR="00D64BAD" w:rsidRDefault="00D64BAD" w:rsidP="00D64BAD">
      <w:r>
        <w:t>&lt;entry spanname="sp1"&gt;</w:t>
      </w:r>
    </w:p>
    <w:p w14:paraId="01D6F50D" w14:textId="77777777" w:rsidR="00D64BAD" w:rsidRDefault="00D64BAD" w:rsidP="00D64BAD">
      <w:r>
        <w:t>&lt;p id="fac3de119e6c4b479cc40848fefe6eab"&gt;&lt;emph face="b"&gt;Administrative&lt;/emph&gt; &lt;/p&gt;</w:t>
      </w:r>
    </w:p>
    <w:p w14:paraId="2E83A361" w14:textId="77777777" w:rsidR="00D64BAD" w:rsidRDefault="00D64BAD" w:rsidP="00D64BAD">
      <w:r>
        <w:t>&lt;/entry&gt;</w:t>
      </w:r>
    </w:p>
    <w:p w14:paraId="0B1F87CD" w14:textId="77777777" w:rsidR="00D64BAD" w:rsidRDefault="00D64BAD" w:rsidP="00D64BAD">
      <w:r>
        <w:t>&lt;/row&gt;</w:t>
      </w:r>
    </w:p>
    <w:p w14:paraId="53A9797F" w14:textId="77777777" w:rsidR="00D64BAD" w:rsidRDefault="00D64BAD" w:rsidP="00D64BAD">
      <w:r>
        <w:lastRenderedPageBreak/>
        <w:t>&lt;row id="1c8a04ac8aa44b2da7bffef8507dba34"&gt;</w:t>
      </w:r>
    </w:p>
    <w:p w14:paraId="27A6D58E" w14:textId="77777777" w:rsidR="00D64BAD" w:rsidRDefault="00D64BAD" w:rsidP="00D64BAD">
      <w:r>
        <w:t>&lt;entry&gt;</w:t>
      </w:r>
    </w:p>
    <w:p w14:paraId="465B68F3" w14:textId="77777777" w:rsidR="00D64BAD" w:rsidRDefault="00D64BAD" w:rsidP="00D64BAD">
      <w:r>
        <w:t>&lt;p id="d77073d49a1e4722ad35b5102efca9f5"&gt;&lt;emph face="b"&gt;Standard tax return filing date &lt;/emph&gt; &lt;/p&gt;</w:t>
      </w:r>
    </w:p>
    <w:p w14:paraId="3BD60D3E" w14:textId="77777777" w:rsidR="00D64BAD" w:rsidRDefault="00D64BAD" w:rsidP="00D64BAD">
      <w:r>
        <w:t>&lt;/entry&gt;</w:t>
      </w:r>
    </w:p>
    <w:p w14:paraId="1DC6CAA2" w14:textId="77777777" w:rsidR="00D64BAD" w:rsidRDefault="00D64BAD" w:rsidP="00D64BAD">
      <w:r>
        <w:t>&lt;entry&gt;</w:t>
      </w:r>
    </w:p>
    <w:p w14:paraId="6E586AC9" w14:textId="77777777" w:rsidR="00D64BAD" w:rsidRDefault="00D64BAD" w:rsidP="00D64BAD">
      <w:r>
        <w:t>&lt;p id="7ebbe8f78728408bad041fc4eef27f6d"&gt;&lt;underline&gt;Corporate Income Tax Return&lt;/underline&gt;: within 25 days after six months following the close of the taxable year. (&lt;cite.bna.reference ref="TM\7360.V.A.9.b"&gt;Section V.A.9.b.&lt;/cite.bna.reference&gt;)&lt;line.break/&gt;&lt;line.break/&gt;&lt;underline&gt;Individual Income Tax Return&lt;/underline&gt;: between May 1 and June 30 following the relevant year of assessment, as per the annual ministerial order. (&lt;cite.bna.reference ref="TM\7360.X.A.7.c"&gt;Section X.A.7.c.&lt;/cite.bna.reference&gt;)&lt;/p&gt;</w:t>
      </w:r>
    </w:p>
    <w:p w14:paraId="51059B3A" w14:textId="77777777" w:rsidR="00D64BAD" w:rsidRDefault="00D64BAD" w:rsidP="00D64BAD">
      <w:r>
        <w:t>&lt;/entry&gt;</w:t>
      </w:r>
    </w:p>
    <w:p w14:paraId="5F20E3CC" w14:textId="77777777" w:rsidR="00D64BAD" w:rsidRDefault="00D64BAD" w:rsidP="00D64BAD">
      <w:r>
        <w:t>&lt;/row&gt;</w:t>
      </w:r>
    </w:p>
    <w:p w14:paraId="0BD00040" w14:textId="77777777" w:rsidR="00D64BAD" w:rsidRDefault="00D64BAD" w:rsidP="00D64BAD">
      <w:r>
        <w:t>&lt;row id="abf37173ec574136b5d4f815de9c435a"&gt;</w:t>
      </w:r>
    </w:p>
    <w:p w14:paraId="45A64362" w14:textId="77777777" w:rsidR="00D64BAD" w:rsidRDefault="00D64BAD" w:rsidP="00D64BAD">
      <w:r>
        <w:t>&lt;entry&gt;</w:t>
      </w:r>
    </w:p>
    <w:p w14:paraId="1673DFEB" w14:textId="77777777" w:rsidR="00D64BAD" w:rsidRDefault="00D64BAD" w:rsidP="00D64BAD">
      <w:r>
        <w:t>&lt;p id="477451f9aa184a8a863cad4d7d7b96c6"&gt;&lt;emph face="b"&gt;Limitation period for assessment&lt;/emph&gt; &lt;/p&gt;</w:t>
      </w:r>
    </w:p>
    <w:p w14:paraId="766201A0" w14:textId="77777777" w:rsidR="00D64BAD" w:rsidRDefault="00D64BAD" w:rsidP="00D64BAD">
      <w:r>
        <w:t>&lt;/entry&gt;</w:t>
      </w:r>
    </w:p>
    <w:p w14:paraId="28E54D5D" w14:textId="77777777" w:rsidR="00D64BAD" w:rsidRDefault="00D64BAD" w:rsidP="00D64BAD">
      <w:r>
        <w:t>&lt;entry&gt;</w:t>
      </w:r>
    </w:p>
    <w:p w14:paraId="7FD5B489" w14:textId="77777777" w:rsidR="00D64BAD" w:rsidRDefault="00D64BAD" w:rsidP="00D64BAD">
      <w:r>
        <w:t>&lt;p id="389c252d207c48db80a3dc3a79e182a1"&gt;&lt;source.list.item&gt;• Audit and assessment of taxes; tax collection; imposition of penalties; taxpayers' right to claim tax refunds: 4 years from the day following the end of the voluntary tax filing period.&lt;/source.list.item&gt;&lt;source.list.item&gt;• Criminal prosecution: 5 years&lt;/source.list.item&gt;&lt;source.list.item&gt;• Net operating loss (NOL) offsets, carryforwards and tax credits: 10 years&lt;/source.list.item&gt;&lt;line.break/&gt;(&lt;cite.bna.reference ref="TM\7360.V.A.10.e"&gt;Section V.A.10.e.&lt;/cite.bna.reference&gt;)&lt;/p&gt;</w:t>
      </w:r>
    </w:p>
    <w:p w14:paraId="447BDE1C" w14:textId="77777777" w:rsidR="00D64BAD" w:rsidRDefault="00D64BAD" w:rsidP="00D64BAD">
      <w:r>
        <w:t>&lt;/entry&gt;</w:t>
      </w:r>
    </w:p>
    <w:p w14:paraId="5F04B934" w14:textId="77777777" w:rsidR="00D64BAD" w:rsidRDefault="00D64BAD" w:rsidP="00D64BAD">
      <w:r>
        <w:t>&lt;/row&gt;</w:t>
      </w:r>
    </w:p>
    <w:p w14:paraId="5341E258" w14:textId="77777777" w:rsidR="00D64BAD" w:rsidRDefault="00D64BAD" w:rsidP="00D64BAD">
      <w:r>
        <w:lastRenderedPageBreak/>
        <w:t>&lt;row id="0090b289c400428db6e3873d48aeef28"&gt;</w:t>
      </w:r>
    </w:p>
    <w:p w14:paraId="21953DBC" w14:textId="77777777" w:rsidR="00D64BAD" w:rsidRDefault="00D64BAD" w:rsidP="00D64BAD">
      <w:r>
        <w:t>&lt;entry&gt;</w:t>
      </w:r>
    </w:p>
    <w:p w14:paraId="756E211F" w14:textId="77777777" w:rsidR="00D64BAD" w:rsidRDefault="00D64BAD" w:rsidP="00D64BAD">
      <w:r>
        <w:t>&lt;p id="38f617c613f149888e119d02e6e59b45"&gt;&lt;emph face="b"&gt;Advance tax rulings.&lt;/emph&gt; &lt;/p&gt;</w:t>
      </w:r>
    </w:p>
    <w:p w14:paraId="1CF99B93" w14:textId="77777777" w:rsidR="00D64BAD" w:rsidRDefault="00D64BAD" w:rsidP="00D64BAD">
      <w:r>
        <w:t>&lt;/entry&gt;</w:t>
      </w:r>
    </w:p>
    <w:p w14:paraId="2ED20CE0" w14:textId="77777777" w:rsidR="00D64BAD" w:rsidRDefault="00D64BAD" w:rsidP="00D64BAD">
      <w:r>
        <w:t>&lt;entry&gt;</w:t>
      </w:r>
    </w:p>
    <w:p w14:paraId="4B44C93D" w14:textId="77777777" w:rsidR="00D64BAD" w:rsidRDefault="00D64BAD" w:rsidP="00D64BAD">
      <w:r>
        <w:t>&lt;p id="726b7cbf6a414435be1e0b7b5f8dd1e7"&gt;Yes. Tax rulings are binding on the AEAT, not only with respect to the taxpayer who requested the ruling but also with regards to any other taxpayers in the same circumstances. (&lt;cite.bna.reference ref="TM\7360.IV.A.2"&gt;Section IV.A.2.&lt;/cite.bna.reference&gt;)&lt;/p&gt;</w:t>
      </w:r>
    </w:p>
    <w:p w14:paraId="28E8F72A" w14:textId="77777777" w:rsidR="00D64BAD" w:rsidRDefault="00D64BAD" w:rsidP="00D64BAD">
      <w:r>
        <w:t>&lt;/entry&gt;</w:t>
      </w:r>
    </w:p>
    <w:p w14:paraId="0C5EBD1C" w14:textId="77777777" w:rsidR="00D64BAD" w:rsidRDefault="00D64BAD" w:rsidP="00D64BAD">
      <w:r>
        <w:t>&lt;/row&gt;</w:t>
      </w:r>
    </w:p>
    <w:p w14:paraId="29898D27" w14:textId="77777777" w:rsidR="00D64BAD" w:rsidRDefault="00D64BAD" w:rsidP="00D64BAD">
      <w:r>
        <w:t>&lt;/tbody&gt;</w:t>
      </w:r>
    </w:p>
    <w:p w14:paraId="1CF8CA91" w14:textId="77777777" w:rsidR="00D64BAD" w:rsidRDefault="00D64BAD" w:rsidP="00D64BAD">
      <w:r>
        <w:t>&lt;/tgroup&gt;</w:t>
      </w:r>
    </w:p>
    <w:p w14:paraId="0F7FD566" w14:textId="77777777" w:rsidR="00D64BAD" w:rsidRDefault="00D64BAD" w:rsidP="00D64BAD">
      <w:r>
        <w:t>&lt;/table&gt;</w:t>
      </w:r>
    </w:p>
    <w:p w14:paraId="362A70CA" w14:textId="77777777" w:rsidR="00D64BAD" w:rsidRDefault="00D64BAD" w:rsidP="00D64BAD">
      <w:r>
        <w:t>&lt;/content.group&gt;</w:t>
      </w:r>
    </w:p>
    <w:p w14:paraId="1535BAD8" w14:textId="77777777" w:rsidR="00D64BAD" w:rsidRDefault="00D64BAD" w:rsidP="00D64BAD">
      <w:r>
        <w:t>&lt;/content.group&gt;</w:t>
      </w:r>
    </w:p>
    <w:p w14:paraId="494DB28E" w14:textId="77777777" w:rsidR="00D64BAD" w:rsidRDefault="00D64BAD" w:rsidP="00D64BAD">
      <w:r>
        <w:t>&lt;/analysis.98&gt;</w:t>
      </w:r>
    </w:p>
    <w:p w14:paraId="44C7D35E" w14:textId="77777777" w:rsidR="00D64BAD" w:rsidRDefault="00D64BAD" w:rsidP="00D64BAD">
      <w:r>
        <w:t xml:space="preserve">  &lt;/info.unit&gt;</w:t>
      </w:r>
    </w:p>
    <w:p w14:paraId="5DDDAA8E" w14:textId="41049890" w:rsidR="0087180F" w:rsidRDefault="00D64BAD" w:rsidP="00D64BAD">
      <w:r>
        <w:t>&lt;/pdm.module&gt;</w:t>
      </w:r>
    </w:p>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AD"/>
    <w:rsid w:val="001F07B1"/>
    <w:rsid w:val="00210DFD"/>
    <w:rsid w:val="00865300"/>
    <w:rsid w:val="0087180F"/>
    <w:rsid w:val="00B5558F"/>
    <w:rsid w:val="00D64BAD"/>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276B"/>
  <w15:chartTrackingRefBased/>
  <w15:docId w15:val="{2887D07D-CC8C-4BDB-9012-4AB1AC96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BAD"/>
    <w:rPr>
      <w:rFonts w:eastAsiaTheme="majorEastAsia" w:cstheme="majorBidi"/>
      <w:color w:val="272727" w:themeColor="text1" w:themeTint="D8"/>
    </w:rPr>
  </w:style>
  <w:style w:type="paragraph" w:styleId="Title">
    <w:name w:val="Title"/>
    <w:basedOn w:val="Normal"/>
    <w:next w:val="Normal"/>
    <w:link w:val="TitleChar"/>
    <w:uiPriority w:val="10"/>
    <w:qFormat/>
    <w:rsid w:val="00D6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BAD"/>
    <w:pPr>
      <w:spacing w:before="160"/>
      <w:jc w:val="center"/>
    </w:pPr>
    <w:rPr>
      <w:i/>
      <w:iCs/>
      <w:color w:val="404040" w:themeColor="text1" w:themeTint="BF"/>
    </w:rPr>
  </w:style>
  <w:style w:type="character" w:customStyle="1" w:styleId="QuoteChar">
    <w:name w:val="Quote Char"/>
    <w:basedOn w:val="DefaultParagraphFont"/>
    <w:link w:val="Quote"/>
    <w:uiPriority w:val="29"/>
    <w:rsid w:val="00D64BAD"/>
    <w:rPr>
      <w:i/>
      <w:iCs/>
      <w:color w:val="404040" w:themeColor="text1" w:themeTint="BF"/>
    </w:rPr>
  </w:style>
  <w:style w:type="paragraph" w:styleId="ListParagraph">
    <w:name w:val="List Paragraph"/>
    <w:basedOn w:val="Normal"/>
    <w:uiPriority w:val="34"/>
    <w:qFormat/>
    <w:rsid w:val="00D64BAD"/>
    <w:pPr>
      <w:ind w:left="720"/>
      <w:contextualSpacing/>
    </w:pPr>
  </w:style>
  <w:style w:type="character" w:styleId="IntenseEmphasis">
    <w:name w:val="Intense Emphasis"/>
    <w:basedOn w:val="DefaultParagraphFont"/>
    <w:uiPriority w:val="21"/>
    <w:qFormat/>
    <w:rsid w:val="00D64BAD"/>
    <w:rPr>
      <w:i/>
      <w:iCs/>
      <w:color w:val="0F4761" w:themeColor="accent1" w:themeShade="BF"/>
    </w:rPr>
  </w:style>
  <w:style w:type="paragraph" w:styleId="IntenseQuote">
    <w:name w:val="Intense Quote"/>
    <w:basedOn w:val="Normal"/>
    <w:next w:val="Normal"/>
    <w:link w:val="IntenseQuoteChar"/>
    <w:uiPriority w:val="30"/>
    <w:qFormat/>
    <w:rsid w:val="00D6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BAD"/>
    <w:rPr>
      <w:i/>
      <w:iCs/>
      <w:color w:val="0F4761" w:themeColor="accent1" w:themeShade="BF"/>
    </w:rPr>
  </w:style>
  <w:style w:type="character" w:styleId="IntenseReference">
    <w:name w:val="Intense Reference"/>
    <w:basedOn w:val="DefaultParagraphFont"/>
    <w:uiPriority w:val="32"/>
    <w:qFormat/>
    <w:rsid w:val="00D64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3118</Words>
  <Characters>17776</Characters>
  <Application>Microsoft Office Word</Application>
  <DocSecurity>0</DocSecurity>
  <Lines>148</Lines>
  <Paragraphs>41</Paragraphs>
  <ScaleCrop>false</ScaleCrop>
  <Company>Bloomberg Industry Group</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2025-09-17T20:47:00Z</dcterms:created>
  <dcterms:modified xsi:type="dcterms:W3CDTF">2025-09-17T20:48:00Z</dcterms:modified>
</cp:coreProperties>
</file>