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847" w:tblpY="1"/>
        <w:tblW w:w="13770" w:type="dxa"/>
        <w:tblInd w:w="0" w:type="dxa"/>
        <w:tblLook w:val="04A0" w:firstRow="1" w:lastRow="0" w:firstColumn="1" w:lastColumn="0" w:noHBand="0" w:noVBand="1"/>
      </w:tblPr>
      <w:tblGrid>
        <w:gridCol w:w="3960"/>
        <w:gridCol w:w="5850"/>
        <w:gridCol w:w="3960"/>
      </w:tblGrid>
      <w:tr w:rsidR="00246F15" w14:paraId="13E434F2" w14:textId="77777777" w:rsidTr="00246F15">
        <w:tc>
          <w:tcPr>
            <w:tcW w:w="3960" w:type="dxa"/>
            <w:tcBorders>
              <w:right w:val="nil"/>
            </w:tcBorders>
            <w:shd w:val="clear" w:color="auto" w:fill="8EAADB" w:themeFill="accent1" w:themeFillTint="99"/>
            <w:hideMark/>
          </w:tcPr>
          <w:p w14:paraId="2C2C50FC" w14:textId="77777777" w:rsidR="00246F15" w:rsidRPr="00C576E7" w:rsidRDefault="00246F15" w:rsidP="00246F15">
            <w:pPr>
              <w:spacing w:before="120" w:after="120"/>
              <w:rPr>
                <w:rFonts w:cs="Aptos"/>
                <w:b/>
                <w:bCs/>
                <w:color w:val="FFFFFF" w:themeColor="background1"/>
              </w:rPr>
            </w:pPr>
            <w:r w:rsidRPr="00C576E7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Characteristics</w:t>
            </w:r>
          </w:p>
        </w:tc>
        <w:tc>
          <w:tcPr>
            <w:tcW w:w="9810" w:type="dxa"/>
            <w:gridSpan w:val="2"/>
            <w:tcBorders>
              <w:right w:val="nil"/>
            </w:tcBorders>
            <w:shd w:val="clear" w:color="auto" w:fill="8EAADB" w:themeFill="accent1" w:themeFillTint="99"/>
          </w:tcPr>
          <w:p w14:paraId="3B2BA19F" w14:textId="77777777" w:rsidR="00246F15" w:rsidRPr="00C576E7" w:rsidRDefault="00246F15" w:rsidP="00246F15">
            <w:pPr>
              <w:spacing w:before="120" w:after="120"/>
              <w:rPr>
                <w:rFonts w:cs="Aptos"/>
                <w:b/>
                <w:bCs/>
                <w:color w:val="FFFFFF" w:themeColor="background1"/>
              </w:rPr>
            </w:pPr>
            <w:r w:rsidRPr="00C576E7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Portfolio Content</w:t>
            </w:r>
          </w:p>
        </w:tc>
      </w:tr>
      <w:tr w:rsidR="004E1781" w14:paraId="2448C6B4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34CFD5C5" w14:textId="77777777" w:rsidR="004E1781" w:rsidRPr="00ED2F2C" w:rsidRDefault="004E1781" w:rsidP="00BF1894">
            <w:pPr>
              <w:spacing w:before="120" w:after="120"/>
              <w:jc w:val="both"/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</w:pPr>
            <w:r w:rsidRPr="00ED2F2C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General</w:t>
            </w:r>
          </w:p>
        </w:tc>
      </w:tr>
      <w:tr w:rsidR="004E1781" w14:paraId="6CAC8EA9" w14:textId="77777777" w:rsidTr="00BF1894">
        <w:tc>
          <w:tcPr>
            <w:tcW w:w="3960" w:type="dxa"/>
          </w:tcPr>
          <w:p w14:paraId="16FB9C98" w14:textId="77777777" w:rsidR="004E1781" w:rsidRPr="00CB64EC" w:rsidRDefault="004E1781" w:rsidP="00CB64EC">
            <w:pPr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Revenue authority</w:t>
            </w:r>
          </w:p>
        </w:tc>
        <w:tc>
          <w:tcPr>
            <w:tcW w:w="9810" w:type="dxa"/>
            <w:gridSpan w:val="2"/>
          </w:tcPr>
          <w:p w14:paraId="4DB32558" w14:textId="77777777" w:rsidR="004E1781" w:rsidRPr="00C1198C" w:rsidRDefault="004A2AAC" w:rsidP="00BF1894">
            <w:pPr>
              <w:jc w:val="both"/>
              <w:rPr>
                <w:rFonts w:cs="Aptos"/>
                <w:sz w:val="21"/>
                <w:szCs w:val="21"/>
              </w:rPr>
            </w:pPr>
            <w:hyperlink r:id="rId10" w:history="1">
              <w:r>
                <w:t xml:space="preserve"> </w:t>
              </w:r>
              <w:r w:rsidRPr="004A2AAC">
                <w:rPr>
                  <w:rStyle w:val="Hyperlink"/>
                  <w:rFonts w:cs="Aptos"/>
                  <w:sz w:val="21"/>
                  <w:szCs w:val="21"/>
                </w:rPr>
                <w:t xml:space="preserve">Agencia Estatal de Administración </w:t>
              </w:r>
              <w:proofErr w:type="spellStart"/>
              <w:proofErr w:type="gramStart"/>
              <w:r w:rsidRPr="004A2AAC">
                <w:rPr>
                  <w:rStyle w:val="Hyperlink"/>
                  <w:rFonts w:cs="Aptos"/>
                  <w:sz w:val="21"/>
                  <w:szCs w:val="21"/>
                </w:rPr>
                <w:t>Tributaria</w:t>
              </w:r>
              <w:proofErr w:type="spellEnd"/>
              <w:r w:rsidRPr="004A2AAC">
                <w:rPr>
                  <w:rStyle w:val="Hyperlink"/>
                  <w:rFonts w:cs="Aptos"/>
                  <w:sz w:val="21"/>
                  <w:szCs w:val="21"/>
                </w:rPr>
                <w:t xml:space="preserve"> </w:t>
              </w:r>
              <w:r w:rsidR="004E1781" w:rsidRPr="003A6F5D">
                <w:rPr>
                  <w:rStyle w:val="Hyperlink"/>
                  <w:rFonts w:cs="Aptos"/>
                  <w:sz w:val="21"/>
                  <w:szCs w:val="21"/>
                </w:rPr>
                <w:t xml:space="preserve"> (</w:t>
              </w:r>
              <w:proofErr w:type="gramEnd"/>
              <w:r>
                <w:rPr>
                  <w:rStyle w:val="Hyperlink"/>
                  <w:rFonts w:cs="Aptos"/>
                  <w:sz w:val="21"/>
                  <w:szCs w:val="21"/>
                </w:rPr>
                <w:t>AEAT</w:t>
              </w:r>
              <w:r w:rsidR="004E1781" w:rsidRPr="003A6F5D">
                <w:rPr>
                  <w:rStyle w:val="Hyperlink"/>
                  <w:rFonts w:cs="Aptos"/>
                  <w:sz w:val="21"/>
                  <w:szCs w:val="21"/>
                </w:rPr>
                <w:t>)</w:t>
              </w:r>
            </w:hyperlink>
            <w:r w:rsidR="004E1781">
              <w:rPr>
                <w:rFonts w:cs="Aptos"/>
                <w:sz w:val="21"/>
                <w:szCs w:val="21"/>
              </w:rPr>
              <w:t xml:space="preserve"> (</w:t>
            </w:r>
            <w:r w:rsidR="00410951">
              <w:t>Section I.B.2.</w:t>
            </w:r>
            <w:r w:rsidR="004E1781">
              <w:rPr>
                <w:rFonts w:cs="Aptos"/>
                <w:sz w:val="21"/>
                <w:szCs w:val="21"/>
              </w:rPr>
              <w:t xml:space="preserve">)  </w:t>
            </w:r>
          </w:p>
        </w:tc>
      </w:tr>
      <w:tr w:rsidR="004E1781" w14:paraId="20133D0E" w14:textId="77777777" w:rsidTr="00BF1894">
        <w:tc>
          <w:tcPr>
            <w:tcW w:w="3960" w:type="dxa"/>
            <w:hideMark/>
          </w:tcPr>
          <w:p w14:paraId="32E9E69A" w14:textId="77777777" w:rsidR="004E1781" w:rsidRPr="00CB64EC" w:rsidRDefault="004E1781" w:rsidP="00CB64EC">
            <w:pPr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Type of tax system </w:t>
            </w:r>
          </w:p>
        </w:tc>
        <w:tc>
          <w:tcPr>
            <w:tcW w:w="9810" w:type="dxa"/>
            <w:gridSpan w:val="2"/>
            <w:hideMark/>
          </w:tcPr>
          <w:p w14:paraId="52406980" w14:textId="77777777" w:rsidR="004E1781" w:rsidRDefault="004E1781" w:rsidP="00BF189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 xml:space="preserve">Residents: Worldwide </w:t>
            </w:r>
            <w:r w:rsidR="009E1AB2">
              <w:rPr>
                <w:rFonts w:cs="Aptos"/>
                <w:sz w:val="21"/>
                <w:szCs w:val="21"/>
              </w:rPr>
              <w:t>income</w:t>
            </w:r>
            <w:r>
              <w:rPr>
                <w:rFonts w:cs="Aptos"/>
                <w:sz w:val="21"/>
                <w:szCs w:val="21"/>
              </w:rPr>
              <w:t xml:space="preserve"> (</w:t>
            </w:r>
            <w:hyperlink r:id="rId11" w:history="1">
              <w:r w:rsidR="00232CF0" w:rsidRPr="000F7FF6">
                <w:rPr>
                  <w:rStyle w:val="Hyperlink"/>
                </w:rPr>
                <w:t>Section V.A.</w:t>
              </w:r>
            </w:hyperlink>
            <w:r>
              <w:rPr>
                <w:rFonts w:cs="Aptos"/>
                <w:sz w:val="21"/>
                <w:szCs w:val="21"/>
              </w:rPr>
              <w:t>)</w:t>
            </w:r>
          </w:p>
          <w:p w14:paraId="0C1C3F40" w14:textId="77777777" w:rsidR="004E1781" w:rsidRDefault="004E1781" w:rsidP="00BF189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 xml:space="preserve">Nonresidents: </w:t>
            </w:r>
            <w:r w:rsidR="00073457">
              <w:rPr>
                <w:rFonts w:cs="Aptos"/>
                <w:sz w:val="21"/>
                <w:szCs w:val="21"/>
              </w:rPr>
              <w:t>Spanish</w:t>
            </w:r>
            <w:r w:rsidR="00A20455">
              <w:rPr>
                <w:rFonts w:cs="Aptos"/>
                <w:sz w:val="21"/>
                <w:szCs w:val="21"/>
              </w:rPr>
              <w:t>-</w:t>
            </w:r>
            <w:r>
              <w:rPr>
                <w:rFonts w:cs="Aptos"/>
                <w:sz w:val="21"/>
                <w:szCs w:val="21"/>
              </w:rPr>
              <w:t>source income (</w:t>
            </w:r>
            <w:hyperlink r:id="rId12" w:anchor="section(1)" w:history="1">
              <w:r w:rsidR="000F7FF6">
                <w:rPr>
                  <w:rStyle w:val="Hyperlink"/>
                </w:rPr>
                <w:t>Section VI.B.1.</w:t>
              </w:r>
            </w:hyperlink>
            <w:r w:rsidR="000F7FF6">
              <w:t>)</w:t>
            </w:r>
          </w:p>
          <w:p w14:paraId="32B3355F" w14:textId="77777777" w:rsidR="004E1781" w:rsidRDefault="004E1781" w:rsidP="00BF1894">
            <w:pPr>
              <w:pStyle w:val="ListParagraph"/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</w:p>
        </w:tc>
      </w:tr>
      <w:tr w:rsidR="00802C69" w14:paraId="168FDB79" w14:textId="77777777" w:rsidTr="00BF1894">
        <w:tc>
          <w:tcPr>
            <w:tcW w:w="3960" w:type="dxa"/>
          </w:tcPr>
          <w:p w14:paraId="1D19F6C3" w14:textId="77777777" w:rsidR="00802C69" w:rsidRPr="00CB64EC" w:rsidRDefault="00FB0091" w:rsidP="00CB64EC">
            <w:pPr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R</w:t>
            </w:r>
            <w:r w:rsidR="001F7F31"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esidence</w:t>
            </w:r>
            <w:r w:rsidR="00C77180"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9810" w:type="dxa"/>
            <w:gridSpan w:val="2"/>
          </w:tcPr>
          <w:p w14:paraId="081C64EB" w14:textId="77777777" w:rsidR="008C2BF6" w:rsidRDefault="008C2BF6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 xml:space="preserve">A company </w:t>
            </w:r>
            <w:r w:rsidR="00A20455">
              <w:rPr>
                <w:rFonts w:cs="Aptos"/>
                <w:sz w:val="21"/>
                <w:szCs w:val="21"/>
              </w:rPr>
              <w:t>i</w:t>
            </w:r>
            <w:r>
              <w:rPr>
                <w:rFonts w:cs="Aptos"/>
                <w:sz w:val="21"/>
                <w:szCs w:val="21"/>
              </w:rPr>
              <w:t xml:space="preserve">s tax resident in </w:t>
            </w:r>
            <w:r w:rsidR="007E3061">
              <w:rPr>
                <w:rFonts w:cs="Aptos"/>
                <w:sz w:val="21"/>
                <w:szCs w:val="21"/>
              </w:rPr>
              <w:t>Spain</w:t>
            </w:r>
            <w:r>
              <w:rPr>
                <w:rFonts w:cs="Aptos"/>
                <w:sz w:val="21"/>
                <w:szCs w:val="21"/>
              </w:rPr>
              <w:t xml:space="preserve"> if:</w:t>
            </w:r>
          </w:p>
          <w:p w14:paraId="44584930" w14:textId="77777777" w:rsidR="008C2BF6" w:rsidRDefault="008C2BF6" w:rsidP="00BF1894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I</w:t>
            </w:r>
            <w:r w:rsidRPr="008C2BF6">
              <w:rPr>
                <w:rFonts w:cs="Aptos"/>
                <w:sz w:val="21"/>
                <w:szCs w:val="21"/>
              </w:rPr>
              <w:t xml:space="preserve">t is incorporated in </w:t>
            </w:r>
            <w:proofErr w:type="gramStart"/>
            <w:r w:rsidR="009E5907">
              <w:rPr>
                <w:rFonts w:cs="Aptos"/>
                <w:sz w:val="21"/>
                <w:szCs w:val="21"/>
              </w:rPr>
              <w:t>Spain</w:t>
            </w:r>
            <w:r w:rsidRPr="008C2BF6">
              <w:rPr>
                <w:rFonts w:cs="Aptos"/>
                <w:sz w:val="21"/>
                <w:szCs w:val="21"/>
              </w:rPr>
              <w:t>;</w:t>
            </w:r>
            <w:proofErr w:type="gramEnd"/>
            <w:r w:rsidRPr="008C2BF6">
              <w:rPr>
                <w:rFonts w:cs="Aptos"/>
                <w:sz w:val="21"/>
                <w:szCs w:val="21"/>
              </w:rPr>
              <w:t xml:space="preserve"> </w:t>
            </w:r>
          </w:p>
          <w:p w14:paraId="09FC8AA9" w14:textId="77777777" w:rsidR="009E5907" w:rsidRDefault="009E5907" w:rsidP="00BF1894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Its registered office is in Spain</w:t>
            </w:r>
            <w:r w:rsidR="008A3A29">
              <w:rPr>
                <w:rFonts w:cs="Aptos"/>
                <w:sz w:val="21"/>
                <w:szCs w:val="21"/>
              </w:rPr>
              <w:t>; or</w:t>
            </w:r>
          </w:p>
          <w:p w14:paraId="38602F2A" w14:textId="77777777" w:rsidR="00802C69" w:rsidRDefault="008A3A29" w:rsidP="00BF1894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Its place of effective management is in Spain</w:t>
            </w:r>
            <w:r w:rsidR="008C2BF6" w:rsidRPr="008C2BF6">
              <w:rPr>
                <w:rFonts w:cs="Aptos"/>
                <w:sz w:val="21"/>
                <w:szCs w:val="21"/>
              </w:rPr>
              <w:t>.</w:t>
            </w:r>
          </w:p>
          <w:p w14:paraId="5CFE39D2" w14:textId="77777777" w:rsidR="00DD01FD" w:rsidRPr="00FA1680" w:rsidRDefault="00DD01FD" w:rsidP="00DD01FD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(</w:t>
            </w:r>
            <w:hyperlink r:id="rId13" w:anchor="section(2)(2)(a)_0" w:history="1">
              <w:r w:rsidRPr="00DD01FD">
                <w:rPr>
                  <w:rStyle w:val="Hyperlink"/>
                  <w:rFonts w:cs="Aptos"/>
                  <w:sz w:val="21"/>
                  <w:szCs w:val="21"/>
                </w:rPr>
                <w:t>Section V.A.2.a.</w:t>
              </w:r>
            </w:hyperlink>
            <w:r>
              <w:rPr>
                <w:rFonts w:cs="Aptos"/>
                <w:sz w:val="21"/>
                <w:szCs w:val="21"/>
              </w:rPr>
              <w:t>)</w:t>
            </w:r>
          </w:p>
          <w:p w14:paraId="1FFD05C8" w14:textId="77777777" w:rsidR="00940A99" w:rsidRDefault="00940A99" w:rsidP="004C3D5C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48D390FD" w14:textId="77777777" w:rsidR="008C2BF6" w:rsidRDefault="00DD01FD" w:rsidP="004C3D5C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An individual is tax resident in Spain if:</w:t>
            </w:r>
          </w:p>
          <w:p w14:paraId="776E10C0" w14:textId="77777777" w:rsidR="00DD01FD" w:rsidRDefault="00DD01FD" w:rsidP="00DD01FD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 w:rsidRPr="00DD01FD">
              <w:rPr>
                <w:rFonts w:cs="Aptos"/>
                <w:sz w:val="21"/>
                <w:szCs w:val="21"/>
              </w:rPr>
              <w:t xml:space="preserve">The individual is present in Spain for more than 183 days during the calendar </w:t>
            </w:r>
            <w:proofErr w:type="gramStart"/>
            <w:r w:rsidRPr="00DD01FD">
              <w:rPr>
                <w:rFonts w:cs="Aptos"/>
                <w:sz w:val="21"/>
                <w:szCs w:val="21"/>
              </w:rPr>
              <w:t>yea</w:t>
            </w:r>
            <w:r>
              <w:rPr>
                <w:rFonts w:cs="Aptos"/>
                <w:sz w:val="21"/>
                <w:szCs w:val="21"/>
              </w:rPr>
              <w:t>r;</w:t>
            </w:r>
            <w:proofErr w:type="gramEnd"/>
          </w:p>
          <w:p w14:paraId="54858398" w14:textId="77777777" w:rsidR="00DD01FD" w:rsidRDefault="00DD01FD" w:rsidP="00DD01FD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 w:rsidRPr="00DD01FD">
              <w:rPr>
                <w:rFonts w:cs="Aptos"/>
                <w:sz w:val="21"/>
                <w:szCs w:val="21"/>
              </w:rPr>
              <w:t>The taxpayer's main center of economic interests is located in Spain</w:t>
            </w:r>
            <w:r>
              <w:rPr>
                <w:rFonts w:cs="Aptos"/>
                <w:sz w:val="21"/>
                <w:szCs w:val="21"/>
              </w:rPr>
              <w:t>; or</w:t>
            </w:r>
          </w:p>
          <w:p w14:paraId="21164326" w14:textId="77777777" w:rsidR="00DD01FD" w:rsidRDefault="00DD01FD" w:rsidP="00DD01FD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 w:rsidRPr="00DD01FD">
              <w:rPr>
                <w:rFonts w:cs="Aptos"/>
                <w:sz w:val="21"/>
                <w:szCs w:val="21"/>
              </w:rPr>
              <w:t>The taxpayer's spouse and minor dependents are resident in Spain</w:t>
            </w:r>
            <w:r>
              <w:rPr>
                <w:rFonts w:cs="Aptos"/>
                <w:sz w:val="21"/>
                <w:szCs w:val="21"/>
              </w:rPr>
              <w:t>.</w:t>
            </w:r>
          </w:p>
          <w:p w14:paraId="6E1AD5FA" w14:textId="77777777" w:rsidR="00DD01FD" w:rsidRPr="00FA1680" w:rsidRDefault="00DD01FD" w:rsidP="00DD01FD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(</w:t>
            </w:r>
            <w:hyperlink r:id="rId14" w:anchor="section(2)(2)(a)_0" w:history="1">
              <w:r w:rsidRPr="00DD01FD">
                <w:rPr>
                  <w:rStyle w:val="Hyperlink"/>
                  <w:rFonts w:cs="Aptos"/>
                  <w:sz w:val="21"/>
                  <w:szCs w:val="21"/>
                </w:rPr>
                <w:t>Section X.A.2.a.</w:t>
              </w:r>
            </w:hyperlink>
            <w:r>
              <w:rPr>
                <w:rFonts w:cs="Aptos"/>
                <w:sz w:val="21"/>
                <w:szCs w:val="21"/>
              </w:rPr>
              <w:t>)</w:t>
            </w:r>
          </w:p>
        </w:tc>
      </w:tr>
      <w:tr w:rsidR="004E1781" w14:paraId="3B0EA441" w14:textId="77777777" w:rsidTr="00BF1894">
        <w:tc>
          <w:tcPr>
            <w:tcW w:w="3960" w:type="dxa"/>
            <w:hideMark/>
          </w:tcPr>
          <w:p w14:paraId="27E369FB" w14:textId="77777777" w:rsidR="004E1781" w:rsidRPr="00CB64EC" w:rsidRDefault="004E1781" w:rsidP="00CB64EC">
            <w:pPr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Basic domestic nexus rule for foreign corporations </w:t>
            </w:r>
          </w:p>
          <w:p w14:paraId="5A657E6D" w14:textId="77777777" w:rsidR="004E1781" w:rsidRPr="00CB64EC" w:rsidRDefault="004E1781" w:rsidP="00CB64EC">
            <w:pPr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</w:p>
          <w:p w14:paraId="02AFF6F0" w14:textId="77777777" w:rsidR="004E1781" w:rsidRPr="00CB64EC" w:rsidRDefault="004E1781" w:rsidP="00CB64EC">
            <w:pPr>
              <w:rPr>
                <w:rFonts w:cs="Aptos"/>
                <w:b/>
                <w:bCs/>
                <w:sz w:val="21"/>
                <w:szCs w:val="21"/>
              </w:rPr>
            </w:pPr>
          </w:p>
        </w:tc>
        <w:tc>
          <w:tcPr>
            <w:tcW w:w="9810" w:type="dxa"/>
            <w:gridSpan w:val="2"/>
            <w:hideMark/>
          </w:tcPr>
          <w:p w14:paraId="33A118C6" w14:textId="77777777" w:rsidR="003A55FF" w:rsidRDefault="003A55FF" w:rsidP="003A55FF">
            <w:pPr>
              <w:jc w:val="both"/>
              <w:rPr>
                <w:rFonts w:cs="Aptos"/>
                <w:sz w:val="21"/>
                <w:szCs w:val="21"/>
              </w:rPr>
            </w:pPr>
            <w:r w:rsidRPr="003A55FF">
              <w:rPr>
                <w:rFonts w:cs="Aptos"/>
                <w:sz w:val="21"/>
                <w:szCs w:val="21"/>
              </w:rPr>
              <w:t>A nonresident</w:t>
            </w:r>
            <w:r w:rsidR="00C7718E">
              <w:rPr>
                <w:rFonts w:cs="Aptos"/>
                <w:sz w:val="21"/>
                <w:szCs w:val="21"/>
              </w:rPr>
              <w:t xml:space="preserve"> company </w:t>
            </w:r>
            <w:r w:rsidRPr="003A55FF">
              <w:rPr>
                <w:rFonts w:cs="Aptos"/>
                <w:sz w:val="21"/>
                <w:szCs w:val="21"/>
              </w:rPr>
              <w:t xml:space="preserve">is subject to corporation tax on the worldwide income attributable to its activities if it carries on a trade in Spain through a </w:t>
            </w:r>
            <w:r w:rsidR="000F72CB" w:rsidRPr="000F72CB">
              <w:rPr>
                <w:rFonts w:cs="Aptos"/>
                <w:sz w:val="21"/>
                <w:szCs w:val="21"/>
              </w:rPr>
              <w:t>permanent establishment</w:t>
            </w:r>
            <w:r w:rsidRPr="003A55FF">
              <w:rPr>
                <w:rFonts w:cs="Aptos"/>
                <w:sz w:val="21"/>
                <w:szCs w:val="21"/>
              </w:rPr>
              <w:t>.</w:t>
            </w:r>
          </w:p>
          <w:p w14:paraId="464037A0" w14:textId="77777777" w:rsidR="00A3312C" w:rsidRPr="003A55FF" w:rsidRDefault="00A3312C" w:rsidP="003A55FF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28A2E1D9" w14:textId="77777777" w:rsidR="004E1781" w:rsidRPr="00365F77" w:rsidRDefault="003A55FF" w:rsidP="003A55FF">
            <w:pPr>
              <w:jc w:val="both"/>
              <w:rPr>
                <w:rFonts w:cs="Aptos"/>
                <w:sz w:val="21"/>
                <w:szCs w:val="21"/>
              </w:rPr>
            </w:pPr>
            <w:r w:rsidRPr="003A55FF">
              <w:rPr>
                <w:rFonts w:cs="Aptos"/>
                <w:sz w:val="21"/>
                <w:szCs w:val="21"/>
              </w:rPr>
              <w:t>A nonresident company operating in Spain without a permanent establishment is subject to nonresident income tax on its Spanish-source income and is generally taxed on the gross amount received.</w:t>
            </w:r>
            <w:r w:rsidR="00501182">
              <w:rPr>
                <w:rFonts w:cs="Aptos"/>
                <w:sz w:val="21"/>
                <w:szCs w:val="21"/>
              </w:rPr>
              <w:t xml:space="preserve"> </w:t>
            </w:r>
            <w:r w:rsidR="00F011E2">
              <w:rPr>
                <w:rFonts w:cs="Aptos"/>
                <w:sz w:val="21"/>
                <w:szCs w:val="21"/>
              </w:rPr>
              <w:t>(</w:t>
            </w:r>
            <w:hyperlink r:id="rId15" w:anchor="section(1)" w:history="1">
              <w:r w:rsidR="00F011E2" w:rsidRPr="000F7FF6">
                <w:rPr>
                  <w:rStyle w:val="Hyperlink"/>
                  <w:rFonts w:cs="Aptos"/>
                  <w:sz w:val="21"/>
                  <w:szCs w:val="21"/>
                </w:rPr>
                <w:t>Section VI.B.1.</w:t>
              </w:r>
            </w:hyperlink>
            <w:r w:rsidR="00F011E2">
              <w:rPr>
                <w:rFonts w:cs="Aptos"/>
                <w:sz w:val="21"/>
                <w:szCs w:val="21"/>
              </w:rPr>
              <w:t>)</w:t>
            </w:r>
          </w:p>
          <w:p w14:paraId="0BBF0AD1" w14:textId="77777777" w:rsidR="004E1781" w:rsidRPr="006D0AF1" w:rsidRDefault="004E1781" w:rsidP="00BF1894">
            <w:pPr>
              <w:pStyle w:val="ListParagraph"/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</w:p>
        </w:tc>
      </w:tr>
      <w:tr w:rsidR="004E1781" w14:paraId="1C1240B2" w14:textId="77777777" w:rsidTr="00BF1894">
        <w:tc>
          <w:tcPr>
            <w:tcW w:w="3960" w:type="dxa"/>
            <w:hideMark/>
          </w:tcPr>
          <w:p w14:paraId="3BC03186" w14:textId="77777777" w:rsidR="004E1781" w:rsidRPr="00CB64EC" w:rsidRDefault="004E1781" w:rsidP="00CB64EC">
            <w:pPr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Treaty network</w:t>
            </w:r>
          </w:p>
        </w:tc>
        <w:tc>
          <w:tcPr>
            <w:tcW w:w="9810" w:type="dxa"/>
            <w:gridSpan w:val="2"/>
            <w:hideMark/>
          </w:tcPr>
          <w:p w14:paraId="5738A856" w14:textId="77777777" w:rsidR="004E1781" w:rsidRDefault="00AC11DD" w:rsidP="00BF189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Spain concluded </w:t>
            </w:r>
            <w:r w:rsidR="004E1781">
              <w:rPr>
                <w:sz w:val="21"/>
                <w:szCs w:val="21"/>
              </w:rPr>
              <w:t>tax treaties with over 100 countries, including the U</w:t>
            </w:r>
            <w:r w:rsidR="00A20455">
              <w:rPr>
                <w:sz w:val="21"/>
                <w:szCs w:val="21"/>
              </w:rPr>
              <w:t>nited States</w:t>
            </w:r>
            <w:r w:rsidR="000F72CB">
              <w:rPr>
                <w:sz w:val="21"/>
                <w:szCs w:val="21"/>
              </w:rPr>
              <w:t xml:space="preserve">. </w:t>
            </w:r>
            <w:r w:rsidR="005F0064">
              <w:rPr>
                <w:sz w:val="21"/>
                <w:szCs w:val="21"/>
              </w:rPr>
              <w:t>(Section XVI.A.)</w:t>
            </w:r>
          </w:p>
          <w:p w14:paraId="339ED019" w14:textId="77777777" w:rsidR="00A3312C" w:rsidRDefault="00A3312C" w:rsidP="00BF1894">
            <w:pPr>
              <w:jc w:val="both"/>
              <w:rPr>
                <w:sz w:val="21"/>
                <w:szCs w:val="21"/>
              </w:rPr>
            </w:pPr>
          </w:p>
          <w:p w14:paraId="6EA2154A" w14:textId="77777777" w:rsidR="004E1781" w:rsidRDefault="004E1781" w:rsidP="00BF1894">
            <w:pPr>
              <w:jc w:val="both"/>
            </w:pPr>
            <w:r w:rsidRPr="001F50FB">
              <w:rPr>
                <w:sz w:val="21"/>
                <w:szCs w:val="21"/>
              </w:rPr>
              <w:t>MLI signatory: Yes</w:t>
            </w:r>
            <w:r w:rsidR="00263F4A">
              <w:rPr>
                <w:sz w:val="21"/>
                <w:szCs w:val="21"/>
              </w:rPr>
              <w:t>.</w:t>
            </w:r>
            <w:r w:rsidRPr="001F50FB">
              <w:rPr>
                <w:sz w:val="21"/>
                <w:szCs w:val="21"/>
              </w:rPr>
              <w:t xml:space="preserve"> (</w:t>
            </w:r>
            <w:r w:rsidR="00C3759F">
              <w:t>Section XVI.</w:t>
            </w:r>
            <w:r w:rsidR="00163F35">
              <w:t>A</w:t>
            </w:r>
            <w:r w:rsidR="00C3759F">
              <w:t>.)</w:t>
            </w:r>
          </w:p>
          <w:p w14:paraId="5B17994A" w14:textId="77777777" w:rsidR="00A3312C" w:rsidRPr="001F50FB" w:rsidRDefault="00A3312C" w:rsidP="00BF1894">
            <w:pPr>
              <w:jc w:val="both"/>
              <w:rPr>
                <w:sz w:val="21"/>
                <w:szCs w:val="21"/>
              </w:rPr>
            </w:pPr>
          </w:p>
          <w:p w14:paraId="33608AD1" w14:textId="77777777" w:rsidR="004E1781" w:rsidRPr="001F50FB" w:rsidRDefault="004E1781" w:rsidP="00BF1894">
            <w:pPr>
              <w:jc w:val="both"/>
              <w:rPr>
                <w:sz w:val="21"/>
                <w:szCs w:val="21"/>
              </w:rPr>
            </w:pPr>
            <w:r w:rsidRPr="001F50FB">
              <w:rPr>
                <w:sz w:val="21"/>
                <w:szCs w:val="21"/>
              </w:rPr>
              <w:t xml:space="preserve">For the texts and status of </w:t>
            </w:r>
            <w:r w:rsidR="003611CE">
              <w:rPr>
                <w:sz w:val="21"/>
                <w:szCs w:val="21"/>
              </w:rPr>
              <w:t>Spain</w:t>
            </w:r>
            <w:r w:rsidRPr="001F50FB">
              <w:rPr>
                <w:sz w:val="21"/>
                <w:szCs w:val="21"/>
              </w:rPr>
              <w:t xml:space="preserve">’s tax treaties, see </w:t>
            </w:r>
            <w:hyperlink r:id="rId16" w:history="1">
              <w:r w:rsidR="00C3759F" w:rsidRPr="00453F67">
                <w:rPr>
                  <w:rStyle w:val="Hyperlink"/>
                </w:rPr>
                <w:t>International Tax Treaties</w:t>
              </w:r>
            </w:hyperlink>
            <w:r w:rsidR="00C3759F">
              <w:t>.</w:t>
            </w:r>
          </w:p>
          <w:p w14:paraId="19BA5316" w14:textId="77777777" w:rsidR="004E1781" w:rsidRPr="009744B6" w:rsidRDefault="004E1781" w:rsidP="00BF1894">
            <w:pPr>
              <w:pStyle w:val="ListParagraph"/>
              <w:spacing w:line="240" w:lineRule="auto"/>
              <w:jc w:val="both"/>
              <w:rPr>
                <w:sz w:val="21"/>
                <w:szCs w:val="21"/>
              </w:rPr>
            </w:pPr>
          </w:p>
        </w:tc>
      </w:tr>
      <w:tr w:rsidR="004E1781" w14:paraId="16481ED4" w14:textId="77777777" w:rsidTr="00BF1894">
        <w:trPr>
          <w:gridAfter w:val="1"/>
          <w:wAfter w:w="3960" w:type="dxa"/>
        </w:trPr>
        <w:tc>
          <w:tcPr>
            <w:tcW w:w="9810" w:type="dxa"/>
            <w:gridSpan w:val="2"/>
            <w:hideMark/>
          </w:tcPr>
          <w:p w14:paraId="0348AE01" w14:textId="77777777" w:rsidR="004E1781" w:rsidRDefault="004E1781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</w:tc>
      </w:tr>
      <w:tr w:rsidR="004E1781" w14:paraId="338688D2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67D362EA" w14:textId="77777777" w:rsidR="004E1781" w:rsidRPr="00B94FFF" w:rsidRDefault="004E1781" w:rsidP="00BF1894">
            <w:pPr>
              <w:spacing w:before="120" w:after="120"/>
              <w:jc w:val="both"/>
              <w:rPr>
                <w:rFonts w:cs="Aptos"/>
                <w:b/>
                <w:bCs/>
                <w:color w:val="FFFFFF" w:themeColor="background1"/>
                <w:sz w:val="21"/>
                <w:szCs w:val="21"/>
              </w:rPr>
            </w:pPr>
            <w:r w:rsidRPr="00B94FFF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Corporations</w:t>
            </w:r>
          </w:p>
        </w:tc>
      </w:tr>
      <w:tr w:rsidR="004E1781" w14:paraId="3AA99A0F" w14:textId="77777777" w:rsidTr="00BF1894">
        <w:tc>
          <w:tcPr>
            <w:tcW w:w="3960" w:type="dxa"/>
            <w:hideMark/>
          </w:tcPr>
          <w:p w14:paraId="4B3BA3A6" w14:textId="77777777" w:rsidR="004E1781" w:rsidRPr="00CB64EC" w:rsidRDefault="004E1781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lastRenderedPageBreak/>
              <w:t>Corporate income tax rate</w:t>
            </w:r>
          </w:p>
        </w:tc>
        <w:tc>
          <w:tcPr>
            <w:tcW w:w="9810" w:type="dxa"/>
            <w:gridSpan w:val="2"/>
            <w:hideMark/>
          </w:tcPr>
          <w:p w14:paraId="4A01FC75" w14:textId="77777777" w:rsidR="007C6A8C" w:rsidRPr="00A3312C" w:rsidRDefault="007C6A8C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A3312C">
              <w:rPr>
                <w:rFonts w:cs="Aptos"/>
                <w:sz w:val="21"/>
                <w:szCs w:val="21"/>
                <w:u w:val="single"/>
              </w:rPr>
              <w:t>Corporate income tax</w:t>
            </w:r>
            <w:r w:rsidRPr="00A3312C">
              <w:rPr>
                <w:rFonts w:cs="Aptos"/>
                <w:sz w:val="21"/>
                <w:szCs w:val="21"/>
              </w:rPr>
              <w:t>:</w:t>
            </w:r>
          </w:p>
          <w:p w14:paraId="493EF696" w14:textId="77777777" w:rsidR="004E1781" w:rsidRPr="00A3312C" w:rsidRDefault="007C6A8C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A3312C">
              <w:rPr>
                <w:rFonts w:cs="Aptos"/>
                <w:sz w:val="21"/>
                <w:szCs w:val="21"/>
              </w:rPr>
              <w:t>General rate of 25%.</w:t>
            </w:r>
            <w:r w:rsidR="00CF4834" w:rsidRPr="00A3312C">
              <w:rPr>
                <w:rFonts w:cs="Aptos"/>
                <w:sz w:val="21"/>
                <w:szCs w:val="21"/>
              </w:rPr>
              <w:t xml:space="preserve"> </w:t>
            </w:r>
            <w:r w:rsidRPr="00A3312C">
              <w:rPr>
                <w:rFonts w:cs="Aptos"/>
                <w:sz w:val="21"/>
                <w:szCs w:val="21"/>
              </w:rPr>
              <w:t xml:space="preserve">There is </w:t>
            </w:r>
            <w:r w:rsidR="001D4C03" w:rsidRPr="00A3312C">
              <w:rPr>
                <w:rFonts w:cs="Aptos"/>
                <w:sz w:val="21"/>
                <w:szCs w:val="21"/>
              </w:rPr>
              <w:t>a minimum 15% tax</w:t>
            </w:r>
            <w:r w:rsidR="006A1A99" w:rsidRPr="00A3312C">
              <w:rPr>
                <w:rFonts w:cs="Aptos"/>
                <w:sz w:val="21"/>
                <w:szCs w:val="21"/>
              </w:rPr>
              <w:t xml:space="preserve"> rate for large companies</w:t>
            </w:r>
            <w:r w:rsidR="00491472" w:rsidRPr="00A3312C">
              <w:rPr>
                <w:rFonts w:cs="Aptos"/>
                <w:sz w:val="21"/>
                <w:szCs w:val="21"/>
              </w:rPr>
              <w:t>.</w:t>
            </w:r>
            <w:r w:rsidR="00613ED1" w:rsidRPr="00A3312C">
              <w:rPr>
                <w:rFonts w:cs="Aptos"/>
                <w:sz w:val="21"/>
                <w:szCs w:val="21"/>
              </w:rPr>
              <w:t xml:space="preserve"> </w:t>
            </w:r>
            <w:r w:rsidR="00491472" w:rsidRPr="00A3312C">
              <w:rPr>
                <w:rFonts w:cs="Aptos"/>
                <w:sz w:val="21"/>
                <w:szCs w:val="21"/>
              </w:rPr>
              <w:t>(</w:t>
            </w:r>
            <w:hyperlink r:id="rId17" w:anchor="section(7)(7)(a)_0" w:history="1">
              <w:r w:rsidR="0061401E" w:rsidRPr="00A3312C">
                <w:rPr>
                  <w:rStyle w:val="Hyperlink"/>
                  <w:rFonts w:cs="Aptos"/>
                  <w:sz w:val="21"/>
                  <w:szCs w:val="21"/>
                </w:rPr>
                <w:t>Section V.A.</w:t>
              </w:r>
              <w:r w:rsidR="00ED39F1" w:rsidRPr="00A3312C">
                <w:rPr>
                  <w:rStyle w:val="Hyperlink"/>
                </w:rPr>
                <w:t>7</w:t>
              </w:r>
              <w:r w:rsidR="00ED39F1" w:rsidRPr="00A3312C">
                <w:rPr>
                  <w:rStyle w:val="Hyperlink"/>
                  <w:sz w:val="21"/>
                  <w:szCs w:val="21"/>
                </w:rPr>
                <w:t>.a.</w:t>
              </w:r>
            </w:hyperlink>
            <w:r w:rsidR="00491472" w:rsidRPr="00A3312C">
              <w:rPr>
                <w:rFonts w:cs="Aptos"/>
                <w:sz w:val="21"/>
                <w:szCs w:val="21"/>
              </w:rPr>
              <w:t>)</w:t>
            </w:r>
          </w:p>
          <w:p w14:paraId="0F86A96B" w14:textId="77777777" w:rsidR="00A3312C" w:rsidRPr="00A3312C" w:rsidRDefault="00A3312C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3C1E27F1" w14:textId="77777777" w:rsidR="00DA0B8D" w:rsidRPr="00A3312C" w:rsidRDefault="00DA0B8D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A3312C">
              <w:rPr>
                <w:rFonts w:cs="Aptos"/>
                <w:sz w:val="21"/>
                <w:szCs w:val="21"/>
                <w:u w:val="single"/>
              </w:rPr>
              <w:t>Nonresident income tax</w:t>
            </w:r>
            <w:r w:rsidRPr="00A3312C">
              <w:rPr>
                <w:rFonts w:cs="Aptos"/>
                <w:sz w:val="21"/>
                <w:szCs w:val="21"/>
              </w:rPr>
              <w:t>:</w:t>
            </w:r>
          </w:p>
          <w:p w14:paraId="6BEF199F" w14:textId="77777777" w:rsidR="004D3F08" w:rsidRDefault="009D38F1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A3312C">
              <w:rPr>
                <w:rFonts w:cs="Aptos"/>
                <w:sz w:val="21"/>
                <w:szCs w:val="21"/>
              </w:rPr>
              <w:t>Flat rate of 24%</w:t>
            </w:r>
            <w:r w:rsidR="00940C21" w:rsidRPr="00A3312C">
              <w:rPr>
                <w:rFonts w:cs="Aptos"/>
                <w:sz w:val="21"/>
                <w:szCs w:val="21"/>
              </w:rPr>
              <w:t xml:space="preserve"> for </w:t>
            </w:r>
            <w:r w:rsidR="006F2CEA" w:rsidRPr="00A3312C">
              <w:rPr>
                <w:rFonts w:cs="Aptos"/>
                <w:sz w:val="21"/>
                <w:szCs w:val="21"/>
              </w:rPr>
              <w:t>business income of a foreign company without a Spanish PE</w:t>
            </w:r>
            <w:r w:rsidRPr="00A3312C">
              <w:rPr>
                <w:rFonts w:cs="Aptos"/>
                <w:sz w:val="21"/>
                <w:szCs w:val="21"/>
              </w:rPr>
              <w:t xml:space="preserve">. </w:t>
            </w:r>
            <w:r w:rsidR="00796FDB" w:rsidRPr="00A3312C">
              <w:rPr>
                <w:rFonts w:cs="Aptos"/>
                <w:sz w:val="21"/>
                <w:szCs w:val="21"/>
              </w:rPr>
              <w:t>R</w:t>
            </w:r>
            <w:r w:rsidR="00AF18DF" w:rsidRPr="00A3312C">
              <w:rPr>
                <w:rFonts w:cs="Aptos"/>
                <w:sz w:val="21"/>
                <w:szCs w:val="21"/>
              </w:rPr>
              <w:t>educed rate of 19%</w:t>
            </w:r>
            <w:r w:rsidR="00D37D21" w:rsidRPr="00A3312C">
              <w:rPr>
                <w:rFonts w:cs="Aptos"/>
                <w:sz w:val="21"/>
                <w:szCs w:val="21"/>
              </w:rPr>
              <w:t xml:space="preserve"> </w:t>
            </w:r>
            <w:r w:rsidR="00796FDB" w:rsidRPr="00A3312C">
              <w:rPr>
                <w:rFonts w:cs="Aptos"/>
                <w:sz w:val="21"/>
                <w:szCs w:val="21"/>
              </w:rPr>
              <w:t xml:space="preserve">for </w:t>
            </w:r>
            <w:r w:rsidR="00312B1E" w:rsidRPr="00A3312C">
              <w:rPr>
                <w:rFonts w:cs="Aptos"/>
                <w:sz w:val="21"/>
                <w:szCs w:val="21"/>
              </w:rPr>
              <w:t xml:space="preserve">EU residents or residents of EEA countries </w:t>
            </w:r>
            <w:r w:rsidR="000613EB" w:rsidRPr="00A3312C">
              <w:rPr>
                <w:rFonts w:cs="Aptos"/>
                <w:sz w:val="21"/>
                <w:szCs w:val="21"/>
              </w:rPr>
              <w:t xml:space="preserve">that </w:t>
            </w:r>
            <w:r w:rsidR="006F2CEA" w:rsidRPr="00A3312C">
              <w:rPr>
                <w:rFonts w:cs="Aptos"/>
                <w:sz w:val="21"/>
                <w:szCs w:val="21"/>
              </w:rPr>
              <w:t xml:space="preserve">have </w:t>
            </w:r>
            <w:r w:rsidR="00796FDB" w:rsidRPr="00A3312C">
              <w:rPr>
                <w:rFonts w:cs="Aptos"/>
                <w:sz w:val="21"/>
                <w:szCs w:val="21"/>
              </w:rPr>
              <w:t>an effective exchange of tax in</w:t>
            </w:r>
            <w:r w:rsidR="009E1040" w:rsidRPr="00A3312C">
              <w:rPr>
                <w:rFonts w:cs="Aptos"/>
                <w:sz w:val="21"/>
                <w:szCs w:val="21"/>
              </w:rPr>
              <w:t>formation</w:t>
            </w:r>
            <w:r w:rsidR="00103C44" w:rsidRPr="00A3312C">
              <w:rPr>
                <w:rFonts w:cs="Aptos"/>
                <w:sz w:val="21"/>
                <w:szCs w:val="21"/>
              </w:rPr>
              <w:t xml:space="preserve"> </w:t>
            </w:r>
            <w:r w:rsidR="000613EB" w:rsidRPr="00A3312C">
              <w:rPr>
                <w:rFonts w:cs="Aptos"/>
                <w:sz w:val="21"/>
                <w:szCs w:val="21"/>
              </w:rPr>
              <w:t xml:space="preserve">with Spain. </w:t>
            </w:r>
            <w:r w:rsidR="0038044E" w:rsidRPr="00A3312C">
              <w:rPr>
                <w:rFonts w:cs="Aptos"/>
                <w:sz w:val="21"/>
                <w:szCs w:val="21"/>
              </w:rPr>
              <w:t>(</w:t>
            </w:r>
            <w:hyperlink r:id="rId18" w:anchor="section(1)_0" w:history="1">
              <w:r w:rsidR="0038044E" w:rsidRPr="00A3312C">
                <w:rPr>
                  <w:rStyle w:val="Hyperlink"/>
                  <w:rFonts w:cs="Aptos"/>
                  <w:sz w:val="21"/>
                  <w:szCs w:val="21"/>
                </w:rPr>
                <w:t>Section VI.C.1.</w:t>
              </w:r>
            </w:hyperlink>
            <w:r w:rsidR="0038044E" w:rsidRPr="00A3312C">
              <w:rPr>
                <w:rFonts w:cs="Aptos"/>
                <w:sz w:val="21"/>
                <w:szCs w:val="21"/>
              </w:rPr>
              <w:t>)</w:t>
            </w:r>
          </w:p>
          <w:p w14:paraId="4EB6D721" w14:textId="77777777" w:rsidR="00A3312C" w:rsidRPr="00A3312C" w:rsidRDefault="00A3312C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5767FC41" w14:textId="77777777" w:rsidR="00DA0B8D" w:rsidRPr="00A3312C" w:rsidRDefault="002767D1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A3312C">
              <w:rPr>
                <w:rFonts w:cs="Aptos"/>
                <w:sz w:val="21"/>
                <w:szCs w:val="21"/>
              </w:rPr>
              <w:t xml:space="preserve">Investment income (dividends and interest) and certain capital gains are taxed at </w:t>
            </w:r>
            <w:r w:rsidR="00C52EA4" w:rsidRPr="00A3312C">
              <w:rPr>
                <w:rFonts w:cs="Aptos"/>
                <w:sz w:val="21"/>
                <w:szCs w:val="21"/>
              </w:rPr>
              <w:t xml:space="preserve">19%. </w:t>
            </w:r>
            <w:r w:rsidR="000613EB" w:rsidRPr="00A3312C">
              <w:rPr>
                <w:rFonts w:cs="Aptos"/>
                <w:sz w:val="21"/>
                <w:szCs w:val="21"/>
              </w:rPr>
              <w:t>(</w:t>
            </w:r>
            <w:hyperlink r:id="rId19" w:anchor="section(2)" w:history="1">
              <w:r w:rsidR="000613EB" w:rsidRPr="00A3312C">
                <w:rPr>
                  <w:rStyle w:val="Hyperlink"/>
                  <w:rFonts w:cs="Aptos"/>
                  <w:sz w:val="21"/>
                  <w:szCs w:val="21"/>
                </w:rPr>
                <w:t>S</w:t>
              </w:r>
              <w:r w:rsidR="00411EF6" w:rsidRPr="00A3312C">
                <w:rPr>
                  <w:rStyle w:val="Hyperlink"/>
                  <w:rFonts w:cs="Aptos"/>
                  <w:sz w:val="21"/>
                  <w:szCs w:val="21"/>
                </w:rPr>
                <w:t xml:space="preserve">ection </w:t>
              </w:r>
              <w:r w:rsidR="007755E9" w:rsidRPr="00A3312C">
                <w:rPr>
                  <w:rStyle w:val="Hyperlink"/>
                  <w:rFonts w:cs="Aptos"/>
                  <w:sz w:val="21"/>
                  <w:szCs w:val="21"/>
                </w:rPr>
                <w:t>V</w:t>
              </w:r>
              <w:r w:rsidR="001C2708" w:rsidRPr="00A3312C">
                <w:rPr>
                  <w:rStyle w:val="Hyperlink"/>
                  <w:rFonts w:cs="Aptos"/>
                  <w:sz w:val="21"/>
                  <w:szCs w:val="21"/>
                </w:rPr>
                <w:t>I</w:t>
              </w:r>
              <w:r w:rsidR="007755E9" w:rsidRPr="00A3312C">
                <w:rPr>
                  <w:rStyle w:val="Hyperlink"/>
                  <w:rFonts w:cs="Aptos"/>
                  <w:sz w:val="21"/>
                  <w:szCs w:val="21"/>
                </w:rPr>
                <w:t>.C.</w:t>
              </w:r>
              <w:r w:rsidR="001C2708" w:rsidRPr="00A3312C">
                <w:rPr>
                  <w:rStyle w:val="Hyperlink"/>
                  <w:rFonts w:cs="Aptos"/>
                  <w:sz w:val="21"/>
                  <w:szCs w:val="21"/>
                </w:rPr>
                <w:t>2.</w:t>
              </w:r>
            </w:hyperlink>
            <w:r w:rsidR="007755E9" w:rsidRPr="00A3312C">
              <w:rPr>
                <w:rFonts w:cs="Aptos"/>
                <w:sz w:val="21"/>
                <w:szCs w:val="21"/>
              </w:rPr>
              <w:t>)</w:t>
            </w:r>
          </w:p>
          <w:p w14:paraId="4B453FB3" w14:textId="77777777" w:rsidR="00DA0B8D" w:rsidRPr="00A3312C" w:rsidRDefault="00DA0B8D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</w:tc>
      </w:tr>
      <w:tr w:rsidR="004E1781" w14:paraId="18267755" w14:textId="77777777" w:rsidTr="00BF1894">
        <w:tc>
          <w:tcPr>
            <w:tcW w:w="3960" w:type="dxa"/>
            <w:hideMark/>
          </w:tcPr>
          <w:p w14:paraId="1787F7BC" w14:textId="77777777" w:rsidR="004E1781" w:rsidRPr="00CB64EC" w:rsidRDefault="004E1781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proofErr w:type="gramStart"/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General</w:t>
            </w:r>
            <w:proofErr w:type="gramEnd"/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 withholding tax rates on payments to non-resident companies</w:t>
            </w:r>
          </w:p>
        </w:tc>
        <w:tc>
          <w:tcPr>
            <w:tcW w:w="9810" w:type="dxa"/>
            <w:gridSpan w:val="2"/>
            <w:hideMark/>
          </w:tcPr>
          <w:p w14:paraId="5637A94F" w14:textId="77777777" w:rsidR="004E1781" w:rsidRDefault="004E1781" w:rsidP="00BF189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  <w:u w:val="single"/>
              </w:rPr>
              <w:t>Dividends:</w:t>
            </w:r>
            <w:r>
              <w:rPr>
                <w:rFonts w:cs="Aptos"/>
                <w:sz w:val="21"/>
                <w:szCs w:val="21"/>
              </w:rPr>
              <w:t xml:space="preserve"> </w:t>
            </w:r>
            <w:r w:rsidR="00CA5709">
              <w:rPr>
                <w:rFonts w:cs="Aptos"/>
                <w:sz w:val="21"/>
                <w:szCs w:val="21"/>
              </w:rPr>
              <w:t>19%</w:t>
            </w:r>
            <w:r>
              <w:rPr>
                <w:rFonts w:cs="Aptos"/>
                <w:sz w:val="21"/>
                <w:szCs w:val="21"/>
              </w:rPr>
              <w:t xml:space="preserve"> (</w:t>
            </w:r>
            <w:hyperlink r:id="rId20" w:anchor="section(2)(2)(a)_0" w:history="1">
              <w:r w:rsidR="001F76F3" w:rsidRPr="000F7FF6">
                <w:rPr>
                  <w:rStyle w:val="Hyperlink"/>
                </w:rPr>
                <w:t>Section VI.C.2.a.</w:t>
              </w:r>
            </w:hyperlink>
            <w:r w:rsidR="001F76F3">
              <w:t>)</w:t>
            </w:r>
          </w:p>
          <w:p w14:paraId="30671683" w14:textId="77777777" w:rsidR="004E1781" w:rsidRDefault="004E1781" w:rsidP="00BF189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  <w:u w:val="single"/>
              </w:rPr>
              <w:t>Interest:</w:t>
            </w:r>
            <w:r>
              <w:rPr>
                <w:rFonts w:cs="Aptos"/>
                <w:sz w:val="21"/>
                <w:szCs w:val="21"/>
              </w:rPr>
              <w:t xml:space="preserve"> </w:t>
            </w:r>
            <w:r w:rsidR="006E5918">
              <w:rPr>
                <w:rFonts w:cs="Aptos"/>
                <w:sz w:val="21"/>
                <w:szCs w:val="21"/>
              </w:rPr>
              <w:t>19% (</w:t>
            </w:r>
            <w:hyperlink r:id="rId21" w:anchor="section(2)(2)(b)_0" w:history="1">
              <w:r w:rsidR="006E5918" w:rsidRPr="000F7FF6">
                <w:rPr>
                  <w:rStyle w:val="Hyperlink"/>
                </w:rPr>
                <w:t>Section VI.C.2.b.</w:t>
              </w:r>
            </w:hyperlink>
            <w:r w:rsidR="006E5918">
              <w:t>)</w:t>
            </w:r>
          </w:p>
          <w:p w14:paraId="7DD77F1F" w14:textId="77777777" w:rsidR="004E1781" w:rsidRDefault="004E1781" w:rsidP="00BF189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  <w:u w:val="single"/>
              </w:rPr>
              <w:t>Royalties:</w:t>
            </w:r>
            <w:r>
              <w:rPr>
                <w:rFonts w:cs="Aptos"/>
                <w:sz w:val="21"/>
                <w:szCs w:val="21"/>
              </w:rPr>
              <w:t xml:space="preserve"> 2</w:t>
            </w:r>
            <w:r w:rsidR="000D2CD9">
              <w:rPr>
                <w:rFonts w:cs="Aptos"/>
                <w:sz w:val="21"/>
                <w:szCs w:val="21"/>
              </w:rPr>
              <w:t>4</w:t>
            </w:r>
            <w:r>
              <w:rPr>
                <w:rFonts w:cs="Aptos"/>
                <w:sz w:val="21"/>
                <w:szCs w:val="21"/>
              </w:rPr>
              <w:t>%</w:t>
            </w:r>
            <w:r w:rsidR="000D2CD9">
              <w:rPr>
                <w:rFonts w:cs="Aptos"/>
                <w:sz w:val="21"/>
                <w:szCs w:val="21"/>
              </w:rPr>
              <w:t xml:space="preserve">, reduced to 19% </w:t>
            </w:r>
            <w:r w:rsidR="00022B3B">
              <w:rPr>
                <w:rFonts w:cs="Aptos"/>
                <w:sz w:val="21"/>
                <w:szCs w:val="21"/>
              </w:rPr>
              <w:t xml:space="preserve">when paid to EU residents or residents of EEA countries that </w:t>
            </w:r>
            <w:r w:rsidR="009E1AB2">
              <w:rPr>
                <w:rFonts w:cs="Aptos"/>
                <w:sz w:val="21"/>
                <w:szCs w:val="21"/>
              </w:rPr>
              <w:t>have</w:t>
            </w:r>
            <w:r w:rsidR="001C2708">
              <w:rPr>
                <w:rFonts w:cs="Aptos"/>
                <w:sz w:val="21"/>
                <w:szCs w:val="21"/>
              </w:rPr>
              <w:t xml:space="preserve"> an effective exchange of tax information</w:t>
            </w:r>
            <w:r w:rsidR="001C2708" w:rsidRPr="0038044E">
              <w:rPr>
                <w:rFonts w:cs="Aptos"/>
                <w:sz w:val="21"/>
                <w:szCs w:val="21"/>
              </w:rPr>
              <w:t xml:space="preserve"> </w:t>
            </w:r>
            <w:r w:rsidR="00022B3B">
              <w:rPr>
                <w:rFonts w:cs="Aptos"/>
                <w:sz w:val="21"/>
                <w:szCs w:val="21"/>
              </w:rPr>
              <w:t xml:space="preserve">with Spain. </w:t>
            </w:r>
            <w:r>
              <w:rPr>
                <w:rFonts w:cs="Aptos"/>
                <w:sz w:val="21"/>
                <w:szCs w:val="21"/>
              </w:rPr>
              <w:t>(</w:t>
            </w:r>
            <w:hyperlink r:id="rId22" w:anchor="section(2)(2)(c)_0" w:history="1">
              <w:r w:rsidR="00103C44" w:rsidRPr="000F7FF6">
                <w:rPr>
                  <w:rStyle w:val="Hyperlink"/>
                </w:rPr>
                <w:t>Section VI.C.2.c.</w:t>
              </w:r>
            </w:hyperlink>
            <w:r>
              <w:rPr>
                <w:rFonts w:cs="Aptos"/>
                <w:sz w:val="21"/>
                <w:szCs w:val="21"/>
              </w:rPr>
              <w:t>)</w:t>
            </w:r>
          </w:p>
          <w:p w14:paraId="4F34B8CE" w14:textId="77777777" w:rsidR="00A3312C" w:rsidRDefault="00A3312C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34A28A15" w14:textId="77777777" w:rsidR="004E1781" w:rsidRDefault="004E1781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 xml:space="preserve">For the rates of source country taxation applying to investment income, services income and capital gains under </w:t>
            </w:r>
            <w:r w:rsidR="004F24BF">
              <w:rPr>
                <w:rFonts w:cs="Aptos"/>
                <w:sz w:val="21"/>
                <w:szCs w:val="21"/>
              </w:rPr>
              <w:t>Spanish</w:t>
            </w:r>
            <w:r>
              <w:rPr>
                <w:rFonts w:cs="Aptos"/>
                <w:sz w:val="21"/>
                <w:szCs w:val="21"/>
              </w:rPr>
              <w:t xml:space="preserve"> domestic law and tax treaties and the context for the application of those rates, see the </w:t>
            </w:r>
            <w:hyperlink r:id="rId23" w:history="1">
              <w:r w:rsidR="004F24BF" w:rsidRPr="00453F67">
                <w:rPr>
                  <w:rStyle w:val="Hyperlink"/>
                </w:rPr>
                <w:t>Withholding Tax Chart</w:t>
              </w:r>
            </w:hyperlink>
            <w:r w:rsidR="004F24BF">
              <w:t>.</w:t>
            </w:r>
          </w:p>
          <w:p w14:paraId="5A9819E6" w14:textId="77777777" w:rsidR="004E1781" w:rsidRDefault="004E1781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</w:tc>
      </w:tr>
      <w:tr w:rsidR="00524827" w14:paraId="1407FD5E" w14:textId="77777777" w:rsidTr="00BF1894">
        <w:tc>
          <w:tcPr>
            <w:tcW w:w="3960" w:type="dxa"/>
          </w:tcPr>
          <w:p w14:paraId="16BCA523" w14:textId="77777777" w:rsidR="00524827" w:rsidRPr="00CB64EC" w:rsidRDefault="00524827" w:rsidP="00BF1894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Net operating losses carry back/forward</w:t>
            </w:r>
          </w:p>
        </w:tc>
        <w:tc>
          <w:tcPr>
            <w:tcW w:w="9810" w:type="dxa"/>
            <w:gridSpan w:val="2"/>
          </w:tcPr>
          <w:p w14:paraId="5E17FE77" w14:textId="77777777" w:rsidR="00524827" w:rsidRPr="00A3312C" w:rsidRDefault="00524827" w:rsidP="00A3312C">
            <w:pPr>
              <w:jc w:val="both"/>
              <w:rPr>
                <w:rFonts w:cs="Aptos"/>
                <w:sz w:val="21"/>
                <w:szCs w:val="21"/>
                <w:u w:val="single"/>
              </w:rPr>
            </w:pPr>
            <w:r w:rsidRPr="00A3312C">
              <w:rPr>
                <w:rFonts w:cs="Aptos"/>
                <w:sz w:val="21"/>
                <w:szCs w:val="21"/>
                <w:u w:val="single"/>
              </w:rPr>
              <w:t>Carryback</w:t>
            </w:r>
            <w:r w:rsidRPr="00A3312C">
              <w:rPr>
                <w:rFonts w:cs="Aptos"/>
                <w:sz w:val="21"/>
                <w:szCs w:val="21"/>
              </w:rPr>
              <w:t xml:space="preserve">: </w:t>
            </w:r>
            <w:r w:rsidR="004C21DF" w:rsidRPr="00A3312C">
              <w:rPr>
                <w:rFonts w:cs="Aptos"/>
                <w:sz w:val="21"/>
                <w:szCs w:val="21"/>
              </w:rPr>
              <w:t>Not allowed</w:t>
            </w:r>
            <w:r w:rsidRPr="00A3312C">
              <w:rPr>
                <w:rFonts w:cs="Aptos"/>
                <w:sz w:val="21"/>
                <w:szCs w:val="21"/>
              </w:rPr>
              <w:t xml:space="preserve"> (</w:t>
            </w:r>
            <w:hyperlink r:id="rId24" w:anchor="section(6)_0" w:history="1">
              <w:r w:rsidR="004C21DF" w:rsidRPr="000F7FF6">
                <w:rPr>
                  <w:rStyle w:val="Hyperlink"/>
                </w:rPr>
                <w:t>Section V.A.6.</w:t>
              </w:r>
            </w:hyperlink>
            <w:r w:rsidRPr="00A3312C">
              <w:rPr>
                <w:rFonts w:cs="Aptos"/>
                <w:sz w:val="21"/>
                <w:szCs w:val="21"/>
              </w:rPr>
              <w:t>)</w:t>
            </w:r>
          </w:p>
          <w:p w14:paraId="5989F166" w14:textId="77777777" w:rsidR="00A3312C" w:rsidRDefault="00A3312C" w:rsidP="00A3312C">
            <w:pPr>
              <w:jc w:val="both"/>
              <w:rPr>
                <w:rFonts w:cs="Aptos"/>
                <w:sz w:val="21"/>
                <w:szCs w:val="21"/>
                <w:u w:val="single"/>
              </w:rPr>
            </w:pPr>
          </w:p>
          <w:p w14:paraId="1BFEAB8D" w14:textId="77777777" w:rsidR="00524827" w:rsidRPr="00A3312C" w:rsidRDefault="00524827" w:rsidP="00A3312C">
            <w:pPr>
              <w:jc w:val="both"/>
              <w:rPr>
                <w:rFonts w:cs="Aptos"/>
                <w:sz w:val="21"/>
                <w:szCs w:val="21"/>
              </w:rPr>
            </w:pPr>
            <w:r w:rsidRPr="00A3312C">
              <w:rPr>
                <w:rFonts w:cs="Aptos"/>
                <w:sz w:val="21"/>
                <w:szCs w:val="21"/>
                <w:u w:val="single"/>
              </w:rPr>
              <w:t>Carryforward</w:t>
            </w:r>
            <w:r w:rsidRPr="00A3312C">
              <w:rPr>
                <w:rFonts w:cs="Aptos"/>
                <w:sz w:val="21"/>
                <w:szCs w:val="21"/>
              </w:rPr>
              <w:t>: I</w:t>
            </w:r>
            <w:r w:rsidR="00622231" w:rsidRPr="00A3312C">
              <w:rPr>
                <w:rFonts w:cs="Aptos"/>
                <w:sz w:val="21"/>
                <w:szCs w:val="21"/>
              </w:rPr>
              <w:t>ndefinite, subject to limitations</w:t>
            </w:r>
            <w:r w:rsidRPr="00A3312C">
              <w:rPr>
                <w:rFonts w:cs="Aptos"/>
                <w:sz w:val="21"/>
                <w:szCs w:val="21"/>
              </w:rPr>
              <w:t xml:space="preserve"> (</w:t>
            </w:r>
            <w:hyperlink r:id="rId25" w:anchor="section(6)_0" w:history="1">
              <w:r w:rsidR="004C21DF" w:rsidRPr="000F7FF6">
                <w:rPr>
                  <w:rStyle w:val="Hyperlink"/>
                </w:rPr>
                <w:t>Section V.A.6.</w:t>
              </w:r>
            </w:hyperlink>
            <w:r w:rsidR="004C21DF">
              <w:t>)</w:t>
            </w:r>
          </w:p>
        </w:tc>
      </w:tr>
      <w:tr w:rsidR="00C910BC" w14:paraId="5AB64040" w14:textId="77777777" w:rsidTr="00BF1894">
        <w:tc>
          <w:tcPr>
            <w:tcW w:w="3960" w:type="dxa"/>
          </w:tcPr>
          <w:p w14:paraId="118FBB05" w14:textId="77777777" w:rsidR="00C910BC" w:rsidRPr="00CB64EC" w:rsidRDefault="00C910BC" w:rsidP="00BF1894">
            <w:pPr>
              <w:spacing w:after="160" w:line="259" w:lineRule="auto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Restrictions on deductibility of interest expenses </w:t>
            </w:r>
          </w:p>
        </w:tc>
        <w:tc>
          <w:tcPr>
            <w:tcW w:w="9810" w:type="dxa"/>
            <w:gridSpan w:val="2"/>
          </w:tcPr>
          <w:p w14:paraId="52066750" w14:textId="77777777" w:rsidR="001C2B22" w:rsidRPr="006D6112" w:rsidRDefault="00C910BC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Yes</w:t>
            </w:r>
            <w:r w:rsidR="006D6112">
              <w:rPr>
                <w:rFonts w:cs="Aptos"/>
                <w:sz w:val="21"/>
                <w:szCs w:val="21"/>
              </w:rPr>
              <w:t xml:space="preserve">, </w:t>
            </w:r>
            <w:r w:rsidR="006D6112" w:rsidRPr="006D6112">
              <w:rPr>
                <w:rFonts w:cs="Aptos"/>
                <w:sz w:val="21"/>
                <w:szCs w:val="21"/>
              </w:rPr>
              <w:t xml:space="preserve">generally limited to 30% of a company's or group's EBITDA, subject to a threshold of </w:t>
            </w:r>
            <w:r w:rsidR="006A795C">
              <w:rPr>
                <w:rFonts w:cs="Aptos"/>
                <w:sz w:val="21"/>
                <w:szCs w:val="21"/>
              </w:rPr>
              <w:t>1</w:t>
            </w:r>
            <w:r w:rsidR="006D6112" w:rsidRPr="006D6112">
              <w:rPr>
                <w:rFonts w:cs="Aptos"/>
                <w:sz w:val="21"/>
                <w:szCs w:val="21"/>
              </w:rPr>
              <w:t xml:space="preserve"> million </w:t>
            </w:r>
            <w:r w:rsidR="006A795C">
              <w:rPr>
                <w:rFonts w:cs="Aptos"/>
                <w:sz w:val="21"/>
                <w:szCs w:val="21"/>
              </w:rPr>
              <w:t xml:space="preserve">euros </w:t>
            </w:r>
            <w:r w:rsidR="006D6112" w:rsidRPr="006D6112">
              <w:rPr>
                <w:rFonts w:cs="Aptos"/>
                <w:sz w:val="21"/>
                <w:szCs w:val="21"/>
              </w:rPr>
              <w:t xml:space="preserve">of </w:t>
            </w:r>
            <w:r w:rsidR="006A795C">
              <w:rPr>
                <w:rFonts w:cs="Aptos"/>
                <w:sz w:val="21"/>
                <w:szCs w:val="21"/>
              </w:rPr>
              <w:t xml:space="preserve">net </w:t>
            </w:r>
            <w:r w:rsidR="006D6112" w:rsidRPr="006D6112">
              <w:rPr>
                <w:rFonts w:cs="Aptos"/>
                <w:sz w:val="21"/>
                <w:szCs w:val="21"/>
              </w:rPr>
              <w:t xml:space="preserve">interest expense </w:t>
            </w:r>
            <w:r w:rsidR="006A795C">
              <w:rPr>
                <w:rFonts w:cs="Aptos"/>
                <w:sz w:val="21"/>
                <w:szCs w:val="21"/>
              </w:rPr>
              <w:t>per taxable year</w:t>
            </w:r>
            <w:r w:rsidR="00C34185">
              <w:rPr>
                <w:rFonts w:cs="Aptos"/>
                <w:sz w:val="21"/>
                <w:szCs w:val="21"/>
              </w:rPr>
              <w:t>.</w:t>
            </w:r>
            <w:r>
              <w:rPr>
                <w:rFonts w:cs="Aptos"/>
                <w:sz w:val="21"/>
                <w:szCs w:val="21"/>
              </w:rPr>
              <w:t xml:space="preserve"> </w:t>
            </w:r>
            <w:r w:rsidR="00841B91">
              <w:rPr>
                <w:rFonts w:cs="Aptos"/>
                <w:sz w:val="21"/>
                <w:szCs w:val="21"/>
              </w:rPr>
              <w:t xml:space="preserve">Interest payments on profit-participating loans are nondeductible. </w:t>
            </w:r>
            <w:r w:rsidR="00623C15">
              <w:rPr>
                <w:rFonts w:cs="Aptos"/>
                <w:sz w:val="21"/>
                <w:szCs w:val="21"/>
              </w:rPr>
              <w:t>B</w:t>
            </w:r>
            <w:r w:rsidR="00623C15" w:rsidRPr="00A76BC7">
              <w:rPr>
                <w:rFonts w:cs="Aptos"/>
                <w:sz w:val="21"/>
                <w:szCs w:val="21"/>
              </w:rPr>
              <w:t xml:space="preserve">orrowing costs related to </w:t>
            </w:r>
            <w:r w:rsidR="00D1196D">
              <w:rPr>
                <w:rFonts w:cs="Aptos"/>
                <w:sz w:val="21"/>
                <w:szCs w:val="21"/>
              </w:rPr>
              <w:t xml:space="preserve">an </w:t>
            </w:r>
            <w:r w:rsidR="00623C15" w:rsidRPr="00A76BC7">
              <w:rPr>
                <w:rFonts w:cs="Aptos"/>
                <w:sz w:val="21"/>
                <w:szCs w:val="21"/>
              </w:rPr>
              <w:t xml:space="preserve">acquisition </w:t>
            </w:r>
            <w:r w:rsidR="00D1196D">
              <w:rPr>
                <w:rFonts w:cs="Aptos"/>
                <w:sz w:val="21"/>
                <w:szCs w:val="21"/>
              </w:rPr>
              <w:t xml:space="preserve">of shares </w:t>
            </w:r>
            <w:r w:rsidR="00623C15" w:rsidRPr="00A76BC7">
              <w:rPr>
                <w:rFonts w:cs="Aptos"/>
                <w:sz w:val="21"/>
                <w:szCs w:val="21"/>
              </w:rPr>
              <w:t xml:space="preserve">in excess of 30% of the operating income of the acquirer for the period are not deductible </w:t>
            </w:r>
            <w:r w:rsidR="00D1196D">
              <w:rPr>
                <w:rFonts w:cs="Aptos"/>
                <w:sz w:val="21"/>
                <w:szCs w:val="21"/>
              </w:rPr>
              <w:t>if</w:t>
            </w:r>
            <w:r w:rsidR="00A76BC7" w:rsidRPr="00A76BC7">
              <w:rPr>
                <w:rFonts w:cs="Aptos"/>
                <w:sz w:val="21"/>
                <w:szCs w:val="21"/>
              </w:rPr>
              <w:t xml:space="preserve"> the acquired entity </w:t>
            </w:r>
            <w:r w:rsidR="00D1196D">
              <w:rPr>
                <w:rFonts w:cs="Aptos"/>
                <w:sz w:val="21"/>
                <w:szCs w:val="21"/>
              </w:rPr>
              <w:t>is</w:t>
            </w:r>
            <w:r w:rsidR="00A76BC7" w:rsidRPr="00A76BC7">
              <w:rPr>
                <w:rFonts w:cs="Aptos"/>
                <w:sz w:val="21"/>
                <w:szCs w:val="21"/>
              </w:rPr>
              <w:t xml:space="preserve"> subsequently included in the tax group of the acquirer or </w:t>
            </w:r>
            <w:proofErr w:type="gramStart"/>
            <w:r w:rsidR="00A76BC7" w:rsidRPr="00A76BC7">
              <w:rPr>
                <w:rFonts w:cs="Aptos"/>
                <w:sz w:val="21"/>
                <w:szCs w:val="21"/>
              </w:rPr>
              <w:t>merged</w:t>
            </w:r>
            <w:proofErr w:type="gramEnd"/>
            <w:r w:rsidR="00A76BC7" w:rsidRPr="00A76BC7">
              <w:rPr>
                <w:rFonts w:cs="Aptos"/>
                <w:sz w:val="21"/>
                <w:szCs w:val="21"/>
              </w:rPr>
              <w:t xml:space="preserve"> with the acquirer</w:t>
            </w:r>
            <w:r w:rsidR="001C2708">
              <w:rPr>
                <w:rFonts w:cs="Aptos"/>
                <w:sz w:val="21"/>
                <w:szCs w:val="21"/>
              </w:rPr>
              <w:t>.</w:t>
            </w:r>
            <w:r w:rsidR="00A76BC7" w:rsidRPr="00A76BC7">
              <w:rPr>
                <w:rFonts w:cs="Aptos"/>
                <w:sz w:val="21"/>
                <w:szCs w:val="21"/>
              </w:rPr>
              <w:t xml:space="preserve"> </w:t>
            </w:r>
            <w:r>
              <w:rPr>
                <w:rFonts w:cs="Aptos"/>
                <w:sz w:val="21"/>
                <w:szCs w:val="21"/>
              </w:rPr>
              <w:t>(</w:t>
            </w:r>
            <w:hyperlink r:id="rId26" w:anchor="section(5)(5)(b)_0" w:history="1">
              <w:r w:rsidR="000F7FF6">
                <w:rPr>
                  <w:rStyle w:val="Hyperlink"/>
                </w:rPr>
                <w:t>Section V.A.5.b.</w:t>
              </w:r>
            </w:hyperlink>
            <w:r w:rsidR="000F7FF6">
              <w:t>)</w:t>
            </w:r>
          </w:p>
        </w:tc>
      </w:tr>
      <w:tr w:rsidR="00C910BC" w14:paraId="5C0F18A6" w14:textId="77777777" w:rsidTr="00BF1894">
        <w:tc>
          <w:tcPr>
            <w:tcW w:w="3960" w:type="dxa"/>
          </w:tcPr>
          <w:p w14:paraId="1CCBCF70" w14:textId="77777777" w:rsidR="00C910BC" w:rsidRPr="00CB64EC" w:rsidRDefault="00C910BC" w:rsidP="00BF1894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Anti-Hybrid mismatch rules</w:t>
            </w:r>
          </w:p>
        </w:tc>
        <w:tc>
          <w:tcPr>
            <w:tcW w:w="9810" w:type="dxa"/>
            <w:gridSpan w:val="2"/>
          </w:tcPr>
          <w:p w14:paraId="51E1BCA6" w14:textId="77777777" w:rsidR="00C910BC" w:rsidRDefault="00C910BC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Yes (</w:t>
            </w:r>
            <w:hyperlink r:id="rId27" w:anchor="section(5)(5)(q)(5)(q)(2)_0" w:history="1">
              <w:r w:rsidR="00D929CC" w:rsidRPr="008427DE">
                <w:rPr>
                  <w:rStyle w:val="Hyperlink"/>
                  <w:kern w:val="2"/>
                </w:rPr>
                <w:t>Section V.A.5.q.(2).</w:t>
              </w:r>
            </w:hyperlink>
            <w:r w:rsidR="00331602">
              <w:t>)</w:t>
            </w:r>
          </w:p>
        </w:tc>
      </w:tr>
      <w:tr w:rsidR="00C876C1" w14:paraId="202B91C3" w14:textId="77777777" w:rsidTr="00BF1894">
        <w:tc>
          <w:tcPr>
            <w:tcW w:w="3960" w:type="dxa"/>
          </w:tcPr>
          <w:p w14:paraId="4A318B2B" w14:textId="77777777" w:rsidR="00C876C1" w:rsidRPr="00CB64EC" w:rsidRDefault="00C876C1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Incentives</w:t>
            </w:r>
            <w:r w:rsidR="00E32F70"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 (major)</w:t>
            </w:r>
          </w:p>
        </w:tc>
        <w:tc>
          <w:tcPr>
            <w:tcW w:w="9810" w:type="dxa"/>
            <w:gridSpan w:val="2"/>
          </w:tcPr>
          <w:p w14:paraId="69B4DBEB" w14:textId="77777777" w:rsidR="00C876C1" w:rsidRPr="00392AFA" w:rsidRDefault="008D28EC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392AFA">
              <w:rPr>
                <w:rFonts w:cs="Aptos"/>
                <w:sz w:val="21"/>
                <w:szCs w:val="21"/>
              </w:rPr>
              <w:t>Generally, y</w:t>
            </w:r>
            <w:r w:rsidR="00C876C1" w:rsidRPr="00392AFA">
              <w:rPr>
                <w:rFonts w:cs="Aptos"/>
                <w:sz w:val="21"/>
                <w:szCs w:val="21"/>
              </w:rPr>
              <w:t>es</w:t>
            </w:r>
            <w:r w:rsidR="00326DE4" w:rsidRPr="00392AFA">
              <w:rPr>
                <w:rFonts w:cs="Aptos"/>
                <w:sz w:val="21"/>
                <w:szCs w:val="21"/>
              </w:rPr>
              <w:t xml:space="preserve"> </w:t>
            </w:r>
            <w:r w:rsidR="00107888" w:rsidRPr="00392AFA">
              <w:rPr>
                <w:rFonts w:cs="Aptos"/>
                <w:sz w:val="21"/>
                <w:szCs w:val="21"/>
              </w:rPr>
              <w:t>(</w:t>
            </w:r>
            <w:hyperlink r:id="rId28" w:anchor="section(7)(7)(b)(7)(b)(6)(7)(b)(6)(b)" w:history="1">
              <w:r w:rsidR="00107888" w:rsidRPr="00392AFA">
                <w:rPr>
                  <w:rStyle w:val="Hyperlink"/>
                  <w:rFonts w:cs="Aptos"/>
                  <w:sz w:val="21"/>
                  <w:szCs w:val="21"/>
                </w:rPr>
                <w:t>Section V.</w:t>
              </w:r>
              <w:r w:rsidR="007165C0" w:rsidRPr="00392AFA">
                <w:rPr>
                  <w:rStyle w:val="Hyperlink"/>
                  <w:rFonts w:cs="Aptos"/>
                  <w:sz w:val="21"/>
                  <w:szCs w:val="21"/>
                </w:rPr>
                <w:t>A.</w:t>
              </w:r>
              <w:r w:rsidR="00A973BC" w:rsidRPr="00392AFA">
                <w:rPr>
                  <w:rStyle w:val="Hyperlink"/>
                  <w:rFonts w:cs="Aptos"/>
                  <w:sz w:val="21"/>
                  <w:szCs w:val="21"/>
                </w:rPr>
                <w:t>7.</w:t>
              </w:r>
              <w:r w:rsidR="00E50C59" w:rsidRPr="00392AFA">
                <w:rPr>
                  <w:rStyle w:val="Hyperlink"/>
                  <w:rFonts w:cs="Aptos"/>
                  <w:sz w:val="21"/>
                  <w:szCs w:val="21"/>
                </w:rPr>
                <w:t>b</w:t>
              </w:r>
              <w:r w:rsidR="001D5A4E" w:rsidRPr="00392AFA">
                <w:rPr>
                  <w:rStyle w:val="Hyperlink"/>
                  <w:rFonts w:cs="Aptos"/>
                  <w:sz w:val="21"/>
                  <w:szCs w:val="21"/>
                </w:rPr>
                <w:t>.</w:t>
              </w:r>
              <w:r w:rsidR="007165C0" w:rsidRPr="00392AFA">
                <w:rPr>
                  <w:rStyle w:val="Hyperlink"/>
                  <w:rFonts w:cs="Aptos"/>
                  <w:sz w:val="21"/>
                  <w:szCs w:val="21"/>
                </w:rPr>
                <w:t>(6).(b).</w:t>
              </w:r>
            </w:hyperlink>
            <w:r w:rsidR="007165C0" w:rsidRPr="00392AFA">
              <w:rPr>
                <w:rFonts w:cs="Aptos"/>
                <w:sz w:val="21"/>
                <w:szCs w:val="21"/>
              </w:rPr>
              <w:t xml:space="preserve"> and</w:t>
            </w:r>
            <w:r w:rsidR="00BA4CC4" w:rsidRPr="00392AFA">
              <w:rPr>
                <w:rFonts w:cs="Aptos"/>
                <w:sz w:val="21"/>
                <w:szCs w:val="21"/>
              </w:rPr>
              <w:t xml:space="preserve"> </w:t>
            </w:r>
            <w:hyperlink r:id="rId29" w:anchor="section(8)" w:history="1">
              <w:r w:rsidR="00BA4CC4" w:rsidRPr="00392AFA">
                <w:rPr>
                  <w:rStyle w:val="Hyperlink"/>
                  <w:rFonts w:cs="Aptos"/>
                  <w:sz w:val="21"/>
                  <w:szCs w:val="21"/>
                </w:rPr>
                <w:t>Section V.A.8.</w:t>
              </w:r>
            </w:hyperlink>
            <w:r w:rsidR="00331602" w:rsidRPr="00392AFA">
              <w:rPr>
                <w:rFonts w:cs="Aptos"/>
                <w:sz w:val="21"/>
                <w:szCs w:val="21"/>
              </w:rPr>
              <w:t>)</w:t>
            </w:r>
          </w:p>
          <w:p w14:paraId="5A65A468" w14:textId="77777777" w:rsidR="008D28EC" w:rsidRPr="00DE3644" w:rsidRDefault="008D28EC" w:rsidP="008D28E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 w:rsidRPr="00DE3644">
              <w:t>R&amp;D: Yes (</w:t>
            </w:r>
            <w:hyperlink r:id="rId30" w:anchor="section(8)(8)(e)" w:history="1">
              <w:r w:rsidRPr="00DE3644">
                <w:rPr>
                  <w:rStyle w:val="Hyperlink"/>
                </w:rPr>
                <w:t>Section V.A.8.e</w:t>
              </w:r>
            </w:hyperlink>
            <w:r w:rsidRPr="00DE3644">
              <w:t>)</w:t>
            </w:r>
          </w:p>
          <w:p w14:paraId="0861020D" w14:textId="77777777" w:rsidR="008D28EC" w:rsidRPr="00DE3644" w:rsidRDefault="008D28EC" w:rsidP="008D28E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 w:rsidRPr="00DE3644">
              <w:t>Patent box: Yes (</w:t>
            </w:r>
            <w:hyperlink r:id="rId31" w:anchor="section(4)(4)(f)(4)(f)(1)_0" w:history="1">
              <w:r w:rsidRPr="00DE3644">
                <w:rPr>
                  <w:rStyle w:val="Hyperlink"/>
                </w:rPr>
                <w:t>Section V.A.4.f.(1)</w:t>
              </w:r>
            </w:hyperlink>
            <w:r w:rsidRPr="00DE3644">
              <w:t>)</w:t>
            </w:r>
          </w:p>
          <w:p w14:paraId="0C985F27" w14:textId="77777777" w:rsidR="008D28EC" w:rsidRPr="00DE3644" w:rsidRDefault="008D28EC" w:rsidP="008D28EC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 w:rsidRPr="00DE3644">
              <w:t xml:space="preserve">Enhanced depreciation / capital allowance: Limited </w:t>
            </w:r>
            <w:r w:rsidR="004B369F" w:rsidRPr="00DE3644">
              <w:t xml:space="preserve">free depreciation and amortization </w:t>
            </w:r>
            <w:r w:rsidRPr="00DE3644">
              <w:t>regime for certain assets including R&amp;D</w:t>
            </w:r>
            <w:r w:rsidR="00392AFA" w:rsidRPr="00DE3644">
              <w:t>-</w:t>
            </w:r>
            <w:r w:rsidRPr="00DE3644">
              <w:t>related assets</w:t>
            </w:r>
            <w:r w:rsidR="004B369F" w:rsidRPr="00DE3644">
              <w:t xml:space="preserve"> (</w:t>
            </w:r>
            <w:hyperlink r:id="rId32" w:anchor="section(5)(5)(f)" w:history="1">
              <w:r w:rsidR="004B369F" w:rsidRPr="00DE3644">
                <w:rPr>
                  <w:rStyle w:val="Hyperlink"/>
                </w:rPr>
                <w:t>Section V.A.5.f</w:t>
              </w:r>
            </w:hyperlink>
            <w:r w:rsidR="004B369F" w:rsidRPr="00DE3644">
              <w:t>)</w:t>
            </w:r>
          </w:p>
          <w:p w14:paraId="4C871802" w14:textId="77777777" w:rsidR="008D28EC" w:rsidRPr="00DE3644" w:rsidRDefault="008D28EC" w:rsidP="008D28EC">
            <w:pPr>
              <w:pStyle w:val="ListParagraph"/>
              <w:numPr>
                <w:ilvl w:val="0"/>
                <w:numId w:val="4"/>
              </w:numPr>
            </w:pPr>
            <w:r w:rsidRPr="00DE3644">
              <w:t xml:space="preserve">Environmental: </w:t>
            </w:r>
            <w:r w:rsidR="00323C8D" w:rsidRPr="00DE3644">
              <w:t>N/A</w:t>
            </w:r>
          </w:p>
          <w:p w14:paraId="75B0F172" w14:textId="77777777" w:rsidR="008D28EC" w:rsidRPr="00DE3644" w:rsidRDefault="008D28EC" w:rsidP="00DE3644">
            <w:pPr>
              <w:pStyle w:val="ListParagraph"/>
              <w:numPr>
                <w:ilvl w:val="0"/>
                <w:numId w:val="4"/>
              </w:numPr>
            </w:pPr>
            <w:r w:rsidRPr="00DE3644">
              <w:lastRenderedPageBreak/>
              <w:t xml:space="preserve">Other: </w:t>
            </w:r>
            <w:r w:rsidR="00323C8D" w:rsidRPr="00DE3644">
              <w:t>Film Productions and Performing Arts and Music Tax Credits (</w:t>
            </w:r>
            <w:hyperlink r:id="rId33" w:anchor="section(8)(8)(f)" w:history="1">
              <w:r w:rsidR="00323C8D" w:rsidRPr="00DE3644">
                <w:rPr>
                  <w:rStyle w:val="Hyperlink"/>
                </w:rPr>
                <w:t>Section V.A.8.f</w:t>
              </w:r>
            </w:hyperlink>
            <w:r w:rsidR="00323C8D" w:rsidRPr="00DE3644">
              <w:t>)</w:t>
            </w:r>
          </w:p>
        </w:tc>
      </w:tr>
      <w:tr w:rsidR="000A1AF5" w14:paraId="74C72ED8" w14:textId="77777777" w:rsidTr="00BF1894">
        <w:tc>
          <w:tcPr>
            <w:tcW w:w="3960" w:type="dxa"/>
          </w:tcPr>
          <w:p w14:paraId="42839652" w14:textId="77777777" w:rsidR="000A1AF5" w:rsidRPr="00CB64EC" w:rsidRDefault="00392AFA" w:rsidP="00E52224">
            <w:pPr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</w:rPr>
              <w:lastRenderedPageBreak/>
              <w:t>Participation exemption (or similar regime</w:t>
            </w:r>
            <w:r w:rsidR="009D0829" w:rsidRPr="00CB64EC">
              <w:rPr>
                <w:rFonts w:cs="Aptos"/>
                <w:b/>
                <w:bCs/>
              </w:rPr>
              <w:t>)</w:t>
            </w:r>
          </w:p>
        </w:tc>
        <w:tc>
          <w:tcPr>
            <w:tcW w:w="9810" w:type="dxa"/>
            <w:gridSpan w:val="2"/>
          </w:tcPr>
          <w:p w14:paraId="4D2A8F45" w14:textId="77777777" w:rsidR="000A1AF5" w:rsidRPr="00392AFA" w:rsidRDefault="009B7ED3" w:rsidP="00DE3644">
            <w:pPr>
              <w:rPr>
                <w:rFonts w:cs="Aptos"/>
                <w:sz w:val="21"/>
                <w:szCs w:val="21"/>
              </w:rPr>
            </w:pPr>
            <w:r w:rsidRPr="00392AFA">
              <w:rPr>
                <w:rFonts w:cs="Aptos"/>
                <w:sz w:val="21"/>
                <w:szCs w:val="21"/>
              </w:rPr>
              <w:t>Yes</w:t>
            </w:r>
            <w:r w:rsidR="00392AFA" w:rsidRPr="00392AFA">
              <w:rPr>
                <w:rFonts w:cs="Aptos"/>
                <w:sz w:val="21"/>
                <w:szCs w:val="21"/>
              </w:rPr>
              <w:t>, a 95% participation exemption can apply for dividends and certain gains and interest subject to conditions (</w:t>
            </w:r>
            <w:hyperlink r:id="rId34" w:anchor="section(1)" w:history="1">
              <w:r w:rsidR="00392AFA" w:rsidRPr="00DE3644">
                <w:rPr>
                  <w:rStyle w:val="Hyperlink"/>
                </w:rPr>
                <w:t>Section XVI.C.1.a</w:t>
              </w:r>
            </w:hyperlink>
            <w:r w:rsidR="00392AFA" w:rsidRPr="00392AFA">
              <w:rPr>
                <w:rFonts w:cs="Aptos"/>
                <w:sz w:val="21"/>
                <w:szCs w:val="21"/>
              </w:rPr>
              <w:t xml:space="preserve">). There is also a dedicated holding company regime, </w:t>
            </w:r>
            <w:r w:rsidR="00392AFA" w:rsidRPr="00392AFA">
              <w:rPr>
                <w:rFonts w:cs="Aptos"/>
                <w:i/>
                <w:iCs/>
                <w:sz w:val="21"/>
                <w:szCs w:val="21"/>
              </w:rPr>
              <w:t>ETVE</w:t>
            </w:r>
            <w:r w:rsidRPr="00392AFA">
              <w:rPr>
                <w:rFonts w:cs="Aptos"/>
                <w:sz w:val="21"/>
                <w:szCs w:val="21"/>
              </w:rPr>
              <w:t xml:space="preserve"> (</w:t>
            </w:r>
            <w:hyperlink r:id="rId35" w:anchor="section(7)(7)(b)(7)(b)(5)_0" w:history="1">
              <w:r w:rsidRPr="00392AFA">
                <w:rPr>
                  <w:rStyle w:val="Hyperlink"/>
                  <w:rFonts w:cs="Aptos"/>
                  <w:sz w:val="21"/>
                  <w:szCs w:val="21"/>
                </w:rPr>
                <w:t>Section</w:t>
              </w:r>
              <w:r w:rsidR="005B3368" w:rsidRPr="00392AFA">
                <w:rPr>
                  <w:rStyle w:val="Hyperlink"/>
                  <w:rFonts w:cs="Aptos"/>
                  <w:sz w:val="21"/>
                  <w:szCs w:val="21"/>
                </w:rPr>
                <w:t xml:space="preserve"> V.A.7.b.(5).</w:t>
              </w:r>
            </w:hyperlink>
            <w:r w:rsidR="00B9451E" w:rsidRPr="00392AFA">
              <w:rPr>
                <w:rFonts w:cs="Aptos"/>
                <w:sz w:val="21"/>
                <w:szCs w:val="21"/>
              </w:rPr>
              <w:t>)</w:t>
            </w:r>
          </w:p>
        </w:tc>
      </w:tr>
      <w:tr w:rsidR="00C876C1" w14:paraId="0BDBECBD" w14:textId="77777777" w:rsidTr="00BF1894">
        <w:tc>
          <w:tcPr>
            <w:tcW w:w="3960" w:type="dxa"/>
          </w:tcPr>
          <w:p w14:paraId="185CFA13" w14:textId="77777777" w:rsidR="00C876C1" w:rsidRPr="00CB64EC" w:rsidRDefault="00B10E08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sz w:val="21"/>
                <w:szCs w:val="21"/>
              </w:rPr>
              <w:t>Tax consolidation</w:t>
            </w:r>
          </w:p>
        </w:tc>
        <w:tc>
          <w:tcPr>
            <w:tcW w:w="9810" w:type="dxa"/>
            <w:gridSpan w:val="2"/>
          </w:tcPr>
          <w:p w14:paraId="41F26A11" w14:textId="77777777" w:rsidR="00C876C1" w:rsidRDefault="00094875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094875">
              <w:rPr>
                <w:rFonts w:cs="Aptos"/>
                <w:sz w:val="21"/>
                <w:szCs w:val="21"/>
              </w:rPr>
              <w:t xml:space="preserve">Corporate taxpayers </w:t>
            </w:r>
            <w:r>
              <w:rPr>
                <w:rFonts w:cs="Aptos"/>
                <w:sz w:val="21"/>
                <w:szCs w:val="21"/>
              </w:rPr>
              <w:t>can opt to be</w:t>
            </w:r>
            <w:r w:rsidRPr="00094875">
              <w:rPr>
                <w:rFonts w:cs="Aptos"/>
                <w:sz w:val="21"/>
                <w:szCs w:val="21"/>
              </w:rPr>
              <w:t xml:space="preserve"> taxed on a consolidated basis, irrespective of whether they consolidate for accounting purposes. </w:t>
            </w:r>
            <w:r w:rsidR="00AD3723">
              <w:rPr>
                <w:rFonts w:cs="Aptos"/>
                <w:sz w:val="21"/>
                <w:szCs w:val="21"/>
              </w:rPr>
              <w:t>(</w:t>
            </w:r>
            <w:hyperlink r:id="rId36" w:anchor="section(11)" w:history="1">
              <w:r w:rsidR="00AD3723" w:rsidRPr="00453F67">
                <w:rPr>
                  <w:rStyle w:val="Hyperlink"/>
                  <w:rFonts w:cs="Aptos"/>
                  <w:sz w:val="21"/>
                  <w:szCs w:val="21"/>
                </w:rPr>
                <w:t>Section V.A.11.</w:t>
              </w:r>
            </w:hyperlink>
            <w:r w:rsidR="00AD3723">
              <w:rPr>
                <w:rFonts w:cs="Aptos"/>
                <w:sz w:val="21"/>
                <w:szCs w:val="21"/>
              </w:rPr>
              <w:t>)</w:t>
            </w:r>
          </w:p>
        </w:tc>
      </w:tr>
      <w:tr w:rsidR="00091063" w14:paraId="4E6EFFE4" w14:textId="77777777" w:rsidTr="00BF1894">
        <w:tc>
          <w:tcPr>
            <w:tcW w:w="3960" w:type="dxa"/>
          </w:tcPr>
          <w:p w14:paraId="0F15CAFB" w14:textId="77777777" w:rsidR="00091063" w:rsidRPr="00CB64EC" w:rsidRDefault="00091063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sz w:val="21"/>
                <w:szCs w:val="21"/>
              </w:rPr>
              <w:t>M&amp;A</w:t>
            </w:r>
            <w:r w:rsidR="00DB3942" w:rsidRPr="00CB64EC">
              <w:rPr>
                <w:rFonts w:cs="Aptos"/>
                <w:b/>
                <w:bCs/>
                <w:sz w:val="21"/>
                <w:szCs w:val="21"/>
              </w:rPr>
              <w:t xml:space="preserve"> regime</w:t>
            </w:r>
          </w:p>
        </w:tc>
        <w:tc>
          <w:tcPr>
            <w:tcW w:w="9810" w:type="dxa"/>
            <w:gridSpan w:val="2"/>
          </w:tcPr>
          <w:p w14:paraId="5218BB20" w14:textId="77777777" w:rsidR="00005B05" w:rsidRPr="00DE3644" w:rsidRDefault="00005B05" w:rsidP="00385E5B">
            <w:r w:rsidRPr="00385E5B">
              <w:rPr>
                <w:u w:val="single"/>
              </w:rPr>
              <w:t>Tax-free or tax-privileged transaction</w:t>
            </w:r>
            <w:r w:rsidRPr="00DE3644">
              <w:t xml:space="preserve">: </w:t>
            </w:r>
            <w:r w:rsidRPr="00385E5B">
              <w:rPr>
                <w:rFonts w:cs="Aptos"/>
                <w:sz w:val="21"/>
                <w:szCs w:val="21"/>
              </w:rPr>
              <w:t>Special tax neutral regime based on the tax regime of the EU Merger Directive applicable to certain corporate reorganizations. (</w:t>
            </w:r>
            <w:hyperlink r:id="rId37" w:anchor="section(12)" w:history="1">
              <w:r w:rsidRPr="00385E5B">
                <w:rPr>
                  <w:rStyle w:val="Hyperlink"/>
                  <w:rFonts w:cs="Aptos"/>
                  <w:sz w:val="21"/>
                  <w:szCs w:val="21"/>
                </w:rPr>
                <w:t>Section V.A.12.</w:t>
              </w:r>
            </w:hyperlink>
            <w:r w:rsidRPr="00385E5B">
              <w:rPr>
                <w:rFonts w:cs="Aptos"/>
                <w:sz w:val="21"/>
                <w:szCs w:val="21"/>
              </w:rPr>
              <w:t>)</w:t>
            </w:r>
          </w:p>
          <w:p w14:paraId="19CFA075" w14:textId="77777777" w:rsidR="00385E5B" w:rsidRDefault="00385E5B" w:rsidP="00385E5B">
            <w:pPr>
              <w:rPr>
                <w:u w:val="single"/>
              </w:rPr>
            </w:pPr>
          </w:p>
          <w:p w14:paraId="4D4B5636" w14:textId="77777777" w:rsidR="00005B05" w:rsidRPr="00DE3644" w:rsidRDefault="00005B05" w:rsidP="00385E5B">
            <w:r w:rsidRPr="00385E5B">
              <w:rPr>
                <w:u w:val="single"/>
              </w:rPr>
              <w:t>Stamp duty/share transfer taxes</w:t>
            </w:r>
            <w:r w:rsidRPr="00DE3644">
              <w:t>: Yes, a Financial Transaction Tax (</w:t>
            </w:r>
            <w:hyperlink r:id="rId38" w:history="1">
              <w:r w:rsidRPr="00DE3644">
                <w:rPr>
                  <w:rStyle w:val="Hyperlink"/>
                </w:rPr>
                <w:t>Section V.B.8</w:t>
              </w:r>
            </w:hyperlink>
            <w:r w:rsidRPr="00DE3644">
              <w:t>) may apply to transfers of certain shares. Stamp Duty does not apply to shares.</w:t>
            </w:r>
          </w:p>
          <w:p w14:paraId="5E3727D0" w14:textId="77777777" w:rsidR="00385E5B" w:rsidRDefault="00385E5B" w:rsidP="00385E5B">
            <w:pPr>
              <w:rPr>
                <w:u w:val="single"/>
              </w:rPr>
            </w:pPr>
          </w:p>
          <w:p w14:paraId="04FF3A5F" w14:textId="77777777" w:rsidR="00005B05" w:rsidRPr="00385E5B" w:rsidRDefault="00005B05" w:rsidP="00385E5B">
            <w:r w:rsidRPr="00385E5B">
              <w:rPr>
                <w:u w:val="single"/>
              </w:rPr>
              <w:t>Limitation on pre-deal NOL carryforwards</w:t>
            </w:r>
            <w:r w:rsidRPr="00DE3644">
              <w:t xml:space="preserve">: </w:t>
            </w:r>
            <w:r w:rsidR="008D28EC" w:rsidRPr="00DE3644">
              <w:t>No</w:t>
            </w:r>
          </w:p>
        </w:tc>
      </w:tr>
      <w:tr w:rsidR="00B67584" w14:paraId="3B1427DD" w14:textId="77777777" w:rsidTr="00BF1894">
        <w:tc>
          <w:tcPr>
            <w:tcW w:w="3960" w:type="dxa"/>
          </w:tcPr>
          <w:p w14:paraId="135B9C35" w14:textId="77777777" w:rsidR="00B67584" w:rsidRPr="00CB64EC" w:rsidRDefault="00B67584" w:rsidP="00BF1894">
            <w:pPr>
              <w:jc w:val="both"/>
              <w:rPr>
                <w:rFonts w:cs="Aptos"/>
                <w:b/>
                <w:bCs/>
                <w:sz w:val="21"/>
                <w:szCs w:val="21"/>
                <w:highlight w:val="yellow"/>
              </w:rPr>
            </w:pPr>
            <w:r w:rsidRPr="00CB64EC">
              <w:rPr>
                <w:rFonts w:cs="Aptos"/>
                <w:b/>
                <w:bCs/>
                <w:sz w:val="21"/>
                <w:szCs w:val="21"/>
              </w:rPr>
              <w:t>Pillar</w:t>
            </w:r>
            <w:r w:rsidR="00D920FC" w:rsidRPr="00CB64EC">
              <w:rPr>
                <w:rFonts w:cs="Aptos"/>
                <w:b/>
                <w:bCs/>
                <w:sz w:val="21"/>
                <w:szCs w:val="21"/>
              </w:rPr>
              <w:t xml:space="preserve"> One and Two</w:t>
            </w:r>
          </w:p>
        </w:tc>
        <w:tc>
          <w:tcPr>
            <w:tcW w:w="9810" w:type="dxa"/>
            <w:gridSpan w:val="2"/>
          </w:tcPr>
          <w:p w14:paraId="3C845095" w14:textId="77777777" w:rsidR="00B67584" w:rsidRDefault="00BE6F48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t xml:space="preserve">Pillar Two: </w:t>
            </w:r>
            <w:r w:rsidR="006852EF">
              <w:t>L</w:t>
            </w:r>
            <w:r>
              <w:t xml:space="preserve">egislation </w:t>
            </w:r>
            <w:r w:rsidR="006852EF">
              <w:t xml:space="preserve">adopted implementing Pillar Two. </w:t>
            </w:r>
            <w:r w:rsidR="00D07B4A">
              <w:t>(</w:t>
            </w:r>
            <w:hyperlink r:id="rId39" w:history="1">
              <w:r w:rsidR="001D080E">
                <w:rPr>
                  <w:rStyle w:val="Hyperlink"/>
                </w:rPr>
                <w:t>Section XV.D.2.</w:t>
              </w:r>
            </w:hyperlink>
            <w:r w:rsidR="00D07B4A">
              <w:t>)</w:t>
            </w:r>
          </w:p>
        </w:tc>
      </w:tr>
      <w:tr w:rsidR="00A4765B" w14:paraId="3473C5A1" w14:textId="77777777" w:rsidTr="00BF1894">
        <w:tc>
          <w:tcPr>
            <w:tcW w:w="3960" w:type="dxa"/>
          </w:tcPr>
          <w:p w14:paraId="0F4A2AEC" w14:textId="77777777" w:rsidR="00A4765B" w:rsidRPr="00CB64EC" w:rsidRDefault="00A4765B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Controlled foreign company regime</w:t>
            </w:r>
          </w:p>
        </w:tc>
        <w:tc>
          <w:tcPr>
            <w:tcW w:w="9810" w:type="dxa"/>
            <w:gridSpan w:val="2"/>
          </w:tcPr>
          <w:p w14:paraId="2B5D46D9" w14:textId="77777777" w:rsidR="00A4765B" w:rsidRPr="00A4765B" w:rsidRDefault="00A4765B" w:rsidP="00BF1894">
            <w:pPr>
              <w:jc w:val="both"/>
              <w:rPr>
                <w:rFonts w:cs="Aptos"/>
                <w:sz w:val="21"/>
                <w:szCs w:val="21"/>
                <w:u w:val="single"/>
              </w:rPr>
            </w:pPr>
            <w:r w:rsidRPr="00A4765B">
              <w:rPr>
                <w:rFonts w:cs="Aptos"/>
                <w:sz w:val="21"/>
                <w:szCs w:val="21"/>
              </w:rPr>
              <w:t>Yes (</w:t>
            </w:r>
            <w:hyperlink r:id="rId40" w:history="1">
              <w:r w:rsidRPr="006D1D4D">
                <w:rPr>
                  <w:rStyle w:val="Hyperlink"/>
                  <w:rFonts w:cs="Aptos"/>
                  <w:sz w:val="21"/>
                  <w:szCs w:val="21"/>
                </w:rPr>
                <w:t>Section X</w:t>
              </w:r>
              <w:r w:rsidR="002834B2" w:rsidRPr="006D1D4D">
                <w:rPr>
                  <w:rStyle w:val="Hyperlink"/>
                  <w:rFonts w:cs="Aptos"/>
                  <w:sz w:val="21"/>
                  <w:szCs w:val="21"/>
                </w:rPr>
                <w:t>V.C.</w:t>
              </w:r>
            </w:hyperlink>
            <w:r w:rsidR="002834B2">
              <w:rPr>
                <w:rFonts w:cs="Aptos"/>
                <w:sz w:val="21"/>
                <w:szCs w:val="21"/>
              </w:rPr>
              <w:t>)</w:t>
            </w:r>
          </w:p>
        </w:tc>
      </w:tr>
      <w:tr w:rsidR="00FA379B" w14:paraId="35D78CBF" w14:textId="77777777" w:rsidTr="00BF1894">
        <w:tc>
          <w:tcPr>
            <w:tcW w:w="3960" w:type="dxa"/>
          </w:tcPr>
          <w:p w14:paraId="58718050" w14:textId="77777777" w:rsidR="00FA379B" w:rsidRPr="00CB64EC" w:rsidRDefault="00FA379B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Transfer pricing regime</w:t>
            </w:r>
          </w:p>
        </w:tc>
        <w:tc>
          <w:tcPr>
            <w:tcW w:w="9810" w:type="dxa"/>
            <w:gridSpan w:val="2"/>
          </w:tcPr>
          <w:p w14:paraId="15545A34" w14:textId="77777777" w:rsidR="00FA379B" w:rsidRDefault="00FA379B" w:rsidP="00BF1894">
            <w:pPr>
              <w:jc w:val="both"/>
            </w:pPr>
            <w:r>
              <w:rPr>
                <w:rFonts w:cs="Aptos"/>
                <w:sz w:val="21"/>
                <w:szCs w:val="21"/>
              </w:rPr>
              <w:t>Yes (</w:t>
            </w:r>
            <w:hyperlink r:id="rId41" w:history="1">
              <w:r w:rsidR="002834B2" w:rsidRPr="006D1D4D">
                <w:rPr>
                  <w:rStyle w:val="Hyperlink"/>
                </w:rPr>
                <w:t>Section XIV.</w:t>
              </w:r>
            </w:hyperlink>
            <w:r w:rsidR="002834B2">
              <w:t>)</w:t>
            </w:r>
          </w:p>
          <w:p w14:paraId="601527E6" w14:textId="77777777" w:rsidR="00790F12" w:rsidRDefault="00790F12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26A88670" w14:textId="77777777" w:rsidR="00FA379B" w:rsidRDefault="00FA379B" w:rsidP="00BF1894">
            <w:pPr>
              <w:jc w:val="both"/>
            </w:pPr>
            <w:r w:rsidRPr="00015A9A">
              <w:rPr>
                <w:rFonts w:cs="Aptos"/>
                <w:color w:val="333333"/>
                <w:sz w:val="21"/>
                <w:szCs w:val="21"/>
              </w:rPr>
              <w:t xml:space="preserve">Country-by-country report: </w:t>
            </w:r>
            <w:r w:rsidRPr="00015A9A">
              <w:rPr>
                <w:rFonts w:cs="Aptos"/>
                <w:sz w:val="21"/>
                <w:szCs w:val="21"/>
              </w:rPr>
              <w:t>Yes (</w:t>
            </w:r>
            <w:hyperlink r:id="rId42" w:history="1">
              <w:r w:rsidR="00905343" w:rsidRPr="006D1D4D">
                <w:rPr>
                  <w:rStyle w:val="Hyperlink"/>
                </w:rPr>
                <w:t>Section XIV.D.</w:t>
              </w:r>
              <w:r w:rsidR="000B7841" w:rsidRPr="006D1D4D">
                <w:rPr>
                  <w:rStyle w:val="Hyperlink"/>
                </w:rPr>
                <w:t>4.</w:t>
              </w:r>
            </w:hyperlink>
            <w:r w:rsidR="000B7841">
              <w:t>)</w:t>
            </w:r>
          </w:p>
          <w:p w14:paraId="2A3A2F09" w14:textId="77777777" w:rsidR="00790F12" w:rsidRPr="00015A9A" w:rsidRDefault="00790F12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152B3687" w14:textId="77777777" w:rsidR="00FA379B" w:rsidRPr="00015A9A" w:rsidRDefault="00FA379B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015A9A">
              <w:rPr>
                <w:rFonts w:cs="Aptos"/>
                <w:sz w:val="21"/>
                <w:szCs w:val="21"/>
              </w:rPr>
              <w:t>See also</w:t>
            </w:r>
            <w:r w:rsidR="00377236">
              <w:rPr>
                <w:rFonts w:cs="Aptos"/>
                <w:sz w:val="21"/>
                <w:szCs w:val="21"/>
              </w:rPr>
              <w:t xml:space="preserve"> </w:t>
            </w:r>
            <w:hyperlink r:id="rId43" w:anchor="section(1)_0" w:history="1">
              <w:r w:rsidR="00377236" w:rsidRPr="00540B03">
                <w:rPr>
                  <w:rStyle w:val="Hyperlink"/>
                  <w:rFonts w:cs="Aptos"/>
                  <w:kern w:val="2"/>
                  <w:sz w:val="21"/>
                  <w:szCs w:val="21"/>
                </w:rPr>
                <w:t>Chapter</w:t>
              </w:r>
              <w:r w:rsidR="002579C5" w:rsidRPr="00540B03">
                <w:rPr>
                  <w:rStyle w:val="Hyperlink"/>
                  <w:rFonts w:cs="Aptos"/>
                  <w:sz w:val="21"/>
                  <w:szCs w:val="21"/>
                </w:rPr>
                <w:t xml:space="preserve"> 150 of 6970 T.M., Transfer Pricing: Rules and Practice in Selected Countries</w:t>
              </w:r>
              <w:r w:rsidR="004805DD" w:rsidRPr="00540B03">
                <w:rPr>
                  <w:rStyle w:val="Hyperlink"/>
                  <w:rFonts w:cs="Aptos"/>
                  <w:sz w:val="21"/>
                  <w:szCs w:val="21"/>
                </w:rPr>
                <w:t xml:space="preserve"> (Q-S)</w:t>
              </w:r>
            </w:hyperlink>
            <w:r w:rsidRPr="00015A9A">
              <w:rPr>
                <w:rFonts w:cs="Aptos"/>
                <w:sz w:val="21"/>
                <w:szCs w:val="21"/>
              </w:rPr>
              <w:t xml:space="preserve"> </w:t>
            </w:r>
          </w:p>
        </w:tc>
      </w:tr>
      <w:tr w:rsidR="00FA379B" w14:paraId="60AED2CE" w14:textId="77777777" w:rsidTr="00BF1894">
        <w:tc>
          <w:tcPr>
            <w:tcW w:w="3960" w:type="dxa"/>
          </w:tcPr>
          <w:p w14:paraId="293F3B9A" w14:textId="77777777" w:rsidR="00FA379B" w:rsidRPr="00CB64EC" w:rsidRDefault="00FA379B" w:rsidP="00BF1894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Mandatory disclosure regime</w:t>
            </w:r>
          </w:p>
        </w:tc>
        <w:tc>
          <w:tcPr>
            <w:tcW w:w="9810" w:type="dxa"/>
            <w:gridSpan w:val="2"/>
          </w:tcPr>
          <w:p w14:paraId="79DE4FF8" w14:textId="77777777" w:rsidR="00FA379B" w:rsidRDefault="00FA379B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Yes (</w:t>
            </w:r>
            <w:hyperlink r:id="rId44" w:history="1">
              <w:r w:rsidR="00653BCC" w:rsidRPr="00806A96">
                <w:rPr>
                  <w:rStyle w:val="Hyperlink"/>
                </w:rPr>
                <w:t>Section XVI</w:t>
              </w:r>
              <w:r w:rsidR="00822297" w:rsidRPr="00806A96">
                <w:rPr>
                  <w:rStyle w:val="Hyperlink"/>
                </w:rPr>
                <w:t>.B.</w:t>
              </w:r>
            </w:hyperlink>
            <w:r w:rsidR="00822297">
              <w:t>)</w:t>
            </w:r>
          </w:p>
        </w:tc>
      </w:tr>
      <w:tr w:rsidR="0037226A" w14:paraId="6CA97B96" w14:textId="77777777" w:rsidTr="00BF1894">
        <w:tc>
          <w:tcPr>
            <w:tcW w:w="3960" w:type="dxa"/>
          </w:tcPr>
          <w:p w14:paraId="2DDA1077" w14:textId="77777777" w:rsidR="0037226A" w:rsidRPr="00CB64EC" w:rsidRDefault="0037226A" w:rsidP="00BF1894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Foreign tax relief </w:t>
            </w:r>
          </w:p>
        </w:tc>
        <w:tc>
          <w:tcPr>
            <w:tcW w:w="9810" w:type="dxa"/>
            <w:gridSpan w:val="2"/>
          </w:tcPr>
          <w:p w14:paraId="21B660BA" w14:textId="77777777" w:rsidR="0037226A" w:rsidRPr="0037226A" w:rsidRDefault="00AE54E3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Participation exemption (Section XVI.</w:t>
            </w:r>
            <w:r w:rsidR="00803063">
              <w:rPr>
                <w:rFonts w:cs="Aptos"/>
                <w:sz w:val="21"/>
                <w:szCs w:val="21"/>
              </w:rPr>
              <w:t>C</w:t>
            </w:r>
            <w:r>
              <w:rPr>
                <w:rFonts w:cs="Aptos"/>
                <w:sz w:val="21"/>
                <w:szCs w:val="21"/>
              </w:rPr>
              <w:t>.1.</w:t>
            </w:r>
            <w:r w:rsidR="00803063">
              <w:rPr>
                <w:rFonts w:cs="Aptos"/>
                <w:sz w:val="21"/>
                <w:szCs w:val="21"/>
              </w:rPr>
              <w:t>a.</w:t>
            </w:r>
            <w:r>
              <w:rPr>
                <w:rFonts w:cs="Aptos"/>
                <w:sz w:val="21"/>
                <w:szCs w:val="21"/>
              </w:rPr>
              <w:t>); foreign tax credit</w:t>
            </w:r>
            <w:r w:rsidR="00335E48">
              <w:rPr>
                <w:rFonts w:cs="Aptos"/>
                <w:sz w:val="21"/>
                <w:szCs w:val="21"/>
              </w:rPr>
              <w:t xml:space="preserve"> (Section XVI.</w:t>
            </w:r>
            <w:r w:rsidR="00803063">
              <w:rPr>
                <w:rFonts w:cs="Aptos"/>
                <w:sz w:val="21"/>
                <w:szCs w:val="21"/>
              </w:rPr>
              <w:t>C</w:t>
            </w:r>
            <w:r w:rsidR="00335E48">
              <w:rPr>
                <w:rFonts w:cs="Aptos"/>
                <w:sz w:val="21"/>
                <w:szCs w:val="21"/>
              </w:rPr>
              <w:t>.</w:t>
            </w:r>
            <w:r w:rsidR="00803063">
              <w:rPr>
                <w:rFonts w:cs="Aptos"/>
                <w:sz w:val="21"/>
                <w:szCs w:val="21"/>
              </w:rPr>
              <w:t>1</w:t>
            </w:r>
            <w:r w:rsidR="00335E48">
              <w:rPr>
                <w:rFonts w:cs="Aptos"/>
                <w:sz w:val="21"/>
                <w:szCs w:val="21"/>
              </w:rPr>
              <w:t>.</w:t>
            </w:r>
            <w:r w:rsidR="00803063">
              <w:rPr>
                <w:rFonts w:cs="Aptos"/>
                <w:sz w:val="21"/>
                <w:szCs w:val="21"/>
              </w:rPr>
              <w:t>b.</w:t>
            </w:r>
            <w:r w:rsidR="00335E48">
              <w:rPr>
                <w:rFonts w:cs="Aptos"/>
                <w:sz w:val="21"/>
                <w:szCs w:val="21"/>
              </w:rPr>
              <w:t>)</w:t>
            </w:r>
            <w:r w:rsidR="00C90A04">
              <w:rPr>
                <w:rFonts w:cs="Aptos"/>
                <w:sz w:val="21"/>
                <w:szCs w:val="21"/>
              </w:rPr>
              <w:t xml:space="preserve">. While </w:t>
            </w:r>
            <w:r w:rsidR="00476F90">
              <w:rPr>
                <w:rFonts w:cs="Aptos"/>
                <w:sz w:val="21"/>
                <w:szCs w:val="21"/>
              </w:rPr>
              <w:t xml:space="preserve">some of Spain’s tax treaties provide for exemption with progression, </w:t>
            </w:r>
            <w:r w:rsidR="004769DA">
              <w:rPr>
                <w:rFonts w:cs="Aptos"/>
                <w:sz w:val="21"/>
                <w:szCs w:val="21"/>
              </w:rPr>
              <w:t>this is in the process of being abolished and replaced with the credit method, where possible. (</w:t>
            </w:r>
            <w:r w:rsidR="00DD1507">
              <w:rPr>
                <w:rFonts w:cs="Aptos"/>
                <w:sz w:val="21"/>
                <w:szCs w:val="21"/>
              </w:rPr>
              <w:t>Section XVI.</w:t>
            </w:r>
            <w:r w:rsidR="00803063">
              <w:rPr>
                <w:rFonts w:cs="Aptos"/>
                <w:sz w:val="21"/>
                <w:szCs w:val="21"/>
              </w:rPr>
              <w:t>C.2.)</w:t>
            </w:r>
          </w:p>
        </w:tc>
      </w:tr>
      <w:tr w:rsidR="0037226A" w14:paraId="6E1EE4D4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3CF7164A" w14:textId="77777777" w:rsidR="0037226A" w:rsidRPr="007E3F10" w:rsidRDefault="002D4A8E" w:rsidP="00BF1894">
            <w:pPr>
              <w:spacing w:before="120" w:after="120"/>
              <w:jc w:val="both"/>
              <w:rPr>
                <w:rFonts w:cs="Aptos"/>
                <w:color w:val="FFFFFF" w:themeColor="background1"/>
                <w:sz w:val="28"/>
                <w:szCs w:val="28"/>
              </w:rPr>
            </w:pPr>
            <w:r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Individuals</w:t>
            </w:r>
          </w:p>
        </w:tc>
      </w:tr>
      <w:tr w:rsidR="00A92894" w14:paraId="626FD230" w14:textId="77777777" w:rsidTr="00BF1894">
        <w:tc>
          <w:tcPr>
            <w:tcW w:w="3960" w:type="dxa"/>
          </w:tcPr>
          <w:p w14:paraId="323D91F3" w14:textId="77777777" w:rsidR="00A92894" w:rsidRPr="00CB64EC" w:rsidRDefault="00A92894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 Personal income tax rates </w:t>
            </w:r>
          </w:p>
        </w:tc>
        <w:tc>
          <w:tcPr>
            <w:tcW w:w="9810" w:type="dxa"/>
            <w:gridSpan w:val="2"/>
          </w:tcPr>
          <w:p w14:paraId="7F14F7B5" w14:textId="77777777" w:rsidR="00F5063B" w:rsidRDefault="001B0F1C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1B0F1C">
              <w:rPr>
                <w:rFonts w:cs="Aptos"/>
                <w:sz w:val="21"/>
                <w:szCs w:val="21"/>
              </w:rPr>
              <w:t xml:space="preserve">Income tax payable by a resident individual is a combination of national and regional tax rates on both ordinary and savings income. </w:t>
            </w:r>
            <w:r w:rsidR="00FD2D41">
              <w:rPr>
                <w:rFonts w:cs="Aptos"/>
                <w:sz w:val="21"/>
                <w:szCs w:val="21"/>
              </w:rPr>
              <w:t>T</w:t>
            </w:r>
            <w:r w:rsidRPr="001B0F1C">
              <w:rPr>
                <w:rFonts w:cs="Aptos"/>
                <w:sz w:val="21"/>
                <w:szCs w:val="21"/>
              </w:rPr>
              <w:t xml:space="preserve">he national tax rates apply to 50% of a taxpayer’s ordinary income </w:t>
            </w:r>
            <w:r w:rsidR="00923ECA">
              <w:rPr>
                <w:rFonts w:cs="Aptos"/>
                <w:sz w:val="21"/>
                <w:szCs w:val="21"/>
              </w:rPr>
              <w:t xml:space="preserve">(at progressive rates ranging from 9.5% to 24.5%) </w:t>
            </w:r>
            <w:r w:rsidRPr="001B0F1C">
              <w:rPr>
                <w:rFonts w:cs="Aptos"/>
                <w:sz w:val="21"/>
                <w:szCs w:val="21"/>
              </w:rPr>
              <w:t xml:space="preserve">and the regional tax rates apply to the </w:t>
            </w:r>
            <w:r w:rsidR="00FD2D41">
              <w:rPr>
                <w:rFonts w:cs="Aptos"/>
                <w:sz w:val="21"/>
                <w:szCs w:val="21"/>
              </w:rPr>
              <w:t>remaining</w:t>
            </w:r>
            <w:r w:rsidRPr="001B0F1C">
              <w:rPr>
                <w:rFonts w:cs="Aptos"/>
                <w:sz w:val="21"/>
                <w:szCs w:val="21"/>
              </w:rPr>
              <w:t xml:space="preserve"> 50%</w:t>
            </w:r>
            <w:r w:rsidR="00671675">
              <w:rPr>
                <w:rFonts w:cs="Aptos"/>
                <w:sz w:val="21"/>
                <w:szCs w:val="21"/>
              </w:rPr>
              <w:t xml:space="preserve"> (at progressive rates)</w:t>
            </w:r>
            <w:r w:rsidRPr="001B0F1C">
              <w:rPr>
                <w:rFonts w:cs="Aptos"/>
                <w:sz w:val="21"/>
                <w:szCs w:val="21"/>
              </w:rPr>
              <w:t xml:space="preserve">. Since the regions apply different tax rates and tax credits, the combined effective income tax rate on a resident individual will vary depending on the </w:t>
            </w:r>
            <w:r w:rsidR="00F5063B">
              <w:rPr>
                <w:rFonts w:cs="Aptos"/>
                <w:sz w:val="21"/>
                <w:szCs w:val="21"/>
              </w:rPr>
              <w:t>r</w:t>
            </w:r>
            <w:r w:rsidRPr="001B0F1C">
              <w:rPr>
                <w:rFonts w:cs="Aptos"/>
                <w:sz w:val="21"/>
                <w:szCs w:val="21"/>
              </w:rPr>
              <w:t xml:space="preserve">egion in which the individual </w:t>
            </w:r>
            <w:r w:rsidR="00F5063B">
              <w:rPr>
                <w:rFonts w:cs="Aptos"/>
                <w:sz w:val="21"/>
                <w:szCs w:val="21"/>
              </w:rPr>
              <w:t>resides.</w:t>
            </w:r>
            <w:r w:rsidR="009E1AB2">
              <w:rPr>
                <w:rFonts w:cs="Aptos"/>
                <w:sz w:val="21"/>
                <w:szCs w:val="21"/>
              </w:rPr>
              <w:t xml:space="preserve"> </w:t>
            </w:r>
          </w:p>
        </w:tc>
      </w:tr>
      <w:tr w:rsidR="00A92894" w14:paraId="74071697" w14:textId="77777777" w:rsidTr="00BF1894">
        <w:tc>
          <w:tcPr>
            <w:tcW w:w="3960" w:type="dxa"/>
          </w:tcPr>
          <w:p w14:paraId="76DF69F4" w14:textId="77777777" w:rsidR="00A92894" w:rsidRPr="00CB64EC" w:rsidRDefault="00A92894" w:rsidP="00BF1894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sz w:val="21"/>
                <w:szCs w:val="21"/>
              </w:rPr>
              <w:t>Equity incentives</w:t>
            </w:r>
          </w:p>
        </w:tc>
        <w:tc>
          <w:tcPr>
            <w:tcW w:w="9810" w:type="dxa"/>
            <w:gridSpan w:val="2"/>
          </w:tcPr>
          <w:p w14:paraId="73F0B2C5" w14:textId="77777777" w:rsidR="00A92894" w:rsidRPr="002D4A8E" w:rsidRDefault="00A92894" w:rsidP="00BF189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  <w:r w:rsidR="00733EEE">
              <w:rPr>
                <w:sz w:val="21"/>
                <w:szCs w:val="21"/>
              </w:rPr>
              <w:t xml:space="preserve"> (</w:t>
            </w:r>
            <w:hyperlink r:id="rId45" w:anchor="section(3)(3)(b)(3)(b)(1)(3)(b)(1)(a)_0" w:history="1">
              <w:r w:rsidR="00733EEE" w:rsidRPr="00EA42D7">
                <w:rPr>
                  <w:rStyle w:val="Hyperlink"/>
                  <w:sz w:val="21"/>
                  <w:szCs w:val="21"/>
                </w:rPr>
                <w:t>Section X.A.</w:t>
              </w:r>
              <w:r w:rsidR="00EA42D7" w:rsidRPr="00EA42D7">
                <w:rPr>
                  <w:rStyle w:val="Hyperlink"/>
                  <w:sz w:val="21"/>
                  <w:szCs w:val="21"/>
                </w:rPr>
                <w:t>3.b.(1</w:t>
              </w:r>
              <w:r w:rsidR="00733EEE" w:rsidRPr="00EA42D7">
                <w:rPr>
                  <w:rStyle w:val="Hyperlink"/>
                  <w:sz w:val="21"/>
                  <w:szCs w:val="21"/>
                </w:rPr>
                <w:t>)</w:t>
              </w:r>
              <w:r w:rsidR="00EA42D7" w:rsidRPr="00EA42D7">
                <w:rPr>
                  <w:rStyle w:val="Hyperlink"/>
                  <w:sz w:val="21"/>
                  <w:szCs w:val="21"/>
                </w:rPr>
                <w:t>.(a).</w:t>
              </w:r>
            </w:hyperlink>
            <w:r w:rsidR="00EA42D7">
              <w:rPr>
                <w:sz w:val="21"/>
                <w:szCs w:val="21"/>
              </w:rPr>
              <w:t>)</w:t>
            </w:r>
          </w:p>
        </w:tc>
      </w:tr>
      <w:tr w:rsidR="00A92894" w14:paraId="6D221814" w14:textId="77777777" w:rsidTr="00BF1894">
        <w:tc>
          <w:tcPr>
            <w:tcW w:w="3960" w:type="dxa"/>
          </w:tcPr>
          <w:p w14:paraId="4EFA95C4" w14:textId="77777777" w:rsidR="00A92894" w:rsidRPr="00CB64EC" w:rsidRDefault="00A92894" w:rsidP="00BF1894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sz w:val="21"/>
                <w:szCs w:val="21"/>
              </w:rPr>
              <w:t>Foreign tax relief</w:t>
            </w:r>
          </w:p>
        </w:tc>
        <w:tc>
          <w:tcPr>
            <w:tcW w:w="9810" w:type="dxa"/>
            <w:gridSpan w:val="2"/>
          </w:tcPr>
          <w:p w14:paraId="7E50643B" w14:textId="77777777" w:rsidR="00A92894" w:rsidRDefault="00A92894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Yes</w:t>
            </w:r>
            <w:r w:rsidR="009F7F22">
              <w:rPr>
                <w:rFonts w:cs="Aptos"/>
                <w:sz w:val="21"/>
                <w:szCs w:val="21"/>
              </w:rPr>
              <w:t xml:space="preserve"> (</w:t>
            </w:r>
            <w:hyperlink r:id="rId46" w:anchor="section(6)(6)(g)_0" w:history="1">
              <w:r w:rsidR="009F7F22" w:rsidRPr="00EA42D7">
                <w:rPr>
                  <w:rStyle w:val="Hyperlink"/>
                  <w:rFonts w:cs="Aptos"/>
                  <w:sz w:val="21"/>
                  <w:szCs w:val="21"/>
                </w:rPr>
                <w:t>Section X.A.6.g.</w:t>
              </w:r>
            </w:hyperlink>
            <w:r w:rsidR="009F7F22">
              <w:rPr>
                <w:rFonts w:cs="Aptos"/>
                <w:sz w:val="21"/>
                <w:szCs w:val="21"/>
              </w:rPr>
              <w:t>)</w:t>
            </w:r>
          </w:p>
        </w:tc>
      </w:tr>
      <w:tr w:rsidR="00560A3C" w14:paraId="4A1FD744" w14:textId="77777777" w:rsidTr="00BF1894">
        <w:tc>
          <w:tcPr>
            <w:tcW w:w="3960" w:type="dxa"/>
          </w:tcPr>
          <w:p w14:paraId="50029FCA" w14:textId="77777777" w:rsidR="00560A3C" w:rsidRPr="00CB64EC" w:rsidRDefault="00560A3C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Wealth tax </w:t>
            </w:r>
          </w:p>
          <w:p w14:paraId="0FB8F136" w14:textId="77777777" w:rsidR="00560A3C" w:rsidRPr="00CB64EC" w:rsidRDefault="00560A3C" w:rsidP="000F7FF6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Inheritance tax</w:t>
            </w:r>
            <w:r w:rsidR="000F7FF6"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 and g</w:t>
            </w: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ift tax</w:t>
            </w:r>
          </w:p>
        </w:tc>
        <w:tc>
          <w:tcPr>
            <w:tcW w:w="9810" w:type="dxa"/>
            <w:gridSpan w:val="2"/>
          </w:tcPr>
          <w:p w14:paraId="450A5C84" w14:textId="77777777" w:rsidR="00560A3C" w:rsidRDefault="00560A3C" w:rsidP="00BF189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N</w:t>
            </w:r>
            <w:r w:rsidR="00AF50EC">
              <w:rPr>
                <w:rFonts w:cs="Aptos"/>
                <w:sz w:val="21"/>
                <w:szCs w:val="21"/>
              </w:rPr>
              <w:t>et worth tax (</w:t>
            </w:r>
            <w:hyperlink r:id="rId47" w:history="1">
              <w:r w:rsidR="00AF50EC" w:rsidRPr="00EA42D7">
                <w:rPr>
                  <w:rStyle w:val="Hyperlink"/>
                  <w:rFonts w:cs="Aptos"/>
                  <w:sz w:val="21"/>
                  <w:szCs w:val="21"/>
                </w:rPr>
                <w:t>Section X.B.</w:t>
              </w:r>
            </w:hyperlink>
            <w:r w:rsidR="00370EB0">
              <w:rPr>
                <w:rFonts w:cs="Aptos"/>
                <w:sz w:val="21"/>
                <w:szCs w:val="21"/>
              </w:rPr>
              <w:t xml:space="preserve"> and </w:t>
            </w:r>
            <w:hyperlink r:id="rId48" w:history="1">
              <w:r w:rsidR="00370EB0" w:rsidRPr="00EA42D7">
                <w:rPr>
                  <w:rStyle w:val="Hyperlink"/>
                  <w:rFonts w:cs="Aptos"/>
                  <w:sz w:val="21"/>
                  <w:szCs w:val="21"/>
                </w:rPr>
                <w:t>Section XI.B.</w:t>
              </w:r>
            </w:hyperlink>
            <w:r w:rsidR="00370EB0">
              <w:rPr>
                <w:rFonts w:cs="Aptos"/>
                <w:sz w:val="21"/>
                <w:szCs w:val="21"/>
              </w:rPr>
              <w:t>)</w:t>
            </w:r>
          </w:p>
          <w:p w14:paraId="398BFAC3" w14:textId="77777777" w:rsidR="00560A3C" w:rsidRPr="00057359" w:rsidRDefault="00560A3C" w:rsidP="00BF189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Inheritance</w:t>
            </w:r>
            <w:r w:rsidR="00057359">
              <w:rPr>
                <w:rFonts w:cs="Aptos"/>
                <w:sz w:val="21"/>
                <w:szCs w:val="21"/>
              </w:rPr>
              <w:t xml:space="preserve"> and gift</w:t>
            </w:r>
            <w:r>
              <w:rPr>
                <w:rFonts w:cs="Aptos"/>
                <w:sz w:val="21"/>
                <w:szCs w:val="21"/>
              </w:rPr>
              <w:t xml:space="preserve"> tax </w:t>
            </w:r>
            <w:r w:rsidR="00D8235D">
              <w:rPr>
                <w:rFonts w:cs="Aptos"/>
                <w:sz w:val="21"/>
                <w:szCs w:val="21"/>
              </w:rPr>
              <w:t xml:space="preserve">rates </w:t>
            </w:r>
            <w:r w:rsidR="00057359">
              <w:rPr>
                <w:rFonts w:cs="Aptos"/>
                <w:sz w:val="21"/>
                <w:szCs w:val="21"/>
              </w:rPr>
              <w:t xml:space="preserve">are </w:t>
            </w:r>
            <w:r w:rsidR="00D8235D">
              <w:rPr>
                <w:rFonts w:cs="Aptos"/>
                <w:sz w:val="21"/>
                <w:szCs w:val="21"/>
              </w:rPr>
              <w:t>generally</w:t>
            </w:r>
            <w:r w:rsidR="00EA42D7">
              <w:rPr>
                <w:rFonts w:cs="Aptos"/>
                <w:sz w:val="21"/>
                <w:szCs w:val="21"/>
              </w:rPr>
              <w:t xml:space="preserve"> </w:t>
            </w:r>
            <w:r w:rsidR="00D8235D">
              <w:rPr>
                <w:rFonts w:cs="Aptos"/>
                <w:sz w:val="21"/>
                <w:szCs w:val="21"/>
              </w:rPr>
              <w:t>set</w:t>
            </w:r>
            <w:r w:rsidR="0046211E">
              <w:rPr>
                <w:rFonts w:cs="Aptos"/>
                <w:sz w:val="21"/>
                <w:szCs w:val="21"/>
              </w:rPr>
              <w:t xml:space="preserve"> out in the tax legislation of the competent region. </w:t>
            </w:r>
            <w:r w:rsidR="0046211E">
              <w:rPr>
                <w:rFonts w:cs="Aptos"/>
                <w:sz w:val="21"/>
                <w:szCs w:val="21"/>
              </w:rPr>
              <w:lastRenderedPageBreak/>
              <w:t>(</w:t>
            </w:r>
            <w:hyperlink r:id="rId49" w:anchor="section(1)_0" w:history="1">
              <w:r w:rsidR="00EA42D7" w:rsidRPr="00EA42D7">
                <w:rPr>
                  <w:rStyle w:val="Hyperlink"/>
                  <w:rFonts w:cs="Aptos"/>
                  <w:sz w:val="21"/>
                  <w:szCs w:val="21"/>
                </w:rPr>
                <w:t>Section XII.D.1.</w:t>
              </w:r>
            </w:hyperlink>
            <w:r w:rsidR="0046211E">
              <w:rPr>
                <w:rFonts w:cs="Aptos"/>
                <w:sz w:val="21"/>
                <w:szCs w:val="21"/>
              </w:rPr>
              <w:t>)</w:t>
            </w:r>
          </w:p>
        </w:tc>
      </w:tr>
      <w:tr w:rsidR="001538F2" w14:paraId="08828EB5" w14:textId="77777777" w:rsidTr="00BF1894">
        <w:tc>
          <w:tcPr>
            <w:tcW w:w="3960" w:type="dxa"/>
          </w:tcPr>
          <w:p w14:paraId="42923008" w14:textId="77777777" w:rsidR="001538F2" w:rsidRPr="00CB64EC" w:rsidRDefault="001538F2" w:rsidP="00BF1894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lastRenderedPageBreak/>
              <w:t>Exit taxes</w:t>
            </w:r>
          </w:p>
        </w:tc>
        <w:tc>
          <w:tcPr>
            <w:tcW w:w="9810" w:type="dxa"/>
            <w:gridSpan w:val="2"/>
          </w:tcPr>
          <w:p w14:paraId="7D49850F" w14:textId="77777777" w:rsidR="001538F2" w:rsidRPr="002A2FFA" w:rsidRDefault="00D42FD7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Yes (</w:t>
            </w:r>
            <w:hyperlink r:id="rId50" w:anchor="section(3)(3)(b)(3)(b)(4)(3)(b)(4)(c)_0" w:history="1">
              <w:r w:rsidRPr="00EA42D7">
                <w:rPr>
                  <w:rStyle w:val="Hyperlink"/>
                  <w:rFonts w:cs="Aptos"/>
                  <w:sz w:val="21"/>
                  <w:szCs w:val="21"/>
                </w:rPr>
                <w:t>Section X.A.3.b.</w:t>
              </w:r>
              <w:r w:rsidR="0075132B" w:rsidRPr="00EA42D7">
                <w:rPr>
                  <w:rStyle w:val="Hyperlink"/>
                  <w:rFonts w:cs="Aptos"/>
                  <w:sz w:val="21"/>
                  <w:szCs w:val="21"/>
                </w:rPr>
                <w:t>(4).(c).</w:t>
              </w:r>
            </w:hyperlink>
            <w:r w:rsidR="0075132B">
              <w:rPr>
                <w:rFonts w:cs="Aptos"/>
                <w:sz w:val="21"/>
                <w:szCs w:val="21"/>
              </w:rPr>
              <w:t>)</w:t>
            </w:r>
          </w:p>
        </w:tc>
      </w:tr>
      <w:tr w:rsidR="00560A3C" w14:paraId="659889B5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13A96BC8" w14:textId="77777777" w:rsidR="00560A3C" w:rsidRPr="00B94FFF" w:rsidRDefault="00560A3C" w:rsidP="00BF1894">
            <w:pPr>
              <w:spacing w:before="120" w:after="120"/>
              <w:jc w:val="both"/>
              <w:rPr>
                <w:rFonts w:cs="Aptos"/>
                <w:color w:val="FFFFFF" w:themeColor="background1"/>
                <w:sz w:val="28"/>
                <w:szCs w:val="28"/>
              </w:rPr>
            </w:pPr>
            <w:r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Other Taxes</w:t>
            </w:r>
          </w:p>
        </w:tc>
      </w:tr>
      <w:tr w:rsidR="006E3682" w14:paraId="63E1CACC" w14:textId="77777777" w:rsidTr="00BF1894">
        <w:tc>
          <w:tcPr>
            <w:tcW w:w="3960" w:type="dxa"/>
          </w:tcPr>
          <w:p w14:paraId="27E7CB7B" w14:textId="77777777" w:rsidR="006E3682" w:rsidRPr="00CB64EC" w:rsidRDefault="00E73024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VAT/GST</w:t>
            </w:r>
            <w:r w:rsidR="009A4B2B"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/Sales tax</w:t>
            </w:r>
            <w:r w:rsidR="006E3682"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9810" w:type="dxa"/>
            <w:gridSpan w:val="2"/>
          </w:tcPr>
          <w:p w14:paraId="027608A7" w14:textId="77777777" w:rsidR="006E3682" w:rsidRDefault="006E3682" w:rsidP="00BF189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VAT is charged at a standard rate of 2</w:t>
            </w:r>
            <w:r w:rsidR="008A6721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%. (</w:t>
            </w:r>
            <w:hyperlink r:id="rId51" w:history="1">
              <w:r w:rsidR="008A6721" w:rsidRPr="00EA42D7">
                <w:rPr>
                  <w:rStyle w:val="Hyperlink"/>
                </w:rPr>
                <w:t>Section</w:t>
              </w:r>
              <w:r w:rsidR="00DE6121" w:rsidRPr="00EA42D7">
                <w:rPr>
                  <w:rStyle w:val="Hyperlink"/>
                </w:rPr>
                <w:t xml:space="preserve"> XIII.G.</w:t>
              </w:r>
            </w:hyperlink>
            <w:r w:rsidR="00DE6121">
              <w:t>)</w:t>
            </w:r>
          </w:p>
          <w:p w14:paraId="05368F6A" w14:textId="77777777" w:rsidR="00CB50A6" w:rsidRDefault="00CB50A6" w:rsidP="00BF1894">
            <w:pPr>
              <w:jc w:val="both"/>
              <w:rPr>
                <w:rFonts w:cs="Aptos"/>
                <w:color w:val="333333"/>
                <w:sz w:val="21"/>
                <w:szCs w:val="21"/>
              </w:rPr>
            </w:pPr>
          </w:p>
          <w:p w14:paraId="19289773" w14:textId="77777777" w:rsidR="006E3682" w:rsidRPr="00A01BDC" w:rsidRDefault="006E3682" w:rsidP="00BF1894">
            <w:pPr>
              <w:jc w:val="both"/>
              <w:rPr>
                <w:sz w:val="21"/>
                <w:szCs w:val="21"/>
              </w:rPr>
            </w:pPr>
            <w:r w:rsidRPr="00A01BDC">
              <w:rPr>
                <w:rFonts w:cs="Aptos"/>
                <w:color w:val="333333"/>
                <w:sz w:val="21"/>
                <w:szCs w:val="21"/>
              </w:rPr>
              <w:t>T</w:t>
            </w:r>
            <w:r w:rsidR="00A756F9">
              <w:rPr>
                <w:rFonts w:cs="Aptos"/>
                <w:color w:val="333333"/>
                <w:sz w:val="21"/>
                <w:szCs w:val="21"/>
              </w:rPr>
              <w:t>here is no VAT</w:t>
            </w:r>
            <w:r w:rsidRPr="00A01BDC">
              <w:rPr>
                <w:rFonts w:cs="Aptos"/>
                <w:color w:val="333333"/>
                <w:sz w:val="21"/>
                <w:szCs w:val="21"/>
              </w:rPr>
              <w:t xml:space="preserve"> registration threshold</w:t>
            </w:r>
            <w:r w:rsidR="00A756F9">
              <w:rPr>
                <w:rFonts w:cs="Aptos"/>
                <w:color w:val="333333"/>
                <w:sz w:val="21"/>
                <w:szCs w:val="21"/>
              </w:rPr>
              <w:t xml:space="preserve"> in Spain</w:t>
            </w:r>
            <w:r w:rsidR="003611CE">
              <w:rPr>
                <w:rFonts w:cs="Aptos"/>
                <w:color w:val="333333"/>
                <w:sz w:val="21"/>
                <w:szCs w:val="21"/>
              </w:rPr>
              <w:t>.</w:t>
            </w:r>
            <w:r w:rsidRPr="00A01BDC">
              <w:rPr>
                <w:rFonts w:cs="Aptos"/>
                <w:sz w:val="21"/>
                <w:szCs w:val="21"/>
              </w:rPr>
              <w:t xml:space="preserve"> (</w:t>
            </w:r>
            <w:hyperlink r:id="rId52" w:anchor="section(2)(2)(b)(2)(b)(2)_0" w:history="1">
              <w:r w:rsidR="00A756F9" w:rsidRPr="00EA42D7">
                <w:rPr>
                  <w:rStyle w:val="Hyperlink"/>
                </w:rPr>
                <w:t xml:space="preserve">Section </w:t>
              </w:r>
              <w:r w:rsidR="005A3C6B" w:rsidRPr="00EA42D7">
                <w:rPr>
                  <w:rStyle w:val="Hyperlink"/>
                </w:rPr>
                <w:t>XIII.A.2.b.(2).</w:t>
              </w:r>
            </w:hyperlink>
            <w:r w:rsidR="005A3C6B">
              <w:t>)</w:t>
            </w:r>
          </w:p>
          <w:p w14:paraId="4546DB41" w14:textId="77777777" w:rsidR="00CB50A6" w:rsidRDefault="00CB50A6" w:rsidP="00BF1894">
            <w:pPr>
              <w:jc w:val="both"/>
              <w:rPr>
                <w:sz w:val="21"/>
                <w:szCs w:val="21"/>
              </w:rPr>
            </w:pPr>
          </w:p>
          <w:p w14:paraId="4A5617F4" w14:textId="77777777" w:rsidR="006E3682" w:rsidRDefault="006E3682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15320B">
              <w:rPr>
                <w:sz w:val="21"/>
                <w:szCs w:val="21"/>
              </w:rPr>
              <w:t>For further research on the</w:t>
            </w:r>
            <w:r w:rsidR="005A3C6B">
              <w:rPr>
                <w:sz w:val="21"/>
                <w:szCs w:val="21"/>
              </w:rPr>
              <w:t xml:space="preserve"> Spanish</w:t>
            </w:r>
            <w:r w:rsidRPr="0015320B">
              <w:rPr>
                <w:sz w:val="21"/>
                <w:szCs w:val="21"/>
              </w:rPr>
              <w:t xml:space="preserve"> VAT system, see also the </w:t>
            </w:r>
            <w:hyperlink r:id="rId53" w:history="1">
              <w:r w:rsidR="005A3C6B" w:rsidRPr="00453F67">
                <w:rPr>
                  <w:rStyle w:val="Hyperlink"/>
                </w:rPr>
                <w:t>VAT Navigator</w:t>
              </w:r>
            </w:hyperlink>
            <w:r w:rsidR="005A3C6B">
              <w:t>.</w:t>
            </w:r>
          </w:p>
        </w:tc>
      </w:tr>
      <w:tr w:rsidR="00754F54" w14:paraId="1E696D67" w14:textId="77777777" w:rsidTr="00BF1894">
        <w:tc>
          <w:tcPr>
            <w:tcW w:w="3960" w:type="dxa"/>
          </w:tcPr>
          <w:p w14:paraId="682DE82C" w14:textId="77777777" w:rsidR="00754F54" w:rsidRPr="00CB64EC" w:rsidRDefault="00754F54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Digital services tax </w:t>
            </w:r>
          </w:p>
        </w:tc>
        <w:tc>
          <w:tcPr>
            <w:tcW w:w="9810" w:type="dxa"/>
            <w:gridSpan w:val="2"/>
          </w:tcPr>
          <w:p w14:paraId="4430C7AF" w14:textId="77777777" w:rsidR="00754F54" w:rsidRDefault="001C5410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3</w:t>
            </w:r>
            <w:r w:rsidR="00754F54">
              <w:rPr>
                <w:rFonts w:cs="Aptos"/>
                <w:sz w:val="21"/>
                <w:szCs w:val="21"/>
              </w:rPr>
              <w:t>% digital services tax</w:t>
            </w:r>
            <w:r w:rsidR="0063119B">
              <w:rPr>
                <w:rFonts w:cs="Aptos"/>
                <w:sz w:val="21"/>
                <w:szCs w:val="21"/>
              </w:rPr>
              <w:t xml:space="preserve"> is </w:t>
            </w:r>
            <w:r w:rsidR="00D51A2D">
              <w:rPr>
                <w:rFonts w:cs="Aptos"/>
                <w:sz w:val="21"/>
                <w:szCs w:val="21"/>
              </w:rPr>
              <w:t>levied</w:t>
            </w:r>
            <w:r w:rsidR="00754F54">
              <w:rPr>
                <w:rFonts w:cs="Aptos"/>
                <w:sz w:val="21"/>
                <w:szCs w:val="21"/>
              </w:rPr>
              <w:t xml:space="preserve"> on the </w:t>
            </w:r>
            <w:r w:rsidR="009777B9">
              <w:rPr>
                <w:rFonts w:cs="Aptos"/>
                <w:sz w:val="21"/>
                <w:szCs w:val="21"/>
              </w:rPr>
              <w:t>provision of</w:t>
            </w:r>
            <w:r w:rsidR="00754F54">
              <w:rPr>
                <w:rFonts w:cs="Aptos"/>
                <w:sz w:val="21"/>
                <w:szCs w:val="21"/>
              </w:rPr>
              <w:t xml:space="preserve"> </w:t>
            </w:r>
            <w:r w:rsidR="00676A4F">
              <w:rPr>
                <w:rFonts w:cs="Aptos"/>
                <w:sz w:val="21"/>
                <w:szCs w:val="21"/>
              </w:rPr>
              <w:t xml:space="preserve">online advertising </w:t>
            </w:r>
            <w:r w:rsidR="009777B9">
              <w:rPr>
                <w:rFonts w:cs="Aptos"/>
                <w:sz w:val="21"/>
                <w:szCs w:val="21"/>
              </w:rPr>
              <w:t>services, online intermediation services and data transmission services</w:t>
            </w:r>
            <w:r w:rsidR="00754F54">
              <w:rPr>
                <w:rFonts w:cs="Aptos"/>
                <w:sz w:val="21"/>
                <w:szCs w:val="21"/>
              </w:rPr>
              <w:t xml:space="preserve"> that derive value from </w:t>
            </w:r>
            <w:r w:rsidR="00064E97">
              <w:rPr>
                <w:rFonts w:cs="Aptos"/>
                <w:sz w:val="21"/>
                <w:szCs w:val="21"/>
              </w:rPr>
              <w:t>Spanish</w:t>
            </w:r>
            <w:r w:rsidR="00754F54">
              <w:rPr>
                <w:rFonts w:cs="Aptos"/>
                <w:sz w:val="21"/>
                <w:szCs w:val="21"/>
              </w:rPr>
              <w:t xml:space="preserve"> users. (</w:t>
            </w:r>
            <w:hyperlink r:id="rId54" w:anchor="section(6)_0" w:history="1">
              <w:r w:rsidR="005D216F" w:rsidRPr="00EA42D7">
                <w:rPr>
                  <w:rStyle w:val="Hyperlink"/>
                  <w:rFonts w:cs="Aptos"/>
                  <w:sz w:val="21"/>
                  <w:szCs w:val="21"/>
                </w:rPr>
                <w:t>Section IV.F.</w:t>
              </w:r>
            </w:hyperlink>
            <w:r w:rsidR="00781CB8">
              <w:rPr>
                <w:rFonts w:cs="Aptos"/>
                <w:sz w:val="21"/>
                <w:szCs w:val="21"/>
              </w:rPr>
              <w:t xml:space="preserve"> and </w:t>
            </w:r>
            <w:hyperlink r:id="rId55" w:anchor="section(9)" w:history="1">
              <w:r w:rsidR="00781CB8" w:rsidRPr="00EA42D7">
                <w:rPr>
                  <w:rStyle w:val="Hyperlink"/>
                  <w:rFonts w:cs="Aptos"/>
                  <w:sz w:val="21"/>
                  <w:szCs w:val="21"/>
                </w:rPr>
                <w:t>Section V.B.9.</w:t>
              </w:r>
            </w:hyperlink>
            <w:r w:rsidR="00781CB8">
              <w:rPr>
                <w:rFonts w:cs="Aptos"/>
                <w:sz w:val="21"/>
                <w:szCs w:val="21"/>
              </w:rPr>
              <w:t>)</w:t>
            </w:r>
          </w:p>
        </w:tc>
      </w:tr>
      <w:tr w:rsidR="00995520" w14:paraId="1CFB8C3A" w14:textId="77777777" w:rsidTr="00BF1894">
        <w:tc>
          <w:tcPr>
            <w:tcW w:w="3960" w:type="dxa"/>
          </w:tcPr>
          <w:p w14:paraId="4D96C050" w14:textId="77777777" w:rsidR="00995520" w:rsidRPr="00CB64EC" w:rsidRDefault="00995520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Local taxes </w:t>
            </w:r>
          </w:p>
        </w:tc>
        <w:tc>
          <w:tcPr>
            <w:tcW w:w="9810" w:type="dxa"/>
            <w:gridSpan w:val="2"/>
          </w:tcPr>
          <w:p w14:paraId="2B5CAA3C" w14:textId="77777777" w:rsidR="00995520" w:rsidRDefault="00B935B0" w:rsidP="00BF1894">
            <w:pPr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>Compulsory taxes levied by all municipalities (including business activities tax</w:t>
            </w:r>
            <w:r w:rsidR="001D4C3F">
              <w:rPr>
                <w:rFonts w:cs="Aptos"/>
                <w:sz w:val="21"/>
                <w:szCs w:val="21"/>
              </w:rPr>
              <w:t xml:space="preserve">, real property tax and motor vehicle tax) and optional local taxes (such as </w:t>
            </w:r>
            <w:r w:rsidR="00D60D62">
              <w:rPr>
                <w:rFonts w:cs="Aptos"/>
                <w:sz w:val="21"/>
                <w:szCs w:val="21"/>
              </w:rPr>
              <w:t>taxes on construction, urban land appreciation or luxury expenses)</w:t>
            </w:r>
            <w:r w:rsidR="00995520">
              <w:rPr>
                <w:rFonts w:cs="Aptos"/>
                <w:sz w:val="21"/>
                <w:szCs w:val="21"/>
              </w:rPr>
              <w:t xml:space="preserve">. </w:t>
            </w:r>
            <w:r w:rsidR="00D60D62">
              <w:rPr>
                <w:rFonts w:cs="Aptos"/>
                <w:sz w:val="21"/>
                <w:szCs w:val="21"/>
              </w:rPr>
              <w:t>(</w:t>
            </w:r>
            <w:hyperlink r:id="rId56" w:anchor="section(10)" w:history="1">
              <w:r w:rsidR="00453F67" w:rsidRPr="00453F67">
                <w:rPr>
                  <w:rStyle w:val="Hyperlink"/>
                  <w:rFonts w:cs="Aptos"/>
                  <w:sz w:val="21"/>
                  <w:szCs w:val="21"/>
                </w:rPr>
                <w:t>Section V.B.10.</w:t>
              </w:r>
            </w:hyperlink>
            <w:r w:rsidR="0065347C">
              <w:rPr>
                <w:rFonts w:cs="Aptos"/>
                <w:sz w:val="21"/>
                <w:szCs w:val="21"/>
              </w:rPr>
              <w:t>)</w:t>
            </w:r>
          </w:p>
        </w:tc>
      </w:tr>
      <w:tr w:rsidR="00995520" w14:paraId="0C2E7A6E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793F4B08" w14:textId="77777777" w:rsidR="00995520" w:rsidRPr="00186C64" w:rsidRDefault="00995520" w:rsidP="00BF1894">
            <w:pPr>
              <w:spacing w:before="120" w:after="120"/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7C0543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Administrative</w:t>
            </w:r>
          </w:p>
        </w:tc>
      </w:tr>
      <w:tr w:rsidR="00236134" w14:paraId="27036458" w14:textId="77777777" w:rsidTr="00BF1894">
        <w:tc>
          <w:tcPr>
            <w:tcW w:w="3960" w:type="dxa"/>
            <w:hideMark/>
          </w:tcPr>
          <w:p w14:paraId="6E1B7FA3" w14:textId="77777777" w:rsidR="00236134" w:rsidRPr="00CB64EC" w:rsidRDefault="00236134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Standard tax return filing date </w:t>
            </w:r>
          </w:p>
        </w:tc>
        <w:tc>
          <w:tcPr>
            <w:tcW w:w="9810" w:type="dxa"/>
            <w:gridSpan w:val="2"/>
            <w:hideMark/>
          </w:tcPr>
          <w:p w14:paraId="2FFC7A77" w14:textId="77777777" w:rsidR="00236134" w:rsidRPr="00A94D57" w:rsidRDefault="00327F16" w:rsidP="00A94D57">
            <w:pPr>
              <w:jc w:val="both"/>
              <w:rPr>
                <w:rFonts w:cs="Aptos"/>
                <w:sz w:val="21"/>
                <w:szCs w:val="21"/>
              </w:rPr>
            </w:pPr>
            <w:r w:rsidRPr="00A94D57">
              <w:rPr>
                <w:rFonts w:cs="Aptos"/>
                <w:sz w:val="21"/>
                <w:szCs w:val="21"/>
                <w:u w:val="single"/>
              </w:rPr>
              <w:t>Corporate Income Tax Return</w:t>
            </w:r>
            <w:r w:rsidRPr="00A94D57">
              <w:rPr>
                <w:rFonts w:cs="Aptos"/>
                <w:sz w:val="21"/>
                <w:szCs w:val="21"/>
              </w:rPr>
              <w:t xml:space="preserve">: </w:t>
            </w:r>
            <w:r w:rsidR="007D21F5" w:rsidRPr="00A94D57">
              <w:rPr>
                <w:rFonts w:cs="Aptos"/>
                <w:sz w:val="21"/>
                <w:szCs w:val="21"/>
              </w:rPr>
              <w:t>within 25 days after six months following the close of the taxable year</w:t>
            </w:r>
            <w:r w:rsidR="00445367" w:rsidRPr="00A94D57">
              <w:rPr>
                <w:rFonts w:cs="Aptos"/>
                <w:sz w:val="21"/>
                <w:szCs w:val="21"/>
              </w:rPr>
              <w:t xml:space="preserve">. </w:t>
            </w:r>
            <w:r w:rsidR="00236134" w:rsidRPr="00A94D57">
              <w:rPr>
                <w:rFonts w:cs="Aptos"/>
                <w:sz w:val="21"/>
                <w:szCs w:val="21"/>
              </w:rPr>
              <w:t>(</w:t>
            </w:r>
            <w:hyperlink r:id="rId57" w:anchor="section(9)(9)(b)_0" w:history="1">
              <w:r w:rsidR="007D21F5" w:rsidRPr="00A94D57">
                <w:rPr>
                  <w:rStyle w:val="Hyperlink"/>
                  <w:rFonts w:cs="Aptos"/>
                  <w:sz w:val="21"/>
                  <w:szCs w:val="21"/>
                </w:rPr>
                <w:t>Section V.</w:t>
              </w:r>
              <w:r w:rsidR="00453F67" w:rsidRPr="00A94D57">
                <w:rPr>
                  <w:rStyle w:val="Hyperlink"/>
                  <w:rFonts w:cs="Aptos"/>
                  <w:sz w:val="21"/>
                  <w:szCs w:val="21"/>
                </w:rPr>
                <w:t>A</w:t>
              </w:r>
              <w:r w:rsidR="007D21F5" w:rsidRPr="00A94D57">
                <w:rPr>
                  <w:rStyle w:val="Hyperlink"/>
                  <w:rFonts w:cs="Aptos"/>
                  <w:sz w:val="21"/>
                  <w:szCs w:val="21"/>
                </w:rPr>
                <w:t>.9.</w:t>
              </w:r>
              <w:r w:rsidR="00121FEC" w:rsidRPr="00A94D57">
                <w:rPr>
                  <w:rStyle w:val="Hyperlink"/>
                  <w:rFonts w:cs="Aptos"/>
                  <w:sz w:val="21"/>
                  <w:szCs w:val="21"/>
                </w:rPr>
                <w:t>b.</w:t>
              </w:r>
            </w:hyperlink>
            <w:r w:rsidR="00121FEC" w:rsidRPr="00A94D57">
              <w:rPr>
                <w:rFonts w:cs="Aptos"/>
                <w:sz w:val="21"/>
                <w:szCs w:val="21"/>
              </w:rPr>
              <w:t>)</w:t>
            </w:r>
          </w:p>
          <w:p w14:paraId="03F2F097" w14:textId="77777777" w:rsidR="00A94D57" w:rsidRDefault="00A94D57" w:rsidP="00A94D57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1A047DAA" w14:textId="77777777" w:rsidR="00236134" w:rsidRPr="00A94D57" w:rsidRDefault="00236134" w:rsidP="00A94D57">
            <w:pPr>
              <w:jc w:val="both"/>
              <w:rPr>
                <w:rFonts w:cs="Aptos"/>
                <w:sz w:val="21"/>
                <w:szCs w:val="21"/>
              </w:rPr>
            </w:pPr>
            <w:r w:rsidRPr="00A94D57">
              <w:rPr>
                <w:rFonts w:cs="Aptos"/>
                <w:sz w:val="21"/>
                <w:szCs w:val="21"/>
                <w:u w:val="single"/>
              </w:rPr>
              <w:t>Individual Income Tax Return</w:t>
            </w:r>
            <w:r w:rsidR="00327F16" w:rsidRPr="00A94D57">
              <w:rPr>
                <w:rFonts w:cs="Aptos"/>
                <w:sz w:val="21"/>
                <w:szCs w:val="21"/>
              </w:rPr>
              <w:t xml:space="preserve">: </w:t>
            </w:r>
            <w:r w:rsidR="00D15639" w:rsidRPr="00A94D57">
              <w:rPr>
                <w:rFonts w:cs="Aptos"/>
                <w:sz w:val="21"/>
                <w:szCs w:val="21"/>
              </w:rPr>
              <w:t>b</w:t>
            </w:r>
            <w:r w:rsidR="00982045" w:rsidRPr="00A94D57">
              <w:rPr>
                <w:rFonts w:cs="Aptos"/>
                <w:sz w:val="21"/>
                <w:szCs w:val="21"/>
              </w:rPr>
              <w:t>etwee</w:t>
            </w:r>
            <w:r w:rsidR="00866FD1" w:rsidRPr="00A94D57">
              <w:rPr>
                <w:rFonts w:cs="Aptos"/>
                <w:sz w:val="21"/>
                <w:szCs w:val="21"/>
              </w:rPr>
              <w:t>n May 1 and June 30</w:t>
            </w:r>
            <w:r w:rsidR="0050011C" w:rsidRPr="00A94D57">
              <w:rPr>
                <w:rFonts w:cs="Aptos"/>
                <w:sz w:val="21"/>
                <w:szCs w:val="21"/>
              </w:rPr>
              <w:t xml:space="preserve"> following the relevant year of assessment</w:t>
            </w:r>
            <w:r w:rsidR="00866FD1" w:rsidRPr="00A94D57">
              <w:rPr>
                <w:rFonts w:cs="Aptos"/>
                <w:sz w:val="21"/>
                <w:szCs w:val="21"/>
              </w:rPr>
              <w:t xml:space="preserve">, </w:t>
            </w:r>
            <w:r w:rsidR="0004041D" w:rsidRPr="00A94D57">
              <w:rPr>
                <w:rFonts w:cs="Aptos"/>
                <w:sz w:val="21"/>
                <w:szCs w:val="21"/>
              </w:rPr>
              <w:t>as per the annual</w:t>
            </w:r>
            <w:r w:rsidR="00987092" w:rsidRPr="00A94D57">
              <w:rPr>
                <w:rFonts w:cs="Aptos"/>
                <w:sz w:val="21"/>
                <w:szCs w:val="21"/>
              </w:rPr>
              <w:t xml:space="preserve"> ministerial order</w:t>
            </w:r>
            <w:r w:rsidR="00453F67" w:rsidRPr="00A94D57">
              <w:rPr>
                <w:rFonts w:cs="Aptos"/>
                <w:sz w:val="21"/>
                <w:szCs w:val="21"/>
              </w:rPr>
              <w:t>.</w:t>
            </w:r>
            <w:r w:rsidR="00987092" w:rsidRPr="00A94D57">
              <w:rPr>
                <w:rFonts w:cs="Aptos"/>
                <w:sz w:val="21"/>
                <w:szCs w:val="21"/>
              </w:rPr>
              <w:t xml:space="preserve"> </w:t>
            </w:r>
            <w:r w:rsidR="0050011C" w:rsidRPr="00A94D57">
              <w:rPr>
                <w:rFonts w:cs="Aptos"/>
                <w:sz w:val="21"/>
                <w:szCs w:val="21"/>
              </w:rPr>
              <w:t>(</w:t>
            </w:r>
            <w:hyperlink r:id="rId58" w:anchor="section(7)(7)(c)_0" w:history="1">
              <w:r w:rsidR="009E3E40" w:rsidRPr="00453F67">
                <w:rPr>
                  <w:rStyle w:val="Hyperlink"/>
                </w:rPr>
                <w:t>Section X.A.7.c.</w:t>
              </w:r>
            </w:hyperlink>
            <w:r w:rsidR="009E3E40">
              <w:t>)</w:t>
            </w:r>
          </w:p>
          <w:p w14:paraId="3955AE10" w14:textId="77777777" w:rsidR="00236134" w:rsidRDefault="00236134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</w:tc>
      </w:tr>
      <w:tr w:rsidR="00236134" w14:paraId="67C44D58" w14:textId="77777777" w:rsidTr="00BF1894">
        <w:tc>
          <w:tcPr>
            <w:tcW w:w="3960" w:type="dxa"/>
            <w:hideMark/>
          </w:tcPr>
          <w:p w14:paraId="482D5737" w14:textId="77777777" w:rsidR="00236134" w:rsidRPr="00CB64EC" w:rsidRDefault="00236134" w:rsidP="00BF1894">
            <w:pPr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Limitation period for assessment</w:t>
            </w:r>
          </w:p>
        </w:tc>
        <w:tc>
          <w:tcPr>
            <w:tcW w:w="9810" w:type="dxa"/>
            <w:gridSpan w:val="2"/>
            <w:hideMark/>
          </w:tcPr>
          <w:p w14:paraId="0E77AB41" w14:textId="77777777" w:rsidR="00236134" w:rsidRDefault="002A28F3" w:rsidP="00BF18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 xml:space="preserve">Audit and assessment of taxes; tax collection; imposition of penalties; taxpayers’ right to claim tax refunds: </w:t>
            </w:r>
            <w:r w:rsidR="00236134">
              <w:rPr>
                <w:rFonts w:cs="Aptos"/>
                <w:sz w:val="21"/>
                <w:szCs w:val="21"/>
              </w:rPr>
              <w:t xml:space="preserve">4 years from the </w:t>
            </w:r>
            <w:r w:rsidR="00CF3FC4">
              <w:rPr>
                <w:rFonts w:cs="Aptos"/>
                <w:sz w:val="21"/>
                <w:szCs w:val="21"/>
              </w:rPr>
              <w:t xml:space="preserve">day </w:t>
            </w:r>
            <w:r w:rsidR="006404D3">
              <w:rPr>
                <w:rFonts w:cs="Aptos"/>
                <w:sz w:val="21"/>
                <w:szCs w:val="21"/>
              </w:rPr>
              <w:t>following the end of the voluntary tax filing period</w:t>
            </w:r>
            <w:r w:rsidR="00453F67">
              <w:rPr>
                <w:rFonts w:cs="Aptos"/>
                <w:sz w:val="21"/>
                <w:szCs w:val="21"/>
              </w:rPr>
              <w:t>.</w:t>
            </w:r>
          </w:p>
          <w:p w14:paraId="1FF1A106" w14:textId="77777777" w:rsidR="00200395" w:rsidRDefault="00200395" w:rsidP="00200395">
            <w:pPr>
              <w:pStyle w:val="ListParagraph"/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</w:p>
          <w:p w14:paraId="13BB36CD" w14:textId="77777777" w:rsidR="006404D3" w:rsidRDefault="002F6449" w:rsidP="00BF18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>
              <w:rPr>
                <w:rFonts w:cs="Aptos"/>
                <w:sz w:val="21"/>
                <w:szCs w:val="21"/>
              </w:rPr>
              <w:t xml:space="preserve">Criminal prosecution: </w:t>
            </w:r>
            <w:r w:rsidR="006404D3">
              <w:rPr>
                <w:rFonts w:cs="Aptos"/>
                <w:sz w:val="21"/>
                <w:szCs w:val="21"/>
              </w:rPr>
              <w:t>5 years</w:t>
            </w:r>
          </w:p>
          <w:p w14:paraId="1032253A" w14:textId="77777777" w:rsidR="00200395" w:rsidRPr="00200395" w:rsidRDefault="00200395" w:rsidP="00200395">
            <w:pPr>
              <w:jc w:val="both"/>
              <w:rPr>
                <w:rFonts w:cs="Aptos"/>
                <w:sz w:val="21"/>
                <w:szCs w:val="21"/>
              </w:rPr>
            </w:pPr>
          </w:p>
          <w:p w14:paraId="6ECAD1DF" w14:textId="77777777" w:rsidR="00387CCE" w:rsidRPr="00671675" w:rsidRDefault="002F6449" w:rsidP="00387CC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  <w:r w:rsidRPr="00671675">
              <w:rPr>
                <w:rFonts w:cs="Aptos"/>
                <w:sz w:val="21"/>
                <w:szCs w:val="21"/>
              </w:rPr>
              <w:t>N</w:t>
            </w:r>
            <w:r w:rsidR="00857DD5" w:rsidRPr="00671675">
              <w:rPr>
                <w:rFonts w:cs="Aptos"/>
                <w:sz w:val="21"/>
                <w:szCs w:val="21"/>
              </w:rPr>
              <w:t>et operating loss</w:t>
            </w:r>
            <w:r w:rsidR="00907728" w:rsidRPr="00671675">
              <w:rPr>
                <w:rFonts w:cs="Aptos"/>
                <w:sz w:val="21"/>
                <w:szCs w:val="21"/>
              </w:rPr>
              <w:t xml:space="preserve"> (NOL) </w:t>
            </w:r>
            <w:r w:rsidR="009B4218" w:rsidRPr="00671675">
              <w:rPr>
                <w:rFonts w:cs="Aptos"/>
                <w:sz w:val="21"/>
                <w:szCs w:val="21"/>
              </w:rPr>
              <w:t>offsets, carryforwards and tax credits</w:t>
            </w:r>
            <w:r w:rsidR="00187523" w:rsidRPr="00671675">
              <w:rPr>
                <w:rFonts w:cs="Aptos"/>
                <w:sz w:val="21"/>
                <w:szCs w:val="21"/>
              </w:rPr>
              <w:t xml:space="preserve">: </w:t>
            </w:r>
            <w:r w:rsidR="00B064BB" w:rsidRPr="00671675">
              <w:rPr>
                <w:rFonts w:cs="Aptos"/>
                <w:sz w:val="21"/>
                <w:szCs w:val="21"/>
              </w:rPr>
              <w:t>10 years</w:t>
            </w:r>
          </w:p>
          <w:p w14:paraId="75E253DD" w14:textId="77777777" w:rsidR="00A679E4" w:rsidRPr="00077FF3" w:rsidRDefault="00A679E4" w:rsidP="00077FF3">
            <w:pPr>
              <w:jc w:val="both"/>
              <w:rPr>
                <w:rFonts w:cs="Aptos"/>
                <w:sz w:val="21"/>
                <w:szCs w:val="21"/>
              </w:rPr>
            </w:pPr>
            <w:r w:rsidRPr="00077FF3">
              <w:rPr>
                <w:rFonts w:cs="Aptos"/>
                <w:sz w:val="21"/>
                <w:szCs w:val="21"/>
              </w:rPr>
              <w:t>(</w:t>
            </w:r>
            <w:hyperlink r:id="rId59" w:anchor="section(10)(10)(e)_0" w:history="1">
              <w:r w:rsidRPr="00453F67">
                <w:rPr>
                  <w:rStyle w:val="Hyperlink"/>
                  <w:rFonts w:cs="Aptos"/>
                  <w:sz w:val="21"/>
                  <w:szCs w:val="21"/>
                </w:rPr>
                <w:t>Section V.A.</w:t>
              </w:r>
              <w:r w:rsidR="00077FF3" w:rsidRPr="00453F67">
                <w:rPr>
                  <w:rStyle w:val="Hyperlink"/>
                  <w:rFonts w:cs="Aptos"/>
                  <w:sz w:val="21"/>
                  <w:szCs w:val="21"/>
                </w:rPr>
                <w:t>10.e.</w:t>
              </w:r>
            </w:hyperlink>
            <w:r w:rsidR="00077FF3" w:rsidRPr="00077FF3">
              <w:rPr>
                <w:rFonts w:cs="Aptos"/>
                <w:sz w:val="21"/>
                <w:szCs w:val="21"/>
              </w:rPr>
              <w:t>)</w:t>
            </w:r>
          </w:p>
          <w:p w14:paraId="06B84F3B" w14:textId="77777777" w:rsidR="00236134" w:rsidRDefault="00236134" w:rsidP="00BF1894">
            <w:pPr>
              <w:pStyle w:val="ListParagraph"/>
              <w:spacing w:line="240" w:lineRule="auto"/>
              <w:jc w:val="both"/>
              <w:rPr>
                <w:rFonts w:cs="Aptos"/>
                <w:sz w:val="21"/>
                <w:szCs w:val="21"/>
              </w:rPr>
            </w:pPr>
          </w:p>
        </w:tc>
      </w:tr>
      <w:tr w:rsidR="00236134" w:rsidRPr="00642620" w14:paraId="47D402FF" w14:textId="77777777" w:rsidTr="00BF1894">
        <w:tc>
          <w:tcPr>
            <w:tcW w:w="3960" w:type="dxa"/>
          </w:tcPr>
          <w:p w14:paraId="70D80AAC" w14:textId="77777777" w:rsidR="00236134" w:rsidRPr="00CB64EC" w:rsidRDefault="00236134" w:rsidP="00BF1894">
            <w:pPr>
              <w:jc w:val="both"/>
              <w:rPr>
                <w:rFonts w:cs="Aptos"/>
                <w:b/>
                <w:bCs/>
                <w:color w:val="333333"/>
                <w:sz w:val="21"/>
                <w:szCs w:val="21"/>
              </w:rPr>
            </w:pPr>
            <w:r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>Advance tax rulings</w:t>
            </w:r>
            <w:r w:rsidR="00642620" w:rsidRPr="00CB64EC">
              <w:rPr>
                <w:rFonts w:cs="Aptos"/>
                <w:b/>
                <w:bCs/>
                <w:color w:val="333333"/>
                <w:sz w:val="21"/>
                <w:szCs w:val="21"/>
              </w:rPr>
              <w:t xml:space="preserve">. </w:t>
            </w:r>
          </w:p>
        </w:tc>
        <w:tc>
          <w:tcPr>
            <w:tcW w:w="9810" w:type="dxa"/>
            <w:gridSpan w:val="2"/>
          </w:tcPr>
          <w:p w14:paraId="2B1E634B" w14:textId="77777777" w:rsidR="00236134" w:rsidRPr="00642620" w:rsidRDefault="00236134" w:rsidP="00BF1894">
            <w:pPr>
              <w:jc w:val="both"/>
              <w:rPr>
                <w:rFonts w:cs="Aptos"/>
                <w:sz w:val="21"/>
                <w:szCs w:val="21"/>
              </w:rPr>
            </w:pPr>
            <w:r w:rsidRPr="00642620">
              <w:rPr>
                <w:rFonts w:cs="Aptos"/>
                <w:sz w:val="21"/>
                <w:szCs w:val="21"/>
              </w:rPr>
              <w:t xml:space="preserve">Yes. </w:t>
            </w:r>
            <w:r w:rsidR="00546C4B" w:rsidRPr="00546C4B">
              <w:rPr>
                <w:rFonts w:cs="Aptos"/>
                <w:sz w:val="21"/>
                <w:szCs w:val="21"/>
              </w:rPr>
              <w:t xml:space="preserve">Tax rulings are binding on the AEAT, not only with respect to the taxpayer who requested the ruling but also with </w:t>
            </w:r>
            <w:proofErr w:type="gramStart"/>
            <w:r w:rsidR="00546C4B" w:rsidRPr="00546C4B">
              <w:rPr>
                <w:rFonts w:cs="Aptos"/>
                <w:sz w:val="21"/>
                <w:szCs w:val="21"/>
              </w:rPr>
              <w:t>regards</w:t>
            </w:r>
            <w:proofErr w:type="gramEnd"/>
            <w:r w:rsidR="00546C4B" w:rsidRPr="00546C4B">
              <w:rPr>
                <w:rFonts w:cs="Aptos"/>
                <w:sz w:val="21"/>
                <w:szCs w:val="21"/>
              </w:rPr>
              <w:t xml:space="preserve"> to any other taxpayers in the same circumstances.</w:t>
            </w:r>
            <w:r w:rsidR="00E05E6B">
              <w:rPr>
                <w:rFonts w:cs="Aptos"/>
                <w:sz w:val="21"/>
                <w:szCs w:val="21"/>
              </w:rPr>
              <w:t xml:space="preserve"> </w:t>
            </w:r>
            <w:r w:rsidRPr="00642620">
              <w:rPr>
                <w:rFonts w:cs="Aptos"/>
                <w:sz w:val="21"/>
                <w:szCs w:val="21"/>
              </w:rPr>
              <w:t>(</w:t>
            </w:r>
            <w:hyperlink r:id="rId60" w:anchor="section(2)_0" w:history="1">
              <w:r w:rsidRPr="00642620">
                <w:rPr>
                  <w:rStyle w:val="Hyperlink"/>
                  <w:rFonts w:cs="Aptos"/>
                  <w:sz w:val="21"/>
                  <w:szCs w:val="21"/>
                </w:rPr>
                <w:t>Section IV.A.2.</w:t>
              </w:r>
            </w:hyperlink>
            <w:r w:rsidRPr="00642620">
              <w:rPr>
                <w:rFonts w:cs="Aptos"/>
                <w:sz w:val="21"/>
                <w:szCs w:val="21"/>
              </w:rPr>
              <w:t>)</w:t>
            </w:r>
          </w:p>
        </w:tc>
      </w:tr>
    </w:tbl>
    <w:p w14:paraId="2B83C6CE" w14:textId="77777777" w:rsidR="00717CDF" w:rsidRPr="00851C37" w:rsidRDefault="00717CDF" w:rsidP="00851C37">
      <w:pPr>
        <w:rPr>
          <w:rFonts w:cs="Aptos"/>
          <w:b/>
          <w:bCs/>
          <w:sz w:val="32"/>
          <w:szCs w:val="32"/>
        </w:rPr>
      </w:pPr>
    </w:p>
    <w:sectPr w:rsidR="00717CDF" w:rsidRPr="00851C37" w:rsidSect="000C13EB">
      <w:headerReference w:type="default" r:id="rId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2697" w14:textId="77777777" w:rsidR="00AD040B" w:rsidRDefault="00AD040B" w:rsidP="00987B81">
      <w:pPr>
        <w:spacing w:after="0" w:line="240" w:lineRule="auto"/>
      </w:pPr>
      <w:r>
        <w:separator/>
      </w:r>
    </w:p>
  </w:endnote>
  <w:endnote w:type="continuationSeparator" w:id="0">
    <w:p w14:paraId="7F660F0E" w14:textId="77777777" w:rsidR="00AD040B" w:rsidRDefault="00AD040B" w:rsidP="0098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5406" w14:textId="77777777" w:rsidR="00AD040B" w:rsidRDefault="00AD040B" w:rsidP="00987B81">
      <w:pPr>
        <w:spacing w:after="0" w:line="240" w:lineRule="auto"/>
      </w:pPr>
      <w:r>
        <w:separator/>
      </w:r>
    </w:p>
  </w:footnote>
  <w:footnote w:type="continuationSeparator" w:id="0">
    <w:p w14:paraId="64DA7937" w14:textId="77777777" w:rsidR="00AD040B" w:rsidRDefault="00AD040B" w:rsidP="0098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2A09" w14:textId="77777777" w:rsidR="00987B81" w:rsidRPr="00655FE3" w:rsidRDefault="00524739" w:rsidP="00987B81">
    <w:pPr>
      <w:rPr>
        <w:rFonts w:cs="Aptos"/>
        <w:b/>
        <w:bCs/>
        <w:sz w:val="32"/>
        <w:szCs w:val="32"/>
      </w:rPr>
    </w:pPr>
    <w:r>
      <w:rPr>
        <w:rFonts w:cs="Aptos"/>
        <w:b/>
        <w:bCs/>
        <w:sz w:val="32"/>
        <w:szCs w:val="32"/>
      </w:rPr>
      <w:t>SPAIN</w:t>
    </w:r>
    <w:r w:rsidR="00987B81" w:rsidRPr="00655FE3">
      <w:rPr>
        <w:rFonts w:cs="Aptos"/>
        <w:b/>
        <w:bCs/>
        <w:sz w:val="32"/>
        <w:szCs w:val="32"/>
      </w:rPr>
      <w:t xml:space="preserve"> – </w:t>
    </w:r>
    <w:r w:rsidR="00987B81" w:rsidRPr="00BF1894">
      <w:rPr>
        <w:rFonts w:cs="Aptos"/>
        <w:b/>
        <w:bCs/>
        <w:sz w:val="32"/>
        <w:szCs w:val="32"/>
      </w:rPr>
      <w:t>Tax System Overview</w:t>
    </w:r>
  </w:p>
  <w:p w14:paraId="757C7B79" w14:textId="77777777" w:rsidR="00987B81" w:rsidRDefault="0098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B0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196"/>
    <w:multiLevelType w:val="hybridMultilevel"/>
    <w:tmpl w:val="FFFFFFFF"/>
    <w:lvl w:ilvl="0" w:tplc="C5A850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167E"/>
    <w:multiLevelType w:val="hybridMultilevel"/>
    <w:tmpl w:val="FFFFFFFF"/>
    <w:lvl w:ilvl="0" w:tplc="E7F41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413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CA6"/>
    <w:multiLevelType w:val="hybridMultilevel"/>
    <w:tmpl w:val="FFFFFFFF"/>
    <w:lvl w:ilvl="0" w:tplc="9374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00D"/>
    <w:multiLevelType w:val="hybridMultilevel"/>
    <w:tmpl w:val="FFFFFFFF"/>
    <w:lvl w:ilvl="0" w:tplc="8F320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2776"/>
    <w:multiLevelType w:val="hybridMultilevel"/>
    <w:tmpl w:val="FFFFFFFF"/>
    <w:lvl w:ilvl="0" w:tplc="BAB42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00FA"/>
    <w:multiLevelType w:val="hybridMultilevel"/>
    <w:tmpl w:val="FFFFFFFF"/>
    <w:lvl w:ilvl="0" w:tplc="0F465E3E">
      <w:start w:val="1"/>
      <w:numFmt w:val="decimal"/>
      <w:lvlText w:val="%1."/>
      <w:lvlJc w:val="left"/>
      <w:pPr>
        <w:ind w:left="720" w:hanging="360"/>
      </w:pPr>
      <w:rPr>
        <w:rFonts w:eastAsia="Times New Roman" w:cs="Aptos"/>
        <w:color w:val="333333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AC7F3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A5FA2"/>
    <w:multiLevelType w:val="hybridMultilevel"/>
    <w:tmpl w:val="FFFFFFFF"/>
    <w:lvl w:ilvl="0" w:tplc="D2B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76A7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36788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27DA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02B5E"/>
    <w:multiLevelType w:val="hybridMultilevel"/>
    <w:tmpl w:val="FFFFFFFF"/>
    <w:lvl w:ilvl="0" w:tplc="1F3EE6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06D3F"/>
    <w:multiLevelType w:val="hybridMultilevel"/>
    <w:tmpl w:val="FFFFFFFF"/>
    <w:lvl w:ilvl="0" w:tplc="262CF3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00FE9"/>
    <w:multiLevelType w:val="hybridMultilevel"/>
    <w:tmpl w:val="FFFFFFFF"/>
    <w:lvl w:ilvl="0" w:tplc="AB1E2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8064A"/>
    <w:multiLevelType w:val="hybridMultilevel"/>
    <w:tmpl w:val="FFFFFFFF"/>
    <w:lvl w:ilvl="0" w:tplc="E098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E2BAA"/>
    <w:multiLevelType w:val="hybridMultilevel"/>
    <w:tmpl w:val="FFFFFFFF"/>
    <w:lvl w:ilvl="0" w:tplc="3AD6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C03F3"/>
    <w:multiLevelType w:val="hybridMultilevel"/>
    <w:tmpl w:val="FFFFFFFF"/>
    <w:lvl w:ilvl="0" w:tplc="D4D8F8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02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93313"/>
    <w:multiLevelType w:val="hybridMultilevel"/>
    <w:tmpl w:val="FFFFFFFF"/>
    <w:lvl w:ilvl="0" w:tplc="F7DA3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5B25"/>
    <w:multiLevelType w:val="hybridMultilevel"/>
    <w:tmpl w:val="FFFFFFFF"/>
    <w:lvl w:ilvl="0" w:tplc="202C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A21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026C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6236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F26AF"/>
    <w:multiLevelType w:val="hybridMultilevel"/>
    <w:tmpl w:val="FFFFFFFF"/>
    <w:lvl w:ilvl="0" w:tplc="4704E9BC">
      <w:start w:val="1"/>
      <w:numFmt w:val="decimal"/>
      <w:lvlText w:val="%1."/>
      <w:lvlJc w:val="left"/>
      <w:pPr>
        <w:ind w:left="-289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4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1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7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71" w:hanging="180"/>
      </w:pPr>
      <w:rPr>
        <w:rFonts w:cs="Times New Roman"/>
      </w:rPr>
    </w:lvl>
  </w:abstractNum>
  <w:abstractNum w:abstractNumId="26" w15:restartNumberingAfterBreak="0">
    <w:nsid w:val="7FD3209C"/>
    <w:multiLevelType w:val="hybridMultilevel"/>
    <w:tmpl w:val="FFFFFFFF"/>
    <w:lvl w:ilvl="0" w:tplc="662285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239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11722">
    <w:abstractNumId w:val="15"/>
  </w:num>
  <w:num w:numId="3" w16cid:durableId="2122415536">
    <w:abstractNumId w:val="11"/>
  </w:num>
  <w:num w:numId="4" w16cid:durableId="311953218">
    <w:abstractNumId w:val="17"/>
  </w:num>
  <w:num w:numId="5" w16cid:durableId="843130173">
    <w:abstractNumId w:val="2"/>
  </w:num>
  <w:num w:numId="6" w16cid:durableId="1055007327">
    <w:abstractNumId w:val="4"/>
  </w:num>
  <w:num w:numId="7" w16cid:durableId="1195070240">
    <w:abstractNumId w:val="8"/>
  </w:num>
  <w:num w:numId="8" w16cid:durableId="659427602">
    <w:abstractNumId w:val="2"/>
  </w:num>
  <w:num w:numId="9" w16cid:durableId="573393099">
    <w:abstractNumId w:val="25"/>
  </w:num>
  <w:num w:numId="10" w16cid:durableId="1453553638">
    <w:abstractNumId w:val="0"/>
  </w:num>
  <w:num w:numId="11" w16cid:durableId="9527843">
    <w:abstractNumId w:val="12"/>
  </w:num>
  <w:num w:numId="12" w16cid:durableId="338625464">
    <w:abstractNumId w:val="16"/>
  </w:num>
  <w:num w:numId="13" w16cid:durableId="1217625669">
    <w:abstractNumId w:val="14"/>
  </w:num>
  <w:num w:numId="14" w16cid:durableId="1677615870">
    <w:abstractNumId w:val="18"/>
  </w:num>
  <w:num w:numId="15" w16cid:durableId="1693456784">
    <w:abstractNumId w:val="26"/>
  </w:num>
  <w:num w:numId="16" w16cid:durableId="1435662675">
    <w:abstractNumId w:val="1"/>
  </w:num>
  <w:num w:numId="17" w16cid:durableId="1102646014">
    <w:abstractNumId w:val="9"/>
  </w:num>
  <w:num w:numId="18" w16cid:durableId="1594045941">
    <w:abstractNumId w:val="5"/>
  </w:num>
  <w:num w:numId="19" w16cid:durableId="1139953453">
    <w:abstractNumId w:val="23"/>
  </w:num>
  <w:num w:numId="20" w16cid:durableId="1042099082">
    <w:abstractNumId w:val="6"/>
  </w:num>
  <w:num w:numId="21" w16cid:durableId="81802569">
    <w:abstractNumId w:val="21"/>
  </w:num>
  <w:num w:numId="22" w16cid:durableId="2001276552">
    <w:abstractNumId w:val="13"/>
  </w:num>
  <w:num w:numId="23" w16cid:durableId="465049149">
    <w:abstractNumId w:val="20"/>
  </w:num>
  <w:num w:numId="24" w16cid:durableId="1276408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3279940">
    <w:abstractNumId w:val="7"/>
  </w:num>
  <w:num w:numId="26" w16cid:durableId="1020157298">
    <w:abstractNumId w:val="3"/>
  </w:num>
  <w:num w:numId="27" w16cid:durableId="852379538">
    <w:abstractNumId w:val="10"/>
  </w:num>
  <w:num w:numId="28" w16cid:durableId="1593011308">
    <w:abstractNumId w:val="22"/>
  </w:num>
  <w:num w:numId="29" w16cid:durableId="1105999153">
    <w:abstractNumId w:val="19"/>
  </w:num>
  <w:num w:numId="30" w16cid:durableId="11463623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65A4"/>
    <w:rsid w:val="00000367"/>
    <w:rsid w:val="00005B05"/>
    <w:rsid w:val="00015A9A"/>
    <w:rsid w:val="00022B3B"/>
    <w:rsid w:val="00022D29"/>
    <w:rsid w:val="000243EE"/>
    <w:rsid w:val="0004041D"/>
    <w:rsid w:val="00044700"/>
    <w:rsid w:val="0004786C"/>
    <w:rsid w:val="000561E1"/>
    <w:rsid w:val="00056C9B"/>
    <w:rsid w:val="00057359"/>
    <w:rsid w:val="000613EB"/>
    <w:rsid w:val="00064E97"/>
    <w:rsid w:val="00073457"/>
    <w:rsid w:val="00077FF3"/>
    <w:rsid w:val="00086197"/>
    <w:rsid w:val="00091063"/>
    <w:rsid w:val="00094875"/>
    <w:rsid w:val="000977D2"/>
    <w:rsid w:val="000A1AF5"/>
    <w:rsid w:val="000A65A4"/>
    <w:rsid w:val="000B7841"/>
    <w:rsid w:val="000C13EB"/>
    <w:rsid w:val="000D2CD9"/>
    <w:rsid w:val="000D5DF3"/>
    <w:rsid w:val="000F0263"/>
    <w:rsid w:val="000F4356"/>
    <w:rsid w:val="000F72CB"/>
    <w:rsid w:val="000F7FF6"/>
    <w:rsid w:val="00103C44"/>
    <w:rsid w:val="00107888"/>
    <w:rsid w:val="00121FEC"/>
    <w:rsid w:val="001334D5"/>
    <w:rsid w:val="00134693"/>
    <w:rsid w:val="001355BD"/>
    <w:rsid w:val="00137DED"/>
    <w:rsid w:val="0015320B"/>
    <w:rsid w:val="001538F2"/>
    <w:rsid w:val="00163F35"/>
    <w:rsid w:val="00172F60"/>
    <w:rsid w:val="00185F46"/>
    <w:rsid w:val="00185F9B"/>
    <w:rsid w:val="00186C64"/>
    <w:rsid w:val="00186D68"/>
    <w:rsid w:val="00187523"/>
    <w:rsid w:val="001A01A9"/>
    <w:rsid w:val="001A3255"/>
    <w:rsid w:val="001A3D76"/>
    <w:rsid w:val="001B0F1C"/>
    <w:rsid w:val="001B3FC2"/>
    <w:rsid w:val="001B54BA"/>
    <w:rsid w:val="001C2708"/>
    <w:rsid w:val="001C2B22"/>
    <w:rsid w:val="001C2EBE"/>
    <w:rsid w:val="001C5410"/>
    <w:rsid w:val="001D080E"/>
    <w:rsid w:val="001D11AD"/>
    <w:rsid w:val="001D224D"/>
    <w:rsid w:val="001D4C03"/>
    <w:rsid w:val="001D4C3F"/>
    <w:rsid w:val="001D5A4E"/>
    <w:rsid w:val="001D644D"/>
    <w:rsid w:val="001D7747"/>
    <w:rsid w:val="001E3459"/>
    <w:rsid w:val="001F1E0B"/>
    <w:rsid w:val="001F50FB"/>
    <w:rsid w:val="001F76F3"/>
    <w:rsid w:val="001F7F31"/>
    <w:rsid w:val="00200395"/>
    <w:rsid w:val="002033E7"/>
    <w:rsid w:val="00210503"/>
    <w:rsid w:val="00216894"/>
    <w:rsid w:val="00225D50"/>
    <w:rsid w:val="00232CF0"/>
    <w:rsid w:val="00236134"/>
    <w:rsid w:val="00246F15"/>
    <w:rsid w:val="00247C00"/>
    <w:rsid w:val="002503C3"/>
    <w:rsid w:val="0025592C"/>
    <w:rsid w:val="002579C5"/>
    <w:rsid w:val="00263F4A"/>
    <w:rsid w:val="00270193"/>
    <w:rsid w:val="002741F2"/>
    <w:rsid w:val="002750F8"/>
    <w:rsid w:val="00275EE6"/>
    <w:rsid w:val="002767D1"/>
    <w:rsid w:val="002834B2"/>
    <w:rsid w:val="0028501A"/>
    <w:rsid w:val="00290555"/>
    <w:rsid w:val="002A27D5"/>
    <w:rsid w:val="002A28F3"/>
    <w:rsid w:val="002A2FFA"/>
    <w:rsid w:val="002A5094"/>
    <w:rsid w:val="002B4645"/>
    <w:rsid w:val="002B682E"/>
    <w:rsid w:val="002B7C83"/>
    <w:rsid w:val="002D380C"/>
    <w:rsid w:val="002D4A8E"/>
    <w:rsid w:val="002D7883"/>
    <w:rsid w:val="002E079D"/>
    <w:rsid w:val="002E4F3A"/>
    <w:rsid w:val="002F1733"/>
    <w:rsid w:val="002F6449"/>
    <w:rsid w:val="00301262"/>
    <w:rsid w:val="0031295A"/>
    <w:rsid w:val="00312B1E"/>
    <w:rsid w:val="00313B85"/>
    <w:rsid w:val="003206DF"/>
    <w:rsid w:val="0032107D"/>
    <w:rsid w:val="00323C8D"/>
    <w:rsid w:val="00326DE4"/>
    <w:rsid w:val="00327F16"/>
    <w:rsid w:val="00331602"/>
    <w:rsid w:val="003325EA"/>
    <w:rsid w:val="00335E48"/>
    <w:rsid w:val="003611CE"/>
    <w:rsid w:val="00363E20"/>
    <w:rsid w:val="00365F77"/>
    <w:rsid w:val="00370EB0"/>
    <w:rsid w:val="0037226A"/>
    <w:rsid w:val="00377236"/>
    <w:rsid w:val="0038044E"/>
    <w:rsid w:val="00385E5B"/>
    <w:rsid w:val="00387CCE"/>
    <w:rsid w:val="00392AFA"/>
    <w:rsid w:val="00395AF4"/>
    <w:rsid w:val="003973A4"/>
    <w:rsid w:val="003A55FF"/>
    <w:rsid w:val="003A6F5D"/>
    <w:rsid w:val="003B2624"/>
    <w:rsid w:val="003B2842"/>
    <w:rsid w:val="003B349A"/>
    <w:rsid w:val="003D275E"/>
    <w:rsid w:val="003E4ABC"/>
    <w:rsid w:val="00404D12"/>
    <w:rsid w:val="00410951"/>
    <w:rsid w:val="00411EF6"/>
    <w:rsid w:val="004127C2"/>
    <w:rsid w:val="004134E6"/>
    <w:rsid w:val="00426F3F"/>
    <w:rsid w:val="004372CD"/>
    <w:rsid w:val="00445367"/>
    <w:rsid w:val="00453F67"/>
    <w:rsid w:val="00455107"/>
    <w:rsid w:val="0046211E"/>
    <w:rsid w:val="00475D66"/>
    <w:rsid w:val="004769DA"/>
    <w:rsid w:val="00476F90"/>
    <w:rsid w:val="004805DD"/>
    <w:rsid w:val="00485810"/>
    <w:rsid w:val="00491472"/>
    <w:rsid w:val="004946FC"/>
    <w:rsid w:val="004A2AAC"/>
    <w:rsid w:val="004B2E21"/>
    <w:rsid w:val="004B369F"/>
    <w:rsid w:val="004B7330"/>
    <w:rsid w:val="004B77B1"/>
    <w:rsid w:val="004B7F64"/>
    <w:rsid w:val="004C21DF"/>
    <w:rsid w:val="004C3D5C"/>
    <w:rsid w:val="004C4F95"/>
    <w:rsid w:val="004D12E7"/>
    <w:rsid w:val="004D24B5"/>
    <w:rsid w:val="004D3B17"/>
    <w:rsid w:val="004D3F08"/>
    <w:rsid w:val="004E0D10"/>
    <w:rsid w:val="004E1781"/>
    <w:rsid w:val="004E6BE1"/>
    <w:rsid w:val="004F24BF"/>
    <w:rsid w:val="004F594A"/>
    <w:rsid w:val="0050011C"/>
    <w:rsid w:val="00501182"/>
    <w:rsid w:val="00505AF0"/>
    <w:rsid w:val="00515710"/>
    <w:rsid w:val="00524739"/>
    <w:rsid w:val="00524827"/>
    <w:rsid w:val="005276F8"/>
    <w:rsid w:val="005300D6"/>
    <w:rsid w:val="005346A2"/>
    <w:rsid w:val="00535A9D"/>
    <w:rsid w:val="00540B03"/>
    <w:rsid w:val="00546C4B"/>
    <w:rsid w:val="005548BB"/>
    <w:rsid w:val="00560A3C"/>
    <w:rsid w:val="00590C1F"/>
    <w:rsid w:val="0059475F"/>
    <w:rsid w:val="00594BBF"/>
    <w:rsid w:val="005A3195"/>
    <w:rsid w:val="005A3C6B"/>
    <w:rsid w:val="005A7277"/>
    <w:rsid w:val="005B3368"/>
    <w:rsid w:val="005B7902"/>
    <w:rsid w:val="005D216F"/>
    <w:rsid w:val="005E0318"/>
    <w:rsid w:val="005F0064"/>
    <w:rsid w:val="005F030B"/>
    <w:rsid w:val="005F2951"/>
    <w:rsid w:val="005F4884"/>
    <w:rsid w:val="005F5642"/>
    <w:rsid w:val="005F6A62"/>
    <w:rsid w:val="00601C09"/>
    <w:rsid w:val="006112E5"/>
    <w:rsid w:val="006131B3"/>
    <w:rsid w:val="00613ED1"/>
    <w:rsid w:val="0061401E"/>
    <w:rsid w:val="00622231"/>
    <w:rsid w:val="00623C15"/>
    <w:rsid w:val="006244A6"/>
    <w:rsid w:val="00627117"/>
    <w:rsid w:val="0063119B"/>
    <w:rsid w:val="006362FA"/>
    <w:rsid w:val="006404D3"/>
    <w:rsid w:val="00642620"/>
    <w:rsid w:val="0065347C"/>
    <w:rsid w:val="00653BCC"/>
    <w:rsid w:val="00655FE3"/>
    <w:rsid w:val="00671675"/>
    <w:rsid w:val="00676A4F"/>
    <w:rsid w:val="00683EF9"/>
    <w:rsid w:val="006844BC"/>
    <w:rsid w:val="006852EF"/>
    <w:rsid w:val="00697FF1"/>
    <w:rsid w:val="006A1A99"/>
    <w:rsid w:val="006A795C"/>
    <w:rsid w:val="006C0F88"/>
    <w:rsid w:val="006C1419"/>
    <w:rsid w:val="006C141D"/>
    <w:rsid w:val="006C5724"/>
    <w:rsid w:val="006D0AF1"/>
    <w:rsid w:val="006D1D4D"/>
    <w:rsid w:val="006D6112"/>
    <w:rsid w:val="006E3682"/>
    <w:rsid w:val="006E5918"/>
    <w:rsid w:val="006F081C"/>
    <w:rsid w:val="006F2CEA"/>
    <w:rsid w:val="006F6B3B"/>
    <w:rsid w:val="00700071"/>
    <w:rsid w:val="00711F28"/>
    <w:rsid w:val="007165C0"/>
    <w:rsid w:val="00717CDF"/>
    <w:rsid w:val="00733EEE"/>
    <w:rsid w:val="007470A6"/>
    <w:rsid w:val="007478A7"/>
    <w:rsid w:val="0075132B"/>
    <w:rsid w:val="007523FF"/>
    <w:rsid w:val="00754F54"/>
    <w:rsid w:val="0076792B"/>
    <w:rsid w:val="007723C7"/>
    <w:rsid w:val="007755E9"/>
    <w:rsid w:val="00781CB8"/>
    <w:rsid w:val="00783220"/>
    <w:rsid w:val="00784C94"/>
    <w:rsid w:val="00785737"/>
    <w:rsid w:val="00786452"/>
    <w:rsid w:val="00790F12"/>
    <w:rsid w:val="00796FDB"/>
    <w:rsid w:val="00797E55"/>
    <w:rsid w:val="007A4548"/>
    <w:rsid w:val="007C0543"/>
    <w:rsid w:val="007C691A"/>
    <w:rsid w:val="007C6A8C"/>
    <w:rsid w:val="007C72CF"/>
    <w:rsid w:val="007D21F5"/>
    <w:rsid w:val="007E3061"/>
    <w:rsid w:val="007E3F10"/>
    <w:rsid w:val="007F33B3"/>
    <w:rsid w:val="00802063"/>
    <w:rsid w:val="00802C69"/>
    <w:rsid w:val="00803063"/>
    <w:rsid w:val="00803361"/>
    <w:rsid w:val="00806A96"/>
    <w:rsid w:val="00817920"/>
    <w:rsid w:val="00822297"/>
    <w:rsid w:val="008325C5"/>
    <w:rsid w:val="00833D0A"/>
    <w:rsid w:val="008345A0"/>
    <w:rsid w:val="00840F6F"/>
    <w:rsid w:val="00841B91"/>
    <w:rsid w:val="008427DE"/>
    <w:rsid w:val="00843322"/>
    <w:rsid w:val="00851C37"/>
    <w:rsid w:val="00857DD5"/>
    <w:rsid w:val="00860D1C"/>
    <w:rsid w:val="0086481D"/>
    <w:rsid w:val="00866FD1"/>
    <w:rsid w:val="00883C06"/>
    <w:rsid w:val="008860B5"/>
    <w:rsid w:val="008A3A29"/>
    <w:rsid w:val="008A6721"/>
    <w:rsid w:val="008B1F4C"/>
    <w:rsid w:val="008B5DFA"/>
    <w:rsid w:val="008B67FA"/>
    <w:rsid w:val="008C2BF6"/>
    <w:rsid w:val="008D0A43"/>
    <w:rsid w:val="008D21A2"/>
    <w:rsid w:val="008D28EC"/>
    <w:rsid w:val="008D45EE"/>
    <w:rsid w:val="008E5698"/>
    <w:rsid w:val="008E6435"/>
    <w:rsid w:val="008E697D"/>
    <w:rsid w:val="00900E5C"/>
    <w:rsid w:val="00905343"/>
    <w:rsid w:val="00907728"/>
    <w:rsid w:val="00923ECA"/>
    <w:rsid w:val="00935568"/>
    <w:rsid w:val="00937EC1"/>
    <w:rsid w:val="00940A99"/>
    <w:rsid w:val="00940C21"/>
    <w:rsid w:val="00947BEB"/>
    <w:rsid w:val="009523E3"/>
    <w:rsid w:val="00953A8C"/>
    <w:rsid w:val="00964741"/>
    <w:rsid w:val="00972C4F"/>
    <w:rsid w:val="0097442D"/>
    <w:rsid w:val="009744B6"/>
    <w:rsid w:val="009777B9"/>
    <w:rsid w:val="00982045"/>
    <w:rsid w:val="00983285"/>
    <w:rsid w:val="00987092"/>
    <w:rsid w:val="00987B81"/>
    <w:rsid w:val="00995520"/>
    <w:rsid w:val="009A1A3B"/>
    <w:rsid w:val="009A3E5C"/>
    <w:rsid w:val="009A4B2B"/>
    <w:rsid w:val="009B2E60"/>
    <w:rsid w:val="009B4218"/>
    <w:rsid w:val="009B7ED3"/>
    <w:rsid w:val="009D0829"/>
    <w:rsid w:val="009D38F1"/>
    <w:rsid w:val="009E1040"/>
    <w:rsid w:val="009E16B5"/>
    <w:rsid w:val="009E1AB2"/>
    <w:rsid w:val="009E3E40"/>
    <w:rsid w:val="009E5907"/>
    <w:rsid w:val="009E5F9C"/>
    <w:rsid w:val="009E6FAB"/>
    <w:rsid w:val="009F46B5"/>
    <w:rsid w:val="009F7F22"/>
    <w:rsid w:val="00A01BDC"/>
    <w:rsid w:val="00A04F0A"/>
    <w:rsid w:val="00A05C03"/>
    <w:rsid w:val="00A06C9F"/>
    <w:rsid w:val="00A07242"/>
    <w:rsid w:val="00A13BBE"/>
    <w:rsid w:val="00A152A3"/>
    <w:rsid w:val="00A16F06"/>
    <w:rsid w:val="00A20113"/>
    <w:rsid w:val="00A20455"/>
    <w:rsid w:val="00A21133"/>
    <w:rsid w:val="00A31485"/>
    <w:rsid w:val="00A3312C"/>
    <w:rsid w:val="00A37B6B"/>
    <w:rsid w:val="00A40067"/>
    <w:rsid w:val="00A4203B"/>
    <w:rsid w:val="00A4765B"/>
    <w:rsid w:val="00A50509"/>
    <w:rsid w:val="00A679E4"/>
    <w:rsid w:val="00A709C5"/>
    <w:rsid w:val="00A7260D"/>
    <w:rsid w:val="00A756F9"/>
    <w:rsid w:val="00A76BC7"/>
    <w:rsid w:val="00A76E75"/>
    <w:rsid w:val="00A81F97"/>
    <w:rsid w:val="00A8588F"/>
    <w:rsid w:val="00A92894"/>
    <w:rsid w:val="00A93623"/>
    <w:rsid w:val="00A94D57"/>
    <w:rsid w:val="00A973BC"/>
    <w:rsid w:val="00A979F1"/>
    <w:rsid w:val="00AA06DD"/>
    <w:rsid w:val="00AA0E88"/>
    <w:rsid w:val="00AB5949"/>
    <w:rsid w:val="00AC11DD"/>
    <w:rsid w:val="00AD040B"/>
    <w:rsid w:val="00AD1D70"/>
    <w:rsid w:val="00AD3723"/>
    <w:rsid w:val="00AD63DD"/>
    <w:rsid w:val="00AE1167"/>
    <w:rsid w:val="00AE54E3"/>
    <w:rsid w:val="00AF18DF"/>
    <w:rsid w:val="00AF50EC"/>
    <w:rsid w:val="00B064BB"/>
    <w:rsid w:val="00B10E08"/>
    <w:rsid w:val="00B56DC9"/>
    <w:rsid w:val="00B67509"/>
    <w:rsid w:val="00B67584"/>
    <w:rsid w:val="00B76E06"/>
    <w:rsid w:val="00B82155"/>
    <w:rsid w:val="00B9236B"/>
    <w:rsid w:val="00B935B0"/>
    <w:rsid w:val="00B9451E"/>
    <w:rsid w:val="00B94FFF"/>
    <w:rsid w:val="00B9590C"/>
    <w:rsid w:val="00BA4CC4"/>
    <w:rsid w:val="00BA5F12"/>
    <w:rsid w:val="00BA63BC"/>
    <w:rsid w:val="00BA7D23"/>
    <w:rsid w:val="00BC60F1"/>
    <w:rsid w:val="00BD29A5"/>
    <w:rsid w:val="00BD5109"/>
    <w:rsid w:val="00BD6651"/>
    <w:rsid w:val="00BE38B1"/>
    <w:rsid w:val="00BE6F48"/>
    <w:rsid w:val="00BF1894"/>
    <w:rsid w:val="00BF2BF2"/>
    <w:rsid w:val="00C01281"/>
    <w:rsid w:val="00C06593"/>
    <w:rsid w:val="00C076A0"/>
    <w:rsid w:val="00C1198C"/>
    <w:rsid w:val="00C138C7"/>
    <w:rsid w:val="00C17F94"/>
    <w:rsid w:val="00C26AEA"/>
    <w:rsid w:val="00C26C03"/>
    <w:rsid w:val="00C30017"/>
    <w:rsid w:val="00C30D58"/>
    <w:rsid w:val="00C34185"/>
    <w:rsid w:val="00C3759F"/>
    <w:rsid w:val="00C41629"/>
    <w:rsid w:val="00C52EA4"/>
    <w:rsid w:val="00C54AE9"/>
    <w:rsid w:val="00C576E7"/>
    <w:rsid w:val="00C717EC"/>
    <w:rsid w:val="00C77180"/>
    <w:rsid w:val="00C7718E"/>
    <w:rsid w:val="00C823B9"/>
    <w:rsid w:val="00C82577"/>
    <w:rsid w:val="00C876C1"/>
    <w:rsid w:val="00C90A04"/>
    <w:rsid w:val="00C910BC"/>
    <w:rsid w:val="00CA389A"/>
    <w:rsid w:val="00CA5709"/>
    <w:rsid w:val="00CB50A6"/>
    <w:rsid w:val="00CB64EC"/>
    <w:rsid w:val="00CD6E78"/>
    <w:rsid w:val="00CE66EC"/>
    <w:rsid w:val="00CF2AAC"/>
    <w:rsid w:val="00CF3FC4"/>
    <w:rsid w:val="00CF4834"/>
    <w:rsid w:val="00D07B4A"/>
    <w:rsid w:val="00D11759"/>
    <w:rsid w:val="00D1196D"/>
    <w:rsid w:val="00D15639"/>
    <w:rsid w:val="00D24576"/>
    <w:rsid w:val="00D31EF2"/>
    <w:rsid w:val="00D3351B"/>
    <w:rsid w:val="00D33926"/>
    <w:rsid w:val="00D37D21"/>
    <w:rsid w:val="00D42FD7"/>
    <w:rsid w:val="00D51A2D"/>
    <w:rsid w:val="00D53CD8"/>
    <w:rsid w:val="00D55002"/>
    <w:rsid w:val="00D60D62"/>
    <w:rsid w:val="00D806DA"/>
    <w:rsid w:val="00D80B92"/>
    <w:rsid w:val="00D8235D"/>
    <w:rsid w:val="00D920FC"/>
    <w:rsid w:val="00D929CC"/>
    <w:rsid w:val="00D9477D"/>
    <w:rsid w:val="00DA0B8D"/>
    <w:rsid w:val="00DA3D2D"/>
    <w:rsid w:val="00DA4FEE"/>
    <w:rsid w:val="00DB3942"/>
    <w:rsid w:val="00DC3CD2"/>
    <w:rsid w:val="00DC6319"/>
    <w:rsid w:val="00DD01FD"/>
    <w:rsid w:val="00DD1507"/>
    <w:rsid w:val="00DD2704"/>
    <w:rsid w:val="00DD40B8"/>
    <w:rsid w:val="00DE3644"/>
    <w:rsid w:val="00DE6121"/>
    <w:rsid w:val="00DF0234"/>
    <w:rsid w:val="00DF460F"/>
    <w:rsid w:val="00E05E6B"/>
    <w:rsid w:val="00E10E0B"/>
    <w:rsid w:val="00E13EFF"/>
    <w:rsid w:val="00E22101"/>
    <w:rsid w:val="00E22541"/>
    <w:rsid w:val="00E22BE7"/>
    <w:rsid w:val="00E32F70"/>
    <w:rsid w:val="00E33A8A"/>
    <w:rsid w:val="00E50C59"/>
    <w:rsid w:val="00E52224"/>
    <w:rsid w:val="00E57EEA"/>
    <w:rsid w:val="00E63ABB"/>
    <w:rsid w:val="00E70B8E"/>
    <w:rsid w:val="00E73024"/>
    <w:rsid w:val="00E76CF6"/>
    <w:rsid w:val="00EA4115"/>
    <w:rsid w:val="00EA42D7"/>
    <w:rsid w:val="00EA6CB6"/>
    <w:rsid w:val="00EB3957"/>
    <w:rsid w:val="00EB79F0"/>
    <w:rsid w:val="00ED2F2C"/>
    <w:rsid w:val="00ED39F1"/>
    <w:rsid w:val="00ED3ACA"/>
    <w:rsid w:val="00ED441C"/>
    <w:rsid w:val="00ED5337"/>
    <w:rsid w:val="00F011E2"/>
    <w:rsid w:val="00F02C68"/>
    <w:rsid w:val="00F03087"/>
    <w:rsid w:val="00F03259"/>
    <w:rsid w:val="00F06D39"/>
    <w:rsid w:val="00F117D0"/>
    <w:rsid w:val="00F13589"/>
    <w:rsid w:val="00F1476E"/>
    <w:rsid w:val="00F15259"/>
    <w:rsid w:val="00F2333C"/>
    <w:rsid w:val="00F40B4A"/>
    <w:rsid w:val="00F42EE1"/>
    <w:rsid w:val="00F450FB"/>
    <w:rsid w:val="00F45736"/>
    <w:rsid w:val="00F5063B"/>
    <w:rsid w:val="00F50F54"/>
    <w:rsid w:val="00F52030"/>
    <w:rsid w:val="00F71A5B"/>
    <w:rsid w:val="00F759E6"/>
    <w:rsid w:val="00F91263"/>
    <w:rsid w:val="00F92E0C"/>
    <w:rsid w:val="00FA1680"/>
    <w:rsid w:val="00FA379B"/>
    <w:rsid w:val="00FA6CE8"/>
    <w:rsid w:val="00FB0091"/>
    <w:rsid w:val="00FB2FB0"/>
    <w:rsid w:val="00FB4B7C"/>
    <w:rsid w:val="00FC2001"/>
    <w:rsid w:val="00FC622A"/>
    <w:rsid w:val="00FD2D41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C1AD1"/>
  <w14:defaultImageDpi w14:val="0"/>
  <w15:docId w15:val="{EFFB1783-764D-4355-AFCC-FC610F69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5A4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5A4"/>
    <w:pPr>
      <w:spacing w:line="256" w:lineRule="auto"/>
      <w:ind w:left="720"/>
      <w:contextualSpacing/>
    </w:pPr>
    <w:rPr>
      <w:kern w:val="0"/>
    </w:rPr>
  </w:style>
  <w:style w:type="table" w:styleId="TableGrid">
    <w:name w:val="Table Grid"/>
    <w:basedOn w:val="TableNormal"/>
    <w:uiPriority w:val="39"/>
    <w:rsid w:val="000A65A4"/>
    <w:pPr>
      <w:spacing w:after="0" w:line="240" w:lineRule="auto"/>
    </w:pPr>
    <w:rPr>
      <w:rFonts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081C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8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8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81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C1419"/>
    <w:rPr>
      <w:rFonts w:cs="Times New Roman"/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0455"/>
    <w:pPr>
      <w:spacing w:after="0" w:line="240" w:lineRule="auto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2E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EB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B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3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oomberglaw.com/product/tax/document/XS9077H8" TargetMode="External"/><Relationship Id="rId18" Type="http://schemas.openxmlformats.org/officeDocument/2006/relationships/hyperlink" Target="https://www.bloomberglaw.com/product/tax/document/XS907P18" TargetMode="External"/><Relationship Id="rId26" Type="http://schemas.openxmlformats.org/officeDocument/2006/relationships/hyperlink" Target="https://www.bloomberglaw.com/product/tax/document/XS9077H8" TargetMode="External"/><Relationship Id="rId39" Type="http://schemas.openxmlformats.org/officeDocument/2006/relationships/hyperlink" Target="https://go.bloombergtax.com/product/tax/document/spa/31678388776" TargetMode="External"/><Relationship Id="rId21" Type="http://schemas.openxmlformats.org/officeDocument/2006/relationships/hyperlink" Target="https://www.bloomberglaw.com/product/tax/document/XS907P18" TargetMode="External"/><Relationship Id="rId34" Type="http://schemas.openxmlformats.org/officeDocument/2006/relationships/hyperlink" Target="https://go.bloombergtax.com/product/tax/document/spa/XS907R18" TargetMode="External"/><Relationship Id="rId42" Type="http://schemas.openxmlformats.org/officeDocument/2006/relationships/hyperlink" Target="https://www.bloomberglaw.com/product/tax/document/30367001640" TargetMode="External"/><Relationship Id="rId47" Type="http://schemas.openxmlformats.org/officeDocument/2006/relationships/hyperlink" Target="https://www.bloomberglaw.com/product/tax/document/30367019560" TargetMode="External"/><Relationship Id="rId50" Type="http://schemas.openxmlformats.org/officeDocument/2006/relationships/hyperlink" Target="https://www.bloomberglaw.com/product/tax/document/XS907S18" TargetMode="External"/><Relationship Id="rId55" Type="http://schemas.openxmlformats.org/officeDocument/2006/relationships/hyperlink" Target="https://www.bloomberglaw.com/product/tax/document/XS907718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loomberglaw.com/product/tax/view_go_bar_search/international_tax_treaties" TargetMode="External"/><Relationship Id="rId29" Type="http://schemas.openxmlformats.org/officeDocument/2006/relationships/hyperlink" Target="https://www.bloomberglaw.com/product/tax/document/XS9077H8" TargetMode="External"/><Relationship Id="rId11" Type="http://schemas.openxmlformats.org/officeDocument/2006/relationships/hyperlink" Target="https://www.bloomberglaw.com/product/tax/document/30366998056" TargetMode="External"/><Relationship Id="rId24" Type="http://schemas.openxmlformats.org/officeDocument/2006/relationships/hyperlink" Target="https://www.bloomberglaw.com/product/tax/document/XS9077H8" TargetMode="External"/><Relationship Id="rId32" Type="http://schemas.openxmlformats.org/officeDocument/2006/relationships/hyperlink" Target="https://go.bloombergtax.com/product/tax/document/XS9077H8" TargetMode="External"/><Relationship Id="rId37" Type="http://schemas.openxmlformats.org/officeDocument/2006/relationships/hyperlink" Target="https://www.bloomberglaw.com/product/tax/document/XS9077H8" TargetMode="External"/><Relationship Id="rId40" Type="http://schemas.openxmlformats.org/officeDocument/2006/relationships/hyperlink" Target="https://www.bloomberglaw.com/product/tax/document/30366994472" TargetMode="External"/><Relationship Id="rId45" Type="http://schemas.openxmlformats.org/officeDocument/2006/relationships/hyperlink" Target="https://www.bloomberglaw.com/product/tax/document/XS907S18" TargetMode="External"/><Relationship Id="rId53" Type="http://schemas.openxmlformats.org/officeDocument/2006/relationships/hyperlink" Target="https://www.bloomberglaw.com/product/tax/document/25564829224" TargetMode="External"/><Relationship Id="rId58" Type="http://schemas.openxmlformats.org/officeDocument/2006/relationships/hyperlink" Target="https://www.bloomberglaw.com/product/tax/document/XS907S18" TargetMode="External"/><Relationship Id="rId5" Type="http://schemas.openxmlformats.org/officeDocument/2006/relationships/styles" Target="styles.xml"/><Relationship Id="rId61" Type="http://schemas.openxmlformats.org/officeDocument/2006/relationships/header" Target="header1.xml"/><Relationship Id="rId19" Type="http://schemas.openxmlformats.org/officeDocument/2006/relationships/hyperlink" Target="https://www.bloomberglaw.com/product/tax/document/XS907P18" TargetMode="External"/><Relationship Id="rId14" Type="http://schemas.openxmlformats.org/officeDocument/2006/relationships/hyperlink" Target="https://www.bloomberglaw.com/product/tax/document/XS907S18" TargetMode="External"/><Relationship Id="rId22" Type="http://schemas.openxmlformats.org/officeDocument/2006/relationships/hyperlink" Target="https://www.bloomberglaw.com/product/tax/document/XS907P18" TargetMode="External"/><Relationship Id="rId27" Type="http://schemas.openxmlformats.org/officeDocument/2006/relationships/hyperlink" Target="https://go.bloombergtax.com/product/tax/document/spa/30366998056" TargetMode="External"/><Relationship Id="rId30" Type="http://schemas.openxmlformats.org/officeDocument/2006/relationships/hyperlink" Target="https://go.bloombergtax.com/product/tax/document/XS9077H8" TargetMode="External"/><Relationship Id="rId35" Type="http://schemas.openxmlformats.org/officeDocument/2006/relationships/hyperlink" Target="https://www.bloomberglaw.com/product/tax/document/XS9077H8" TargetMode="External"/><Relationship Id="rId43" Type="http://schemas.openxmlformats.org/officeDocument/2006/relationships/hyperlink" Target="https://www.bloomberglaw.com/product/tax/document/XPVIIMH8" TargetMode="External"/><Relationship Id="rId48" Type="http://schemas.openxmlformats.org/officeDocument/2006/relationships/hyperlink" Target="https://www.bloomberglaw.com/product/tax/document/30367000616" TargetMode="External"/><Relationship Id="rId56" Type="http://schemas.openxmlformats.org/officeDocument/2006/relationships/hyperlink" Target="https://www.bloomberglaw.com/product/tax/document/XS907718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bloomberglaw.com/product/tax/document/3036701034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loomberglaw.com/product/tax/document/XS907OH8" TargetMode="External"/><Relationship Id="rId17" Type="http://schemas.openxmlformats.org/officeDocument/2006/relationships/hyperlink" Target="https://www.bloomberglaw.com/product/tax/document/XS9077H8" TargetMode="External"/><Relationship Id="rId25" Type="http://schemas.openxmlformats.org/officeDocument/2006/relationships/hyperlink" Target="https://www.bloomberglaw.com/product/tax/document/XS9077H8" TargetMode="External"/><Relationship Id="rId33" Type="http://schemas.openxmlformats.org/officeDocument/2006/relationships/hyperlink" Target="https://go.bloombergtax.com/product/tax/document/XS9077H8" TargetMode="External"/><Relationship Id="rId38" Type="http://schemas.openxmlformats.org/officeDocument/2006/relationships/hyperlink" Target="https://go.bloombergtax.com/product/tax/document/spa/XS907718" TargetMode="External"/><Relationship Id="rId46" Type="http://schemas.openxmlformats.org/officeDocument/2006/relationships/hyperlink" Target="https://www.bloomberglaw.com/product/tax/document/XS907S18" TargetMode="External"/><Relationship Id="rId59" Type="http://schemas.openxmlformats.org/officeDocument/2006/relationships/hyperlink" Target="https://www.bloomberglaw.com/product/tax/document/XS9077H8" TargetMode="External"/><Relationship Id="rId20" Type="http://schemas.openxmlformats.org/officeDocument/2006/relationships/hyperlink" Target="https://www.bloomberglaw.com/product/tax/document/XS907P18" TargetMode="External"/><Relationship Id="rId41" Type="http://schemas.openxmlformats.org/officeDocument/2006/relationships/hyperlink" Target="https://www.bloomberglaw.com/product/tax/document/30367003688" TargetMode="External"/><Relationship Id="rId54" Type="http://schemas.openxmlformats.org/officeDocument/2006/relationships/hyperlink" Target="https://www.bloomberglaw.com/product/tax/document/XS907H18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bloomberglaw.com/product/tax/document/XS907OH8" TargetMode="External"/><Relationship Id="rId23" Type="http://schemas.openxmlformats.org/officeDocument/2006/relationships/hyperlink" Target="https://www.bloomberglaw.com/product/tax/bbna/chart/3/10092" TargetMode="External"/><Relationship Id="rId28" Type="http://schemas.openxmlformats.org/officeDocument/2006/relationships/hyperlink" Target="https://www.bloomberglaw.com/product/tax/document/XS9077H8" TargetMode="External"/><Relationship Id="rId36" Type="http://schemas.openxmlformats.org/officeDocument/2006/relationships/hyperlink" Target="https://www.bloomberglaw.com/product/tax/document/XS9077H8" TargetMode="External"/><Relationship Id="rId49" Type="http://schemas.openxmlformats.org/officeDocument/2006/relationships/hyperlink" Target="https://www.bloomberglaw.com/product/tax/document/XS907FH8" TargetMode="External"/><Relationship Id="rId57" Type="http://schemas.openxmlformats.org/officeDocument/2006/relationships/hyperlink" Target="https://www.bloomberglaw.com/product/tax/document/XS9077H8" TargetMode="External"/><Relationship Id="rId10" Type="http://schemas.openxmlformats.org/officeDocument/2006/relationships/hyperlink" Target="https://sede.agenciatributaria.gob.es/" TargetMode="External"/><Relationship Id="rId31" Type="http://schemas.openxmlformats.org/officeDocument/2006/relationships/hyperlink" Target="https://go.bloombergtax.com/product/tax/document/XS9077H8" TargetMode="External"/><Relationship Id="rId44" Type="http://schemas.openxmlformats.org/officeDocument/2006/relationships/hyperlink" Target="https://www.bloomberglaw.com/product/tax/document/30367017512" TargetMode="External"/><Relationship Id="rId52" Type="http://schemas.openxmlformats.org/officeDocument/2006/relationships/hyperlink" Target="https://www.bloomberglaw.com/product/tax/document/XS907HH8" TargetMode="External"/><Relationship Id="rId60" Type="http://schemas.openxmlformats.org/officeDocument/2006/relationships/hyperlink" Target="https://www.bloomberglaw.com/product/tax/document/XS909VH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8" ma:contentTypeDescription="Create a new document." ma:contentTypeScope="" ma:versionID="664aeef97708797fa38c8eb7787b31ca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b588906d300f61a0ffcc0e4d3720f842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EDECF-ABAA-4D1F-8098-4D74CC50B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customXml/itemProps2.xml><?xml version="1.0" encoding="utf-8"?>
<ds:datastoreItem xmlns:ds="http://schemas.openxmlformats.org/officeDocument/2006/customXml" ds:itemID="{6A641ED2-6124-4791-B8FF-CD19F8860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63DE9-1C95-4695-BDBF-E1A5B8FC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1848</Words>
  <Characters>10537</Characters>
  <Application>Microsoft Office Word</Application>
  <DocSecurity>0</DocSecurity>
  <Lines>87</Lines>
  <Paragraphs>24</Paragraphs>
  <ScaleCrop>false</ScaleCrop>
  <Company>Bloomberg Industry Group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Tanevski, Tome</dc:creator>
  <cp:keywords/>
  <dc:description/>
  <cp:lastModifiedBy>Cruz, Ricky</cp:lastModifiedBy>
  <cp:revision>2</cp:revision>
  <dcterms:created xsi:type="dcterms:W3CDTF">2025-09-17T21:06:00Z</dcterms:created>
  <dcterms:modified xsi:type="dcterms:W3CDTF">2025-09-17T21:06:00Z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2023-10-20T14:46:44Z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3d43a2e2-cf85-422a-a072-cc93953ea465</vt:lpwstr>
  </property>
  <property fmtid="{D5CDD505-2E9C-101B-9397-08002B2CF9AE}" pid="8" name="MSIP_Label_f786616f-5bb4-45d1-b9c4-7a19bded0f1d_ContentBits">
    <vt:lpwstr>0</vt:lpwstr>
  </property>
  <property fmtid="{D5CDD505-2E9C-101B-9397-08002B2CF9AE}" pid="9" name="ContentTypeId">
    <vt:lpwstr>0x01010074045C6645180C49B5F3BF356B510BE9</vt:lpwstr>
  </property>
  <property fmtid="{D5CDD505-2E9C-101B-9397-08002B2CF9AE}" pid="10" name="MediaServiceImageTags">
    <vt:lpwstr/>
  </property>
</Properties>
</file>