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838A" w14:textId="77777777" w:rsidR="007A7FCB" w:rsidRDefault="007A7FCB" w:rsidP="00A654B6"/>
    <w:p w14:paraId="154E9942" w14:textId="75B9FA87" w:rsidR="007A7FCB" w:rsidRDefault="008F3E69" w:rsidP="00A654B6">
      <w:r>
        <w:t xml:space="preserve">Note: Replace </w:t>
      </w:r>
      <w:r w:rsidRPr="00A654B6">
        <w:rPr>
          <w:highlight w:val="cyan"/>
        </w:rPr>
        <w:t>Latvia_test_1_use.pdf</w:t>
      </w:r>
      <w:r>
        <w:t xml:space="preserve"> with </w:t>
      </w:r>
      <w:r w:rsidR="00BF490F">
        <w:t>the filename of f</w:t>
      </w:r>
      <w:r w:rsidR="007142DC">
        <w:t xml:space="preserve">ile to be processed (attach </w:t>
      </w:r>
      <w:r w:rsidR="00113641">
        <w:t>pdf file at the bottom of the Instructions.</w:t>
      </w:r>
    </w:p>
    <w:p w14:paraId="391145A7" w14:textId="77777777" w:rsidR="007A7FCB" w:rsidRDefault="007A7FCB" w:rsidP="00A654B6"/>
    <w:p w14:paraId="2074DBF8" w14:textId="77777777" w:rsidR="007A7FCB" w:rsidRDefault="007A7FCB" w:rsidP="00A654B6"/>
    <w:p w14:paraId="0D8D7FE6" w14:textId="77777777" w:rsidR="007A7FCB" w:rsidRDefault="007A7FCB" w:rsidP="00A654B6"/>
    <w:p w14:paraId="4E743933" w14:textId="3E2787B2" w:rsidR="00A654B6" w:rsidRPr="00A654B6" w:rsidRDefault="00A654B6" w:rsidP="00A654B6">
      <w:r w:rsidRPr="00A654B6">
        <w:t>##Instruction:</w:t>
      </w:r>
    </w:p>
    <w:p w14:paraId="5BC33490" w14:textId="77777777" w:rsidR="00A654B6" w:rsidRPr="00A654B6" w:rsidRDefault="00A654B6" w:rsidP="00A654B6">
      <w:r w:rsidRPr="00A654B6">
        <w:t xml:space="preserve">Transform and tag the table from the attached Senegal_test.pdf file using </w:t>
      </w:r>
      <w:r w:rsidRPr="00A654B6">
        <w:rPr>
          <w:highlight w:val="cyan"/>
        </w:rPr>
        <w:t>Latvia_test_1_use.pdf</w:t>
      </w:r>
      <w:r w:rsidRPr="00A654B6">
        <w:t xml:space="preserve"> as the reference source. Use the completed text provided below as the definitive guide for structure and tagging conventions. Ensure the output file does not include any ID attributes and strictly follows the tag names and hierarchical structure used in the completed text.</w:t>
      </w:r>
    </w:p>
    <w:p w14:paraId="6AC46CC0" w14:textId="77777777" w:rsidR="00A654B6" w:rsidRPr="00A654B6" w:rsidRDefault="00A654B6" w:rsidP="00A654B6">
      <w:r w:rsidRPr="00A654B6">
        <w:br/>
      </w:r>
      <w:r w:rsidRPr="00A654B6">
        <w:br/>
      </w:r>
    </w:p>
    <w:p w14:paraId="0C8CE5EF" w14:textId="77777777" w:rsidR="00A654B6" w:rsidRPr="00A654B6" w:rsidRDefault="00A654B6" w:rsidP="00A654B6">
      <w:r w:rsidRPr="00A654B6">
        <w:t xml:space="preserve">&lt;table frame="all" </w:t>
      </w:r>
      <w:proofErr w:type="spellStart"/>
      <w:r w:rsidRPr="00A654B6">
        <w:t>colsep</w:t>
      </w:r>
      <w:proofErr w:type="spellEnd"/>
      <w:r w:rsidRPr="00A654B6">
        <w:t xml:space="preserve">="1" </w:t>
      </w:r>
      <w:proofErr w:type="spellStart"/>
      <w:r w:rsidRPr="00A654B6">
        <w:t>rowsep</w:t>
      </w:r>
      <w:proofErr w:type="spellEnd"/>
      <w:r w:rsidRPr="00A654B6">
        <w:t>="1" id="8407e0efdb6b4fc5a29005c6f138516f"&gt;</w:t>
      </w:r>
    </w:p>
    <w:p w14:paraId="145DAFC2" w14:textId="77777777" w:rsidR="00A654B6" w:rsidRPr="00A654B6" w:rsidRDefault="00A654B6" w:rsidP="00A654B6">
      <w:r w:rsidRPr="00A654B6">
        <w:t>&lt;</w:t>
      </w:r>
      <w:proofErr w:type="spellStart"/>
      <w:r w:rsidRPr="00A654B6">
        <w:t>tgroup</w:t>
      </w:r>
      <w:proofErr w:type="spellEnd"/>
      <w:r w:rsidRPr="00A654B6">
        <w:t xml:space="preserve"> cols="1" frame="all"&gt;</w:t>
      </w:r>
    </w:p>
    <w:p w14:paraId="692C6636" w14:textId="77777777" w:rsidR="00A654B6" w:rsidRPr="00A654B6" w:rsidRDefault="00A654B6" w:rsidP="00A654B6">
      <w:r w:rsidRPr="00A654B6">
        <w:t>&lt;</w:t>
      </w:r>
      <w:proofErr w:type="spellStart"/>
      <w:r w:rsidRPr="00A654B6">
        <w:t>colspec</w:t>
      </w:r>
      <w:proofErr w:type="spellEnd"/>
      <w:r w:rsidRPr="00A654B6">
        <w:t xml:space="preserve"> </w:t>
      </w:r>
      <w:proofErr w:type="spellStart"/>
      <w:r w:rsidRPr="00A654B6">
        <w:t>colnum</w:t>
      </w:r>
      <w:proofErr w:type="spellEnd"/>
      <w:r w:rsidRPr="00A654B6">
        <w:t xml:space="preserve">="1" </w:t>
      </w:r>
      <w:proofErr w:type="spellStart"/>
      <w:r w:rsidRPr="00A654B6">
        <w:t>colname</w:t>
      </w:r>
      <w:proofErr w:type="spellEnd"/>
      <w:r w:rsidRPr="00A654B6">
        <w:t xml:space="preserve">="c1" </w:t>
      </w:r>
      <w:proofErr w:type="spellStart"/>
      <w:r w:rsidRPr="00A654B6">
        <w:t>colwidth</w:t>
      </w:r>
      <w:proofErr w:type="spellEnd"/>
      <w:r w:rsidRPr="00A654B6">
        <w:t xml:space="preserve">="94*" </w:t>
      </w:r>
      <w:proofErr w:type="spellStart"/>
      <w:r w:rsidRPr="00A654B6">
        <w:t>colsep</w:t>
      </w:r>
      <w:proofErr w:type="spellEnd"/>
      <w:r w:rsidRPr="00A654B6">
        <w:t xml:space="preserve">="1" </w:t>
      </w:r>
      <w:proofErr w:type="spellStart"/>
      <w:r w:rsidRPr="00A654B6">
        <w:t>rowsep</w:t>
      </w:r>
      <w:proofErr w:type="spellEnd"/>
      <w:r w:rsidRPr="00A654B6">
        <w:t>="1"/&gt;</w:t>
      </w:r>
    </w:p>
    <w:p w14:paraId="675A236B" w14:textId="77777777" w:rsidR="00A654B6" w:rsidRPr="00A654B6" w:rsidRDefault="00A654B6" w:rsidP="00A654B6">
      <w:r w:rsidRPr="00A654B6">
        <w:t>&lt;</w:t>
      </w:r>
      <w:proofErr w:type="spellStart"/>
      <w:r w:rsidRPr="00A654B6">
        <w:t>thead</w:t>
      </w:r>
      <w:proofErr w:type="spellEnd"/>
      <w:r w:rsidRPr="00A654B6">
        <w:t>&gt;</w:t>
      </w:r>
    </w:p>
    <w:p w14:paraId="080DBF1A" w14:textId="77777777" w:rsidR="00A654B6" w:rsidRPr="00A654B6" w:rsidRDefault="00A654B6" w:rsidP="00A654B6">
      <w:r w:rsidRPr="00A654B6">
        <w:t>&lt;row id="bea429eb8b7b4f9ca270a4fdc4b4b3cf"&gt;</w:t>
      </w:r>
    </w:p>
    <w:p w14:paraId="12690C42" w14:textId="77777777" w:rsidR="00A654B6" w:rsidRPr="00A654B6" w:rsidRDefault="00A654B6" w:rsidP="00A654B6">
      <w:r w:rsidRPr="00A654B6">
        <w:t>&lt;entry align="center"&gt;</w:t>
      </w:r>
    </w:p>
    <w:p w14:paraId="63080236" w14:textId="77777777" w:rsidR="00A654B6" w:rsidRPr="00A654B6" w:rsidRDefault="00A654B6" w:rsidP="00A654B6">
      <w:r w:rsidRPr="00A654B6">
        <w:t xml:space="preserve">&lt;p </w:t>
      </w:r>
      <w:proofErr w:type="gramStart"/>
      <w:r w:rsidRPr="00A654B6">
        <w:t>justify</w:t>
      </w:r>
      <w:proofErr w:type="gramEnd"/>
      <w:r w:rsidRPr="00A654B6">
        <w:t>="c" id="5a22ca303fdc483e965ab9e6f5a1313b"&gt;&lt;</w:t>
      </w:r>
      <w:proofErr w:type="spellStart"/>
      <w:proofErr w:type="gramStart"/>
      <w:r w:rsidRPr="00A654B6">
        <w:t>bb.bookmark</w:t>
      </w:r>
      <w:proofErr w:type="spellEnd"/>
      <w:proofErr w:type="gramEnd"/>
      <w:r w:rsidRPr="00A654B6">
        <w:t xml:space="preserve"> name="Latvia"/&gt;&lt;</w:t>
      </w:r>
      <w:proofErr w:type="spellStart"/>
      <w:r w:rsidRPr="00A654B6">
        <w:t>emph</w:t>
      </w:r>
      <w:proofErr w:type="spellEnd"/>
      <w:r w:rsidRPr="00A654B6">
        <w:t xml:space="preserve"> face="b"&gt;Latvia&lt;/</w:t>
      </w:r>
      <w:proofErr w:type="spellStart"/>
      <w:r w:rsidRPr="00A654B6">
        <w:t>emph</w:t>
      </w:r>
      <w:proofErr w:type="spellEnd"/>
      <w:r w:rsidRPr="00A654B6">
        <w:t>&gt;&lt;/p&gt;</w:t>
      </w:r>
    </w:p>
    <w:p w14:paraId="4549C156" w14:textId="77777777" w:rsidR="00A654B6" w:rsidRPr="00A654B6" w:rsidRDefault="00A654B6" w:rsidP="00A654B6">
      <w:r w:rsidRPr="00A654B6">
        <w:t>&lt;/entry&gt;</w:t>
      </w:r>
    </w:p>
    <w:p w14:paraId="398AD36A" w14:textId="77777777" w:rsidR="00A654B6" w:rsidRPr="00A654B6" w:rsidRDefault="00A654B6" w:rsidP="00A654B6">
      <w:r w:rsidRPr="00A654B6">
        <w:t>&lt;/row&gt;</w:t>
      </w:r>
    </w:p>
    <w:p w14:paraId="1DDD54D0" w14:textId="77777777" w:rsidR="00A654B6" w:rsidRPr="00A654B6" w:rsidRDefault="00A654B6" w:rsidP="00A654B6">
      <w:r w:rsidRPr="00A654B6">
        <w:t>&lt;/</w:t>
      </w:r>
      <w:proofErr w:type="spellStart"/>
      <w:r w:rsidRPr="00A654B6">
        <w:t>thead</w:t>
      </w:r>
      <w:proofErr w:type="spellEnd"/>
      <w:r w:rsidRPr="00A654B6">
        <w:t>&gt;</w:t>
      </w:r>
    </w:p>
    <w:p w14:paraId="4F0B7818" w14:textId="77777777" w:rsidR="00A654B6" w:rsidRPr="00A654B6" w:rsidRDefault="00A654B6" w:rsidP="00A654B6">
      <w:r w:rsidRPr="00A654B6">
        <w:t>&lt;</w:t>
      </w:r>
      <w:proofErr w:type="spellStart"/>
      <w:r w:rsidRPr="00A654B6">
        <w:t>tbody</w:t>
      </w:r>
      <w:proofErr w:type="spellEnd"/>
      <w:r w:rsidRPr="00A654B6">
        <w:t>&gt;</w:t>
      </w:r>
    </w:p>
    <w:p w14:paraId="060B03F8" w14:textId="77777777" w:rsidR="00A654B6" w:rsidRPr="00A654B6" w:rsidRDefault="00A654B6" w:rsidP="00A654B6">
      <w:r w:rsidRPr="00A654B6">
        <w:t>&lt;row id="4c534f9472674d0ca612add3b62e5e35"&gt;</w:t>
      </w:r>
    </w:p>
    <w:p w14:paraId="6FA3ED00" w14:textId="77777777" w:rsidR="00A654B6" w:rsidRPr="00A654B6" w:rsidRDefault="00A654B6" w:rsidP="00A654B6">
      <w:r w:rsidRPr="00A654B6">
        <w:t>&lt;entry align="center"&gt;</w:t>
      </w:r>
    </w:p>
    <w:p w14:paraId="7EC803C5" w14:textId="77777777" w:rsidR="00A654B6" w:rsidRPr="00A654B6" w:rsidRDefault="00A654B6" w:rsidP="00A654B6">
      <w:r w:rsidRPr="00A654B6">
        <w:t xml:space="preserve">&lt;p </w:t>
      </w:r>
      <w:proofErr w:type="gramStart"/>
      <w:r w:rsidRPr="00A654B6">
        <w:t>justify</w:t>
      </w:r>
      <w:proofErr w:type="gramEnd"/>
      <w:r w:rsidRPr="00A654B6">
        <w:t>="c" id="8e8b5a8e25894a80844ab748f546719e"&gt;&lt;</w:t>
      </w:r>
      <w:proofErr w:type="spellStart"/>
      <w:r w:rsidRPr="00A654B6">
        <w:t>emph</w:t>
      </w:r>
      <w:proofErr w:type="spellEnd"/>
      <w:r w:rsidRPr="00A654B6">
        <w:t xml:space="preserve"> face="b"&gt;Country-by-Country Report&lt;/</w:t>
      </w:r>
      <w:proofErr w:type="spellStart"/>
      <w:r w:rsidRPr="00A654B6">
        <w:t>emph</w:t>
      </w:r>
      <w:proofErr w:type="spellEnd"/>
      <w:r w:rsidRPr="00A654B6">
        <w:t>&gt; (&lt;cite.url ref="https://likumi.lv/ta/en/en/id/292196-regulations-regarding-country-by-country-report-of-multinational-enterprise-group"&gt;&lt;emph&gt;Cabinet Regulation No. 397&lt;/</w:t>
      </w:r>
      <w:proofErr w:type="spellStart"/>
      <w:r w:rsidRPr="00A654B6">
        <w:t>emph</w:t>
      </w:r>
      <w:proofErr w:type="spellEnd"/>
      <w:r w:rsidRPr="00A654B6">
        <w:t>&gt;&lt;/cite.url</w:t>
      </w:r>
      <w:proofErr w:type="gramStart"/>
      <w:r w:rsidRPr="00A654B6">
        <w:t>&gt;)&lt;</w:t>
      </w:r>
      <w:proofErr w:type="gramEnd"/>
      <w:r w:rsidRPr="00A654B6">
        <w:t>/p&gt;</w:t>
      </w:r>
    </w:p>
    <w:p w14:paraId="5A4596A0" w14:textId="77777777" w:rsidR="00A654B6" w:rsidRPr="00A654B6" w:rsidRDefault="00A654B6" w:rsidP="00A654B6">
      <w:r w:rsidRPr="00A654B6">
        <w:t>&lt;/entry&gt;</w:t>
      </w:r>
    </w:p>
    <w:p w14:paraId="3AB04DEB" w14:textId="77777777" w:rsidR="00A654B6" w:rsidRPr="00A654B6" w:rsidRDefault="00A654B6" w:rsidP="00A654B6">
      <w:r w:rsidRPr="00A654B6">
        <w:t>&lt;/row&gt;</w:t>
      </w:r>
    </w:p>
    <w:p w14:paraId="18AA0963" w14:textId="77777777" w:rsidR="00A654B6" w:rsidRPr="00A654B6" w:rsidRDefault="00A654B6" w:rsidP="00A654B6">
      <w:r w:rsidRPr="00A654B6">
        <w:t>&lt;row id="c4bb0d4d6c444a09af24f88e46adc35f"&gt;</w:t>
      </w:r>
    </w:p>
    <w:p w14:paraId="4E36ECB6" w14:textId="77777777" w:rsidR="00A654B6" w:rsidRPr="00A654B6" w:rsidRDefault="00A654B6" w:rsidP="00A654B6">
      <w:r w:rsidRPr="00A654B6">
        <w:t>&lt;entry&gt;</w:t>
      </w:r>
    </w:p>
    <w:p w14:paraId="2C23E27A" w14:textId="77777777" w:rsidR="00A654B6" w:rsidRPr="00A654B6" w:rsidRDefault="00A654B6" w:rsidP="00A654B6">
      <w:r w:rsidRPr="00A654B6">
        <w:t>&lt;p id="3b7622aceb1d48ea969366e4440563ab"&gt;&lt;</w:t>
      </w:r>
      <w:proofErr w:type="spellStart"/>
      <w:r w:rsidRPr="00A654B6">
        <w:t>emph</w:t>
      </w:r>
      <w:proofErr w:type="spellEnd"/>
      <w:r w:rsidRPr="00A654B6">
        <w:t xml:space="preserve"> face="bi"&gt;Effective Date&lt;/</w:t>
      </w:r>
      <w:proofErr w:type="spellStart"/>
      <w:r w:rsidRPr="00A654B6">
        <w:t>emph</w:t>
      </w:r>
      <w:proofErr w:type="spellEnd"/>
      <w:r w:rsidRPr="00A654B6">
        <w:t xml:space="preserve">&gt;: Fiscal years beginning on or after January 1, </w:t>
      </w:r>
      <w:proofErr w:type="gramStart"/>
      <w:r w:rsidRPr="00A654B6">
        <w:t>2016.&lt;</w:t>
      </w:r>
      <w:proofErr w:type="gramEnd"/>
      <w:r w:rsidRPr="00A654B6">
        <w:t>/p&gt;</w:t>
      </w:r>
    </w:p>
    <w:p w14:paraId="77B42C6C" w14:textId="77777777" w:rsidR="00A654B6" w:rsidRPr="00A654B6" w:rsidRDefault="00A654B6" w:rsidP="00A654B6">
      <w:r w:rsidRPr="00A654B6">
        <w:t>&lt;p id="f93795db439143eab7bb61c6ba0cefcb"&gt;&lt;</w:t>
      </w:r>
      <w:proofErr w:type="spellStart"/>
      <w:r w:rsidRPr="00A654B6">
        <w:t>emph</w:t>
      </w:r>
      <w:proofErr w:type="spellEnd"/>
      <w:r w:rsidRPr="00A654B6">
        <w:t xml:space="preserve"> face="bi"&gt;Filing Threshold:&lt;/</w:t>
      </w:r>
      <w:proofErr w:type="spellStart"/>
      <w:r w:rsidRPr="00A654B6">
        <w:t>emph</w:t>
      </w:r>
      <w:proofErr w:type="spellEnd"/>
      <w:r w:rsidRPr="00A654B6">
        <w:t xml:space="preserve">&gt; In general, Latvian MNE groups with consolidated group revenue of €750 million or more in the preceding fiscal </w:t>
      </w:r>
      <w:proofErr w:type="gramStart"/>
      <w:r w:rsidRPr="00A654B6">
        <w:t>year.&lt;</w:t>
      </w:r>
      <w:proofErr w:type="gramEnd"/>
      <w:r w:rsidRPr="00A654B6">
        <w:t>/p&gt;</w:t>
      </w:r>
    </w:p>
    <w:p w14:paraId="56191DB9" w14:textId="77777777" w:rsidR="00A654B6" w:rsidRPr="00A654B6" w:rsidRDefault="00A654B6" w:rsidP="00A654B6">
      <w:r w:rsidRPr="00A654B6">
        <w:t>&lt;p id="e57722ec44934e358b79cb91da145cf6"&gt;&lt;</w:t>
      </w:r>
      <w:proofErr w:type="spellStart"/>
      <w:r w:rsidRPr="00A654B6">
        <w:t>emph</w:t>
      </w:r>
      <w:proofErr w:type="spellEnd"/>
      <w:r w:rsidRPr="00A654B6">
        <w:t xml:space="preserve"> face="bi"&gt;Local Filing:&lt;/</w:t>
      </w:r>
      <w:proofErr w:type="spellStart"/>
      <w:r w:rsidRPr="00A654B6">
        <w:t>emph</w:t>
      </w:r>
      <w:proofErr w:type="spellEnd"/>
      <w:r w:rsidRPr="00A654B6">
        <w:t xml:space="preserve">&gt; A Latvian subsidiary may be required to file a </w:t>
      </w:r>
      <w:proofErr w:type="spellStart"/>
      <w:r w:rsidRPr="00A654B6">
        <w:t>CbC</w:t>
      </w:r>
      <w:proofErr w:type="spellEnd"/>
      <w:r w:rsidRPr="00A654B6">
        <w:t xml:space="preserve"> report if certain conditions are </w:t>
      </w:r>
      <w:proofErr w:type="gramStart"/>
      <w:r w:rsidRPr="00A654B6">
        <w:t>met.&lt;</w:t>
      </w:r>
      <w:proofErr w:type="gramEnd"/>
      <w:r w:rsidRPr="00A654B6">
        <w:t>/p&gt;</w:t>
      </w:r>
    </w:p>
    <w:p w14:paraId="1C963107" w14:textId="77777777" w:rsidR="00A654B6" w:rsidRPr="00A654B6" w:rsidRDefault="00A654B6" w:rsidP="00A654B6">
      <w:r w:rsidRPr="00A654B6">
        <w:t>&lt;p id="d2ec78633fc24ea4941a4c6d1c2c717b"&gt;&lt;</w:t>
      </w:r>
      <w:proofErr w:type="spellStart"/>
      <w:r w:rsidRPr="00A654B6">
        <w:t>emph</w:t>
      </w:r>
      <w:proofErr w:type="spellEnd"/>
      <w:r w:rsidRPr="00A654B6">
        <w:t xml:space="preserve"> face="bi"&gt;Information Reported&lt;/</w:t>
      </w:r>
      <w:proofErr w:type="spellStart"/>
      <w:r w:rsidRPr="00A654B6">
        <w:t>emph</w:t>
      </w:r>
      <w:proofErr w:type="spellEnd"/>
      <w:r w:rsidRPr="00A654B6">
        <w:t xml:space="preserve">&gt;: Generally consistent with the OECD </w:t>
      </w:r>
      <w:proofErr w:type="gramStart"/>
      <w:r w:rsidRPr="00A654B6">
        <w:t>guidance.&lt;</w:t>
      </w:r>
      <w:proofErr w:type="gramEnd"/>
      <w:r w:rsidRPr="00A654B6">
        <w:t>/p&gt;</w:t>
      </w:r>
    </w:p>
    <w:p w14:paraId="48E3A5D2" w14:textId="77777777" w:rsidR="00A654B6" w:rsidRPr="00A654B6" w:rsidRDefault="00A654B6" w:rsidP="00A654B6">
      <w:r w:rsidRPr="00A654B6">
        <w:t>&lt;p id="45e3dd6bce944ba982428824743f32ea"&gt;&lt;</w:t>
      </w:r>
      <w:proofErr w:type="spellStart"/>
      <w:r w:rsidRPr="00A654B6">
        <w:t>emph</w:t>
      </w:r>
      <w:proofErr w:type="spellEnd"/>
      <w:r w:rsidRPr="00A654B6">
        <w:t xml:space="preserve"> face="bi"&gt;Language&lt;/</w:t>
      </w:r>
      <w:proofErr w:type="spellStart"/>
      <w:r w:rsidRPr="00A654B6">
        <w:t>emph</w:t>
      </w:r>
      <w:proofErr w:type="spellEnd"/>
      <w:r w:rsidRPr="00A654B6">
        <w:t>&gt;: Latvian or English (however, the tax authority can request a full or partial translation to Latvian</w:t>
      </w:r>
      <w:proofErr w:type="gramStart"/>
      <w:r w:rsidRPr="00A654B6">
        <w:t>).&lt;</w:t>
      </w:r>
      <w:proofErr w:type="gramEnd"/>
      <w:r w:rsidRPr="00A654B6">
        <w:t>/p&gt;</w:t>
      </w:r>
    </w:p>
    <w:p w14:paraId="605D3FAE" w14:textId="77777777" w:rsidR="00A654B6" w:rsidRPr="00A654B6" w:rsidRDefault="00A654B6" w:rsidP="00A654B6">
      <w:r w:rsidRPr="00A654B6">
        <w:t>&lt;p id="af4d1cc1f9b64f169a000bb74f7d5a56"&gt;&lt;</w:t>
      </w:r>
      <w:proofErr w:type="spellStart"/>
      <w:r w:rsidRPr="00A654B6">
        <w:t>emph</w:t>
      </w:r>
      <w:proofErr w:type="spellEnd"/>
      <w:r w:rsidRPr="00A654B6">
        <w:t xml:space="preserve"> face="bi"&gt;Forms/Filing Instructions&lt;/</w:t>
      </w:r>
      <w:proofErr w:type="spellStart"/>
      <w:r w:rsidRPr="00A654B6">
        <w:t>emph</w:t>
      </w:r>
      <w:proofErr w:type="spellEnd"/>
      <w:r w:rsidRPr="00A654B6">
        <w:t>&gt;:&lt;</w:t>
      </w:r>
      <w:proofErr w:type="spellStart"/>
      <w:r w:rsidRPr="00A654B6">
        <w:t>source.list.item</w:t>
      </w:r>
      <w:proofErr w:type="spellEnd"/>
      <w:r w:rsidRPr="00A654B6">
        <w:t xml:space="preserve"> level="2"&gt; – </w:t>
      </w:r>
      <w:proofErr w:type="spellStart"/>
      <w:r w:rsidRPr="00A654B6">
        <w:t>CbC</w:t>
      </w:r>
      <w:proofErr w:type="spellEnd"/>
      <w:r w:rsidRPr="00A654B6">
        <w:t xml:space="preserve"> Notification of Reporting Entity: Submitted to the State Revenue Service (SRS) via the &lt;cite.url ref="https://eds.vid.gov.lv/login/"&gt;&lt;</w:t>
      </w:r>
      <w:proofErr w:type="spellStart"/>
      <w:r w:rsidRPr="00A654B6">
        <w:t>emph</w:t>
      </w:r>
      <w:proofErr w:type="spellEnd"/>
      <w:r w:rsidRPr="00A654B6">
        <w:t>&gt;SRS Electronic Declarations System&lt;/</w:t>
      </w:r>
      <w:proofErr w:type="spellStart"/>
      <w:r w:rsidRPr="00A654B6">
        <w:t>emph</w:t>
      </w:r>
      <w:proofErr w:type="spellEnd"/>
      <w:r w:rsidRPr="00A654B6">
        <w:t>&gt;&lt;/cite.url&gt;.&lt;/</w:t>
      </w:r>
      <w:proofErr w:type="spellStart"/>
      <w:r w:rsidRPr="00A654B6">
        <w:t>source.list.item</w:t>
      </w:r>
      <w:proofErr w:type="spellEnd"/>
      <w:r w:rsidRPr="00A654B6">
        <w:t>&gt;&lt;</w:t>
      </w:r>
      <w:proofErr w:type="spellStart"/>
      <w:r w:rsidRPr="00A654B6">
        <w:t>source.list.item</w:t>
      </w:r>
      <w:proofErr w:type="spellEnd"/>
      <w:r w:rsidRPr="00A654B6">
        <w:t xml:space="preserve"> level="2"&gt; – </w:t>
      </w:r>
      <w:proofErr w:type="spellStart"/>
      <w:r w:rsidRPr="00A654B6">
        <w:t>CbC</w:t>
      </w:r>
      <w:proofErr w:type="spellEnd"/>
      <w:r w:rsidRPr="00A654B6">
        <w:t xml:space="preserve"> Report: Submitted to the SRS via the &lt;cite.url ref="https://eds.vid.gov.lv/login/"&gt;&lt;</w:t>
      </w:r>
      <w:proofErr w:type="spellStart"/>
      <w:r w:rsidRPr="00A654B6">
        <w:t>emph</w:t>
      </w:r>
      <w:proofErr w:type="spellEnd"/>
      <w:r w:rsidRPr="00A654B6">
        <w:t>&gt;SRS Electronic Declarations System&lt;/</w:t>
      </w:r>
      <w:proofErr w:type="spellStart"/>
      <w:r w:rsidRPr="00A654B6">
        <w:t>emph</w:t>
      </w:r>
      <w:proofErr w:type="spellEnd"/>
      <w:r w:rsidRPr="00A654B6">
        <w:t>&gt;&lt;/cite.url&gt;.&lt;/</w:t>
      </w:r>
      <w:proofErr w:type="spellStart"/>
      <w:r w:rsidRPr="00A654B6">
        <w:t>source.list.item</w:t>
      </w:r>
      <w:proofErr w:type="spellEnd"/>
      <w:r w:rsidRPr="00A654B6">
        <w:t>&gt;&lt;/p&gt;</w:t>
      </w:r>
    </w:p>
    <w:p w14:paraId="7460E09B" w14:textId="77777777" w:rsidR="00A654B6" w:rsidRPr="00A654B6" w:rsidRDefault="00A654B6" w:rsidP="00A654B6">
      <w:r w:rsidRPr="00A654B6">
        <w:t>&lt;p id="f4c21ec863aa47d28edb999cf348897b"&gt;&lt;</w:t>
      </w:r>
      <w:proofErr w:type="spellStart"/>
      <w:r w:rsidRPr="00A654B6">
        <w:t>emph</w:t>
      </w:r>
      <w:proofErr w:type="spellEnd"/>
      <w:r w:rsidRPr="00A654B6">
        <w:t xml:space="preserve"> face="bi"&gt;Deadline for Filing Notification of Reporting Entity&lt;/</w:t>
      </w:r>
      <w:proofErr w:type="spellStart"/>
      <w:r w:rsidRPr="00A654B6">
        <w:t>emph</w:t>
      </w:r>
      <w:proofErr w:type="spellEnd"/>
      <w:r w:rsidRPr="00A654B6">
        <w:t xml:space="preserve">&gt;: By the last day of the reporting </w:t>
      </w:r>
      <w:proofErr w:type="gramStart"/>
      <w:r w:rsidRPr="00A654B6">
        <w:t>year.&lt;</w:t>
      </w:r>
      <w:proofErr w:type="gramEnd"/>
      <w:r w:rsidRPr="00A654B6">
        <w:t>/p&gt;</w:t>
      </w:r>
    </w:p>
    <w:p w14:paraId="439597D0" w14:textId="77777777" w:rsidR="00A654B6" w:rsidRPr="00A654B6" w:rsidRDefault="00A654B6" w:rsidP="00A654B6">
      <w:r w:rsidRPr="00A654B6">
        <w:t>&lt;p id="24948c9af1a7448bbd0bd8ed9df29d40"&gt;&lt;</w:t>
      </w:r>
      <w:proofErr w:type="spellStart"/>
      <w:r w:rsidRPr="00A654B6">
        <w:t>emph</w:t>
      </w:r>
      <w:proofErr w:type="spellEnd"/>
      <w:r w:rsidRPr="00A654B6">
        <w:t xml:space="preserve"> face="bi"&gt;Deadline for Filing </w:t>
      </w:r>
      <w:proofErr w:type="spellStart"/>
      <w:r w:rsidRPr="00A654B6">
        <w:t>CbC</w:t>
      </w:r>
      <w:proofErr w:type="spellEnd"/>
      <w:r w:rsidRPr="00A654B6">
        <w:t xml:space="preserve"> Report&lt;/</w:t>
      </w:r>
      <w:proofErr w:type="spellStart"/>
      <w:r w:rsidRPr="00A654B6">
        <w:t>emph</w:t>
      </w:r>
      <w:proofErr w:type="spellEnd"/>
      <w:r w:rsidRPr="00A654B6">
        <w:t xml:space="preserve">&gt;: Within 12 months of the last day of the reporting </w:t>
      </w:r>
      <w:proofErr w:type="gramStart"/>
      <w:r w:rsidRPr="00A654B6">
        <w:t>year.&lt;</w:t>
      </w:r>
      <w:proofErr w:type="gramEnd"/>
      <w:r w:rsidRPr="00A654B6">
        <w:t>/p&gt;</w:t>
      </w:r>
    </w:p>
    <w:p w14:paraId="5CEDE9FE" w14:textId="77777777" w:rsidR="00A654B6" w:rsidRPr="00A654B6" w:rsidRDefault="00A654B6" w:rsidP="00A654B6">
      <w:r w:rsidRPr="00A654B6">
        <w:t>&lt;p id="3a4d6e4e7b2a4cc7a9cdaab95dec9e35"&gt;&lt;</w:t>
      </w:r>
      <w:proofErr w:type="spellStart"/>
      <w:r w:rsidRPr="00A654B6">
        <w:t>emph</w:t>
      </w:r>
      <w:proofErr w:type="spellEnd"/>
      <w:r w:rsidRPr="00A654B6">
        <w:t xml:space="preserve"> face="bi"&gt;Penalties:&lt;/</w:t>
      </w:r>
      <w:proofErr w:type="spellStart"/>
      <w:r w:rsidRPr="00A654B6">
        <w:t>emph</w:t>
      </w:r>
      <w:proofErr w:type="spellEnd"/>
      <w:r w:rsidRPr="00A654B6">
        <w:t>&gt; Penalties may apply for non-</w:t>
      </w:r>
      <w:proofErr w:type="gramStart"/>
      <w:r w:rsidRPr="00A654B6">
        <w:t>compliance.&lt;</w:t>
      </w:r>
      <w:proofErr w:type="gramEnd"/>
      <w:r w:rsidRPr="00A654B6">
        <w:t>/p&gt;</w:t>
      </w:r>
    </w:p>
    <w:p w14:paraId="2E36908A" w14:textId="77777777" w:rsidR="00A654B6" w:rsidRPr="00A654B6" w:rsidRDefault="00A654B6" w:rsidP="00A654B6">
      <w:r w:rsidRPr="00A654B6">
        <w:t>&lt;p id="bd1b617ac3334d2b93451e1e5a2c5be2"&gt;&lt;</w:t>
      </w:r>
      <w:proofErr w:type="spellStart"/>
      <w:r w:rsidRPr="00A654B6">
        <w:t>emph</w:t>
      </w:r>
      <w:proofErr w:type="spellEnd"/>
      <w:r w:rsidRPr="00A654B6">
        <w:t xml:space="preserve"> face="bi"&gt;Exchange of Information&lt;/</w:t>
      </w:r>
      <w:proofErr w:type="spellStart"/>
      <w:r w:rsidRPr="00A654B6">
        <w:t>emph</w:t>
      </w:r>
      <w:proofErr w:type="spellEnd"/>
      <w:r w:rsidRPr="00A654B6">
        <w:t>&gt;:&lt;</w:t>
      </w:r>
      <w:proofErr w:type="spellStart"/>
      <w:r w:rsidRPr="00A654B6">
        <w:t>source.list.item</w:t>
      </w:r>
      <w:proofErr w:type="spellEnd"/>
      <w:r w:rsidRPr="00A654B6">
        <w:t xml:space="preserve"> level="2"&gt; – MCAA </w:t>
      </w:r>
      <w:proofErr w:type="spellStart"/>
      <w:r w:rsidRPr="00A654B6">
        <w:t>CbC</w:t>
      </w:r>
      <w:proofErr w:type="spellEnd"/>
      <w:r w:rsidRPr="00A654B6">
        <w:t xml:space="preserve"> - signed.&lt;/</w:t>
      </w:r>
      <w:proofErr w:type="spellStart"/>
      <w:r w:rsidRPr="00A654B6">
        <w:t>source.list.item</w:t>
      </w:r>
      <w:proofErr w:type="spellEnd"/>
      <w:r w:rsidRPr="00A654B6">
        <w:t>&gt;&lt;</w:t>
      </w:r>
      <w:proofErr w:type="spellStart"/>
      <w:r w:rsidRPr="00A654B6">
        <w:t>source.list.item</w:t>
      </w:r>
      <w:proofErr w:type="spellEnd"/>
      <w:r w:rsidRPr="00A654B6">
        <w:t xml:space="preserve"> level="2"&gt; – EU Directive 2016/881: enacted.&lt;/</w:t>
      </w:r>
      <w:proofErr w:type="spellStart"/>
      <w:r w:rsidRPr="00A654B6">
        <w:t>source.list.item</w:t>
      </w:r>
      <w:proofErr w:type="spellEnd"/>
      <w:r w:rsidRPr="00A654B6">
        <w:t>&gt;&lt;</w:t>
      </w:r>
      <w:proofErr w:type="spellStart"/>
      <w:r w:rsidRPr="00A654B6">
        <w:t>source.list.item</w:t>
      </w:r>
      <w:proofErr w:type="spellEnd"/>
      <w:r w:rsidRPr="00A654B6">
        <w:t xml:space="preserve"> level="2"&gt; – U.S. CAA </w:t>
      </w:r>
      <w:proofErr w:type="spellStart"/>
      <w:r w:rsidRPr="00A654B6">
        <w:t>CbC</w:t>
      </w:r>
      <w:proofErr w:type="spellEnd"/>
      <w:r w:rsidRPr="00A654B6">
        <w:t xml:space="preserve"> - signed.&lt;/p&gt;</w:t>
      </w:r>
    </w:p>
    <w:p w14:paraId="7E53BABF" w14:textId="77777777" w:rsidR="00A654B6" w:rsidRPr="00A654B6" w:rsidRDefault="00A654B6" w:rsidP="00A654B6">
      <w:r w:rsidRPr="00A654B6">
        <w:t>&lt;p&gt;&lt;</w:t>
      </w:r>
      <w:proofErr w:type="spellStart"/>
      <w:r w:rsidRPr="00A654B6">
        <w:t>emph</w:t>
      </w:r>
      <w:proofErr w:type="spellEnd"/>
      <w:r w:rsidRPr="00A654B6">
        <w:t xml:space="preserve">&gt;For a schedule of </w:t>
      </w:r>
      <w:proofErr w:type="spellStart"/>
      <w:r w:rsidRPr="00A654B6">
        <w:t>CbC</w:t>
      </w:r>
      <w:proofErr w:type="spellEnd"/>
      <w:r w:rsidRPr="00A654B6">
        <w:t xml:space="preserve"> report and </w:t>
      </w:r>
      <w:proofErr w:type="spellStart"/>
      <w:r w:rsidRPr="00A654B6">
        <w:t>CbC</w:t>
      </w:r>
      <w:proofErr w:type="spellEnd"/>
      <w:r w:rsidRPr="00A654B6">
        <w:t xml:space="preserve"> notification deadlines (by country), please see &lt;cite.url ref="https://www.bloomberglaw.com/product/tax/document/X7UHS658000000"&gt;&lt;emph&gt;CbC Reporting Deadlines&lt;/</w:t>
      </w:r>
      <w:proofErr w:type="spellStart"/>
      <w:r w:rsidRPr="00A654B6">
        <w:t>emph</w:t>
      </w:r>
      <w:proofErr w:type="spellEnd"/>
      <w:r w:rsidRPr="00A654B6">
        <w:t>&gt;&lt;/cite.url</w:t>
      </w:r>
      <w:proofErr w:type="gramStart"/>
      <w:r w:rsidRPr="00A654B6">
        <w:t>&gt;.&lt;</w:t>
      </w:r>
      <w:proofErr w:type="gramEnd"/>
      <w:r w:rsidRPr="00A654B6">
        <w:t>/</w:t>
      </w:r>
      <w:proofErr w:type="spellStart"/>
      <w:r w:rsidRPr="00A654B6">
        <w:t>emph</w:t>
      </w:r>
      <w:proofErr w:type="spellEnd"/>
      <w:r w:rsidRPr="00A654B6">
        <w:t>&gt;&lt;/</w:t>
      </w:r>
      <w:proofErr w:type="spellStart"/>
      <w:proofErr w:type="gramStart"/>
      <w:r w:rsidRPr="00A654B6">
        <w:t>source.list</w:t>
      </w:r>
      <w:proofErr w:type="gramEnd"/>
      <w:r w:rsidRPr="00A654B6">
        <w:t>.item</w:t>
      </w:r>
      <w:proofErr w:type="spellEnd"/>
      <w:r w:rsidRPr="00A654B6">
        <w:t>&gt;&lt;/p&gt;</w:t>
      </w:r>
    </w:p>
    <w:p w14:paraId="6D302F90" w14:textId="77777777" w:rsidR="00A654B6" w:rsidRPr="00A654B6" w:rsidRDefault="00A654B6" w:rsidP="00A654B6">
      <w:r w:rsidRPr="00A654B6">
        <w:t>&lt;/entry&gt;</w:t>
      </w:r>
    </w:p>
    <w:p w14:paraId="6C9DA304" w14:textId="77777777" w:rsidR="00A654B6" w:rsidRPr="00A654B6" w:rsidRDefault="00A654B6" w:rsidP="00A654B6">
      <w:r w:rsidRPr="00A654B6">
        <w:t>&lt;/row&gt;</w:t>
      </w:r>
    </w:p>
    <w:p w14:paraId="7683CC75" w14:textId="77777777" w:rsidR="00A654B6" w:rsidRPr="00A654B6" w:rsidRDefault="00A654B6" w:rsidP="00A654B6">
      <w:r w:rsidRPr="00A654B6">
        <w:t>&lt;row id="86f923d05350495f850dfb8d850c71a9"&gt;</w:t>
      </w:r>
    </w:p>
    <w:p w14:paraId="39479605" w14:textId="77777777" w:rsidR="00A654B6" w:rsidRPr="00A654B6" w:rsidRDefault="00A654B6" w:rsidP="00A654B6">
      <w:r w:rsidRPr="00A654B6">
        <w:t>&lt;entry align="center"&gt;</w:t>
      </w:r>
    </w:p>
    <w:p w14:paraId="0A531EDA" w14:textId="77777777" w:rsidR="00A654B6" w:rsidRPr="00A654B6" w:rsidRDefault="00A654B6" w:rsidP="00A654B6">
      <w:r w:rsidRPr="00A654B6">
        <w:t xml:space="preserve">&lt;p </w:t>
      </w:r>
      <w:proofErr w:type="gramStart"/>
      <w:r w:rsidRPr="00A654B6">
        <w:t>justify</w:t>
      </w:r>
      <w:proofErr w:type="gramEnd"/>
      <w:r w:rsidRPr="00A654B6">
        <w:t>="c" id="985cdadb61c94cb985b567f2b6d2e50a"&gt;&lt;</w:t>
      </w:r>
      <w:proofErr w:type="spellStart"/>
      <w:r w:rsidRPr="00A654B6">
        <w:t>emph</w:t>
      </w:r>
      <w:proofErr w:type="spellEnd"/>
      <w:r w:rsidRPr="00A654B6">
        <w:t xml:space="preserve"> face="b"&gt;Public Country-by-Country Report (&lt;/</w:t>
      </w:r>
      <w:proofErr w:type="spellStart"/>
      <w:r w:rsidRPr="00A654B6">
        <w:t>emph</w:t>
      </w:r>
      <w:proofErr w:type="spellEnd"/>
      <w:r w:rsidRPr="00A654B6">
        <w:t>&gt;&lt;cite.url ref="https://www.vestnesis.lv/op/2023/187.1"&gt;&lt;emph&gt;Income and Income Tax Disclosure Act&lt;/</w:t>
      </w:r>
      <w:proofErr w:type="spellStart"/>
      <w:r w:rsidRPr="00A654B6">
        <w:t>emph</w:t>
      </w:r>
      <w:proofErr w:type="spellEnd"/>
      <w:r w:rsidRPr="00A654B6">
        <w:t>&gt;&lt;/cite.url&gt;&lt;</w:t>
      </w:r>
      <w:proofErr w:type="spellStart"/>
      <w:r w:rsidRPr="00A654B6">
        <w:t>emph</w:t>
      </w:r>
      <w:proofErr w:type="spellEnd"/>
      <w:r w:rsidRPr="00A654B6">
        <w:t xml:space="preserve"> face="b"</w:t>
      </w:r>
      <w:proofErr w:type="gramStart"/>
      <w:r w:rsidRPr="00A654B6">
        <w:t>&gt;)&lt;</w:t>
      </w:r>
      <w:proofErr w:type="gramEnd"/>
      <w:r w:rsidRPr="00A654B6">
        <w:t>/</w:t>
      </w:r>
      <w:proofErr w:type="spellStart"/>
      <w:r w:rsidRPr="00A654B6">
        <w:t>emph</w:t>
      </w:r>
      <w:proofErr w:type="spellEnd"/>
      <w:r w:rsidRPr="00A654B6">
        <w:t>&gt;&lt;/p&gt;</w:t>
      </w:r>
    </w:p>
    <w:p w14:paraId="31D34D4A" w14:textId="77777777" w:rsidR="00A654B6" w:rsidRPr="00A654B6" w:rsidRDefault="00A654B6" w:rsidP="00A654B6">
      <w:r w:rsidRPr="00A654B6">
        <w:t>&lt;/entry&gt;</w:t>
      </w:r>
    </w:p>
    <w:p w14:paraId="1248DD49" w14:textId="77777777" w:rsidR="00A654B6" w:rsidRPr="00A654B6" w:rsidRDefault="00A654B6" w:rsidP="00A654B6">
      <w:r w:rsidRPr="00A654B6">
        <w:t>&lt;/row&gt;</w:t>
      </w:r>
    </w:p>
    <w:p w14:paraId="105E055A" w14:textId="77777777" w:rsidR="00A654B6" w:rsidRPr="00A654B6" w:rsidRDefault="00A654B6" w:rsidP="00A654B6">
      <w:r w:rsidRPr="00A654B6">
        <w:t>&lt;row id="3593c1653c844a7fb0687b70f057858b"&gt;</w:t>
      </w:r>
    </w:p>
    <w:p w14:paraId="01FFFA48" w14:textId="77777777" w:rsidR="00A654B6" w:rsidRPr="00A654B6" w:rsidRDefault="00A654B6" w:rsidP="00A654B6">
      <w:r w:rsidRPr="00A654B6">
        <w:t>&lt;entry&gt;</w:t>
      </w:r>
    </w:p>
    <w:p w14:paraId="5431528E" w14:textId="77777777" w:rsidR="00A654B6" w:rsidRPr="00A654B6" w:rsidRDefault="00A654B6" w:rsidP="00A654B6">
      <w:r w:rsidRPr="00A654B6">
        <w:t>&lt;p id="2ac5649d961b4083b3966c59c4f49983"&gt;&lt;</w:t>
      </w:r>
      <w:proofErr w:type="spellStart"/>
      <w:r w:rsidRPr="00A654B6">
        <w:t>emph</w:t>
      </w:r>
      <w:proofErr w:type="spellEnd"/>
      <w:r w:rsidRPr="00A654B6">
        <w:t xml:space="preserve"> face="bi"&gt;Effective Date:&lt;/</w:t>
      </w:r>
      <w:proofErr w:type="spellStart"/>
      <w:r w:rsidRPr="00A654B6">
        <w:t>emph</w:t>
      </w:r>
      <w:proofErr w:type="spellEnd"/>
      <w:r w:rsidRPr="00A654B6">
        <w:t xml:space="preserve">&gt; Financial years beginning on or after June 22, </w:t>
      </w:r>
      <w:proofErr w:type="gramStart"/>
      <w:r w:rsidRPr="00A654B6">
        <w:t>2024.&lt;</w:t>
      </w:r>
      <w:proofErr w:type="gramEnd"/>
      <w:r w:rsidRPr="00A654B6">
        <w:t>/p&gt;</w:t>
      </w:r>
    </w:p>
    <w:p w14:paraId="0338E67C" w14:textId="77777777" w:rsidR="00A654B6" w:rsidRPr="00A654B6" w:rsidRDefault="00A654B6" w:rsidP="00A654B6">
      <w:r w:rsidRPr="00A654B6">
        <w:t>&lt;p id="ba48d99efbdd4f359321bc0ae7d7f23f"&gt;&lt;</w:t>
      </w:r>
      <w:proofErr w:type="spellStart"/>
      <w:r w:rsidRPr="00A654B6">
        <w:t>emph</w:t>
      </w:r>
      <w:proofErr w:type="spellEnd"/>
      <w:r w:rsidRPr="00A654B6">
        <w:t xml:space="preserve"> face="bi"&gt;Reporting Threshold:&lt;/</w:t>
      </w:r>
      <w:proofErr w:type="spellStart"/>
      <w:r w:rsidRPr="00A654B6">
        <w:t>emph</w:t>
      </w:r>
      <w:proofErr w:type="spellEnd"/>
      <w:r w:rsidRPr="00A654B6">
        <w:t>&gt;&lt;</w:t>
      </w:r>
      <w:proofErr w:type="spellStart"/>
      <w:r w:rsidRPr="00A654B6">
        <w:t>source.list.item</w:t>
      </w:r>
      <w:proofErr w:type="spellEnd"/>
      <w:r w:rsidRPr="00A654B6">
        <w:t xml:space="preserve"> level="2"&gt; – Latvian MNEs (or a Latvian stand-alone company) with consolidated revenue exceeding €750 million in each of the last two consecutive financial years (and active in at least one other tax jurisdiction).&lt;/</w:t>
      </w:r>
      <w:proofErr w:type="spellStart"/>
      <w:r w:rsidRPr="00A654B6">
        <w:t>source.list.item</w:t>
      </w:r>
      <w:proofErr w:type="spellEnd"/>
      <w:r w:rsidRPr="00A654B6">
        <w:t>&gt;&lt;</w:t>
      </w:r>
      <w:proofErr w:type="spellStart"/>
      <w:r w:rsidRPr="00A654B6">
        <w:t>source.list.item</w:t>
      </w:r>
      <w:proofErr w:type="spellEnd"/>
      <w:r w:rsidRPr="00A654B6">
        <w:t xml:space="preserve"> level="2"&gt; – Non-EU MNEs with a “medium” or “large” subsidiary &lt;footnote </w:t>
      </w:r>
      <w:proofErr w:type="spellStart"/>
      <w:r w:rsidRPr="00A654B6">
        <w:t>placement.in.table</w:t>
      </w:r>
      <w:proofErr w:type="spellEnd"/>
      <w:r w:rsidRPr="00A654B6">
        <w:t>="</w:t>
      </w:r>
      <w:proofErr w:type="spellStart"/>
      <w:r w:rsidRPr="00A654B6">
        <w:t>page.footnote</w:t>
      </w:r>
      <w:proofErr w:type="spellEnd"/>
      <w:r w:rsidRPr="00A654B6">
        <w:t>" id="2311e6f0a01f4b26b134509d6cb13507"&gt;&lt;footnote.marker&gt;&lt;superior&gt;1&lt;/superior&gt;&lt;/footnote.marker&gt;&lt;footnote.text&gt;</w:t>
      </w:r>
    </w:p>
    <w:p w14:paraId="38EEE5CF" w14:textId="77777777" w:rsidR="00A654B6" w:rsidRPr="00A654B6" w:rsidRDefault="00A654B6" w:rsidP="00A654B6">
      <w:r w:rsidRPr="00A654B6">
        <w:t>&lt;p id="6dd2388b1b384f2a9583c89f5ff23d3c"&gt;Pursuant to the fourth or fifth parts of Art. 5 of the Law on Annual Reports and Consolidated Annual Reports.&lt;/p&gt;&lt;/</w:t>
      </w:r>
      <w:proofErr w:type="spellStart"/>
      <w:r w:rsidRPr="00A654B6">
        <w:t>footnote.text</w:t>
      </w:r>
      <w:proofErr w:type="spellEnd"/>
      <w:r w:rsidRPr="00A654B6">
        <w:t xml:space="preserve">&gt;&lt;/footnote&gt; in Latvia with consolidated revenue exceeding €750 million in each of the last two consecutive financial years (or a non-EU corporation with a branch in Latvia and the revenue of the Latvian branch exceeds €8 million in each of the last two consecutive financial years).&lt;footnote </w:t>
      </w:r>
      <w:proofErr w:type="spellStart"/>
      <w:r w:rsidRPr="00A654B6">
        <w:t>placement.in.table</w:t>
      </w:r>
      <w:proofErr w:type="spellEnd"/>
      <w:r w:rsidRPr="00A654B6">
        <w:t>="</w:t>
      </w:r>
      <w:proofErr w:type="spellStart"/>
      <w:r w:rsidRPr="00A654B6">
        <w:t>page.footnote</w:t>
      </w:r>
      <w:proofErr w:type="spellEnd"/>
      <w:r w:rsidRPr="00A654B6">
        <w:t>" id="60b63dd8aed542a5a74df3210a33846a"&gt;&lt;footnote.marker&gt;&lt;superior&gt;2&lt;/superior&gt;&lt;/footnote.marker&gt;</w:t>
      </w:r>
    </w:p>
    <w:p w14:paraId="3FF309F9" w14:textId="77777777" w:rsidR="00A654B6" w:rsidRPr="00A654B6" w:rsidRDefault="00A654B6" w:rsidP="00A654B6">
      <w:r w:rsidRPr="00A654B6">
        <w:t>&lt;</w:t>
      </w:r>
      <w:proofErr w:type="spellStart"/>
      <w:r w:rsidRPr="00A654B6">
        <w:t>footnote.text</w:t>
      </w:r>
      <w:proofErr w:type="spellEnd"/>
      <w:r w:rsidRPr="00A654B6">
        <w:t>&gt;</w:t>
      </w:r>
    </w:p>
    <w:p w14:paraId="69D262C8" w14:textId="77777777" w:rsidR="00A654B6" w:rsidRPr="00A654B6" w:rsidRDefault="00A654B6" w:rsidP="00A654B6">
      <w:r w:rsidRPr="00A654B6">
        <w:t>&lt;p id="5e2f5d697e8b4400bf34e98ea10f25dc"&gt;In general, this provision does not apply if the non-EU MNE (or non-EU corporation) has prepared and published a statement of income tax data that (</w:t>
      </w:r>
      <w:proofErr w:type="spellStart"/>
      <w:r w:rsidRPr="00A654B6">
        <w:t>i</w:t>
      </w:r>
      <w:proofErr w:type="spellEnd"/>
      <w:r w:rsidRPr="00A654B6">
        <w:t>) is publicly available and free of charge on it's website; (ii) is issued in one of the official EU languages; (iii) is published within 12 months of the closing date of the balance sheet for the reporting financial year; and (iv) contains certain identifying information regarding relevant enterprises.&lt;/p&gt;</w:t>
      </w:r>
    </w:p>
    <w:p w14:paraId="47247DE1" w14:textId="77777777" w:rsidR="00A654B6" w:rsidRPr="00A654B6" w:rsidRDefault="00A654B6" w:rsidP="00A654B6">
      <w:r w:rsidRPr="00A654B6">
        <w:t>&lt;/</w:t>
      </w:r>
      <w:proofErr w:type="spellStart"/>
      <w:r w:rsidRPr="00A654B6">
        <w:t>footnote.text</w:t>
      </w:r>
      <w:proofErr w:type="spellEnd"/>
      <w:r w:rsidRPr="00A654B6">
        <w:t>&gt;</w:t>
      </w:r>
    </w:p>
    <w:p w14:paraId="5DFDF7CE" w14:textId="77777777" w:rsidR="00A654B6" w:rsidRPr="00A654B6" w:rsidRDefault="00A654B6" w:rsidP="00A654B6">
      <w:r w:rsidRPr="00A654B6">
        <w:t>&lt;/footnote&gt;&lt;/</w:t>
      </w:r>
      <w:proofErr w:type="spellStart"/>
      <w:proofErr w:type="gramStart"/>
      <w:r w:rsidRPr="00A654B6">
        <w:t>source.list</w:t>
      </w:r>
      <w:proofErr w:type="gramEnd"/>
      <w:r w:rsidRPr="00A654B6">
        <w:t>.item</w:t>
      </w:r>
      <w:proofErr w:type="spellEnd"/>
      <w:r w:rsidRPr="00A654B6">
        <w:t>&gt;&lt;</w:t>
      </w:r>
      <w:proofErr w:type="spellStart"/>
      <w:proofErr w:type="gramStart"/>
      <w:r w:rsidRPr="00A654B6">
        <w:t>source.list</w:t>
      </w:r>
      <w:proofErr w:type="gramEnd"/>
      <w:r w:rsidRPr="00A654B6">
        <w:t>.item</w:t>
      </w:r>
      <w:proofErr w:type="spellEnd"/>
      <w:r w:rsidRPr="00A654B6">
        <w:t xml:space="preserve"> level="2"&gt; – Latvian subsidiaries or branches established for the sole purpose of circumventing the EU public </w:t>
      </w:r>
      <w:proofErr w:type="spellStart"/>
      <w:r w:rsidRPr="00A654B6">
        <w:t>CbC</w:t>
      </w:r>
      <w:proofErr w:type="spellEnd"/>
      <w:r w:rsidRPr="00A654B6">
        <w:t xml:space="preserve"> reporting </w:t>
      </w:r>
      <w:proofErr w:type="gramStart"/>
      <w:r w:rsidRPr="00A654B6">
        <w:t>requirements.&lt;</w:t>
      </w:r>
      <w:proofErr w:type="gramEnd"/>
      <w:r w:rsidRPr="00A654B6">
        <w:t>/</w:t>
      </w:r>
      <w:proofErr w:type="spellStart"/>
      <w:proofErr w:type="gramStart"/>
      <w:r w:rsidRPr="00A654B6">
        <w:t>source.list</w:t>
      </w:r>
      <w:proofErr w:type="gramEnd"/>
      <w:r w:rsidRPr="00A654B6">
        <w:t>.item</w:t>
      </w:r>
      <w:proofErr w:type="spellEnd"/>
      <w:r w:rsidRPr="00A654B6">
        <w:t>&gt;&lt;/p&gt;</w:t>
      </w:r>
    </w:p>
    <w:p w14:paraId="73187638" w14:textId="77777777" w:rsidR="00A654B6" w:rsidRPr="00A654B6" w:rsidRDefault="00A654B6" w:rsidP="00A654B6">
      <w:r w:rsidRPr="00A654B6">
        <w:t>&lt;p id="bf8faa46a3764c5b96981f41d26566d6"&gt;Consistent with the EU directive, credit institutions and investment brokerage companies established in Latvia that are already subject to separate reporting under procedures in regulatory acts and EU Directive 2013/36 are exempt from this reporting obligation. &lt;/p&gt;</w:t>
      </w:r>
    </w:p>
    <w:p w14:paraId="0C7C4120" w14:textId="77777777" w:rsidR="00A654B6" w:rsidRPr="00A654B6" w:rsidRDefault="00A654B6" w:rsidP="00A654B6">
      <w:r w:rsidRPr="00A654B6">
        <w:t>&lt;p id="1c1c0632057646f0a9155e830733d4e5"&gt;&lt;</w:t>
      </w:r>
      <w:proofErr w:type="spellStart"/>
      <w:r w:rsidRPr="00A654B6">
        <w:t>emph</w:t>
      </w:r>
      <w:proofErr w:type="spellEnd"/>
      <w:r w:rsidRPr="00A654B6">
        <w:t xml:space="preserve"> face="bi"&gt;Information Reported and Presentation of Information&lt;/</w:t>
      </w:r>
      <w:proofErr w:type="spellStart"/>
      <w:r w:rsidRPr="00A654B6">
        <w:t>emph</w:t>
      </w:r>
      <w:proofErr w:type="spellEnd"/>
      <w:r w:rsidRPr="00A654B6">
        <w:t xml:space="preserve">&gt;: The information reported, as well as the presentation of the information, is consistent with the EU directive. A common template and electronic reporting format will be </w:t>
      </w:r>
      <w:proofErr w:type="gramStart"/>
      <w:r w:rsidRPr="00A654B6">
        <w:t>provided.&lt;</w:t>
      </w:r>
      <w:proofErr w:type="gramEnd"/>
      <w:r w:rsidRPr="00A654B6">
        <w:t>/p&gt;</w:t>
      </w:r>
    </w:p>
    <w:p w14:paraId="15DB28FE" w14:textId="77777777" w:rsidR="00A654B6" w:rsidRPr="00A654B6" w:rsidRDefault="00A654B6" w:rsidP="00A654B6">
      <w:r w:rsidRPr="00A654B6">
        <w:t xml:space="preserve">&lt;p id="cb46d6a99fe44ec6910bd4cc9301d8a4"&gt;Consistent with the EU directive, the information reported includes the name of the company, financial year in question and currency used; a brief description of the nature of the business activities; number of full-time employees; net revenue; profit or loss before income tax; income tax accrued; income tax paid; and accumulated earnings. Under the Latvian rules, the reasons for any significant differences between the amount of income tax accrued and income tax paid may be presented in the </w:t>
      </w:r>
      <w:proofErr w:type="gramStart"/>
      <w:r w:rsidRPr="00A654B6">
        <w:t>report.&lt;</w:t>
      </w:r>
      <w:proofErr w:type="gramEnd"/>
      <w:r w:rsidRPr="00A654B6">
        <w:t>/p&gt;</w:t>
      </w:r>
    </w:p>
    <w:p w14:paraId="13C04CE0" w14:textId="77777777" w:rsidR="00A654B6" w:rsidRPr="00A654B6" w:rsidRDefault="00A654B6" w:rsidP="00A654B6">
      <w:r w:rsidRPr="00A654B6">
        <w:t>&lt;p id="a6addbdf6c3d425c897aee75167fe710"&gt;In addition, the data is disclosed (</w:t>
      </w:r>
      <w:proofErr w:type="spellStart"/>
      <w:r w:rsidRPr="00A654B6">
        <w:t>i</w:t>
      </w:r>
      <w:proofErr w:type="spellEnd"/>
      <w:r w:rsidRPr="00A654B6">
        <w:t>) separately for each EU member state; (ii) separately for each country listed on the EU list of non-cooperative jurisdictions (i.e., “blacklist”) on March 1 of the relevant financial year or listed on the “grey list” on March 1 of the relevant financial year and on March 1 of the previous financial year; and (iii) aggregated for the rest of the world.&lt;/p&gt;</w:t>
      </w:r>
    </w:p>
    <w:p w14:paraId="5351F47B" w14:textId="77777777" w:rsidR="00A654B6" w:rsidRPr="00A654B6" w:rsidRDefault="00A654B6" w:rsidP="00A654B6">
      <w:r w:rsidRPr="00A654B6">
        <w:t>&lt;p id="a438e90b0f9a439b8ca0a52c8ef7710b"&gt;&lt;</w:t>
      </w:r>
      <w:proofErr w:type="spellStart"/>
      <w:r w:rsidRPr="00A654B6">
        <w:t>emph</w:t>
      </w:r>
      <w:proofErr w:type="spellEnd"/>
      <w:r w:rsidRPr="00A654B6">
        <w:t xml:space="preserve"> face="bi"&gt;Publication and Accessibility: &lt;/</w:t>
      </w:r>
      <w:proofErr w:type="spellStart"/>
      <w:r w:rsidRPr="00A654B6">
        <w:t>emph</w:t>
      </w:r>
      <w:proofErr w:type="spellEnd"/>
      <w:r w:rsidRPr="00A654B6">
        <w:t xml:space="preserve">&gt;The report (prepared or translated into Latvian) must be submitted electronically to the Electronic Declaration System of the State Revenue Service. The State Revenue Service will electronically transfer the report to the Register of Enterprises within 5 working days and the report will be published on the website of the Register of </w:t>
      </w:r>
      <w:proofErr w:type="gramStart"/>
      <w:r w:rsidRPr="00A654B6">
        <w:t>Enterprises.&lt;</w:t>
      </w:r>
      <w:proofErr w:type="gramEnd"/>
      <w:r w:rsidRPr="00A654B6">
        <w:t>/p&gt;</w:t>
      </w:r>
    </w:p>
    <w:p w14:paraId="0A1CFAFD" w14:textId="77777777" w:rsidR="00A654B6" w:rsidRPr="00A654B6" w:rsidRDefault="00A654B6" w:rsidP="00A654B6">
      <w:r w:rsidRPr="00A654B6">
        <w:t>&lt;p id="a20cd88ac7974137be8aed6f818ae4fc"&gt;In general, Latvia exempts an entity from the requirement to publish the report on its website if the report is submitted and made public on the website of the Register of Enterprises in a machine- readable electronic reporting format and is available free of charge to any person located in the European</w:t>
      </w:r>
    </w:p>
    <w:p w14:paraId="14D56965" w14:textId="77777777" w:rsidR="00A654B6" w:rsidRPr="00A654B6" w:rsidRDefault="00A654B6" w:rsidP="00A654B6">
      <w:r w:rsidRPr="00A654B6">
        <w:t xml:space="preserve">Union for at least 5 years. The company's website must contain a notice of this exemption and a reference to the website of the Register of </w:t>
      </w:r>
      <w:proofErr w:type="gramStart"/>
      <w:r w:rsidRPr="00A654B6">
        <w:t>Enterprises.&lt;</w:t>
      </w:r>
      <w:proofErr w:type="gramEnd"/>
      <w:r w:rsidRPr="00A654B6">
        <w:t>/p&gt;</w:t>
      </w:r>
    </w:p>
    <w:p w14:paraId="5A3904FB" w14:textId="77777777" w:rsidR="00A654B6" w:rsidRPr="00A654B6" w:rsidRDefault="00A654B6" w:rsidP="00A654B6">
      <w:r w:rsidRPr="00A654B6">
        <w:t>&lt;p id="f3cb075dc04241668fadf3f37b44905a"&gt;&lt;</w:t>
      </w:r>
      <w:proofErr w:type="spellStart"/>
      <w:r w:rsidRPr="00A654B6">
        <w:t>emph</w:t>
      </w:r>
      <w:proofErr w:type="spellEnd"/>
      <w:r w:rsidRPr="00A654B6">
        <w:t xml:space="preserve"> face="bi"&gt;Publication Deadline:&lt;/</w:t>
      </w:r>
      <w:proofErr w:type="spellStart"/>
      <w:r w:rsidRPr="00A654B6">
        <w:t>emph</w:t>
      </w:r>
      <w:proofErr w:type="spellEnd"/>
      <w:r w:rsidRPr="00A654B6">
        <w:t xml:space="preserve">&gt; The report must be published within 12 months of the balance sheet date of the reporting </w:t>
      </w:r>
      <w:proofErr w:type="gramStart"/>
      <w:r w:rsidRPr="00A654B6">
        <w:t>year.&lt;</w:t>
      </w:r>
      <w:proofErr w:type="gramEnd"/>
      <w:r w:rsidRPr="00A654B6">
        <w:t>/p&gt;</w:t>
      </w:r>
    </w:p>
    <w:p w14:paraId="5881015A" w14:textId="77777777" w:rsidR="00A654B6" w:rsidRPr="00A654B6" w:rsidRDefault="00A654B6" w:rsidP="00A654B6">
      <w:r w:rsidRPr="00A654B6">
        <w:t>&lt;p id="65aa5773d0ad4a40b5ac33772306ecab"&gt;&lt;</w:t>
      </w:r>
      <w:proofErr w:type="spellStart"/>
      <w:r w:rsidRPr="00A654B6">
        <w:t>emph</w:t>
      </w:r>
      <w:proofErr w:type="spellEnd"/>
      <w:r w:rsidRPr="00A654B6">
        <w:t xml:space="preserve"> face="bi"&gt;Deferral:&lt;/</w:t>
      </w:r>
      <w:proofErr w:type="spellStart"/>
      <w:r w:rsidRPr="00A654B6">
        <w:t>emph</w:t>
      </w:r>
      <w:proofErr w:type="spellEnd"/>
      <w:r w:rsidRPr="00A654B6">
        <w:t>&gt; MNEs can temporarily omit certain information if the disclosure of such information could seriously harm the commercial interests of the companies to which the report refers. The element of information not included and justification for the omission must be clearly stated in the report. The omission does not apply to information related to tax jurisdictions included in the EU list of non</w:t>
      </w:r>
      <w:proofErr w:type="gramStart"/>
      <w:r w:rsidRPr="00A654B6">
        <w:t>- cooperative</w:t>
      </w:r>
      <w:proofErr w:type="gramEnd"/>
      <w:r w:rsidRPr="00A654B6">
        <w:t xml:space="preserve"> jurisdictions (i.e., blacklist or grey list). The omitted information must be included in a subsequent report, no later than 5 years after its </w:t>
      </w:r>
      <w:proofErr w:type="gramStart"/>
      <w:r w:rsidRPr="00A654B6">
        <w:t>omission.&lt;</w:t>
      </w:r>
      <w:proofErr w:type="gramEnd"/>
      <w:r w:rsidRPr="00A654B6">
        <w:t>/p&gt;</w:t>
      </w:r>
    </w:p>
    <w:p w14:paraId="681DB04F" w14:textId="77777777" w:rsidR="00A654B6" w:rsidRPr="00A654B6" w:rsidRDefault="00A654B6" w:rsidP="00A654B6">
      <w:r w:rsidRPr="00A654B6">
        <w:t>&lt;p id="1773cb251c674dd39601047e02527f1c"&gt;&lt;</w:t>
      </w:r>
      <w:proofErr w:type="spellStart"/>
      <w:r w:rsidRPr="00A654B6">
        <w:t>emph</w:t>
      </w:r>
      <w:proofErr w:type="spellEnd"/>
      <w:r w:rsidRPr="00A654B6">
        <w:t xml:space="preserve"> face="bi"&gt;Audit Requirement:&lt;/</w:t>
      </w:r>
      <w:proofErr w:type="spellStart"/>
      <w:r w:rsidRPr="00A654B6">
        <w:t>emph</w:t>
      </w:r>
      <w:proofErr w:type="spellEnd"/>
      <w:r w:rsidRPr="00A654B6">
        <w:t xml:space="preserve">&gt; If an audit report of the financial statements of the reporting entity is required, it must include a statement of whether a </w:t>
      </w:r>
      <w:proofErr w:type="spellStart"/>
      <w:r w:rsidRPr="00A654B6">
        <w:t>CbC</w:t>
      </w:r>
      <w:proofErr w:type="spellEnd"/>
      <w:r w:rsidRPr="00A654B6">
        <w:t xml:space="preserve"> report was required to be published (for the preceding financial year) and, if so, if the report was published in accordance with the rules.&lt;/p&gt;</w:t>
      </w:r>
    </w:p>
    <w:p w14:paraId="5601C600" w14:textId="77777777" w:rsidR="00A654B6" w:rsidRPr="00A654B6" w:rsidRDefault="00A654B6" w:rsidP="00A654B6">
      <w:r w:rsidRPr="00A654B6">
        <w:t>&lt;p id="15346c17ccdd466e85f7ec057c47f8df"&gt;&lt;</w:t>
      </w:r>
      <w:proofErr w:type="spellStart"/>
      <w:r w:rsidRPr="00A654B6">
        <w:t>emph</w:t>
      </w:r>
      <w:proofErr w:type="spellEnd"/>
      <w:r w:rsidRPr="00A654B6">
        <w:t xml:space="preserve"> face="bi"&gt;Penalties:&lt;/</w:t>
      </w:r>
      <w:proofErr w:type="spellStart"/>
      <w:r w:rsidRPr="00A654B6">
        <w:t>emph</w:t>
      </w:r>
      <w:proofErr w:type="spellEnd"/>
      <w:r w:rsidRPr="00A654B6">
        <w:t xml:space="preserve">&gt; Specific penalty provisions have not been </w:t>
      </w:r>
      <w:proofErr w:type="gramStart"/>
      <w:r w:rsidRPr="00A654B6">
        <w:t>introduced.&lt;</w:t>
      </w:r>
      <w:proofErr w:type="gramEnd"/>
      <w:r w:rsidRPr="00A654B6">
        <w:t>/p&gt;</w:t>
      </w:r>
    </w:p>
    <w:p w14:paraId="1D15DF25" w14:textId="77777777" w:rsidR="00A654B6" w:rsidRPr="00A654B6" w:rsidRDefault="00A654B6" w:rsidP="00A654B6">
      <w:r w:rsidRPr="00A654B6">
        <w:t>&lt;/entry&gt;</w:t>
      </w:r>
    </w:p>
    <w:p w14:paraId="6B1E4C8E" w14:textId="77777777" w:rsidR="00A654B6" w:rsidRPr="00A654B6" w:rsidRDefault="00A654B6" w:rsidP="00A654B6">
      <w:r w:rsidRPr="00A654B6">
        <w:t>&lt;/row&gt;</w:t>
      </w:r>
    </w:p>
    <w:p w14:paraId="046BD3AF" w14:textId="77777777" w:rsidR="00A654B6" w:rsidRPr="00A654B6" w:rsidRDefault="00A654B6" w:rsidP="00A654B6">
      <w:r w:rsidRPr="00A654B6">
        <w:t>&lt;row id="d323e6802c314f73b66b491cb87105b4"&gt;</w:t>
      </w:r>
    </w:p>
    <w:p w14:paraId="37A489DC" w14:textId="77777777" w:rsidR="00A654B6" w:rsidRPr="00A654B6" w:rsidRDefault="00A654B6" w:rsidP="00A654B6">
      <w:r w:rsidRPr="00A654B6">
        <w:t>&lt;entry align="center"&gt;</w:t>
      </w:r>
    </w:p>
    <w:p w14:paraId="3E4999FC" w14:textId="77777777" w:rsidR="00A654B6" w:rsidRPr="00A654B6" w:rsidRDefault="00A654B6" w:rsidP="00A654B6">
      <w:r w:rsidRPr="00A654B6">
        <w:t xml:space="preserve">&lt;p </w:t>
      </w:r>
      <w:proofErr w:type="gramStart"/>
      <w:r w:rsidRPr="00A654B6">
        <w:t>justify</w:t>
      </w:r>
      <w:proofErr w:type="gramEnd"/>
      <w:r w:rsidRPr="00A654B6">
        <w:t>="c" id="7af861b44d7f49aaa40ec90c8a6bf71d"&gt;&lt;</w:t>
      </w:r>
      <w:proofErr w:type="spellStart"/>
      <w:r w:rsidRPr="00A654B6">
        <w:t>emph</w:t>
      </w:r>
      <w:proofErr w:type="spellEnd"/>
      <w:r w:rsidRPr="00A654B6">
        <w:t xml:space="preserve"> face="b"&gt;Master File&lt;/</w:t>
      </w:r>
      <w:proofErr w:type="spellStart"/>
      <w:r w:rsidRPr="00A654B6">
        <w:t>emph</w:t>
      </w:r>
      <w:proofErr w:type="spellEnd"/>
      <w:r w:rsidRPr="00A654B6">
        <w:t>&gt; (&lt;cite.url ref="https://www.vestnesis.lv/op/2018/250.8"&gt;&lt;emph&gt;Regulation No. 802 of the Cabinet Ministers – Transfer Pricing Documentation&lt;/</w:t>
      </w:r>
      <w:proofErr w:type="spellStart"/>
      <w:r w:rsidRPr="00A654B6">
        <w:t>emph</w:t>
      </w:r>
      <w:proofErr w:type="spellEnd"/>
      <w:r w:rsidRPr="00A654B6">
        <w:t>&gt;&lt;/cite.url</w:t>
      </w:r>
      <w:proofErr w:type="gramStart"/>
      <w:r w:rsidRPr="00A654B6">
        <w:t>&gt;)&lt;</w:t>
      </w:r>
      <w:proofErr w:type="gramEnd"/>
      <w:r w:rsidRPr="00A654B6">
        <w:t>/p&gt;</w:t>
      </w:r>
    </w:p>
    <w:p w14:paraId="28A522F4" w14:textId="77777777" w:rsidR="00A654B6" w:rsidRPr="00A654B6" w:rsidRDefault="00A654B6" w:rsidP="00A654B6">
      <w:r w:rsidRPr="00A654B6">
        <w:t>&lt;/entry&gt;</w:t>
      </w:r>
    </w:p>
    <w:p w14:paraId="623AAC47" w14:textId="77777777" w:rsidR="00A654B6" w:rsidRPr="00A654B6" w:rsidRDefault="00A654B6" w:rsidP="00A654B6">
      <w:r w:rsidRPr="00A654B6">
        <w:t>&lt;/row&gt;</w:t>
      </w:r>
    </w:p>
    <w:p w14:paraId="7FEFFE20" w14:textId="77777777" w:rsidR="00A654B6" w:rsidRPr="00A654B6" w:rsidRDefault="00A654B6" w:rsidP="00A654B6">
      <w:r w:rsidRPr="00A654B6">
        <w:t>&lt;row id="f20f9941ed0b41f9999682af22ecb891"&gt;</w:t>
      </w:r>
    </w:p>
    <w:p w14:paraId="34F505C4" w14:textId="77777777" w:rsidR="00A654B6" w:rsidRPr="00A654B6" w:rsidRDefault="00A654B6" w:rsidP="00A654B6">
      <w:r w:rsidRPr="00A654B6">
        <w:t>&lt;entry&gt;</w:t>
      </w:r>
    </w:p>
    <w:p w14:paraId="36EAF8A9" w14:textId="77777777" w:rsidR="00A654B6" w:rsidRPr="00A654B6" w:rsidRDefault="00A654B6" w:rsidP="00A654B6">
      <w:r w:rsidRPr="00A654B6">
        <w:t>&lt;p id="3110c2878f884881bc433eb97449a160"&gt;&lt;</w:t>
      </w:r>
      <w:proofErr w:type="spellStart"/>
      <w:r w:rsidRPr="00A654B6">
        <w:t>emph</w:t>
      </w:r>
      <w:proofErr w:type="spellEnd"/>
      <w:r w:rsidRPr="00A654B6">
        <w:t xml:space="preserve"> face="bi"&gt;Effective Date&lt;/</w:t>
      </w:r>
      <w:proofErr w:type="spellStart"/>
      <w:r w:rsidRPr="00A654B6">
        <w:t>emph</w:t>
      </w:r>
      <w:proofErr w:type="spellEnd"/>
      <w:r w:rsidRPr="00A654B6">
        <w:t xml:space="preserve">&gt;: Fiscal years beginning on or after January 1, </w:t>
      </w:r>
      <w:proofErr w:type="gramStart"/>
      <w:r w:rsidRPr="00A654B6">
        <w:t>2018.&lt;</w:t>
      </w:r>
      <w:proofErr w:type="gramEnd"/>
      <w:r w:rsidRPr="00A654B6">
        <w:t>/p&gt;</w:t>
      </w:r>
    </w:p>
    <w:p w14:paraId="6F5237AB" w14:textId="77777777" w:rsidR="00A654B6" w:rsidRPr="00A654B6" w:rsidRDefault="00A654B6" w:rsidP="00A654B6">
      <w:r w:rsidRPr="00A654B6">
        <w:t>&lt;p id="58db28f1a4974936b2346ce6f29fb336"&gt;&lt;</w:t>
      </w:r>
      <w:proofErr w:type="spellStart"/>
      <w:r w:rsidRPr="00A654B6">
        <w:t>emph</w:t>
      </w:r>
      <w:proofErr w:type="spellEnd"/>
      <w:r w:rsidRPr="00A654B6">
        <w:t xml:space="preserve"> face="bi"&gt;Filing Threshold and Deadline for Preparation/Submission&lt;/</w:t>
      </w:r>
      <w:proofErr w:type="spellStart"/>
      <w:r w:rsidRPr="00A654B6">
        <w:t>emph</w:t>
      </w:r>
      <w:proofErr w:type="spellEnd"/>
      <w:r w:rsidRPr="00A654B6">
        <w:t>&gt;:&lt;</w:t>
      </w:r>
      <w:proofErr w:type="spellStart"/>
      <w:r w:rsidRPr="00A654B6">
        <w:t>source.list.item</w:t>
      </w:r>
      <w:proofErr w:type="spellEnd"/>
      <w:r w:rsidRPr="00A654B6">
        <w:t xml:space="preserve"> level="2"&gt; – If (</w:t>
      </w:r>
      <w:proofErr w:type="spellStart"/>
      <w:r w:rsidRPr="00A654B6">
        <w:t>i</w:t>
      </w:r>
      <w:proofErr w:type="spellEnd"/>
      <w:r w:rsidRPr="00A654B6">
        <w:t>) related party transactions exceed €15 million or (ii) revenue exceeds €50 million and related party transactions exceed €5 million during the reporting fiscal year – the master file must be submitted within 12 months of the year-end.&lt;/</w:t>
      </w:r>
      <w:proofErr w:type="spellStart"/>
      <w:r w:rsidRPr="00A654B6">
        <w:t>source.list.item</w:t>
      </w:r>
      <w:proofErr w:type="spellEnd"/>
      <w:r w:rsidRPr="00A654B6">
        <w:t>&gt;&lt;</w:t>
      </w:r>
      <w:proofErr w:type="spellStart"/>
      <w:r w:rsidRPr="00A654B6">
        <w:t>source.list.item</w:t>
      </w:r>
      <w:proofErr w:type="spellEnd"/>
      <w:r w:rsidRPr="00A654B6">
        <w:t xml:space="preserve"> level="2"&gt; – If revenue is less than €50 million and related party transactions are less than €15 million but more than €5 million during the reporting year – the master file must be prepared within 12 months of the year-end and submitted within one month of a request from the tax authority.&lt;/</w:t>
      </w:r>
      <w:proofErr w:type="spellStart"/>
      <w:r w:rsidRPr="00A654B6">
        <w:t>source.list.item</w:t>
      </w:r>
      <w:proofErr w:type="spellEnd"/>
      <w:r w:rsidRPr="00A654B6">
        <w:t>&gt;&lt;/p&gt;</w:t>
      </w:r>
    </w:p>
    <w:p w14:paraId="402E97E1" w14:textId="77777777" w:rsidR="00A654B6" w:rsidRPr="00A654B6" w:rsidRDefault="00A654B6" w:rsidP="00A654B6">
      <w:r w:rsidRPr="00A654B6">
        <w:t>&lt;p id="9e2f02bc92c843a6a04eb1b8722685cf"&gt;&lt;</w:t>
      </w:r>
      <w:proofErr w:type="spellStart"/>
      <w:r w:rsidRPr="00A654B6">
        <w:t>emph</w:t>
      </w:r>
      <w:proofErr w:type="spellEnd"/>
      <w:r w:rsidRPr="00A654B6">
        <w:t xml:space="preserve"> face="bi"&gt;Information Reported&lt;/</w:t>
      </w:r>
      <w:proofErr w:type="spellStart"/>
      <w:r w:rsidRPr="00A654B6">
        <w:t>emph</w:t>
      </w:r>
      <w:proofErr w:type="spellEnd"/>
      <w:r w:rsidRPr="00A654B6">
        <w:t xml:space="preserve">&gt;: Generally, in line with OECD </w:t>
      </w:r>
      <w:proofErr w:type="gramStart"/>
      <w:r w:rsidRPr="00A654B6">
        <w:t>guidance.&lt;</w:t>
      </w:r>
      <w:proofErr w:type="gramEnd"/>
      <w:r w:rsidRPr="00A654B6">
        <w:t>/p&gt;</w:t>
      </w:r>
    </w:p>
    <w:p w14:paraId="568556D9" w14:textId="77777777" w:rsidR="00A654B6" w:rsidRPr="00A654B6" w:rsidRDefault="00A654B6" w:rsidP="00A654B6">
      <w:r w:rsidRPr="00A654B6">
        <w:t>&lt;p id="86fcffdf36cf4cf780956d46f3e2aa55"&gt;&lt;</w:t>
      </w:r>
      <w:proofErr w:type="spellStart"/>
      <w:r w:rsidRPr="00A654B6">
        <w:t>emph</w:t>
      </w:r>
      <w:proofErr w:type="spellEnd"/>
      <w:r w:rsidRPr="00A654B6">
        <w:t xml:space="preserve"> face="bi"&gt;Language&lt;/</w:t>
      </w:r>
      <w:proofErr w:type="spellStart"/>
      <w:r w:rsidRPr="00A654B6">
        <w:t>emph</w:t>
      </w:r>
      <w:proofErr w:type="spellEnd"/>
      <w:r w:rsidRPr="00A654B6">
        <w:t>&gt;: Latvian or English (however, the tax authority can request a full or partial translation to Latvian</w:t>
      </w:r>
      <w:proofErr w:type="gramStart"/>
      <w:r w:rsidRPr="00A654B6">
        <w:t>).&lt;</w:t>
      </w:r>
      <w:proofErr w:type="gramEnd"/>
      <w:r w:rsidRPr="00A654B6">
        <w:t>/p&gt;</w:t>
      </w:r>
    </w:p>
    <w:p w14:paraId="5461A0F1" w14:textId="77777777" w:rsidR="00A654B6" w:rsidRPr="00A654B6" w:rsidRDefault="00A654B6" w:rsidP="00A654B6">
      <w:r w:rsidRPr="00A654B6">
        <w:t>&lt;p id="babdca8aa41c474498f0f08acfc83d91"&gt;&lt;</w:t>
      </w:r>
      <w:proofErr w:type="spellStart"/>
      <w:r w:rsidRPr="00A654B6">
        <w:t>emph</w:t>
      </w:r>
      <w:proofErr w:type="spellEnd"/>
      <w:r w:rsidRPr="00A654B6">
        <w:t xml:space="preserve"> face="bi"&gt;Penalties&lt;/</w:t>
      </w:r>
      <w:proofErr w:type="spellStart"/>
      <w:r w:rsidRPr="00A654B6">
        <w:t>emph</w:t>
      </w:r>
      <w:proofErr w:type="spellEnd"/>
      <w:r w:rsidRPr="00A654B6">
        <w:t>&gt;: Penalties equal to 1% of the amount of the controlled transactions, but not more than€100,000 may apply for non-</w:t>
      </w:r>
      <w:proofErr w:type="gramStart"/>
      <w:r w:rsidRPr="00A654B6">
        <w:t>compliance.&lt;</w:t>
      </w:r>
      <w:proofErr w:type="gramEnd"/>
      <w:r w:rsidRPr="00A654B6">
        <w:t>/p&gt;</w:t>
      </w:r>
    </w:p>
    <w:p w14:paraId="40681CC9" w14:textId="77777777" w:rsidR="00A654B6" w:rsidRPr="00A654B6" w:rsidRDefault="00A654B6" w:rsidP="00A654B6">
      <w:r w:rsidRPr="00A654B6">
        <w:t>&lt;/entry&gt;</w:t>
      </w:r>
    </w:p>
    <w:p w14:paraId="75251FB0" w14:textId="77777777" w:rsidR="00A654B6" w:rsidRPr="00A654B6" w:rsidRDefault="00A654B6" w:rsidP="00A654B6">
      <w:r w:rsidRPr="00A654B6">
        <w:t>&lt;/row&gt;</w:t>
      </w:r>
    </w:p>
    <w:p w14:paraId="2C3D8685" w14:textId="77777777" w:rsidR="00A654B6" w:rsidRPr="00A654B6" w:rsidRDefault="00A654B6" w:rsidP="00A654B6">
      <w:r w:rsidRPr="00A654B6">
        <w:t>&lt;row id="d32103efed794492b8d8e0f83da21046"&gt;</w:t>
      </w:r>
    </w:p>
    <w:p w14:paraId="4F5E5F3A" w14:textId="77777777" w:rsidR="00A654B6" w:rsidRPr="00A654B6" w:rsidRDefault="00A654B6" w:rsidP="00A654B6">
      <w:r w:rsidRPr="00A654B6">
        <w:t>&lt;entry align="center"&gt;</w:t>
      </w:r>
    </w:p>
    <w:p w14:paraId="727815C6" w14:textId="77777777" w:rsidR="00A654B6" w:rsidRPr="00A654B6" w:rsidRDefault="00A654B6" w:rsidP="00A654B6">
      <w:r w:rsidRPr="00A654B6">
        <w:t xml:space="preserve">&lt;p </w:t>
      </w:r>
      <w:proofErr w:type="gramStart"/>
      <w:r w:rsidRPr="00A654B6">
        <w:t>justify</w:t>
      </w:r>
      <w:proofErr w:type="gramEnd"/>
      <w:r w:rsidRPr="00A654B6">
        <w:t>="c" id="410bc6f511f24443be68dcb898bc309d"&gt;&lt;</w:t>
      </w:r>
      <w:proofErr w:type="spellStart"/>
      <w:r w:rsidRPr="00A654B6">
        <w:t>emph</w:t>
      </w:r>
      <w:proofErr w:type="spellEnd"/>
      <w:r w:rsidRPr="00A654B6">
        <w:t xml:space="preserve"> face="b"&gt;Local File&lt;/</w:t>
      </w:r>
      <w:proofErr w:type="spellStart"/>
      <w:r w:rsidRPr="00A654B6">
        <w:t>emph</w:t>
      </w:r>
      <w:proofErr w:type="spellEnd"/>
      <w:r w:rsidRPr="00A654B6">
        <w:t>&gt; (&lt;cite.url ref="https://www.vestnesis.lv/op/2018/250.8"&gt;&lt;emph&gt;Regulation No. 802 of the Cabinet Ministers – Transfer Pricing Documentation&lt;/</w:t>
      </w:r>
      <w:proofErr w:type="spellStart"/>
      <w:r w:rsidRPr="00A654B6">
        <w:t>emph</w:t>
      </w:r>
      <w:proofErr w:type="spellEnd"/>
      <w:r w:rsidRPr="00A654B6">
        <w:t>&gt;&lt;/cite.url</w:t>
      </w:r>
      <w:proofErr w:type="gramStart"/>
      <w:r w:rsidRPr="00A654B6">
        <w:t>&gt;)&lt;</w:t>
      </w:r>
      <w:proofErr w:type="gramEnd"/>
      <w:r w:rsidRPr="00A654B6">
        <w:t>/p&gt;</w:t>
      </w:r>
    </w:p>
    <w:p w14:paraId="03E847BE" w14:textId="77777777" w:rsidR="00A654B6" w:rsidRPr="00A654B6" w:rsidRDefault="00A654B6" w:rsidP="00A654B6">
      <w:r w:rsidRPr="00A654B6">
        <w:t>&lt;/entry&gt;</w:t>
      </w:r>
    </w:p>
    <w:p w14:paraId="0114EC6A" w14:textId="77777777" w:rsidR="00A654B6" w:rsidRPr="00A654B6" w:rsidRDefault="00A654B6" w:rsidP="00A654B6">
      <w:r w:rsidRPr="00A654B6">
        <w:t>&lt;/row&gt;</w:t>
      </w:r>
    </w:p>
    <w:p w14:paraId="1ABE4E51" w14:textId="77777777" w:rsidR="00A654B6" w:rsidRPr="00A654B6" w:rsidRDefault="00A654B6" w:rsidP="00A654B6">
      <w:r w:rsidRPr="00A654B6">
        <w:t>&lt;row id="3a90bf011cfe4616b1b4e7bc949b9d8d"&gt;</w:t>
      </w:r>
    </w:p>
    <w:p w14:paraId="11CF288F" w14:textId="77777777" w:rsidR="00A654B6" w:rsidRPr="00A654B6" w:rsidRDefault="00A654B6" w:rsidP="00A654B6">
      <w:r w:rsidRPr="00A654B6">
        <w:t>&lt;entry&gt;</w:t>
      </w:r>
    </w:p>
    <w:p w14:paraId="5353BE97" w14:textId="77777777" w:rsidR="00A654B6" w:rsidRPr="00A654B6" w:rsidRDefault="00A654B6" w:rsidP="00A654B6">
      <w:r w:rsidRPr="00A654B6">
        <w:t>&lt;p id="79f5a8fc9835446b86f226432c1fe806"&gt;&lt;</w:t>
      </w:r>
      <w:proofErr w:type="spellStart"/>
      <w:r w:rsidRPr="00A654B6">
        <w:t>emph</w:t>
      </w:r>
      <w:proofErr w:type="spellEnd"/>
      <w:r w:rsidRPr="00A654B6">
        <w:t xml:space="preserve"> face="bi"&gt;Effective Date&lt;/</w:t>
      </w:r>
      <w:proofErr w:type="spellStart"/>
      <w:r w:rsidRPr="00A654B6">
        <w:t>emph</w:t>
      </w:r>
      <w:proofErr w:type="spellEnd"/>
      <w:r w:rsidRPr="00A654B6">
        <w:t xml:space="preserve">&gt;: Fiscal years beginning on or after January 1, </w:t>
      </w:r>
      <w:proofErr w:type="gramStart"/>
      <w:r w:rsidRPr="00A654B6">
        <w:t>2018.&lt;</w:t>
      </w:r>
      <w:proofErr w:type="gramEnd"/>
      <w:r w:rsidRPr="00A654B6">
        <w:t>/p&gt;</w:t>
      </w:r>
    </w:p>
    <w:p w14:paraId="4EC397BC" w14:textId="77777777" w:rsidR="00A654B6" w:rsidRPr="00A654B6" w:rsidRDefault="00A654B6" w:rsidP="00A654B6">
      <w:r w:rsidRPr="00A654B6">
        <w:t>&lt;p id="82efc808176745edb335681f815629e0"&gt;&lt;</w:t>
      </w:r>
      <w:proofErr w:type="spellStart"/>
      <w:r w:rsidRPr="00A654B6">
        <w:t>emph</w:t>
      </w:r>
      <w:proofErr w:type="spellEnd"/>
      <w:r w:rsidRPr="00A654B6">
        <w:t xml:space="preserve"> face="bi"&gt;Filing Threshold and Deadline for Preparation/Submission&lt;/</w:t>
      </w:r>
      <w:proofErr w:type="spellStart"/>
      <w:r w:rsidRPr="00A654B6">
        <w:t>emph</w:t>
      </w:r>
      <w:proofErr w:type="spellEnd"/>
      <w:r w:rsidRPr="00A654B6">
        <w:t>&gt;:&lt;</w:t>
      </w:r>
      <w:proofErr w:type="spellStart"/>
      <w:r w:rsidRPr="00A654B6">
        <w:t>source.list.item</w:t>
      </w:r>
      <w:proofErr w:type="spellEnd"/>
      <w:r w:rsidRPr="00A654B6">
        <w:t xml:space="preserve"> level="2"&gt; – If related party transactions exceed €5 million during the reporting fiscal year – the local file must be submitted within 12 months of the year-end.&lt;/</w:t>
      </w:r>
      <w:proofErr w:type="spellStart"/>
      <w:r w:rsidRPr="00A654B6">
        <w:t>source.list.item</w:t>
      </w:r>
      <w:proofErr w:type="spellEnd"/>
      <w:r w:rsidRPr="00A654B6">
        <w:t>&gt;&lt;</w:t>
      </w:r>
      <w:proofErr w:type="spellStart"/>
      <w:r w:rsidRPr="00A654B6">
        <w:t>source.list.item</w:t>
      </w:r>
      <w:proofErr w:type="spellEnd"/>
      <w:r w:rsidRPr="00A654B6">
        <w:t xml:space="preserve"> level="2"&gt; – If related party transactions are less than €5 million but more than €250,000 during the reporting year – the local file must be prepared within 12 months of the year-end and submitted within one month of a request from the tax authority.&lt;/</w:t>
      </w:r>
      <w:proofErr w:type="spellStart"/>
      <w:r w:rsidRPr="00A654B6">
        <w:t>source.list.item</w:t>
      </w:r>
      <w:proofErr w:type="spellEnd"/>
      <w:r w:rsidRPr="00A654B6">
        <w:t>&gt;&lt;/p&gt;</w:t>
      </w:r>
    </w:p>
    <w:p w14:paraId="40A0E69B" w14:textId="77777777" w:rsidR="00A654B6" w:rsidRPr="00A654B6" w:rsidRDefault="00A654B6" w:rsidP="00A654B6">
      <w:r w:rsidRPr="00A654B6">
        <w:t>&lt;p id="7dae3d19e8dd4497bf33e1d8e3cb9afc"&gt;&lt;</w:t>
      </w:r>
      <w:proofErr w:type="spellStart"/>
      <w:r w:rsidRPr="00A654B6">
        <w:t>emph</w:t>
      </w:r>
      <w:proofErr w:type="spellEnd"/>
      <w:r w:rsidRPr="00A654B6">
        <w:t xml:space="preserve"> face="bi"&gt;Information Reported&lt;/</w:t>
      </w:r>
      <w:proofErr w:type="spellStart"/>
      <w:r w:rsidRPr="00A654B6">
        <w:t>emph</w:t>
      </w:r>
      <w:proofErr w:type="spellEnd"/>
      <w:r w:rsidRPr="00A654B6">
        <w:t xml:space="preserve">&gt;: Generally, in line with OECD </w:t>
      </w:r>
      <w:proofErr w:type="gramStart"/>
      <w:r w:rsidRPr="00A654B6">
        <w:t>guidance.&lt;</w:t>
      </w:r>
      <w:proofErr w:type="gramEnd"/>
      <w:r w:rsidRPr="00A654B6">
        <w:t>/p&gt;</w:t>
      </w:r>
    </w:p>
    <w:p w14:paraId="77BBA3F1" w14:textId="77777777" w:rsidR="00A654B6" w:rsidRPr="00A654B6" w:rsidRDefault="00A654B6" w:rsidP="00A654B6">
      <w:r w:rsidRPr="00A654B6">
        <w:t>&lt;p id="797c9a61dd6643f88d5862d4a193fbc6"&gt;&lt;</w:t>
      </w:r>
      <w:proofErr w:type="spellStart"/>
      <w:r w:rsidRPr="00A654B6">
        <w:t>emph</w:t>
      </w:r>
      <w:proofErr w:type="spellEnd"/>
      <w:r w:rsidRPr="00A654B6">
        <w:t xml:space="preserve"> face="bi"&gt;Language&lt;/</w:t>
      </w:r>
      <w:proofErr w:type="spellStart"/>
      <w:r w:rsidRPr="00A654B6">
        <w:t>emph</w:t>
      </w:r>
      <w:proofErr w:type="spellEnd"/>
      <w:r w:rsidRPr="00A654B6">
        <w:t xml:space="preserve">&gt;: </w:t>
      </w:r>
      <w:proofErr w:type="gramStart"/>
      <w:r w:rsidRPr="00A654B6">
        <w:t>Latvian.&lt;</w:t>
      </w:r>
      <w:proofErr w:type="gramEnd"/>
      <w:r w:rsidRPr="00A654B6">
        <w:t>/p&gt;</w:t>
      </w:r>
    </w:p>
    <w:p w14:paraId="748D5A5F" w14:textId="77777777" w:rsidR="00A654B6" w:rsidRPr="00A654B6" w:rsidRDefault="00A654B6" w:rsidP="00A654B6">
      <w:r w:rsidRPr="00A654B6">
        <w:t>&lt;p id="7e0d8aac0d494b53a136a82f2e84091a"&gt;&lt;</w:t>
      </w:r>
      <w:proofErr w:type="spellStart"/>
      <w:r w:rsidRPr="00A654B6">
        <w:t>emph</w:t>
      </w:r>
      <w:proofErr w:type="spellEnd"/>
      <w:r w:rsidRPr="00A654B6">
        <w:t xml:space="preserve"> face="bi"&gt;Penalties&lt;/</w:t>
      </w:r>
      <w:proofErr w:type="spellStart"/>
      <w:r w:rsidRPr="00A654B6">
        <w:t>emph</w:t>
      </w:r>
      <w:proofErr w:type="spellEnd"/>
      <w:r w:rsidRPr="00A654B6">
        <w:t>&gt;: Penalties equal to 1% of the amount of the controlled transactions, but not more than €100,000 may apply for non-compliance. &lt;/p&gt;</w:t>
      </w:r>
    </w:p>
    <w:p w14:paraId="6DD0D83C" w14:textId="77777777" w:rsidR="00A654B6" w:rsidRPr="00A654B6" w:rsidRDefault="00A654B6" w:rsidP="00A654B6">
      <w:r w:rsidRPr="00A654B6">
        <w:t>&lt;/entry&gt;</w:t>
      </w:r>
    </w:p>
    <w:p w14:paraId="00045B07" w14:textId="77777777" w:rsidR="00A654B6" w:rsidRPr="00A654B6" w:rsidRDefault="00A654B6" w:rsidP="00A654B6">
      <w:r w:rsidRPr="00A654B6">
        <w:t>&lt;/row&gt;</w:t>
      </w:r>
    </w:p>
    <w:p w14:paraId="4224DE4E" w14:textId="77777777" w:rsidR="00A654B6" w:rsidRPr="00A654B6" w:rsidRDefault="00A654B6" w:rsidP="00A654B6">
      <w:r w:rsidRPr="00A654B6">
        <w:t>&lt;row id="016637df18634d5e90b6cb3057eddb59"&gt;</w:t>
      </w:r>
    </w:p>
    <w:p w14:paraId="1B712A1C" w14:textId="77777777" w:rsidR="00A654B6" w:rsidRPr="00A654B6" w:rsidRDefault="00A654B6" w:rsidP="00A654B6">
      <w:r w:rsidRPr="00A654B6">
        <w:t>&lt;entry align="center"&gt;</w:t>
      </w:r>
    </w:p>
    <w:p w14:paraId="5F69385B" w14:textId="77777777" w:rsidR="00A654B6" w:rsidRPr="00A654B6" w:rsidRDefault="00A654B6" w:rsidP="00A654B6">
      <w:r w:rsidRPr="00A654B6">
        <w:t xml:space="preserve">&lt;p </w:t>
      </w:r>
      <w:proofErr w:type="gramStart"/>
      <w:r w:rsidRPr="00A654B6">
        <w:t>justify</w:t>
      </w:r>
      <w:proofErr w:type="gramEnd"/>
      <w:r w:rsidRPr="00A654B6">
        <w:t>="c" id="8237a696b2da469888e983d8df04d745"&gt;&lt;</w:t>
      </w:r>
      <w:proofErr w:type="spellStart"/>
      <w:r w:rsidRPr="00A654B6">
        <w:t>emph</w:t>
      </w:r>
      <w:proofErr w:type="spellEnd"/>
      <w:r w:rsidRPr="00A654B6">
        <w:t xml:space="preserve"> face="b"&gt;Limited Transfer Pricing Documentation&lt;/</w:t>
      </w:r>
      <w:proofErr w:type="spellStart"/>
      <w:r w:rsidRPr="00A654B6">
        <w:t>emph</w:t>
      </w:r>
      <w:proofErr w:type="spellEnd"/>
      <w:r w:rsidRPr="00A654B6">
        <w:t>&gt; (&lt;cite.url ref="https://www.vestnesis.lv/op/2019/144.5"&gt;&lt;emph&gt;Regulation No. 324 of the Cabinet Ministers&lt;/</w:t>
      </w:r>
      <w:proofErr w:type="spellStart"/>
      <w:r w:rsidRPr="00A654B6">
        <w:t>emph</w:t>
      </w:r>
      <w:proofErr w:type="spellEnd"/>
      <w:r w:rsidRPr="00A654B6">
        <w:t>&gt;&lt;/cite.url</w:t>
      </w:r>
      <w:proofErr w:type="gramStart"/>
      <w:r w:rsidRPr="00A654B6">
        <w:t>&gt;)&lt;</w:t>
      </w:r>
      <w:proofErr w:type="gramEnd"/>
      <w:r w:rsidRPr="00A654B6">
        <w:t>/p&gt;</w:t>
      </w:r>
    </w:p>
    <w:p w14:paraId="62A3E023" w14:textId="77777777" w:rsidR="00A654B6" w:rsidRPr="00A654B6" w:rsidRDefault="00A654B6" w:rsidP="00A654B6">
      <w:r w:rsidRPr="00A654B6">
        <w:t>&lt;/entry&gt;</w:t>
      </w:r>
    </w:p>
    <w:p w14:paraId="43DA79D4" w14:textId="77777777" w:rsidR="00A654B6" w:rsidRPr="00A654B6" w:rsidRDefault="00A654B6" w:rsidP="00A654B6">
      <w:r w:rsidRPr="00A654B6">
        <w:t>&lt;/row&gt;</w:t>
      </w:r>
    </w:p>
    <w:p w14:paraId="2F808F10" w14:textId="77777777" w:rsidR="00A654B6" w:rsidRPr="00A654B6" w:rsidRDefault="00A654B6" w:rsidP="00A654B6">
      <w:r w:rsidRPr="00A654B6">
        <w:t>&lt;row id="1c3e7282a92a455fbcf31eb28b60cdc6"&gt;</w:t>
      </w:r>
    </w:p>
    <w:p w14:paraId="71FD1281" w14:textId="77777777" w:rsidR="00A654B6" w:rsidRPr="00A654B6" w:rsidRDefault="00A654B6" w:rsidP="00A654B6">
      <w:r w:rsidRPr="00A654B6">
        <w:t>&lt;entry&gt;</w:t>
      </w:r>
    </w:p>
    <w:p w14:paraId="14BBD9D3" w14:textId="77777777" w:rsidR="00A654B6" w:rsidRPr="00A654B6" w:rsidRDefault="00A654B6" w:rsidP="00A654B6">
      <w:r w:rsidRPr="00A654B6">
        <w:t xml:space="preserve">&lt;p id="be165ad435fb491f8982b8c06a8c5e43"&gt;For intra-group transactions of low value-adding services which do not exceed €250,000, simplified transfer pricing documentation must be submitted within one month of a request from the tax </w:t>
      </w:r>
      <w:proofErr w:type="gramStart"/>
      <w:r w:rsidRPr="00A654B6">
        <w:t>authority.&lt;</w:t>
      </w:r>
      <w:proofErr w:type="gramEnd"/>
      <w:r w:rsidRPr="00A654B6">
        <w:t>/p&gt;</w:t>
      </w:r>
    </w:p>
    <w:p w14:paraId="05A029FB" w14:textId="77777777" w:rsidR="00A654B6" w:rsidRPr="00A654B6" w:rsidRDefault="00A654B6" w:rsidP="00A654B6">
      <w:r w:rsidRPr="00A654B6">
        <w:t>&lt;/entry&gt;</w:t>
      </w:r>
    </w:p>
    <w:p w14:paraId="6C7729BE" w14:textId="77777777" w:rsidR="00A654B6" w:rsidRPr="00A654B6" w:rsidRDefault="00A654B6" w:rsidP="00A654B6">
      <w:r w:rsidRPr="00A654B6">
        <w:t>&lt;/row&gt;</w:t>
      </w:r>
    </w:p>
    <w:p w14:paraId="32895AA1" w14:textId="77777777" w:rsidR="00A654B6" w:rsidRPr="00A654B6" w:rsidRDefault="00A654B6" w:rsidP="00A654B6"/>
    <w:p w14:paraId="5A66AF06" w14:textId="77777777" w:rsidR="00A654B6" w:rsidRPr="00A654B6" w:rsidRDefault="00A654B6" w:rsidP="00A654B6">
      <w:r w:rsidRPr="00A654B6">
        <w:t>&lt;row &gt;</w:t>
      </w:r>
    </w:p>
    <w:p w14:paraId="30555F88" w14:textId="77777777" w:rsidR="00A654B6" w:rsidRPr="00A654B6" w:rsidRDefault="00A654B6" w:rsidP="00A654B6">
      <w:r w:rsidRPr="00A654B6">
        <w:t>&lt;entry&gt;</w:t>
      </w:r>
    </w:p>
    <w:p w14:paraId="563EC2E4" w14:textId="77777777" w:rsidR="00A654B6" w:rsidRPr="00A654B6" w:rsidRDefault="00A654B6" w:rsidP="00A654B6">
      <w:r w:rsidRPr="00A654B6">
        <w:t>&lt;p&gt;&lt;</w:t>
      </w:r>
      <w:proofErr w:type="spellStart"/>
      <w:r w:rsidRPr="00A654B6">
        <w:t>emph</w:t>
      </w:r>
      <w:proofErr w:type="spellEnd"/>
      <w:r w:rsidRPr="00A654B6">
        <w:t>&gt;For more detailed guidance, please see the Country Portfolio: &lt;/</w:t>
      </w:r>
      <w:proofErr w:type="spellStart"/>
      <w:r w:rsidRPr="00A654B6">
        <w:t>emph</w:t>
      </w:r>
      <w:proofErr w:type="spellEnd"/>
      <w:r w:rsidRPr="00A654B6">
        <w:t>&gt; &lt;cite.url ref="https://www.bloomberglaw.com/product/tax/document/XPV2BU18#section(1"&gt;&lt;emph&gt;Malaysia, Intercompany Pricing, Other Transfer Pricing Provisions, Transfer Pricing Documentation&lt;/</w:t>
      </w:r>
      <w:proofErr w:type="spellStart"/>
      <w:r w:rsidRPr="00A654B6">
        <w:t>emph</w:t>
      </w:r>
      <w:proofErr w:type="spellEnd"/>
      <w:r w:rsidRPr="00A654B6">
        <w:t>&gt;&lt;/cite.url&gt;. &lt;/p&gt;</w:t>
      </w:r>
    </w:p>
    <w:p w14:paraId="40C7808A" w14:textId="77777777" w:rsidR="00A654B6" w:rsidRPr="00A654B6" w:rsidRDefault="00A654B6" w:rsidP="00A654B6">
      <w:r w:rsidRPr="00A654B6">
        <w:t>&lt;/entry&gt;</w:t>
      </w:r>
    </w:p>
    <w:p w14:paraId="409B148F" w14:textId="77777777" w:rsidR="00A654B6" w:rsidRPr="00A654B6" w:rsidRDefault="00A654B6" w:rsidP="00A654B6">
      <w:r w:rsidRPr="00A654B6">
        <w:t>&lt;/row&gt;</w:t>
      </w:r>
    </w:p>
    <w:p w14:paraId="18709768" w14:textId="77777777" w:rsidR="00A654B6" w:rsidRPr="00A654B6" w:rsidRDefault="00A654B6" w:rsidP="00A654B6"/>
    <w:p w14:paraId="326D2203" w14:textId="77777777" w:rsidR="00A654B6" w:rsidRPr="00A654B6" w:rsidRDefault="00A654B6" w:rsidP="00A654B6">
      <w:r w:rsidRPr="00A654B6">
        <w:t>&lt;/</w:t>
      </w:r>
      <w:proofErr w:type="spellStart"/>
      <w:r w:rsidRPr="00A654B6">
        <w:t>tbody</w:t>
      </w:r>
      <w:proofErr w:type="spellEnd"/>
      <w:r w:rsidRPr="00A654B6">
        <w:t>&gt;</w:t>
      </w:r>
    </w:p>
    <w:p w14:paraId="1FBE8D88" w14:textId="77777777" w:rsidR="00A654B6" w:rsidRPr="00A654B6" w:rsidRDefault="00A654B6" w:rsidP="00A654B6">
      <w:r w:rsidRPr="00A654B6">
        <w:t>&lt;/</w:t>
      </w:r>
      <w:proofErr w:type="spellStart"/>
      <w:r w:rsidRPr="00A654B6">
        <w:t>tgroup</w:t>
      </w:r>
      <w:proofErr w:type="spellEnd"/>
      <w:r w:rsidRPr="00A654B6">
        <w:t>&gt;</w:t>
      </w:r>
    </w:p>
    <w:p w14:paraId="6C4855F9" w14:textId="77777777" w:rsidR="00A654B6" w:rsidRPr="00A654B6" w:rsidRDefault="00A654B6" w:rsidP="00A654B6">
      <w:r w:rsidRPr="00A654B6">
        <w:t>&lt;/table&gt;</w:t>
      </w:r>
    </w:p>
    <w:p w14:paraId="2E171ACF" w14:textId="77777777" w:rsidR="00A654B6" w:rsidRPr="00A654B6" w:rsidRDefault="00A654B6" w:rsidP="00A654B6"/>
    <w:p w14:paraId="476C39A9" w14:textId="77777777" w:rsidR="00A654B6" w:rsidRPr="00A654B6" w:rsidRDefault="00A654B6" w:rsidP="00A654B6">
      <w:r w:rsidRPr="00A654B6">
        <w:t xml:space="preserve">Note: ONLY ADD THESE ROWS WHEN A SIMILAR PARAGRAPH APPEARS IN THE PDF FILE TO BE PROCESSED: </w:t>
      </w:r>
    </w:p>
    <w:p w14:paraId="1DECE6A8" w14:textId="77777777" w:rsidR="00A654B6" w:rsidRPr="00A654B6" w:rsidRDefault="00A654B6" w:rsidP="00A654B6">
      <w:r w:rsidRPr="00A654B6">
        <w:t>&lt;row&gt;</w:t>
      </w:r>
    </w:p>
    <w:p w14:paraId="245981D7" w14:textId="77777777" w:rsidR="00A654B6" w:rsidRPr="00A654B6" w:rsidRDefault="00A654B6" w:rsidP="00A654B6">
      <w:r w:rsidRPr="00A654B6">
        <w:t xml:space="preserve"> &lt;entry&gt; </w:t>
      </w:r>
    </w:p>
    <w:p w14:paraId="18D6E189" w14:textId="77777777" w:rsidR="00A654B6" w:rsidRPr="00A654B6" w:rsidRDefault="00A654B6" w:rsidP="00A654B6">
      <w:r w:rsidRPr="00A654B6">
        <w:t>&lt;p&gt;&lt;</w:t>
      </w:r>
      <w:proofErr w:type="spellStart"/>
      <w:r w:rsidRPr="00A654B6">
        <w:t>emph</w:t>
      </w:r>
      <w:proofErr w:type="spellEnd"/>
      <w:r w:rsidRPr="00A654B6">
        <w:t>&gt;For more detailed guidance, please see the Country Portfolio: &lt;/</w:t>
      </w:r>
      <w:proofErr w:type="spellStart"/>
      <w:r w:rsidRPr="00A654B6">
        <w:t>emph</w:t>
      </w:r>
      <w:proofErr w:type="spellEnd"/>
      <w:r w:rsidRPr="00A654B6">
        <w:t>&gt; &lt;cite.url ref="https://www.bloomberglaw.com/product/tax/document/XPV2BU18#section(1"&gt;&lt;emph&gt;Malaysia, Intercompany Pricing, Other Transfer Pricing Provisions, Transfer Pricing Documentation&lt;/</w:t>
      </w:r>
      <w:proofErr w:type="spellStart"/>
      <w:r w:rsidRPr="00A654B6">
        <w:t>emph</w:t>
      </w:r>
      <w:proofErr w:type="spellEnd"/>
      <w:r w:rsidRPr="00A654B6">
        <w:t>&gt;&lt;/cite.url&gt;. &lt;/p&gt;</w:t>
      </w:r>
    </w:p>
    <w:p w14:paraId="069702BD" w14:textId="77777777" w:rsidR="00A654B6" w:rsidRPr="00A654B6" w:rsidRDefault="00A654B6" w:rsidP="00A654B6">
      <w:r w:rsidRPr="00A654B6">
        <w:t xml:space="preserve"> &lt;/entry&gt; </w:t>
      </w:r>
    </w:p>
    <w:p w14:paraId="6A50C873" w14:textId="77777777" w:rsidR="00A654B6" w:rsidRPr="00A654B6" w:rsidRDefault="00A654B6" w:rsidP="00A654B6">
      <w:r w:rsidRPr="00A654B6">
        <w:t>&lt;/row&gt;</w:t>
      </w:r>
    </w:p>
    <w:p w14:paraId="3826E208" w14:textId="77777777" w:rsidR="00A654B6" w:rsidRPr="00A654B6" w:rsidRDefault="00A654B6" w:rsidP="00A654B6"/>
    <w:p w14:paraId="46BA2938" w14:textId="77777777" w:rsidR="00A654B6" w:rsidRPr="00A654B6" w:rsidRDefault="00A654B6" w:rsidP="00A654B6">
      <w:r w:rsidRPr="00A654B6">
        <w:t>&lt;row&gt;</w:t>
      </w:r>
    </w:p>
    <w:p w14:paraId="6ECC1ACA" w14:textId="77777777" w:rsidR="00A654B6" w:rsidRPr="00A654B6" w:rsidRDefault="00A654B6" w:rsidP="00A654B6">
      <w:r w:rsidRPr="00A654B6">
        <w:t>&lt;entry&gt;</w:t>
      </w:r>
    </w:p>
    <w:p w14:paraId="272CA23B" w14:textId="77777777" w:rsidR="00A654B6" w:rsidRPr="00A654B6" w:rsidRDefault="00A654B6" w:rsidP="00A654B6">
      <w:r w:rsidRPr="00A654B6">
        <w:t>&lt;p&gt;&lt;</w:t>
      </w:r>
      <w:proofErr w:type="spellStart"/>
      <w:r w:rsidRPr="00A654B6">
        <w:t>emph</w:t>
      </w:r>
      <w:proofErr w:type="spellEnd"/>
      <w:proofErr w:type="gramStart"/>
      <w:r w:rsidRPr="00A654B6">
        <w:t>&gt;[</w:t>
      </w:r>
      <w:proofErr w:type="gramEnd"/>
      <w:r w:rsidRPr="00A654B6">
        <w:t xml:space="preserve">Further guidance </w:t>
      </w:r>
      <w:proofErr w:type="gramStart"/>
      <w:r w:rsidRPr="00A654B6">
        <w:t>expected]&lt;</w:t>
      </w:r>
      <w:proofErr w:type="gramEnd"/>
      <w:r w:rsidRPr="00A654B6">
        <w:t>/</w:t>
      </w:r>
      <w:proofErr w:type="spellStart"/>
      <w:r w:rsidRPr="00A654B6">
        <w:t>emph</w:t>
      </w:r>
      <w:proofErr w:type="spellEnd"/>
      <w:r w:rsidRPr="00A654B6">
        <w:t>&gt;&lt;/p&gt;</w:t>
      </w:r>
    </w:p>
    <w:p w14:paraId="76588C2B" w14:textId="77777777" w:rsidR="00A654B6" w:rsidRPr="00A654B6" w:rsidRDefault="00A654B6" w:rsidP="00A654B6">
      <w:r w:rsidRPr="00A654B6">
        <w:t>&lt;/entry&gt;</w:t>
      </w:r>
    </w:p>
    <w:p w14:paraId="3E064C8D" w14:textId="77777777" w:rsidR="00A654B6" w:rsidRPr="00A654B6" w:rsidRDefault="00A654B6" w:rsidP="00A654B6">
      <w:r w:rsidRPr="00A654B6">
        <w:t>&lt;/row&gt;</w:t>
      </w:r>
    </w:p>
    <w:p w14:paraId="12B38BAD" w14:textId="77777777" w:rsidR="00A654B6" w:rsidRPr="00A654B6" w:rsidRDefault="00A654B6" w:rsidP="00A654B6"/>
    <w:p w14:paraId="0D022625" w14:textId="77777777" w:rsidR="00A654B6" w:rsidRPr="00A654B6" w:rsidRDefault="00A654B6" w:rsidP="00A654B6">
      <w:r w:rsidRPr="00A654B6">
        <w:t>&lt;row&gt;</w:t>
      </w:r>
    </w:p>
    <w:p w14:paraId="267E190F" w14:textId="77777777" w:rsidR="00A654B6" w:rsidRPr="00A654B6" w:rsidRDefault="00A654B6" w:rsidP="00A654B6">
      <w:r w:rsidRPr="00A654B6">
        <w:t>&lt;entry&gt;</w:t>
      </w:r>
    </w:p>
    <w:p w14:paraId="4E941017" w14:textId="77777777" w:rsidR="00A654B6" w:rsidRPr="00A654B6" w:rsidRDefault="00A654B6" w:rsidP="00A654B6">
      <w:r w:rsidRPr="00A654B6">
        <w:t>&lt;p&gt;&lt;</w:t>
      </w:r>
      <w:proofErr w:type="spellStart"/>
      <w:r w:rsidRPr="00A654B6">
        <w:t>emph</w:t>
      </w:r>
      <w:proofErr w:type="spellEnd"/>
      <w:r w:rsidRPr="00A654B6">
        <w:t xml:space="preserve">&gt;The 2019 Finance Bill introduced transfer pricing documentation requirements for tax audit procedures commencing after January 1, 2020. Entities taxable in Morocco (with a direct or indirect relationship with entities located outside Morocco) must provide the tax authorities with documentation to justify the arm's length nature of their transfer pricing within 30 days of a written request. The documentation includes information on group activities and policies, as well as information on specific </w:t>
      </w:r>
      <w:proofErr w:type="gramStart"/>
      <w:r w:rsidRPr="00A654B6">
        <w:t>related party transactions</w:t>
      </w:r>
      <w:proofErr w:type="gramEnd"/>
      <w:r w:rsidRPr="00A654B6">
        <w:t xml:space="preserve">. Information sent to the tax authorities is typically in the French </w:t>
      </w:r>
      <w:proofErr w:type="gramStart"/>
      <w:r w:rsidRPr="00A654B6">
        <w:t>language.&lt;</w:t>
      </w:r>
      <w:proofErr w:type="gramEnd"/>
      <w:r w:rsidRPr="00A654B6">
        <w:t>/</w:t>
      </w:r>
      <w:proofErr w:type="spellStart"/>
      <w:r w:rsidRPr="00A654B6">
        <w:t>emph</w:t>
      </w:r>
      <w:proofErr w:type="spellEnd"/>
      <w:r w:rsidRPr="00A654B6">
        <w:t>&gt;&lt;/p&gt;</w:t>
      </w:r>
    </w:p>
    <w:p w14:paraId="213A32AD" w14:textId="77777777" w:rsidR="00A654B6" w:rsidRPr="00A654B6" w:rsidRDefault="00A654B6" w:rsidP="00A654B6">
      <w:r w:rsidRPr="00A654B6">
        <w:t>&lt;/entry&gt;</w:t>
      </w:r>
    </w:p>
    <w:p w14:paraId="50B6D50A" w14:textId="77777777" w:rsidR="00A654B6" w:rsidRPr="00A654B6" w:rsidRDefault="00A654B6" w:rsidP="00A654B6">
      <w:r w:rsidRPr="00A654B6">
        <w:t>&lt;/row&gt;</w:t>
      </w:r>
    </w:p>
    <w:p w14:paraId="1117B155" w14:textId="77777777" w:rsidR="00A654B6" w:rsidRPr="00A654B6" w:rsidRDefault="00A654B6" w:rsidP="00A654B6"/>
    <w:p w14:paraId="54FAD568" w14:textId="77777777" w:rsidR="00A654B6" w:rsidRPr="00A654B6" w:rsidRDefault="00A654B6" w:rsidP="00A654B6">
      <w:r w:rsidRPr="00A654B6">
        <w:t>&lt;row&gt;</w:t>
      </w:r>
    </w:p>
    <w:p w14:paraId="35D9D438" w14:textId="77777777" w:rsidR="00A654B6" w:rsidRPr="00A654B6" w:rsidRDefault="00A654B6" w:rsidP="00A654B6">
      <w:r w:rsidRPr="00A654B6">
        <w:t>&lt;entry&gt;</w:t>
      </w:r>
    </w:p>
    <w:p w14:paraId="00AF2F3B" w14:textId="77777777" w:rsidR="00A654B6" w:rsidRPr="00A654B6" w:rsidRDefault="00A654B6" w:rsidP="00A654B6">
      <w:r w:rsidRPr="00A654B6">
        <w:t>&lt;p&gt;For fiscal years beginning on or after January 1, 2017, taxpayers with related party transactions who are eligible to file an income tax return are required to submit a &lt;cite.url ref="http://src.bna.com/KCG"&gt;Transfer Pricing Return Schedule&lt;/cite.url&gt; with the annual income tax return, which is due by the last day of the third month following the end of the fiscal year in which the transactions take place. Small taxpayers (i.e., persons with turnover less than LRD 3 million per year) are instead required to submit a transfer pricing documentation packet for Small Taxpayers as a safe harbor from the documentation requirements &lt;</w:t>
      </w:r>
      <w:proofErr w:type="spellStart"/>
      <w:r w:rsidRPr="00A654B6">
        <w:t>emph</w:t>
      </w:r>
      <w:proofErr w:type="spellEnd"/>
      <w:proofErr w:type="gramStart"/>
      <w:r w:rsidRPr="00A654B6">
        <w:t>&gt;[</w:t>
      </w:r>
      <w:proofErr w:type="gramEnd"/>
      <w:r w:rsidRPr="00A654B6">
        <w:t xml:space="preserve">see discussion of Documentation Package for Small Taxpayers </w:t>
      </w:r>
      <w:proofErr w:type="gramStart"/>
      <w:r w:rsidRPr="00A654B6">
        <w:t>below]&lt;</w:t>
      </w:r>
      <w:proofErr w:type="spellStart"/>
      <w:proofErr w:type="gramEnd"/>
      <w:r w:rsidRPr="00A654B6">
        <w:t>emph</w:t>
      </w:r>
      <w:proofErr w:type="spellEnd"/>
      <w:proofErr w:type="gramStart"/>
      <w:r w:rsidRPr="00A654B6">
        <w:t>&gt;.&lt;</w:t>
      </w:r>
      <w:proofErr w:type="gramEnd"/>
      <w:r w:rsidRPr="00A654B6">
        <w:t>/p&gt;</w:t>
      </w:r>
    </w:p>
    <w:p w14:paraId="5BB39777" w14:textId="77777777" w:rsidR="00A654B6" w:rsidRPr="00A654B6" w:rsidRDefault="00A654B6" w:rsidP="00A654B6">
      <w:r w:rsidRPr="00A654B6">
        <w:t xml:space="preserve">&lt;p&gt;The transfer pricing return schedule includes information regarding all related party transactions (domestic and cross-border); the group structure and ownership (including information on related entities, directors and shareholders, and any business restructurings within the last five years); the methods used in determining the transfer price and documentation; and basic financial information for the reporting entity and the consolidated group. Penalties for late filing or failure to file may </w:t>
      </w:r>
      <w:proofErr w:type="gramStart"/>
      <w:r w:rsidRPr="00A654B6">
        <w:t>apply.&lt;</w:t>
      </w:r>
      <w:proofErr w:type="gramEnd"/>
      <w:r w:rsidRPr="00A654B6">
        <w:t>/p&gt;</w:t>
      </w:r>
    </w:p>
    <w:p w14:paraId="13C69071" w14:textId="77777777" w:rsidR="00A654B6" w:rsidRPr="00A654B6" w:rsidRDefault="00A654B6" w:rsidP="00A654B6">
      <w:r w:rsidRPr="00A654B6">
        <w:t>&lt;/entry&gt;</w:t>
      </w:r>
    </w:p>
    <w:p w14:paraId="43A006AF" w14:textId="77777777" w:rsidR="00A654B6" w:rsidRPr="00A654B6" w:rsidRDefault="00A654B6" w:rsidP="00A654B6">
      <w:r w:rsidRPr="00A654B6">
        <w:t>&lt;/row&gt;</w:t>
      </w:r>
    </w:p>
    <w:p w14:paraId="6D2D33EC" w14:textId="77777777" w:rsidR="00A654B6" w:rsidRPr="00A654B6" w:rsidRDefault="00A654B6" w:rsidP="00A654B6"/>
    <w:p w14:paraId="7A2DE875" w14:textId="77777777" w:rsidR="00A654B6" w:rsidRPr="00A654B6" w:rsidRDefault="00A654B6" w:rsidP="00A654B6">
      <w:r w:rsidRPr="00A654B6">
        <w:t>Use this tagging for the TAX Administration website:</w:t>
      </w:r>
    </w:p>
    <w:p w14:paraId="4E3BB6EE" w14:textId="77777777" w:rsidR="00A654B6" w:rsidRPr="00A654B6" w:rsidRDefault="00A654B6" w:rsidP="00A654B6"/>
    <w:p w14:paraId="63E5ADFD" w14:textId="77777777" w:rsidR="00A654B6" w:rsidRPr="00A654B6" w:rsidRDefault="00A654B6" w:rsidP="00A654B6">
      <w:r w:rsidRPr="00A654B6">
        <w:t>&lt;cite.url ref="https://formulare.llv.li/formserver_CBC/start.do;jsessionid=F4DD7B98554D83AC9612C616081F5275?wfjs_enabled=true&amp;amp;vid=1a4f8613c223096e&amp;amp;wfjs_orig_req=%2Fstart.do%3Fgeneralid%3DSTV_CBC_MM&amp;amp;txid=bb99fee758721259d85aa053ea78ff1d134ad3da"&gt;Tax Administration website&lt;/cite.url&gt;</w:t>
      </w:r>
    </w:p>
    <w:p w14:paraId="7D50A177" w14:textId="77777777" w:rsidR="00A654B6" w:rsidRPr="00A654B6" w:rsidRDefault="00A654B6" w:rsidP="00A654B6"/>
    <w:p w14:paraId="194F5B47" w14:textId="77777777" w:rsidR="00A654B6" w:rsidRPr="00A654B6" w:rsidRDefault="00A654B6" w:rsidP="00A654B6">
      <w:r w:rsidRPr="00A654B6">
        <w:t xml:space="preserve">Also, make sure that text that </w:t>
      </w:r>
      <w:proofErr w:type="gramStart"/>
      <w:r w:rsidRPr="00A654B6">
        <w:t>are</w:t>
      </w:r>
      <w:proofErr w:type="gramEnd"/>
      <w:r w:rsidRPr="00A654B6">
        <w:t xml:space="preserve"> italicized in the file to be processed will contain the &lt;</w:t>
      </w:r>
      <w:proofErr w:type="spellStart"/>
      <w:r w:rsidRPr="00A654B6">
        <w:t>emph</w:t>
      </w:r>
      <w:proofErr w:type="spellEnd"/>
      <w:r w:rsidRPr="00A654B6">
        <w:t>&gt; &amp; &lt;/</w:t>
      </w:r>
      <w:proofErr w:type="spellStart"/>
      <w:r w:rsidRPr="00A654B6">
        <w:t>emph</w:t>
      </w:r>
      <w:proofErr w:type="spellEnd"/>
      <w:r w:rsidRPr="00A654B6">
        <w:t xml:space="preserve">&gt; </w:t>
      </w:r>
      <w:proofErr w:type="spellStart"/>
      <w:r w:rsidRPr="00A654B6">
        <w:t>taggings</w:t>
      </w:r>
      <w:proofErr w:type="spellEnd"/>
      <w:r w:rsidRPr="00A654B6">
        <w:t xml:space="preserve"> and text that </w:t>
      </w:r>
      <w:proofErr w:type="gramStart"/>
      <w:r w:rsidRPr="00A654B6">
        <w:t>are</w:t>
      </w:r>
      <w:proofErr w:type="gramEnd"/>
      <w:r w:rsidRPr="00A654B6">
        <w:t xml:space="preserve"> colored blue will contain the URL links</w:t>
      </w:r>
    </w:p>
    <w:p w14:paraId="146D6ED0" w14:textId="77777777" w:rsidR="00A654B6" w:rsidRPr="00A654B6" w:rsidRDefault="00A654B6" w:rsidP="00A654B6"/>
    <w:p w14:paraId="002AE1BE" w14:textId="77777777" w:rsidR="0087180F" w:rsidRDefault="0087180F"/>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B6"/>
    <w:rsid w:val="000C756A"/>
    <w:rsid w:val="00113641"/>
    <w:rsid w:val="001F07B1"/>
    <w:rsid w:val="007142DC"/>
    <w:rsid w:val="007A7FCB"/>
    <w:rsid w:val="00865300"/>
    <w:rsid w:val="0087180F"/>
    <w:rsid w:val="008F3E69"/>
    <w:rsid w:val="00A654B6"/>
    <w:rsid w:val="00B5558F"/>
    <w:rsid w:val="00BF490F"/>
    <w:rsid w:val="00E9157B"/>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13CA"/>
  <w15:chartTrackingRefBased/>
  <w15:docId w15:val="{82DF2BCD-31F3-43D1-AF0D-AF40453F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B6"/>
    <w:rPr>
      <w:rFonts w:eastAsiaTheme="majorEastAsia" w:cstheme="majorBidi"/>
      <w:color w:val="272727" w:themeColor="text1" w:themeTint="D8"/>
    </w:rPr>
  </w:style>
  <w:style w:type="paragraph" w:styleId="Title">
    <w:name w:val="Title"/>
    <w:basedOn w:val="Normal"/>
    <w:next w:val="Normal"/>
    <w:link w:val="TitleChar"/>
    <w:uiPriority w:val="10"/>
    <w:qFormat/>
    <w:rsid w:val="00A65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B6"/>
    <w:pPr>
      <w:spacing w:before="160"/>
      <w:jc w:val="center"/>
    </w:pPr>
    <w:rPr>
      <w:i/>
      <w:iCs/>
      <w:color w:val="404040" w:themeColor="text1" w:themeTint="BF"/>
    </w:rPr>
  </w:style>
  <w:style w:type="character" w:customStyle="1" w:styleId="QuoteChar">
    <w:name w:val="Quote Char"/>
    <w:basedOn w:val="DefaultParagraphFont"/>
    <w:link w:val="Quote"/>
    <w:uiPriority w:val="29"/>
    <w:rsid w:val="00A654B6"/>
    <w:rPr>
      <w:i/>
      <w:iCs/>
      <w:color w:val="404040" w:themeColor="text1" w:themeTint="BF"/>
    </w:rPr>
  </w:style>
  <w:style w:type="paragraph" w:styleId="ListParagraph">
    <w:name w:val="List Paragraph"/>
    <w:basedOn w:val="Normal"/>
    <w:uiPriority w:val="34"/>
    <w:qFormat/>
    <w:rsid w:val="00A654B6"/>
    <w:pPr>
      <w:ind w:left="720"/>
      <w:contextualSpacing/>
    </w:pPr>
  </w:style>
  <w:style w:type="character" w:styleId="IntenseEmphasis">
    <w:name w:val="Intense Emphasis"/>
    <w:basedOn w:val="DefaultParagraphFont"/>
    <w:uiPriority w:val="21"/>
    <w:qFormat/>
    <w:rsid w:val="00A654B6"/>
    <w:rPr>
      <w:i/>
      <w:iCs/>
      <w:color w:val="0F4761" w:themeColor="accent1" w:themeShade="BF"/>
    </w:rPr>
  </w:style>
  <w:style w:type="paragraph" w:styleId="IntenseQuote">
    <w:name w:val="Intense Quote"/>
    <w:basedOn w:val="Normal"/>
    <w:next w:val="Normal"/>
    <w:link w:val="IntenseQuoteChar"/>
    <w:uiPriority w:val="30"/>
    <w:qFormat/>
    <w:rsid w:val="00A6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4B6"/>
    <w:rPr>
      <w:i/>
      <w:iCs/>
      <w:color w:val="0F4761" w:themeColor="accent1" w:themeShade="BF"/>
    </w:rPr>
  </w:style>
  <w:style w:type="character" w:styleId="IntenseReference">
    <w:name w:val="Intense Reference"/>
    <w:basedOn w:val="DefaultParagraphFont"/>
    <w:uiPriority w:val="32"/>
    <w:qFormat/>
    <w:rsid w:val="00A65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2585</Words>
  <Characters>14738</Characters>
  <Application>Microsoft Office Word</Application>
  <DocSecurity>0</DocSecurity>
  <Lines>122</Lines>
  <Paragraphs>34</Paragraphs>
  <ScaleCrop>false</ScaleCrop>
  <Company>Bloomberg Industry Group</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2025-10-01T19:57:00Z</dcterms:created>
  <dcterms:modified xsi:type="dcterms:W3CDTF">2025-10-01T19:57:00Z</dcterms:modified>
</cp:coreProperties>
</file>