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98"/>
        <w:gridCol w:w="9894"/>
      </w:tblGrid>
      <w:tr w:rsidR="006C2FF5" w14:paraId="51DC86B9" w14:textId="77777777" w:rsidTr="5B9A3384">
        <w:trPr>
          <w:trHeight w:val="300"/>
        </w:trPr>
        <w:tc>
          <w:tcPr>
            <w:tcW w:w="2998" w:type="dxa"/>
            <w:tcBorders>
              <w:top w:val="single" w:sz="6" w:space="0" w:color="auto"/>
              <w:left w:val="single" w:sz="6" w:space="0" w:color="auto"/>
              <w:bottom w:val="single" w:sz="6" w:space="0" w:color="auto"/>
              <w:right w:val="nil"/>
            </w:tcBorders>
            <w:shd w:val="clear" w:color="auto" w:fill="4472C4"/>
            <w:hideMark/>
          </w:tcPr>
          <w:p w14:paraId="09232392" w14:textId="77777777" w:rsidR="006C2FF5" w:rsidRDefault="006C2FF5" w:rsidP="00BE2689">
            <w:pPr>
              <w:pStyle w:val="paragraph"/>
              <w:spacing w:before="120" w:beforeAutospacing="0" w:after="120" w:afterAutospacing="0"/>
              <w:textAlignment w:val="baseline"/>
            </w:pPr>
            <w:r>
              <w:rPr>
                <w:rStyle w:val="normaltextrun"/>
                <w:rFonts w:ascii="Calibri" w:eastAsiaTheme="majorEastAsia" w:hAnsi="Calibri" w:cs="Calibri"/>
                <w:b/>
                <w:bCs/>
                <w:color w:val="FFFFFF"/>
                <w:sz w:val="28"/>
                <w:szCs w:val="28"/>
              </w:rPr>
              <w:t>Characteristics</w:t>
            </w:r>
            <w:r>
              <w:rPr>
                <w:rStyle w:val="eop"/>
                <w:rFonts w:ascii="Calibri" w:eastAsiaTheme="majorEastAsia" w:hAnsi="Calibri" w:cs="Calibri"/>
                <w:color w:val="FFFFFF"/>
                <w:sz w:val="28"/>
                <w:szCs w:val="28"/>
              </w:rPr>
              <w:t> </w:t>
            </w:r>
          </w:p>
        </w:tc>
        <w:tc>
          <w:tcPr>
            <w:tcW w:w="9894" w:type="dxa"/>
            <w:tcBorders>
              <w:top w:val="single" w:sz="6" w:space="0" w:color="auto"/>
              <w:left w:val="single" w:sz="6" w:space="0" w:color="auto"/>
              <w:bottom w:val="single" w:sz="6" w:space="0" w:color="auto"/>
              <w:right w:val="nil"/>
            </w:tcBorders>
            <w:shd w:val="clear" w:color="auto" w:fill="4472C4"/>
            <w:hideMark/>
          </w:tcPr>
          <w:p w14:paraId="2418435A" w14:textId="77777777" w:rsidR="006C2FF5" w:rsidRDefault="006C2FF5" w:rsidP="00BE2689">
            <w:pPr>
              <w:pStyle w:val="paragraph"/>
              <w:spacing w:before="120" w:beforeAutospacing="0" w:after="120" w:afterAutospacing="0"/>
              <w:textAlignment w:val="baseline"/>
            </w:pPr>
            <w:r>
              <w:rPr>
                <w:rStyle w:val="normaltextrun"/>
                <w:rFonts w:ascii="Calibri" w:eastAsiaTheme="majorEastAsia" w:hAnsi="Calibri" w:cs="Calibri"/>
                <w:b/>
                <w:bCs/>
                <w:color w:val="FFFFFF"/>
                <w:sz w:val="28"/>
                <w:szCs w:val="28"/>
              </w:rPr>
              <w:t>Portfolio Content</w:t>
            </w:r>
            <w:r>
              <w:rPr>
                <w:rStyle w:val="eop"/>
                <w:rFonts w:ascii="Calibri" w:eastAsiaTheme="majorEastAsia" w:hAnsi="Calibri" w:cs="Calibri"/>
                <w:color w:val="FFFFFF"/>
                <w:sz w:val="28"/>
                <w:szCs w:val="28"/>
              </w:rPr>
              <w:t> </w:t>
            </w:r>
          </w:p>
        </w:tc>
      </w:tr>
      <w:tr w:rsidR="006C2FF5" w14:paraId="0BF3AF15" w14:textId="77777777" w:rsidTr="5B9A3384">
        <w:trPr>
          <w:trHeight w:val="300"/>
        </w:trPr>
        <w:tc>
          <w:tcPr>
            <w:tcW w:w="12892"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1429356F" w14:textId="77777777" w:rsidR="006C2FF5" w:rsidRDefault="006C2FF5" w:rsidP="00BE2689">
            <w:pPr>
              <w:pStyle w:val="paragraph"/>
              <w:spacing w:before="120" w:beforeAutospacing="0" w:after="120" w:afterAutospacing="0"/>
              <w:textAlignment w:val="baseline"/>
            </w:pPr>
            <w:r>
              <w:rPr>
                <w:rStyle w:val="normaltextrun"/>
                <w:rFonts w:ascii="Calibri" w:eastAsiaTheme="majorEastAsia" w:hAnsi="Calibri" w:cs="Calibri"/>
                <w:b/>
                <w:bCs/>
                <w:color w:val="FFFFFF"/>
                <w:sz w:val="28"/>
                <w:szCs w:val="28"/>
              </w:rPr>
              <w:t>General</w:t>
            </w:r>
            <w:r>
              <w:rPr>
                <w:rStyle w:val="eop"/>
                <w:rFonts w:ascii="Calibri" w:eastAsiaTheme="majorEastAsia" w:hAnsi="Calibri" w:cs="Calibri"/>
                <w:color w:val="FFFFFF"/>
                <w:sz w:val="28"/>
                <w:szCs w:val="28"/>
              </w:rPr>
              <w:t> </w:t>
            </w:r>
          </w:p>
        </w:tc>
      </w:tr>
      <w:tr w:rsidR="006C2FF5" w14:paraId="734BD74C"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hideMark/>
          </w:tcPr>
          <w:p w14:paraId="1E905E3F" w14:textId="77777777" w:rsidR="006C2FF5" w:rsidRPr="0028072B" w:rsidRDefault="006C2FF5" w:rsidP="00BE2689">
            <w:pPr>
              <w:pStyle w:val="paragraph"/>
              <w:spacing w:before="0" w:beforeAutospacing="0" w:after="0" w:afterAutospacing="0"/>
              <w:textAlignment w:val="baseline"/>
              <w:rPr>
                <w:rFonts w:ascii="Calibri" w:hAnsi="Calibri" w:cs="Calibri"/>
                <w:sz w:val="22"/>
                <w:szCs w:val="22"/>
              </w:rPr>
            </w:pPr>
            <w:r w:rsidRPr="0028072B">
              <w:rPr>
                <w:rStyle w:val="normaltextrun"/>
                <w:rFonts w:ascii="Calibri" w:eastAsiaTheme="majorEastAsia" w:hAnsi="Calibri" w:cs="Calibri"/>
                <w:color w:val="333333"/>
                <w:sz w:val="22"/>
                <w:szCs w:val="22"/>
              </w:rPr>
              <w:t>Revenue authority</w:t>
            </w:r>
            <w:r w:rsidRPr="0028072B">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237C5168" w14:textId="57D90672" w:rsidR="006C2FF5" w:rsidRPr="0028072B" w:rsidRDefault="006C2FF5" w:rsidP="00BE2689">
            <w:pPr>
              <w:pStyle w:val="paragraph"/>
              <w:spacing w:before="0" w:beforeAutospacing="0" w:after="0" w:afterAutospacing="0"/>
              <w:textAlignment w:val="baseline"/>
              <w:rPr>
                <w:rFonts w:ascii="Calibri" w:hAnsi="Calibri" w:cs="Calibri"/>
                <w:sz w:val="22"/>
                <w:szCs w:val="22"/>
              </w:rPr>
            </w:pPr>
            <w:hyperlink r:id="rId10" w:tgtFrame="_blank" w:history="1">
              <w:r w:rsidRPr="0028072B">
                <w:rPr>
                  <w:rStyle w:val="normaltextrun"/>
                  <w:rFonts w:ascii="Calibri" w:eastAsiaTheme="majorEastAsia" w:hAnsi="Calibri" w:cs="Calibri"/>
                  <w:color w:val="0563C1"/>
                  <w:sz w:val="22"/>
                  <w:szCs w:val="22"/>
                  <w:u w:val="single"/>
                </w:rPr>
                <w:t>Inland Revenue Department</w:t>
              </w:r>
            </w:hyperlink>
            <w:r w:rsidRPr="0028072B">
              <w:rPr>
                <w:rStyle w:val="normaltextrun"/>
                <w:rFonts w:ascii="Calibri" w:eastAsiaTheme="majorEastAsia" w:hAnsi="Calibri" w:cs="Calibri"/>
                <w:sz w:val="22"/>
                <w:szCs w:val="22"/>
              </w:rPr>
              <w:t xml:space="preserve"> (</w:t>
            </w:r>
            <w:hyperlink r:id="rId11" w:anchor="section(1)_0" w:tgtFrame="_blank" w:history="1">
              <w:r w:rsidRPr="0028072B">
                <w:rPr>
                  <w:rStyle w:val="normaltextrun"/>
                  <w:rFonts w:ascii="Calibri" w:eastAsiaTheme="majorEastAsia" w:hAnsi="Calibri" w:cs="Calibri"/>
                  <w:color w:val="0563C1"/>
                  <w:sz w:val="22"/>
                  <w:szCs w:val="22"/>
                  <w:u w:val="single"/>
                </w:rPr>
                <w:t>Section IV.A.</w:t>
              </w:r>
            </w:hyperlink>
            <w:r w:rsidRPr="0028072B">
              <w:rPr>
                <w:rStyle w:val="normaltextrun"/>
                <w:rFonts w:ascii="Calibri" w:eastAsiaTheme="majorEastAsia" w:hAnsi="Calibri" w:cs="Calibri"/>
                <w:sz w:val="22"/>
                <w:szCs w:val="22"/>
              </w:rPr>
              <w:t>) </w:t>
            </w:r>
            <w:r w:rsidRPr="0028072B">
              <w:rPr>
                <w:rStyle w:val="eop"/>
                <w:rFonts w:ascii="Calibri" w:eastAsiaTheme="majorEastAsia" w:hAnsi="Calibri" w:cs="Calibri"/>
                <w:sz w:val="22"/>
                <w:szCs w:val="22"/>
              </w:rPr>
              <w:t> </w:t>
            </w:r>
          </w:p>
        </w:tc>
      </w:tr>
      <w:tr w:rsidR="006C2FF5" w14:paraId="2A12145A"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hideMark/>
          </w:tcPr>
          <w:p w14:paraId="3F8F7A9E" w14:textId="77777777" w:rsidR="006C2FF5" w:rsidRPr="0028072B" w:rsidRDefault="006C2FF5" w:rsidP="00BE2689">
            <w:pPr>
              <w:pStyle w:val="paragraph"/>
              <w:spacing w:before="0" w:beforeAutospacing="0" w:after="0" w:afterAutospacing="0"/>
              <w:textAlignment w:val="baseline"/>
              <w:rPr>
                <w:rFonts w:ascii="Calibri" w:hAnsi="Calibri" w:cs="Calibri"/>
                <w:sz w:val="22"/>
                <w:szCs w:val="22"/>
              </w:rPr>
            </w:pPr>
            <w:r w:rsidRPr="0028072B">
              <w:rPr>
                <w:rStyle w:val="normaltextrun"/>
                <w:rFonts w:ascii="Calibri" w:eastAsiaTheme="majorEastAsia" w:hAnsi="Calibri" w:cs="Calibri"/>
                <w:color w:val="333333"/>
                <w:sz w:val="22"/>
                <w:szCs w:val="22"/>
              </w:rPr>
              <w:t>Type of tax system </w:t>
            </w:r>
            <w:r w:rsidRPr="0028072B">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3BEA642E" w14:textId="5846D5EE" w:rsidR="006C2FF5" w:rsidRPr="0028072B" w:rsidRDefault="0086164B" w:rsidP="0050509E">
            <w:pPr>
              <w:spacing w:after="0" w:line="240" w:lineRule="auto"/>
            </w:pPr>
            <w:r w:rsidRPr="00AC52FC">
              <w:rPr>
                <w:rStyle w:val="normaltextrun"/>
                <w:rFonts w:ascii="Calibri" w:eastAsiaTheme="majorEastAsia" w:hAnsi="Calibri" w:cs="Calibri"/>
                <w:u w:val="single"/>
              </w:rPr>
              <w:t>Territorial system</w:t>
            </w:r>
            <w:r>
              <w:rPr>
                <w:rStyle w:val="normaltextrun"/>
                <w:rFonts w:ascii="Calibri" w:eastAsiaTheme="majorEastAsia" w:hAnsi="Calibri" w:cs="Calibri"/>
              </w:rPr>
              <w:t xml:space="preserve">: only </w:t>
            </w:r>
            <w:r w:rsidRPr="0028072B">
              <w:rPr>
                <w:rStyle w:val="normaltextrun"/>
                <w:rFonts w:ascii="Calibri" w:eastAsiaTheme="majorEastAsia" w:hAnsi="Calibri" w:cs="Calibri"/>
              </w:rPr>
              <w:t>Hong Kong-source income</w:t>
            </w:r>
            <w:r>
              <w:rPr>
                <w:rStyle w:val="normaltextrun"/>
                <w:rFonts w:ascii="Calibri" w:eastAsiaTheme="majorEastAsia" w:hAnsi="Calibri" w:cs="Calibri"/>
              </w:rPr>
              <w:t xml:space="preserve"> is within the charge to tax</w:t>
            </w:r>
            <w:r w:rsidRPr="0028072B">
              <w:rPr>
                <w:rStyle w:val="normaltextrun"/>
                <w:rFonts w:ascii="Calibri" w:eastAsiaTheme="majorEastAsia" w:hAnsi="Calibri" w:cs="Calibri"/>
              </w:rPr>
              <w:t>.</w:t>
            </w:r>
            <w:r>
              <w:rPr>
                <w:rStyle w:val="normaltextrun"/>
                <w:rFonts w:ascii="Calibri" w:eastAsiaTheme="majorEastAsia" w:hAnsi="Calibri" w:cs="Calibri"/>
              </w:rPr>
              <w:t xml:space="preserve"> </w:t>
            </w:r>
            <w:r w:rsidR="000A4660">
              <w:rPr>
                <w:rStyle w:val="normaltextrun"/>
                <w:rFonts w:ascii="Calibri" w:eastAsiaTheme="majorEastAsia" w:hAnsi="Calibri" w:cs="Calibri"/>
              </w:rPr>
              <w:t>(</w:t>
            </w:r>
            <w:r>
              <w:rPr>
                <w:rStyle w:val="normaltextrun"/>
                <w:rFonts w:ascii="Calibri" w:eastAsiaTheme="majorEastAsia" w:hAnsi="Calibri" w:cs="Calibri"/>
              </w:rPr>
              <w:t xml:space="preserve">Sections </w:t>
            </w:r>
            <w:hyperlink r:id="rId12" w:history="1">
              <w:r w:rsidRPr="003E4170">
                <w:rPr>
                  <w:rStyle w:val="Hyperlink"/>
                  <w:rFonts w:ascii="Calibri" w:eastAsiaTheme="majorEastAsia" w:hAnsi="Calibri" w:cs="Calibri"/>
                </w:rPr>
                <w:t>V.A.</w:t>
              </w:r>
            </w:hyperlink>
            <w:r>
              <w:rPr>
                <w:rStyle w:val="normaltextrun"/>
                <w:rFonts w:ascii="Calibri" w:eastAsiaTheme="majorEastAsia" w:hAnsi="Calibri" w:cs="Calibri"/>
              </w:rPr>
              <w:t xml:space="preserve">, </w:t>
            </w:r>
            <w:hyperlink r:id="rId13" w:anchor="section(1)_0" w:history="1">
              <w:r w:rsidR="00015292">
                <w:rPr>
                  <w:rStyle w:val="Hyperlink"/>
                  <w:rFonts w:ascii="Calibri" w:eastAsiaTheme="majorEastAsia" w:hAnsi="Calibri" w:cs="Calibri"/>
                </w:rPr>
                <w:t>V.B.1.</w:t>
              </w:r>
            </w:hyperlink>
            <w:r>
              <w:rPr>
                <w:rStyle w:val="normaltextrun"/>
                <w:rFonts w:ascii="Calibri" w:eastAsiaTheme="majorEastAsia" w:hAnsi="Calibri" w:cs="Calibri"/>
              </w:rPr>
              <w:t xml:space="preserve">, </w:t>
            </w:r>
            <w:hyperlink r:id="rId14" w:anchor="section(1)_0" w:history="1">
              <w:r w:rsidR="00015292">
                <w:rPr>
                  <w:rStyle w:val="Hyperlink"/>
                  <w:rFonts w:ascii="Calibri" w:eastAsiaTheme="majorEastAsia" w:hAnsi="Calibri" w:cs="Calibri"/>
                </w:rPr>
                <w:t>V.C.1.</w:t>
              </w:r>
            </w:hyperlink>
            <w:r>
              <w:rPr>
                <w:rStyle w:val="normaltextrun"/>
                <w:rFonts w:ascii="Calibri" w:eastAsiaTheme="majorEastAsia" w:hAnsi="Calibri" w:cs="Calibri"/>
              </w:rPr>
              <w:t xml:space="preserve"> and </w:t>
            </w:r>
            <w:hyperlink r:id="rId15" w:anchor="section(1)_0" w:history="1">
              <w:r w:rsidR="00015292">
                <w:rPr>
                  <w:rStyle w:val="Hyperlink"/>
                  <w:rFonts w:ascii="Calibri" w:eastAsiaTheme="majorEastAsia" w:hAnsi="Calibri" w:cs="Calibri"/>
                </w:rPr>
                <w:t>V.D.1.</w:t>
              </w:r>
            </w:hyperlink>
            <w:r w:rsidRPr="0028072B">
              <w:rPr>
                <w:rStyle w:val="normaltextrun"/>
                <w:rFonts w:ascii="Calibri" w:eastAsiaTheme="majorEastAsia" w:hAnsi="Calibri" w:cs="Calibri"/>
              </w:rPr>
              <w:t>)</w:t>
            </w:r>
            <w:r w:rsidRPr="0028072B">
              <w:rPr>
                <w:rStyle w:val="eop"/>
                <w:rFonts w:ascii="Calibri" w:eastAsiaTheme="majorEastAsia" w:hAnsi="Calibri" w:cs="Calibri"/>
              </w:rPr>
              <w:t> </w:t>
            </w:r>
            <w:r w:rsidR="00BC4EB9">
              <w:rPr>
                <w:rStyle w:val="normaltextrun"/>
                <w:rFonts w:ascii="Calibri" w:eastAsiaTheme="majorEastAsia" w:hAnsi="Calibri" w:cs="Calibri"/>
              </w:rPr>
              <w:t xml:space="preserve">Since January 1, 2023, </w:t>
            </w:r>
            <w:r w:rsidR="007D4EF1">
              <w:rPr>
                <w:rStyle w:val="normaltextrun"/>
                <w:rFonts w:ascii="Calibri" w:eastAsiaTheme="majorEastAsia" w:hAnsi="Calibri" w:cs="Calibri"/>
              </w:rPr>
              <w:t xml:space="preserve">certain </w:t>
            </w:r>
            <w:r w:rsidR="002F73BB">
              <w:rPr>
                <w:rStyle w:val="normaltextrun"/>
                <w:rFonts w:ascii="Calibri" w:eastAsiaTheme="majorEastAsia" w:hAnsi="Calibri" w:cs="Calibri"/>
              </w:rPr>
              <w:t xml:space="preserve">types of </w:t>
            </w:r>
            <w:r w:rsidR="00BC4EB9">
              <w:rPr>
                <w:rStyle w:val="normaltextrun"/>
                <w:rFonts w:ascii="Calibri" w:eastAsiaTheme="majorEastAsia" w:hAnsi="Calibri" w:cs="Calibri"/>
              </w:rPr>
              <w:t xml:space="preserve">foreign-source passive income received in Hong Kong by a constituent entity of a multinational group </w:t>
            </w:r>
            <w:r w:rsidR="002F73BB">
              <w:rPr>
                <w:rStyle w:val="normaltextrun"/>
                <w:rFonts w:ascii="Calibri" w:eastAsiaTheme="majorEastAsia" w:hAnsi="Calibri" w:cs="Calibri"/>
              </w:rPr>
              <w:t xml:space="preserve">can be </w:t>
            </w:r>
            <w:r w:rsidR="00BC4EB9">
              <w:rPr>
                <w:rStyle w:val="normaltextrun"/>
                <w:rFonts w:ascii="Calibri" w:eastAsiaTheme="majorEastAsia" w:hAnsi="Calibri" w:cs="Calibri"/>
              </w:rPr>
              <w:t xml:space="preserve">regarded as Hong Kong-source income </w:t>
            </w:r>
            <w:r w:rsidR="002F73BB">
              <w:rPr>
                <w:rStyle w:val="normaltextrun"/>
                <w:rFonts w:ascii="Calibri" w:eastAsiaTheme="majorEastAsia" w:hAnsi="Calibri" w:cs="Calibri"/>
              </w:rPr>
              <w:t xml:space="preserve">(subject to exemptions) </w:t>
            </w:r>
            <w:r w:rsidR="00BC4EB9">
              <w:rPr>
                <w:rStyle w:val="normaltextrun"/>
                <w:rFonts w:ascii="Calibri" w:eastAsiaTheme="majorEastAsia" w:hAnsi="Calibri" w:cs="Calibri"/>
              </w:rPr>
              <w:t>and therefore as assessable in the year in which it is received (</w:t>
            </w:r>
            <w:r w:rsidR="007D4EF1">
              <w:rPr>
                <w:rStyle w:val="normaltextrun"/>
                <w:rFonts w:ascii="Calibri" w:eastAsiaTheme="majorEastAsia" w:hAnsi="Calibri" w:cs="Calibri"/>
              </w:rPr>
              <w:t>FSIE regime</w:t>
            </w:r>
            <w:r w:rsidR="0013453A">
              <w:rPr>
                <w:rStyle w:val="normaltextrun"/>
                <w:rFonts w:ascii="Calibri" w:eastAsiaTheme="majorEastAsia" w:hAnsi="Calibri" w:cs="Calibri"/>
              </w:rPr>
              <w:t xml:space="preserve">: </w:t>
            </w:r>
            <w:hyperlink r:id="rId16" w:history="1">
              <w:r w:rsidR="00BC4EB9" w:rsidRPr="00864CD6">
                <w:rPr>
                  <w:rStyle w:val="Hyperlink"/>
                  <w:rFonts w:ascii="Calibri" w:eastAsiaTheme="majorEastAsia" w:hAnsi="Calibri" w:cs="Calibri"/>
                </w:rPr>
                <w:t>Section VI.L.</w:t>
              </w:r>
            </w:hyperlink>
            <w:r w:rsidR="00BC4EB9">
              <w:rPr>
                <w:rStyle w:val="normaltextrun"/>
                <w:rFonts w:ascii="Calibri" w:eastAsiaTheme="majorEastAsia" w:hAnsi="Calibri" w:cs="Calibri"/>
              </w:rPr>
              <w:t>)</w:t>
            </w:r>
          </w:p>
        </w:tc>
      </w:tr>
      <w:tr w:rsidR="006C2FF5" w14:paraId="75164286"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hideMark/>
          </w:tcPr>
          <w:p w14:paraId="12A379CB" w14:textId="77777777" w:rsidR="006C2FF5" w:rsidRPr="0028072B" w:rsidRDefault="006C2FF5" w:rsidP="00BE2689">
            <w:pPr>
              <w:pStyle w:val="paragraph"/>
              <w:spacing w:before="0" w:beforeAutospacing="0" w:after="0" w:afterAutospacing="0"/>
              <w:textAlignment w:val="baseline"/>
              <w:rPr>
                <w:rFonts w:ascii="Calibri" w:hAnsi="Calibri" w:cs="Calibri"/>
                <w:sz w:val="22"/>
                <w:szCs w:val="22"/>
              </w:rPr>
            </w:pPr>
            <w:r w:rsidRPr="0028072B">
              <w:rPr>
                <w:rStyle w:val="normaltextrun"/>
                <w:rFonts w:ascii="Calibri" w:eastAsiaTheme="majorEastAsia" w:hAnsi="Calibri" w:cs="Calibri"/>
                <w:color w:val="333333"/>
                <w:sz w:val="22"/>
                <w:szCs w:val="22"/>
              </w:rPr>
              <w:t>Residence </w:t>
            </w:r>
            <w:r w:rsidRPr="0028072B">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16487C24" w14:textId="35ABDF1E" w:rsidR="001F1BFA" w:rsidRDefault="001F1BFA" w:rsidP="00AC52FC">
            <w:pPr>
              <w:spacing w:after="0" w:line="240" w:lineRule="auto"/>
              <w:rPr>
                <w:rStyle w:val="normaltextrun"/>
                <w:rFonts w:ascii="Calibri" w:eastAsiaTheme="majorEastAsia" w:hAnsi="Calibri" w:cs="Calibri"/>
              </w:rPr>
            </w:pPr>
            <w:r w:rsidRPr="00A262B0">
              <w:rPr>
                <w:rStyle w:val="normaltextrun"/>
                <w:rFonts w:ascii="Calibri" w:eastAsiaTheme="majorEastAsia" w:hAnsi="Calibri" w:cs="Calibri"/>
              </w:rPr>
              <w:t xml:space="preserve">Residence </w:t>
            </w:r>
            <w:r w:rsidR="008E1A9C" w:rsidRPr="00A262B0">
              <w:rPr>
                <w:rStyle w:val="normaltextrun"/>
                <w:rFonts w:ascii="Calibri" w:eastAsiaTheme="majorEastAsia" w:hAnsi="Calibri" w:cs="Calibri"/>
              </w:rPr>
              <w:t xml:space="preserve">generally </w:t>
            </w:r>
            <w:r w:rsidRPr="00A262B0">
              <w:rPr>
                <w:rStyle w:val="normaltextrun"/>
                <w:rFonts w:ascii="Calibri" w:eastAsiaTheme="majorEastAsia" w:hAnsi="Calibri" w:cs="Calibri"/>
              </w:rPr>
              <w:t>has little significance for Hong Kong tax purposes (except in a treaty context): under Hong Kong’s territorial system, both resi</w:t>
            </w:r>
            <w:r w:rsidR="00A93E4B" w:rsidRPr="00A262B0">
              <w:rPr>
                <w:rStyle w:val="normaltextrun"/>
                <w:rFonts w:ascii="Calibri" w:eastAsiaTheme="majorEastAsia" w:hAnsi="Calibri" w:cs="Calibri"/>
              </w:rPr>
              <w:t>d</w:t>
            </w:r>
            <w:r w:rsidRPr="00A262B0">
              <w:rPr>
                <w:rStyle w:val="normaltextrun"/>
                <w:rFonts w:ascii="Calibri" w:eastAsiaTheme="majorEastAsia" w:hAnsi="Calibri" w:cs="Calibri"/>
              </w:rPr>
              <w:t>e</w:t>
            </w:r>
            <w:r w:rsidR="00A93E4B" w:rsidRPr="00A262B0">
              <w:rPr>
                <w:rStyle w:val="normaltextrun"/>
                <w:rFonts w:ascii="Calibri" w:eastAsiaTheme="majorEastAsia" w:hAnsi="Calibri" w:cs="Calibri"/>
              </w:rPr>
              <w:t>n</w:t>
            </w:r>
            <w:r w:rsidRPr="00A262B0">
              <w:rPr>
                <w:rStyle w:val="normaltextrun"/>
                <w:rFonts w:ascii="Calibri" w:eastAsiaTheme="majorEastAsia" w:hAnsi="Calibri" w:cs="Calibri"/>
              </w:rPr>
              <w:t xml:space="preserve">ts and </w:t>
            </w:r>
            <w:r w:rsidR="002F73BB" w:rsidRPr="00A262B0">
              <w:rPr>
                <w:rStyle w:val="normaltextrun"/>
                <w:rFonts w:ascii="Calibri" w:eastAsiaTheme="majorEastAsia" w:hAnsi="Calibri" w:cs="Calibri"/>
              </w:rPr>
              <w:t>non</w:t>
            </w:r>
            <w:r w:rsidR="002F73BB">
              <w:rPr>
                <w:rStyle w:val="normaltextrun"/>
                <w:rFonts w:ascii="Calibri" w:eastAsiaTheme="majorEastAsia" w:hAnsi="Calibri" w:cs="Calibri"/>
              </w:rPr>
              <w:t>-</w:t>
            </w:r>
            <w:r w:rsidR="002F73BB" w:rsidRPr="00A262B0">
              <w:rPr>
                <w:rStyle w:val="normaltextrun"/>
                <w:rFonts w:ascii="Calibri" w:eastAsiaTheme="majorEastAsia" w:hAnsi="Calibri" w:cs="Calibri"/>
              </w:rPr>
              <w:t>resident</w:t>
            </w:r>
            <w:r w:rsidR="002E42D8">
              <w:rPr>
                <w:rStyle w:val="normaltextrun"/>
                <w:rFonts w:ascii="Calibri" w:eastAsiaTheme="majorEastAsia" w:hAnsi="Calibri" w:cs="Calibri"/>
              </w:rPr>
              <w:t>s</w:t>
            </w:r>
            <w:r w:rsidRPr="00A262B0">
              <w:rPr>
                <w:rStyle w:val="normaltextrun"/>
                <w:rFonts w:ascii="Calibri" w:eastAsiaTheme="majorEastAsia" w:hAnsi="Calibri" w:cs="Calibri"/>
              </w:rPr>
              <w:t xml:space="preserve"> are taxable </w:t>
            </w:r>
            <w:r w:rsidR="00A93E4B" w:rsidRPr="00A262B0">
              <w:rPr>
                <w:rStyle w:val="normaltextrun"/>
                <w:rFonts w:ascii="Calibri" w:eastAsiaTheme="majorEastAsia" w:hAnsi="Calibri" w:cs="Calibri"/>
              </w:rPr>
              <w:t>(in generally the same manner) only on their Hong Kong</w:t>
            </w:r>
            <w:r w:rsidR="00AB57A7" w:rsidRPr="00A262B0">
              <w:rPr>
                <w:rStyle w:val="normaltextrun"/>
                <w:rFonts w:ascii="Calibri" w:eastAsiaTheme="majorEastAsia" w:hAnsi="Calibri" w:cs="Calibri"/>
              </w:rPr>
              <w:t xml:space="preserve">-source </w:t>
            </w:r>
            <w:r w:rsidR="002F73BB">
              <w:rPr>
                <w:rStyle w:val="normaltextrun"/>
                <w:rFonts w:ascii="Calibri" w:eastAsiaTheme="majorEastAsia" w:hAnsi="Calibri" w:cs="Calibri"/>
              </w:rPr>
              <w:t>profits</w:t>
            </w:r>
            <w:r w:rsidR="00AB57A7" w:rsidRPr="00A262B0">
              <w:rPr>
                <w:rStyle w:val="normaltextrun"/>
                <w:rFonts w:ascii="Calibri" w:eastAsiaTheme="majorEastAsia" w:hAnsi="Calibri" w:cs="Calibri"/>
              </w:rPr>
              <w:t xml:space="preserve">. </w:t>
            </w:r>
            <w:r w:rsidR="002C7A8D" w:rsidRPr="00A262B0">
              <w:rPr>
                <w:rStyle w:val="normaltextrun"/>
                <w:rFonts w:ascii="Calibri" w:eastAsiaTheme="majorEastAsia" w:hAnsi="Calibri" w:cs="Calibri"/>
              </w:rPr>
              <w:t>(</w:t>
            </w:r>
            <w:hyperlink r:id="rId17" w:history="1">
              <w:r w:rsidR="002C7A8D" w:rsidRPr="00A262B0">
                <w:rPr>
                  <w:rStyle w:val="Hyperlink"/>
                  <w:rFonts w:ascii="Calibri" w:hAnsi="Calibri" w:cs="Calibri"/>
                </w:rPr>
                <w:t xml:space="preserve">Section </w:t>
              </w:r>
              <w:r w:rsidR="002D2134" w:rsidRPr="00A262B0">
                <w:rPr>
                  <w:rStyle w:val="Hyperlink"/>
                  <w:rFonts w:ascii="Calibri" w:hAnsi="Calibri" w:cs="Calibri"/>
                </w:rPr>
                <w:t>V.A.</w:t>
              </w:r>
            </w:hyperlink>
            <w:r w:rsidR="002D2134" w:rsidRPr="00DC681D">
              <w:rPr>
                <w:rStyle w:val="normaltextrun"/>
                <w:rFonts w:ascii="Calibri" w:eastAsiaTheme="majorEastAsia" w:hAnsi="Calibri" w:cs="Calibri"/>
              </w:rPr>
              <w:t xml:space="preserve">) </w:t>
            </w:r>
            <w:r w:rsidR="00DD5DF4" w:rsidRPr="00DC681D">
              <w:rPr>
                <w:rStyle w:val="normaltextrun"/>
                <w:rFonts w:ascii="Calibri" w:eastAsiaTheme="majorEastAsia" w:hAnsi="Calibri" w:cs="Calibri"/>
              </w:rPr>
              <w:t>R</w:t>
            </w:r>
            <w:r w:rsidR="00AB57A7" w:rsidRPr="00DC681D">
              <w:rPr>
                <w:rStyle w:val="normaltextrun"/>
                <w:rFonts w:ascii="Calibri" w:eastAsiaTheme="majorEastAsia" w:hAnsi="Calibri" w:cs="Calibri"/>
              </w:rPr>
              <w:t xml:space="preserve">esidence </w:t>
            </w:r>
            <w:r w:rsidR="00DD5DF4" w:rsidRPr="00DC681D">
              <w:rPr>
                <w:rStyle w:val="normaltextrun"/>
                <w:rFonts w:ascii="Calibri" w:eastAsiaTheme="majorEastAsia" w:hAnsi="Calibri" w:cs="Calibri"/>
              </w:rPr>
              <w:t xml:space="preserve">may have </w:t>
            </w:r>
            <w:r w:rsidR="008E1A9C" w:rsidRPr="00DC681D">
              <w:rPr>
                <w:rStyle w:val="normaltextrun"/>
                <w:rFonts w:ascii="Calibri" w:eastAsiaTheme="majorEastAsia" w:hAnsi="Calibri" w:cs="Calibri"/>
              </w:rPr>
              <w:t>relev</w:t>
            </w:r>
            <w:r w:rsidR="00DD5DF4" w:rsidRPr="00DC681D">
              <w:rPr>
                <w:rStyle w:val="normaltextrun"/>
                <w:rFonts w:ascii="Calibri" w:eastAsiaTheme="majorEastAsia" w:hAnsi="Calibri" w:cs="Calibri"/>
              </w:rPr>
              <w:t xml:space="preserve">ance </w:t>
            </w:r>
            <w:r w:rsidR="00AB57A7" w:rsidRPr="00DC681D">
              <w:rPr>
                <w:rStyle w:val="normaltextrun"/>
                <w:rFonts w:ascii="Calibri" w:eastAsiaTheme="majorEastAsia" w:hAnsi="Calibri" w:cs="Calibri"/>
              </w:rPr>
              <w:t xml:space="preserve">for </w:t>
            </w:r>
            <w:r w:rsidR="00FA5B0D" w:rsidRPr="00DC681D">
              <w:rPr>
                <w:rStyle w:val="normaltextrun"/>
                <w:rFonts w:ascii="Calibri" w:eastAsiaTheme="majorEastAsia" w:hAnsi="Calibri" w:cs="Calibri"/>
              </w:rPr>
              <w:t xml:space="preserve">particular purposes (e.g., </w:t>
            </w:r>
            <w:r w:rsidR="002E42D8">
              <w:rPr>
                <w:rStyle w:val="normaltextrun"/>
                <w:rFonts w:ascii="Calibri" w:eastAsiaTheme="majorEastAsia" w:hAnsi="Calibri" w:cs="Calibri"/>
              </w:rPr>
              <w:t>salaries tax</w:t>
            </w:r>
            <w:r w:rsidR="00FA5B0D" w:rsidRPr="00DC681D">
              <w:rPr>
                <w:rStyle w:val="normaltextrun"/>
                <w:rFonts w:ascii="Calibri" w:eastAsiaTheme="majorEastAsia" w:hAnsi="Calibri" w:cs="Calibri"/>
              </w:rPr>
              <w:t xml:space="preserve"> </w:t>
            </w:r>
            <w:r w:rsidR="0038504F" w:rsidRPr="00DC681D">
              <w:rPr>
                <w:rStyle w:val="normaltextrun"/>
                <w:rFonts w:ascii="Calibri" w:eastAsiaTheme="majorEastAsia" w:hAnsi="Calibri" w:cs="Calibri"/>
              </w:rPr>
              <w:t xml:space="preserve">– see </w:t>
            </w:r>
            <w:hyperlink r:id="rId18" w:history="1">
              <w:r w:rsidR="0038504F" w:rsidRPr="00A262B0">
                <w:rPr>
                  <w:rStyle w:val="Hyperlink"/>
                  <w:rFonts w:ascii="Calibri" w:hAnsi="Calibri" w:cs="Calibri"/>
                </w:rPr>
                <w:t>Section IX.A.</w:t>
              </w:r>
            </w:hyperlink>
            <w:r w:rsidR="0038504F" w:rsidRPr="00A262B0">
              <w:rPr>
                <w:rStyle w:val="normaltextrun"/>
                <w:rFonts w:ascii="Calibri" w:eastAsiaTheme="majorEastAsia" w:hAnsi="Calibri" w:cs="Calibri"/>
              </w:rPr>
              <w:t>)</w:t>
            </w:r>
          </w:p>
          <w:p w14:paraId="5A0D4B3C" w14:textId="77777777" w:rsidR="00DA18CF" w:rsidRPr="00A262B0" w:rsidRDefault="00DA18CF" w:rsidP="00AC52FC">
            <w:pPr>
              <w:spacing w:after="0" w:line="240" w:lineRule="auto"/>
              <w:rPr>
                <w:rFonts w:ascii="Calibri" w:hAnsi="Calibri" w:cs="Calibri"/>
              </w:rPr>
            </w:pPr>
          </w:p>
          <w:p w14:paraId="07E77789" w14:textId="660A0837" w:rsidR="00042341" w:rsidRPr="009D1E82" w:rsidRDefault="00042341" w:rsidP="00DA18CF">
            <w:pPr>
              <w:pStyle w:val="NormalWeb"/>
              <w:spacing w:before="0" w:beforeAutospacing="0" w:after="0" w:afterAutospacing="0"/>
              <w:rPr>
                <w:rFonts w:ascii="Calibri" w:hAnsi="Calibri" w:cs="Calibri"/>
                <w:sz w:val="22"/>
                <w:szCs w:val="22"/>
              </w:rPr>
            </w:pPr>
            <w:r w:rsidRPr="009D1E82">
              <w:rPr>
                <w:rFonts w:ascii="Calibri" w:hAnsi="Calibri" w:cs="Calibri"/>
                <w:sz w:val="22"/>
                <w:szCs w:val="22"/>
              </w:rPr>
              <w:t xml:space="preserve">Where residence is in issue, for corporations the determinative factors </w:t>
            </w:r>
            <w:r w:rsidR="009E57E4">
              <w:rPr>
                <w:rFonts w:ascii="Calibri" w:hAnsi="Calibri" w:cs="Calibri"/>
                <w:sz w:val="22"/>
                <w:szCs w:val="22"/>
              </w:rPr>
              <w:t xml:space="preserve">may </w:t>
            </w:r>
            <w:r w:rsidRPr="009D1E82">
              <w:rPr>
                <w:rFonts w:ascii="Calibri" w:hAnsi="Calibri" w:cs="Calibri"/>
                <w:sz w:val="22"/>
                <w:szCs w:val="22"/>
              </w:rPr>
              <w:t>include whether a corporation is incorporated in Hong Kong or, if not, whether it is</w:t>
            </w:r>
            <w:r w:rsidR="009E57E4">
              <w:rPr>
                <w:rFonts w:ascii="Calibri" w:hAnsi="Calibri" w:cs="Calibri"/>
                <w:sz w:val="22"/>
                <w:szCs w:val="22"/>
              </w:rPr>
              <w:t xml:space="preserve"> centrally or</w:t>
            </w:r>
            <w:r w:rsidRPr="009D1E82">
              <w:rPr>
                <w:rFonts w:ascii="Calibri" w:hAnsi="Calibri" w:cs="Calibri"/>
                <w:sz w:val="22"/>
                <w:szCs w:val="22"/>
              </w:rPr>
              <w:t xml:space="preserve"> effectively managed or controlled from Hong Kong</w:t>
            </w:r>
            <w:r w:rsidR="009E57E4">
              <w:rPr>
                <w:rFonts w:ascii="Calibri" w:hAnsi="Calibri" w:cs="Calibri"/>
                <w:sz w:val="22"/>
                <w:szCs w:val="22"/>
              </w:rPr>
              <w:t xml:space="preserve"> depending on the treaty</w:t>
            </w:r>
            <w:r w:rsidRPr="009D1E82">
              <w:rPr>
                <w:rFonts w:ascii="Calibri" w:hAnsi="Calibri" w:cs="Calibri"/>
                <w:sz w:val="22"/>
                <w:szCs w:val="22"/>
              </w:rPr>
              <w:t>; for individuals, a presence test applies, based on whether one ‘ordinarily resides’ in Hong Kong or, alternatively, has stayed in Hong Kong more than 180 days in the tax year concerned or more than 300 days in two consecutive tax years one of which is the relevant year of assessment. </w:t>
            </w:r>
          </w:p>
          <w:p w14:paraId="3463D605" w14:textId="3A627F72" w:rsidR="006C2FF5" w:rsidRPr="00F02819" w:rsidRDefault="006C2FF5" w:rsidP="00A262B0">
            <w:pPr>
              <w:pStyle w:val="paragraph"/>
              <w:spacing w:after="0" w:afterAutospacing="0"/>
              <w:ind w:left="720"/>
              <w:textAlignment w:val="baseline"/>
              <w:rPr>
                <w:rFonts w:ascii="Calibri" w:hAnsi="Calibri" w:cs="Calibri"/>
                <w:sz w:val="22"/>
                <w:szCs w:val="22"/>
              </w:rPr>
            </w:pPr>
          </w:p>
        </w:tc>
      </w:tr>
      <w:tr w:rsidR="006C2FF5" w14:paraId="70AC18BE"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hideMark/>
          </w:tcPr>
          <w:p w14:paraId="7202FE2C" w14:textId="77777777" w:rsidR="006C2FF5" w:rsidRPr="0028072B" w:rsidRDefault="006C2FF5" w:rsidP="00BE2689">
            <w:pPr>
              <w:pStyle w:val="paragraph"/>
              <w:spacing w:before="0" w:beforeAutospacing="0" w:after="0" w:afterAutospacing="0"/>
              <w:textAlignment w:val="baseline"/>
              <w:rPr>
                <w:rFonts w:ascii="Calibri" w:hAnsi="Calibri" w:cs="Calibri"/>
                <w:sz w:val="22"/>
                <w:szCs w:val="22"/>
              </w:rPr>
            </w:pPr>
            <w:r w:rsidRPr="0028072B">
              <w:rPr>
                <w:rStyle w:val="normaltextrun"/>
                <w:rFonts w:ascii="Calibri" w:eastAsiaTheme="majorEastAsia" w:hAnsi="Calibri" w:cs="Calibri"/>
                <w:color w:val="333333"/>
                <w:sz w:val="22"/>
                <w:szCs w:val="22"/>
              </w:rPr>
              <w:t>Basic domestic nexus rule for foreign corporations </w:t>
            </w:r>
            <w:r w:rsidRPr="0028072B">
              <w:rPr>
                <w:rStyle w:val="eop"/>
                <w:rFonts w:ascii="Calibri" w:eastAsiaTheme="majorEastAsia" w:hAnsi="Calibri" w:cs="Calibri"/>
                <w:color w:val="333333"/>
                <w:sz w:val="22"/>
                <w:szCs w:val="22"/>
              </w:rPr>
              <w:t> </w:t>
            </w:r>
          </w:p>
          <w:p w14:paraId="77DDC29C" w14:textId="77777777" w:rsidR="006C2FF5" w:rsidRPr="0028072B" w:rsidRDefault="006C2FF5" w:rsidP="00BE2689">
            <w:pPr>
              <w:pStyle w:val="paragraph"/>
              <w:spacing w:before="0" w:beforeAutospacing="0" w:after="0" w:afterAutospacing="0"/>
              <w:textAlignment w:val="baseline"/>
              <w:rPr>
                <w:rFonts w:ascii="Calibri" w:hAnsi="Calibri" w:cs="Calibri"/>
                <w:sz w:val="22"/>
                <w:szCs w:val="22"/>
              </w:rPr>
            </w:pPr>
            <w:r w:rsidRPr="0028072B">
              <w:rPr>
                <w:rStyle w:val="eop"/>
                <w:rFonts w:ascii="Calibri" w:eastAsiaTheme="majorEastAsia" w:hAnsi="Calibri" w:cs="Calibri"/>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117FD8C8" w14:textId="1D9B5EF6" w:rsidR="006C2FF5" w:rsidRPr="00CD24B1" w:rsidRDefault="008E1A9C" w:rsidP="00BE2689">
            <w:pPr>
              <w:pStyle w:val="paragraph"/>
              <w:spacing w:before="0" w:beforeAutospacing="0" w:after="0" w:afterAutospacing="0"/>
              <w:textAlignment w:val="baseline"/>
              <w:rPr>
                <w:rFonts w:ascii="Calibri" w:hAnsi="Calibri" w:cs="Calibri"/>
                <w:sz w:val="22"/>
                <w:szCs w:val="22"/>
              </w:rPr>
            </w:pPr>
            <w:r w:rsidRPr="00CD24B1">
              <w:rPr>
                <w:rStyle w:val="normaltextrun"/>
                <w:rFonts w:ascii="Calibri" w:eastAsiaTheme="majorEastAsia" w:hAnsi="Calibri" w:cs="Calibri"/>
                <w:sz w:val="22"/>
                <w:szCs w:val="22"/>
              </w:rPr>
              <w:t>Under Hong Kong’s territorial system</w:t>
            </w:r>
            <w:r w:rsidR="00B25176" w:rsidRPr="00CD24B1">
              <w:rPr>
                <w:rStyle w:val="normaltextrun"/>
                <w:rFonts w:ascii="Calibri" w:eastAsiaTheme="majorEastAsia" w:hAnsi="Calibri" w:cs="Calibri"/>
                <w:sz w:val="22"/>
                <w:szCs w:val="22"/>
              </w:rPr>
              <w:t xml:space="preserve">, foreign corporations, like domestic corporations, are subject to Hong Kong </w:t>
            </w:r>
            <w:r w:rsidR="00556F60" w:rsidRPr="00CD24B1">
              <w:rPr>
                <w:rStyle w:val="normaltextrun"/>
                <w:rFonts w:ascii="Calibri" w:eastAsiaTheme="majorEastAsia" w:hAnsi="Calibri" w:cs="Calibri"/>
                <w:sz w:val="22"/>
                <w:szCs w:val="22"/>
              </w:rPr>
              <w:t>prof</w:t>
            </w:r>
            <w:r w:rsidR="005343AA" w:rsidRPr="00CD24B1">
              <w:rPr>
                <w:rStyle w:val="normaltextrun"/>
                <w:rFonts w:ascii="Calibri" w:eastAsiaTheme="majorEastAsia" w:hAnsi="Calibri" w:cs="Calibri"/>
                <w:sz w:val="22"/>
                <w:szCs w:val="22"/>
              </w:rPr>
              <w:t xml:space="preserve">its </w:t>
            </w:r>
            <w:r w:rsidR="00B25176" w:rsidRPr="00CD24B1">
              <w:rPr>
                <w:rStyle w:val="normaltextrun"/>
                <w:rFonts w:ascii="Calibri" w:eastAsiaTheme="majorEastAsia" w:hAnsi="Calibri" w:cs="Calibri"/>
                <w:sz w:val="22"/>
                <w:szCs w:val="22"/>
              </w:rPr>
              <w:t xml:space="preserve">tax </w:t>
            </w:r>
            <w:r w:rsidR="005343AA" w:rsidRPr="00CD24B1">
              <w:rPr>
                <w:rStyle w:val="normaltextrun"/>
                <w:rFonts w:ascii="Calibri" w:eastAsiaTheme="majorEastAsia" w:hAnsi="Calibri" w:cs="Calibri"/>
                <w:sz w:val="22"/>
                <w:szCs w:val="22"/>
              </w:rPr>
              <w:t xml:space="preserve">on </w:t>
            </w:r>
            <w:r w:rsidR="0097075E" w:rsidRPr="00CD24B1">
              <w:rPr>
                <w:rStyle w:val="normaltextrun"/>
                <w:rFonts w:ascii="Calibri" w:eastAsiaTheme="majorEastAsia" w:hAnsi="Calibri" w:cs="Calibri"/>
                <w:sz w:val="22"/>
                <w:szCs w:val="22"/>
              </w:rPr>
              <w:t xml:space="preserve">their Hong Kong-source </w:t>
            </w:r>
            <w:r w:rsidR="00820A1F" w:rsidRPr="00A262B0">
              <w:rPr>
                <w:rFonts w:ascii="Calibri" w:hAnsi="Calibri" w:cs="Calibri"/>
                <w:color w:val="000000"/>
                <w:sz w:val="22"/>
                <w:szCs w:val="22"/>
                <w:shd w:val="clear" w:color="auto" w:fill="FFFFFF"/>
              </w:rPr>
              <w:t>profits from a trade, profession or business</w:t>
            </w:r>
            <w:r w:rsidR="005343AA" w:rsidRPr="00CD24B1">
              <w:rPr>
                <w:rStyle w:val="normaltextrun"/>
                <w:rFonts w:ascii="Calibri" w:eastAsiaTheme="majorEastAsia" w:hAnsi="Calibri" w:cs="Calibri"/>
                <w:sz w:val="22"/>
                <w:szCs w:val="22"/>
              </w:rPr>
              <w:t xml:space="preserve"> </w:t>
            </w:r>
            <w:r w:rsidR="0097075E" w:rsidRPr="00CD24B1">
              <w:rPr>
                <w:rStyle w:val="normaltextrun"/>
                <w:rFonts w:ascii="Calibri" w:eastAsiaTheme="majorEastAsia" w:hAnsi="Calibri" w:cs="Calibri"/>
                <w:sz w:val="22"/>
                <w:szCs w:val="22"/>
              </w:rPr>
              <w:t>carried on in Hong Kong</w:t>
            </w:r>
            <w:r w:rsidR="009E57E4">
              <w:rPr>
                <w:rStyle w:val="normaltextrun"/>
                <w:rFonts w:ascii="Calibri" w:eastAsiaTheme="majorEastAsia" w:hAnsi="Calibri" w:cs="Calibri"/>
                <w:sz w:val="22"/>
                <w:szCs w:val="22"/>
              </w:rPr>
              <w:t xml:space="preserve"> (excluding profits arising from the sale of capital assets) and subject to exemption</w:t>
            </w:r>
            <w:r w:rsidR="009E57E4" w:rsidRPr="00CD24B1">
              <w:rPr>
                <w:rStyle w:val="normaltextrun"/>
                <w:rFonts w:ascii="Calibri" w:eastAsiaTheme="majorEastAsia" w:hAnsi="Calibri" w:cs="Calibri"/>
                <w:sz w:val="22"/>
                <w:szCs w:val="22"/>
              </w:rPr>
              <w:t>.</w:t>
            </w:r>
            <w:r w:rsidR="006C2FF5" w:rsidRPr="00CD24B1">
              <w:rPr>
                <w:rStyle w:val="normaltextrun"/>
                <w:rFonts w:ascii="Calibri" w:eastAsiaTheme="majorEastAsia" w:hAnsi="Calibri" w:cs="Calibri"/>
                <w:sz w:val="22"/>
                <w:szCs w:val="22"/>
              </w:rPr>
              <w:t xml:space="preserve"> (</w:t>
            </w:r>
            <w:hyperlink r:id="rId19" w:anchor="section(2)_0" w:tgtFrame="_blank" w:history="1">
              <w:r w:rsidR="006C2FF5" w:rsidRPr="00CD24B1">
                <w:rPr>
                  <w:rStyle w:val="normaltextrun"/>
                  <w:rFonts w:ascii="Calibri" w:eastAsiaTheme="majorEastAsia" w:hAnsi="Calibri" w:cs="Calibri"/>
                  <w:color w:val="0563C1"/>
                  <w:sz w:val="22"/>
                  <w:szCs w:val="22"/>
                  <w:u w:val="single"/>
                </w:rPr>
                <w:t>Section V.</w:t>
              </w:r>
              <w:r w:rsidR="00976E2A" w:rsidRPr="00CD24B1">
                <w:rPr>
                  <w:rStyle w:val="normaltextrun"/>
                  <w:rFonts w:ascii="Calibri" w:eastAsiaTheme="majorEastAsia" w:hAnsi="Calibri" w:cs="Calibri"/>
                  <w:color w:val="0563C1"/>
                  <w:sz w:val="22"/>
                  <w:szCs w:val="22"/>
                  <w:u w:val="single"/>
                </w:rPr>
                <w:t>D</w:t>
              </w:r>
              <w:r w:rsidR="006C2FF5" w:rsidRPr="00CD24B1">
                <w:rPr>
                  <w:rStyle w:val="normaltextrun"/>
                  <w:rFonts w:ascii="Calibri" w:eastAsiaTheme="majorEastAsia" w:hAnsi="Calibri" w:cs="Calibri"/>
                  <w:color w:val="0563C1"/>
                  <w:sz w:val="22"/>
                  <w:szCs w:val="22"/>
                  <w:u w:val="single"/>
                </w:rPr>
                <w:t>.</w:t>
              </w:r>
              <w:r w:rsidR="00976E2A" w:rsidRPr="00CD24B1">
                <w:rPr>
                  <w:rStyle w:val="normaltextrun"/>
                  <w:rFonts w:ascii="Calibri" w:eastAsiaTheme="majorEastAsia" w:hAnsi="Calibri" w:cs="Calibri"/>
                  <w:color w:val="0563C1"/>
                  <w:sz w:val="22"/>
                  <w:szCs w:val="22"/>
                  <w:u w:val="single"/>
                </w:rPr>
                <w:t>2</w:t>
              </w:r>
              <w:r w:rsidR="006C2FF5" w:rsidRPr="00CD24B1">
                <w:rPr>
                  <w:rStyle w:val="normaltextrun"/>
                  <w:rFonts w:ascii="Calibri" w:eastAsiaTheme="majorEastAsia" w:hAnsi="Calibri" w:cs="Calibri"/>
                  <w:color w:val="0563C1"/>
                  <w:sz w:val="22"/>
                  <w:szCs w:val="22"/>
                  <w:u w:val="single"/>
                </w:rPr>
                <w:t>.</w:t>
              </w:r>
            </w:hyperlink>
            <w:r w:rsidR="00976E2A" w:rsidRPr="00CD24B1">
              <w:rPr>
                <w:rStyle w:val="normaltextrun"/>
                <w:rFonts w:ascii="Calibri" w:eastAsiaTheme="majorEastAsia" w:hAnsi="Calibri" w:cs="Calibri"/>
                <w:sz w:val="22"/>
                <w:szCs w:val="22"/>
              </w:rPr>
              <w:t>)</w:t>
            </w:r>
            <w:r w:rsidR="006238A3" w:rsidRPr="00577100">
              <w:rPr>
                <w:rStyle w:val="normaltextrun"/>
                <w:rFonts w:ascii="Calibri" w:eastAsiaTheme="majorEastAsia" w:hAnsi="Calibri" w:cs="Calibri"/>
                <w:sz w:val="22"/>
                <w:szCs w:val="22"/>
              </w:rPr>
              <w:t>.</w:t>
            </w:r>
          </w:p>
        </w:tc>
      </w:tr>
      <w:tr w:rsidR="006C2FF5" w14:paraId="523F472F"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hideMark/>
          </w:tcPr>
          <w:p w14:paraId="153E11AF" w14:textId="77777777" w:rsidR="006C2FF5" w:rsidRPr="0028072B" w:rsidRDefault="006C2FF5" w:rsidP="00BE2689">
            <w:pPr>
              <w:pStyle w:val="paragraph"/>
              <w:spacing w:before="0" w:beforeAutospacing="0" w:after="0" w:afterAutospacing="0"/>
              <w:textAlignment w:val="baseline"/>
              <w:rPr>
                <w:rFonts w:ascii="Calibri" w:hAnsi="Calibri" w:cs="Calibri"/>
                <w:sz w:val="22"/>
                <w:szCs w:val="22"/>
              </w:rPr>
            </w:pPr>
            <w:r w:rsidRPr="0028072B">
              <w:rPr>
                <w:rStyle w:val="normaltextrun"/>
                <w:rFonts w:ascii="Calibri" w:eastAsiaTheme="majorEastAsia" w:hAnsi="Calibri" w:cs="Calibri"/>
                <w:color w:val="333333"/>
                <w:sz w:val="22"/>
                <w:szCs w:val="22"/>
              </w:rPr>
              <w:t>Treaty network</w:t>
            </w:r>
            <w:r w:rsidRPr="0028072B">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09392658" w14:textId="207A5346" w:rsidR="006C2FF5" w:rsidRDefault="004608E0" w:rsidP="00BE2689">
            <w:pPr>
              <w:pStyle w:val="paragraph"/>
              <w:spacing w:before="0" w:beforeAutospacing="0" w:after="0" w:afterAutospacing="0"/>
              <w:textAlignment w:val="baseline"/>
              <w:rPr>
                <w:rStyle w:val="normaltextrun"/>
                <w:rFonts w:ascii="Calibri" w:eastAsiaTheme="majorEastAsia" w:hAnsi="Calibri" w:cs="Calibri"/>
                <w:sz w:val="22"/>
                <w:szCs w:val="22"/>
              </w:rPr>
            </w:pPr>
            <w:r w:rsidRPr="00F02819">
              <w:rPr>
                <w:rStyle w:val="normaltextrun"/>
                <w:rFonts w:ascii="Calibri" w:eastAsiaTheme="majorEastAsia" w:hAnsi="Calibri" w:cs="Calibri"/>
                <w:sz w:val="22"/>
                <w:szCs w:val="22"/>
              </w:rPr>
              <w:t xml:space="preserve">Hong Kong </w:t>
            </w:r>
            <w:r w:rsidR="006C2FF5" w:rsidRPr="00F02819">
              <w:rPr>
                <w:rStyle w:val="normaltextrun"/>
                <w:rFonts w:ascii="Calibri" w:eastAsiaTheme="majorEastAsia" w:hAnsi="Calibri" w:cs="Calibri"/>
                <w:sz w:val="22"/>
                <w:szCs w:val="22"/>
              </w:rPr>
              <w:t xml:space="preserve">has tax </w:t>
            </w:r>
            <w:r w:rsidR="006238A3" w:rsidRPr="00F02819">
              <w:rPr>
                <w:rStyle w:val="normaltextrun"/>
                <w:rFonts w:ascii="Calibri" w:eastAsiaTheme="majorEastAsia" w:hAnsi="Calibri" w:cs="Calibri"/>
                <w:sz w:val="22"/>
                <w:szCs w:val="22"/>
              </w:rPr>
              <w:t>a</w:t>
            </w:r>
            <w:r w:rsidR="006238A3" w:rsidRPr="00A262B0">
              <w:rPr>
                <w:rStyle w:val="normaltextrun"/>
                <w:rFonts w:ascii="Calibri" w:eastAsiaTheme="majorEastAsia" w:hAnsi="Calibri" w:cs="Calibri"/>
                <w:sz w:val="22"/>
                <w:szCs w:val="22"/>
              </w:rPr>
              <w:t>greement</w:t>
            </w:r>
            <w:r w:rsidR="006C2FF5" w:rsidRPr="00F02819">
              <w:rPr>
                <w:rStyle w:val="normaltextrun"/>
                <w:rFonts w:ascii="Calibri" w:eastAsiaTheme="majorEastAsia" w:hAnsi="Calibri" w:cs="Calibri"/>
                <w:sz w:val="22"/>
                <w:szCs w:val="22"/>
              </w:rPr>
              <w:t xml:space="preserve">s with </w:t>
            </w:r>
            <w:r w:rsidR="00927AEC" w:rsidRPr="00F02819">
              <w:rPr>
                <w:rStyle w:val="normaltextrun"/>
                <w:rFonts w:ascii="Calibri" w:eastAsiaTheme="majorEastAsia" w:hAnsi="Calibri" w:cs="Calibri"/>
                <w:sz w:val="22"/>
                <w:szCs w:val="22"/>
              </w:rPr>
              <w:t>nearly 50</w:t>
            </w:r>
            <w:r w:rsidR="006C2FF5" w:rsidRPr="00F02819">
              <w:rPr>
                <w:rStyle w:val="normaltextrun"/>
                <w:rFonts w:ascii="Calibri" w:eastAsiaTheme="majorEastAsia" w:hAnsi="Calibri" w:cs="Calibri"/>
                <w:sz w:val="22"/>
                <w:szCs w:val="22"/>
              </w:rPr>
              <w:t xml:space="preserve"> </w:t>
            </w:r>
            <w:r w:rsidR="009E57E4">
              <w:rPr>
                <w:rStyle w:val="normaltextrun"/>
                <w:rFonts w:ascii="Calibri" w:eastAsiaTheme="majorEastAsia" w:hAnsi="Calibri" w:cs="Calibri"/>
                <w:sz w:val="22"/>
                <w:szCs w:val="22"/>
              </w:rPr>
              <w:t>jurisdictions</w:t>
            </w:r>
            <w:r w:rsidR="006C2FF5" w:rsidRPr="00F02819">
              <w:rPr>
                <w:rStyle w:val="normaltextrun"/>
                <w:rFonts w:ascii="Calibri" w:eastAsiaTheme="majorEastAsia" w:hAnsi="Calibri" w:cs="Calibri"/>
                <w:sz w:val="22"/>
                <w:szCs w:val="22"/>
              </w:rPr>
              <w:t xml:space="preserve">, </w:t>
            </w:r>
            <w:r w:rsidR="00BC4581" w:rsidRPr="00F02819">
              <w:rPr>
                <w:rStyle w:val="normaltextrun"/>
                <w:rFonts w:ascii="Calibri" w:eastAsiaTheme="majorEastAsia" w:hAnsi="Calibri" w:cs="Calibri"/>
                <w:sz w:val="22"/>
                <w:szCs w:val="22"/>
              </w:rPr>
              <w:t xml:space="preserve">not </w:t>
            </w:r>
            <w:r w:rsidR="006C2FF5" w:rsidRPr="00F02819">
              <w:rPr>
                <w:rStyle w:val="normaltextrun"/>
                <w:rFonts w:ascii="Calibri" w:eastAsiaTheme="majorEastAsia" w:hAnsi="Calibri" w:cs="Calibri"/>
                <w:sz w:val="22"/>
                <w:szCs w:val="22"/>
              </w:rPr>
              <w:t xml:space="preserve">including the United States, </w:t>
            </w:r>
            <w:r w:rsidR="001831C5" w:rsidRPr="00F02819">
              <w:rPr>
                <w:rStyle w:val="normaltextrun"/>
                <w:rFonts w:ascii="Calibri" w:eastAsiaTheme="majorEastAsia" w:hAnsi="Calibri" w:cs="Calibri"/>
                <w:sz w:val="22"/>
                <w:szCs w:val="22"/>
              </w:rPr>
              <w:t>t</w:t>
            </w:r>
            <w:r w:rsidR="001831C5" w:rsidRPr="00A262B0">
              <w:rPr>
                <w:rStyle w:val="normaltextrun"/>
                <w:rFonts w:ascii="Calibri" w:eastAsiaTheme="majorEastAsia" w:hAnsi="Calibri" w:cs="Calibri"/>
                <w:sz w:val="22"/>
                <w:szCs w:val="22"/>
              </w:rPr>
              <w:t>hat</w:t>
            </w:r>
            <w:r w:rsidR="0015548F" w:rsidRPr="00F02819">
              <w:rPr>
                <w:rStyle w:val="normaltextrun"/>
                <w:rFonts w:ascii="Calibri" w:eastAsiaTheme="majorEastAsia" w:hAnsi="Calibri" w:cs="Calibri"/>
                <w:sz w:val="22"/>
                <w:szCs w:val="22"/>
              </w:rPr>
              <w:t xml:space="preserve"> </w:t>
            </w:r>
            <w:r w:rsidR="00BA6F95" w:rsidRPr="00F02819">
              <w:rPr>
                <w:rStyle w:val="normaltextrun"/>
                <w:rFonts w:ascii="Calibri" w:eastAsiaTheme="majorEastAsia" w:hAnsi="Calibri" w:cs="Calibri"/>
                <w:sz w:val="22"/>
                <w:szCs w:val="22"/>
              </w:rPr>
              <w:t>generally</w:t>
            </w:r>
            <w:r w:rsidR="006C2FF5" w:rsidRPr="00F02819">
              <w:rPr>
                <w:rStyle w:val="normaltextrun"/>
                <w:rFonts w:ascii="Calibri" w:eastAsiaTheme="majorEastAsia" w:hAnsi="Calibri" w:cs="Calibri"/>
                <w:sz w:val="22"/>
                <w:szCs w:val="22"/>
              </w:rPr>
              <w:t xml:space="preserve"> follow the OECD Model</w:t>
            </w:r>
            <w:r w:rsidR="007922BB" w:rsidRPr="00F02819">
              <w:rPr>
                <w:rStyle w:val="normaltextrun"/>
                <w:rFonts w:ascii="Calibri" w:eastAsiaTheme="majorEastAsia" w:hAnsi="Calibri" w:cs="Calibri"/>
                <w:sz w:val="22"/>
                <w:szCs w:val="22"/>
              </w:rPr>
              <w:t xml:space="preserve"> </w:t>
            </w:r>
            <w:r w:rsidR="006C2FF5" w:rsidRPr="00F02819">
              <w:rPr>
                <w:rStyle w:val="normaltextrun"/>
                <w:rFonts w:ascii="Calibri" w:eastAsiaTheme="majorEastAsia" w:hAnsi="Calibri" w:cs="Calibri"/>
                <w:sz w:val="22"/>
                <w:szCs w:val="22"/>
              </w:rPr>
              <w:t>Convention.</w:t>
            </w:r>
            <w:r w:rsidR="006423DC" w:rsidRPr="00F02819">
              <w:rPr>
                <w:rStyle w:val="normaltextrun"/>
                <w:rFonts w:ascii="Calibri" w:eastAsiaTheme="majorEastAsia" w:hAnsi="Calibri" w:cs="Calibri"/>
                <w:sz w:val="22"/>
                <w:szCs w:val="22"/>
              </w:rPr>
              <w:t xml:space="preserve"> (</w:t>
            </w:r>
            <w:hyperlink r:id="rId20" w:tgtFrame="_blank" w:history="1">
              <w:r w:rsidR="006423DC" w:rsidRPr="00F02819">
                <w:rPr>
                  <w:rStyle w:val="normaltextrun"/>
                  <w:rFonts w:ascii="Calibri" w:eastAsiaTheme="majorEastAsia" w:hAnsi="Calibri" w:cs="Calibri"/>
                  <w:color w:val="0563C1"/>
                  <w:sz w:val="22"/>
                  <w:szCs w:val="22"/>
                  <w:u w:val="single"/>
                </w:rPr>
                <w:t>Section XVI.</w:t>
              </w:r>
              <w:r w:rsidR="006423DC">
                <w:rPr>
                  <w:rStyle w:val="normaltextrun"/>
                  <w:rFonts w:ascii="Calibri" w:eastAsiaTheme="majorEastAsia" w:hAnsi="Calibri" w:cs="Calibri"/>
                  <w:color w:val="0563C1"/>
                  <w:sz w:val="22"/>
                  <w:szCs w:val="22"/>
                  <w:u w:val="single"/>
                </w:rPr>
                <w:t>A</w:t>
              </w:r>
              <w:r w:rsidR="006423DC" w:rsidRPr="00F02819">
                <w:rPr>
                  <w:rStyle w:val="normaltextrun"/>
                  <w:rFonts w:ascii="Calibri" w:eastAsiaTheme="majorEastAsia" w:hAnsi="Calibri" w:cs="Calibri"/>
                  <w:color w:val="0563C1"/>
                  <w:sz w:val="22"/>
                  <w:szCs w:val="22"/>
                  <w:u w:val="single"/>
                </w:rPr>
                <w:t>.</w:t>
              </w:r>
            </w:hyperlink>
            <w:r w:rsidR="006423DC" w:rsidRPr="00F02819">
              <w:rPr>
                <w:rStyle w:val="normaltextrun"/>
                <w:rFonts w:ascii="Calibri" w:eastAsiaTheme="majorEastAsia" w:hAnsi="Calibri" w:cs="Calibri"/>
                <w:sz w:val="22"/>
                <w:szCs w:val="22"/>
              </w:rPr>
              <w:t>)</w:t>
            </w:r>
            <w:r w:rsidR="006423DC" w:rsidRPr="00F02819">
              <w:rPr>
                <w:rStyle w:val="eop"/>
                <w:rFonts w:ascii="Calibri" w:eastAsiaTheme="majorEastAsia" w:hAnsi="Calibri" w:cs="Calibri"/>
                <w:sz w:val="22"/>
                <w:szCs w:val="22"/>
              </w:rPr>
              <w:t> </w:t>
            </w:r>
            <w:r w:rsidR="006C2FF5" w:rsidRPr="00F02819">
              <w:rPr>
                <w:rStyle w:val="normaltextrun"/>
                <w:rFonts w:ascii="Calibri" w:eastAsiaTheme="majorEastAsia" w:hAnsi="Calibri" w:cs="Calibri"/>
                <w:sz w:val="22"/>
                <w:szCs w:val="22"/>
              </w:rPr>
              <w:t xml:space="preserve"> </w:t>
            </w:r>
          </w:p>
          <w:p w14:paraId="2CF218AD" w14:textId="77777777" w:rsidR="00DA18CF" w:rsidRPr="00F02819" w:rsidRDefault="00DA18CF" w:rsidP="00BE2689">
            <w:pPr>
              <w:pStyle w:val="paragraph"/>
              <w:spacing w:before="0" w:beforeAutospacing="0" w:after="0" w:afterAutospacing="0"/>
              <w:textAlignment w:val="baseline"/>
              <w:rPr>
                <w:rFonts w:ascii="Calibri" w:hAnsi="Calibri" w:cs="Calibri"/>
                <w:sz w:val="22"/>
                <w:szCs w:val="22"/>
              </w:rPr>
            </w:pPr>
          </w:p>
          <w:p w14:paraId="6FC60086" w14:textId="77777777" w:rsidR="00273A59" w:rsidRPr="00F02819" w:rsidRDefault="006C2FF5" w:rsidP="00DA18CF">
            <w:pPr>
              <w:pStyle w:val="paragraph"/>
              <w:spacing w:before="0" w:beforeAutospacing="0" w:after="0" w:afterAutospacing="0"/>
              <w:textAlignment w:val="baseline"/>
              <w:rPr>
                <w:rStyle w:val="eop"/>
                <w:rFonts w:ascii="Calibri" w:hAnsi="Calibri" w:cs="Calibri"/>
                <w:sz w:val="22"/>
                <w:szCs w:val="22"/>
              </w:rPr>
            </w:pPr>
            <w:r w:rsidRPr="00F02819">
              <w:rPr>
                <w:rStyle w:val="normaltextrun"/>
                <w:rFonts w:ascii="Calibri" w:eastAsiaTheme="majorEastAsia" w:hAnsi="Calibri" w:cs="Calibri"/>
                <w:sz w:val="22"/>
                <w:szCs w:val="22"/>
              </w:rPr>
              <w:t>MLI signatory: Yes. (</w:t>
            </w:r>
            <w:hyperlink r:id="rId21" w:tgtFrame="_blank" w:history="1">
              <w:r w:rsidRPr="00F02819">
                <w:rPr>
                  <w:rStyle w:val="normaltextrun"/>
                  <w:rFonts w:ascii="Calibri" w:eastAsiaTheme="majorEastAsia" w:hAnsi="Calibri" w:cs="Calibri"/>
                  <w:color w:val="0563C1"/>
                  <w:sz w:val="22"/>
                  <w:szCs w:val="22"/>
                  <w:u w:val="single"/>
                </w:rPr>
                <w:t>Section XV</w:t>
              </w:r>
              <w:r w:rsidR="005243E7" w:rsidRPr="00F02819">
                <w:rPr>
                  <w:rStyle w:val="normaltextrun"/>
                  <w:rFonts w:ascii="Calibri" w:eastAsiaTheme="majorEastAsia" w:hAnsi="Calibri" w:cs="Calibri"/>
                  <w:color w:val="0563C1"/>
                  <w:sz w:val="22"/>
                  <w:szCs w:val="22"/>
                  <w:u w:val="single"/>
                </w:rPr>
                <w:t>I</w:t>
              </w:r>
              <w:r w:rsidRPr="00F02819">
                <w:rPr>
                  <w:rStyle w:val="normaltextrun"/>
                  <w:rFonts w:ascii="Calibri" w:eastAsiaTheme="majorEastAsia" w:hAnsi="Calibri" w:cs="Calibri"/>
                  <w:color w:val="0563C1"/>
                  <w:sz w:val="22"/>
                  <w:szCs w:val="22"/>
                  <w:u w:val="single"/>
                </w:rPr>
                <w:t>.C.</w:t>
              </w:r>
            </w:hyperlink>
            <w:r w:rsidRPr="00F02819">
              <w:rPr>
                <w:rStyle w:val="normaltextrun"/>
                <w:rFonts w:ascii="Calibri" w:eastAsiaTheme="majorEastAsia" w:hAnsi="Calibri" w:cs="Calibri"/>
                <w:sz w:val="22"/>
                <w:szCs w:val="22"/>
              </w:rPr>
              <w:t>)</w:t>
            </w:r>
            <w:r w:rsidRPr="00F02819">
              <w:rPr>
                <w:rStyle w:val="eop"/>
                <w:rFonts w:ascii="Calibri" w:eastAsiaTheme="majorEastAsia" w:hAnsi="Calibri" w:cs="Calibri"/>
                <w:sz w:val="22"/>
                <w:szCs w:val="22"/>
              </w:rPr>
              <w:t> </w:t>
            </w:r>
          </w:p>
          <w:p w14:paraId="26E9BD8F" w14:textId="77777777" w:rsidR="00DA18CF" w:rsidRPr="00DA18CF" w:rsidRDefault="00DA18CF" w:rsidP="00DA18CF">
            <w:pPr>
              <w:pStyle w:val="paragraph"/>
              <w:spacing w:before="0" w:beforeAutospacing="0" w:after="0" w:afterAutospacing="0"/>
              <w:ind w:left="720"/>
              <w:textAlignment w:val="baseline"/>
              <w:rPr>
                <w:rStyle w:val="normaltextrun"/>
                <w:rFonts w:ascii="Calibri" w:hAnsi="Calibri" w:cs="Calibri"/>
                <w:sz w:val="22"/>
                <w:szCs w:val="22"/>
              </w:rPr>
            </w:pPr>
          </w:p>
          <w:p w14:paraId="11B47027" w14:textId="5EA97B3D" w:rsidR="006C2FF5" w:rsidRPr="0028072B" w:rsidRDefault="006C2FF5" w:rsidP="00DA18CF">
            <w:pPr>
              <w:pStyle w:val="paragraph"/>
              <w:spacing w:before="0" w:beforeAutospacing="0" w:after="0" w:afterAutospacing="0"/>
              <w:textAlignment w:val="baseline"/>
              <w:rPr>
                <w:rFonts w:ascii="Calibri" w:hAnsi="Calibri" w:cs="Calibri"/>
                <w:sz w:val="22"/>
                <w:szCs w:val="22"/>
              </w:rPr>
            </w:pPr>
            <w:r w:rsidRPr="00F02819">
              <w:rPr>
                <w:rStyle w:val="normaltextrun"/>
                <w:rFonts w:ascii="Calibri" w:eastAsiaTheme="majorEastAsia" w:hAnsi="Calibri" w:cs="Calibri"/>
                <w:sz w:val="22"/>
                <w:szCs w:val="22"/>
              </w:rPr>
              <w:t xml:space="preserve">For the texts and status of </w:t>
            </w:r>
            <w:r w:rsidR="005243E7" w:rsidRPr="00F02819">
              <w:rPr>
                <w:rStyle w:val="normaltextrun"/>
                <w:rFonts w:ascii="Calibri" w:eastAsiaTheme="majorEastAsia" w:hAnsi="Calibri" w:cs="Calibri"/>
                <w:sz w:val="22"/>
                <w:szCs w:val="22"/>
              </w:rPr>
              <w:t>Hong Kong’s</w:t>
            </w:r>
            <w:r w:rsidRPr="00F02819">
              <w:rPr>
                <w:rStyle w:val="normaltextrun"/>
                <w:rFonts w:ascii="Calibri" w:eastAsiaTheme="majorEastAsia" w:hAnsi="Calibri" w:cs="Calibri"/>
                <w:sz w:val="22"/>
                <w:szCs w:val="22"/>
              </w:rPr>
              <w:t xml:space="preserve"> tax </w:t>
            </w:r>
            <w:r w:rsidR="002D2134" w:rsidRPr="00F02819">
              <w:rPr>
                <w:rStyle w:val="normaltextrun"/>
                <w:rFonts w:ascii="Calibri" w:eastAsiaTheme="majorEastAsia" w:hAnsi="Calibri" w:cs="Calibri"/>
                <w:sz w:val="22"/>
                <w:szCs w:val="22"/>
              </w:rPr>
              <w:t>agreement</w:t>
            </w:r>
            <w:r w:rsidRPr="00F02819">
              <w:rPr>
                <w:rStyle w:val="normaltextrun"/>
                <w:rFonts w:ascii="Calibri" w:eastAsiaTheme="majorEastAsia" w:hAnsi="Calibri" w:cs="Calibri"/>
                <w:sz w:val="22"/>
                <w:szCs w:val="22"/>
              </w:rPr>
              <w:t>s</w:t>
            </w:r>
            <w:r w:rsidRPr="0028072B">
              <w:rPr>
                <w:rStyle w:val="normaltextrun"/>
                <w:rFonts w:ascii="Calibri" w:eastAsiaTheme="majorEastAsia" w:hAnsi="Calibri" w:cs="Calibri"/>
                <w:sz w:val="22"/>
                <w:szCs w:val="22"/>
              </w:rPr>
              <w:t xml:space="preserve">, see </w:t>
            </w:r>
            <w:hyperlink r:id="rId22" w:tgtFrame="_blank" w:history="1">
              <w:r w:rsidRPr="0028072B">
                <w:rPr>
                  <w:rStyle w:val="normaltextrun"/>
                  <w:rFonts w:ascii="Calibri" w:eastAsiaTheme="majorEastAsia" w:hAnsi="Calibri" w:cs="Calibri"/>
                  <w:color w:val="0563C1"/>
                  <w:sz w:val="22"/>
                  <w:szCs w:val="22"/>
                  <w:u w:val="single"/>
                </w:rPr>
                <w:t>International Tax Treaties</w:t>
              </w:r>
            </w:hyperlink>
            <w:r w:rsidRPr="0028072B">
              <w:rPr>
                <w:rStyle w:val="normaltextrun"/>
                <w:rFonts w:ascii="Calibri" w:eastAsiaTheme="majorEastAsia" w:hAnsi="Calibri" w:cs="Calibri"/>
                <w:sz w:val="22"/>
                <w:szCs w:val="22"/>
              </w:rPr>
              <w:t>.</w:t>
            </w:r>
            <w:r w:rsidRPr="0028072B">
              <w:rPr>
                <w:rStyle w:val="eop"/>
                <w:rFonts w:ascii="Calibri" w:eastAsiaTheme="majorEastAsia" w:hAnsi="Calibri" w:cs="Calibri"/>
                <w:sz w:val="22"/>
                <w:szCs w:val="22"/>
              </w:rPr>
              <w:t> </w:t>
            </w:r>
          </w:p>
        </w:tc>
      </w:tr>
      <w:tr w:rsidR="006C2FF5" w14:paraId="6E5D9859" w14:textId="77777777" w:rsidTr="5B9A3384">
        <w:trPr>
          <w:trHeight w:val="300"/>
        </w:trPr>
        <w:tc>
          <w:tcPr>
            <w:tcW w:w="12892"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72D4F23A" w14:textId="77777777" w:rsidR="006C2FF5" w:rsidRPr="00BE2689" w:rsidRDefault="006C2FF5" w:rsidP="00BE2689">
            <w:pPr>
              <w:pStyle w:val="paragraph"/>
              <w:spacing w:before="120" w:beforeAutospacing="0" w:after="120" w:afterAutospacing="0"/>
              <w:textAlignment w:val="baseline"/>
            </w:pPr>
            <w:r w:rsidRPr="00BE2689">
              <w:rPr>
                <w:rStyle w:val="normaltextrun"/>
                <w:rFonts w:ascii="Calibri" w:eastAsiaTheme="majorEastAsia" w:hAnsi="Calibri" w:cs="Calibri"/>
                <w:b/>
                <w:bCs/>
                <w:color w:val="FFFFFF"/>
                <w:sz w:val="28"/>
                <w:szCs w:val="28"/>
              </w:rPr>
              <w:t>Corporations</w:t>
            </w:r>
            <w:r w:rsidRPr="00BE2689">
              <w:rPr>
                <w:rStyle w:val="eop"/>
                <w:rFonts w:ascii="Calibri" w:eastAsiaTheme="majorEastAsia" w:hAnsi="Calibri" w:cs="Calibri"/>
                <w:color w:val="FFFFFF"/>
                <w:sz w:val="28"/>
                <w:szCs w:val="28"/>
              </w:rPr>
              <w:t> </w:t>
            </w:r>
          </w:p>
        </w:tc>
      </w:tr>
      <w:tr w:rsidR="006C2FF5" w14:paraId="13583BAA"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AA8326"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Corporate income tax rate</w:t>
            </w:r>
            <w:r>
              <w:rPr>
                <w:rStyle w:val="eop"/>
                <w:rFonts w:ascii="Calibri" w:eastAsiaTheme="majorEastAsia" w:hAnsi="Calibri" w:cs="Calibri"/>
                <w:color w:val="333333"/>
                <w:sz w:val="22"/>
                <w:szCs w:val="22"/>
              </w:rPr>
              <w:t> </w:t>
            </w:r>
          </w:p>
          <w:p w14:paraId="0376032E" w14:textId="77777777" w:rsidR="006C2FF5" w:rsidRDefault="006C2FF5" w:rsidP="00BE2689">
            <w:pPr>
              <w:pStyle w:val="paragraph"/>
              <w:spacing w:before="0" w:beforeAutospacing="0" w:after="0" w:afterAutospacing="0"/>
              <w:textAlignment w:val="baseline"/>
            </w:pPr>
            <w:r>
              <w:rPr>
                <w:rStyle w:val="eop"/>
                <w:rFonts w:ascii="Calibri" w:eastAsiaTheme="majorEastAsia" w:hAnsi="Calibri" w:cs="Calibri"/>
                <w:sz w:val="22"/>
                <w:szCs w:val="22"/>
              </w:rPr>
              <w:t> </w:t>
            </w:r>
          </w:p>
        </w:tc>
        <w:tc>
          <w:tcPr>
            <w:tcW w:w="98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BED758" w14:textId="3F7DE605" w:rsidR="006C2FF5" w:rsidRPr="00BE2689" w:rsidRDefault="006C2FF5" w:rsidP="00946F8F">
            <w:pPr>
              <w:pStyle w:val="paragraph"/>
              <w:spacing w:before="0" w:beforeAutospacing="0" w:after="0" w:afterAutospacing="0"/>
              <w:textAlignment w:val="baseline"/>
            </w:pPr>
            <w:r w:rsidRPr="00BE2689">
              <w:rPr>
                <w:rStyle w:val="normaltextrun"/>
                <w:rFonts w:ascii="Calibri" w:eastAsiaTheme="majorEastAsia" w:hAnsi="Calibri" w:cs="Calibri"/>
                <w:sz w:val="22"/>
                <w:szCs w:val="22"/>
              </w:rPr>
              <w:t xml:space="preserve">The standard rate </w:t>
            </w:r>
            <w:r w:rsidR="00507027" w:rsidRPr="00BE2689">
              <w:rPr>
                <w:rStyle w:val="normaltextrun"/>
                <w:rFonts w:ascii="Calibri" w:eastAsiaTheme="majorEastAsia" w:hAnsi="Calibri" w:cs="Calibri"/>
                <w:sz w:val="22"/>
                <w:szCs w:val="22"/>
              </w:rPr>
              <w:t xml:space="preserve">is </w:t>
            </w:r>
            <w:r w:rsidR="00D41D3B" w:rsidRPr="00BE2689">
              <w:rPr>
                <w:rStyle w:val="normaltextrun"/>
                <w:rFonts w:ascii="Calibri" w:eastAsiaTheme="majorEastAsia" w:hAnsi="Calibri" w:cs="Calibri"/>
                <w:sz w:val="22"/>
                <w:szCs w:val="22"/>
              </w:rPr>
              <w:t>1</w:t>
            </w:r>
            <w:r w:rsidR="00507027" w:rsidRPr="00BE2689">
              <w:rPr>
                <w:rStyle w:val="normaltextrun"/>
                <w:rFonts w:ascii="Calibri" w:eastAsiaTheme="majorEastAsia" w:hAnsi="Calibri" w:cs="Calibri"/>
                <w:sz w:val="22"/>
                <w:szCs w:val="22"/>
              </w:rPr>
              <w:t>6.</w:t>
            </w:r>
            <w:r w:rsidR="00D41D3B" w:rsidRPr="00BE2689">
              <w:rPr>
                <w:rStyle w:val="normaltextrun"/>
                <w:rFonts w:ascii="Calibri" w:eastAsiaTheme="majorEastAsia" w:hAnsi="Calibri" w:cs="Calibri"/>
                <w:sz w:val="22"/>
                <w:szCs w:val="22"/>
              </w:rPr>
              <w:t>5%</w:t>
            </w:r>
            <w:r w:rsidR="000C4516" w:rsidRPr="00BE2689">
              <w:rPr>
                <w:rStyle w:val="normaltextrun"/>
                <w:rFonts w:ascii="Calibri" w:eastAsiaTheme="majorEastAsia" w:hAnsi="Calibri" w:cs="Calibri"/>
                <w:sz w:val="22"/>
                <w:szCs w:val="22"/>
              </w:rPr>
              <w:t xml:space="preserve">, but </w:t>
            </w:r>
            <w:r w:rsidR="00587C35" w:rsidRPr="00BE2689">
              <w:rPr>
                <w:rStyle w:val="normaltextrun"/>
                <w:rFonts w:ascii="Calibri" w:eastAsiaTheme="majorEastAsia" w:hAnsi="Calibri" w:cs="Calibri"/>
                <w:sz w:val="22"/>
                <w:szCs w:val="22"/>
              </w:rPr>
              <w:t>a rate of 8.25% applies o</w:t>
            </w:r>
            <w:r w:rsidR="00497B5E" w:rsidRPr="00BE2689">
              <w:rPr>
                <w:rStyle w:val="normaltextrun"/>
                <w:rFonts w:ascii="Calibri" w:eastAsiaTheme="majorEastAsia" w:hAnsi="Calibri" w:cs="Calibri"/>
                <w:sz w:val="22"/>
                <w:szCs w:val="22"/>
              </w:rPr>
              <w:t>n</w:t>
            </w:r>
            <w:r w:rsidR="00587C35" w:rsidRPr="00BE2689">
              <w:rPr>
                <w:rStyle w:val="normaltextrun"/>
                <w:rFonts w:ascii="Calibri" w:eastAsiaTheme="majorEastAsia" w:hAnsi="Calibri" w:cs="Calibri"/>
                <w:sz w:val="22"/>
                <w:szCs w:val="22"/>
              </w:rPr>
              <w:t xml:space="preserve"> the first </w:t>
            </w:r>
            <w:r w:rsidR="00587C35" w:rsidRPr="00BE2689">
              <w:rPr>
                <w:rStyle w:val="lrzxr"/>
                <w:rFonts w:ascii="Calibri" w:eastAsiaTheme="majorEastAsia" w:hAnsi="Calibri" w:cs="Calibri"/>
                <w:sz w:val="22"/>
                <w:szCs w:val="22"/>
              </w:rPr>
              <w:t>HK$</w:t>
            </w:r>
            <w:r w:rsidR="00587C35" w:rsidRPr="00BE2689">
              <w:rPr>
                <w:rStyle w:val="normaltextrun"/>
                <w:rFonts w:ascii="Calibri" w:eastAsiaTheme="majorEastAsia" w:hAnsi="Calibri" w:cs="Calibri"/>
                <w:sz w:val="22"/>
                <w:szCs w:val="22"/>
              </w:rPr>
              <w:t xml:space="preserve"> 2 million</w:t>
            </w:r>
            <w:r w:rsidR="00497B5E" w:rsidRPr="00BE2689">
              <w:rPr>
                <w:rStyle w:val="normaltextrun"/>
                <w:rFonts w:ascii="Calibri" w:eastAsiaTheme="majorEastAsia" w:hAnsi="Calibri" w:cs="Calibri"/>
                <w:sz w:val="22"/>
                <w:szCs w:val="22"/>
              </w:rPr>
              <w:t xml:space="preserve"> profits</w:t>
            </w:r>
            <w:r w:rsidRPr="00BE2689">
              <w:rPr>
                <w:rStyle w:val="normaltextrun"/>
                <w:rFonts w:ascii="Calibri" w:eastAsiaTheme="majorEastAsia" w:hAnsi="Calibri" w:cs="Calibri"/>
                <w:sz w:val="22"/>
                <w:szCs w:val="22"/>
              </w:rPr>
              <w:t xml:space="preserve"> </w:t>
            </w:r>
            <w:r w:rsidR="00BD01A1">
              <w:rPr>
                <w:rStyle w:val="normaltextrun"/>
                <w:rFonts w:ascii="Calibri" w:eastAsiaTheme="majorEastAsia" w:hAnsi="Calibri" w:cs="Calibri"/>
                <w:sz w:val="22"/>
                <w:szCs w:val="22"/>
              </w:rPr>
              <w:t>(applies only to one entity nominated within a group of entities to be charged at the two-tiered rates)</w:t>
            </w:r>
            <w:r w:rsidR="00BD01A1" w:rsidRPr="00BE2689">
              <w:rPr>
                <w:rStyle w:val="normaltextrun"/>
                <w:rFonts w:ascii="Calibri" w:eastAsiaTheme="majorEastAsia" w:hAnsi="Calibri" w:cs="Calibri"/>
                <w:sz w:val="22"/>
                <w:szCs w:val="22"/>
              </w:rPr>
              <w:t xml:space="preserve">. </w:t>
            </w:r>
            <w:r w:rsidRPr="00BE2689">
              <w:rPr>
                <w:rStyle w:val="normaltextrun"/>
                <w:rFonts w:ascii="Calibri" w:eastAsiaTheme="majorEastAsia" w:hAnsi="Calibri" w:cs="Calibri"/>
                <w:sz w:val="22"/>
                <w:szCs w:val="22"/>
              </w:rPr>
              <w:t>(</w:t>
            </w:r>
            <w:hyperlink r:id="rId23" w:anchor="section(7)(7)(c)_0" w:tgtFrame="_blank" w:history="1">
              <w:r w:rsidRPr="00BE2689">
                <w:rPr>
                  <w:rStyle w:val="normaltextrun"/>
                  <w:rFonts w:ascii="Calibri" w:eastAsiaTheme="majorEastAsia" w:hAnsi="Calibri" w:cs="Calibri"/>
                  <w:color w:val="0563C1"/>
                  <w:sz w:val="22"/>
                  <w:szCs w:val="22"/>
                  <w:u w:val="single"/>
                </w:rPr>
                <w:t>Section V.</w:t>
              </w:r>
              <w:r w:rsidR="007965AC" w:rsidRPr="00BE2689">
                <w:rPr>
                  <w:rStyle w:val="normaltextrun"/>
                  <w:rFonts w:ascii="Calibri" w:eastAsiaTheme="majorEastAsia" w:hAnsi="Calibri" w:cs="Calibri"/>
                  <w:color w:val="0563C1"/>
                  <w:sz w:val="22"/>
                  <w:szCs w:val="22"/>
                  <w:u w:val="single"/>
                </w:rPr>
                <w:t>D</w:t>
              </w:r>
              <w:r w:rsidR="00B414D5" w:rsidRPr="00BE2689">
                <w:rPr>
                  <w:rStyle w:val="normaltextrun"/>
                  <w:rFonts w:ascii="Calibri" w:eastAsiaTheme="majorEastAsia" w:hAnsi="Calibri" w:cs="Calibri"/>
                  <w:color w:val="0563C1"/>
                  <w:sz w:val="22"/>
                  <w:szCs w:val="22"/>
                  <w:u w:val="single"/>
                </w:rPr>
                <w:t>.</w:t>
              </w:r>
              <w:r w:rsidR="00B414D5" w:rsidRPr="00BE2689">
                <w:rPr>
                  <w:rStyle w:val="normaltextrun"/>
                  <w:rFonts w:ascii="Calibri" w:eastAsiaTheme="majorEastAsia" w:hAnsi="Calibri" w:cs="Calibri"/>
                  <w:color w:val="0563C1"/>
                  <w:u w:val="single"/>
                </w:rPr>
                <w:t>7</w:t>
              </w:r>
              <w:r w:rsidR="007965AC" w:rsidRPr="00BE2689">
                <w:rPr>
                  <w:rStyle w:val="normaltextrun"/>
                  <w:rFonts w:eastAsiaTheme="majorEastAsia"/>
                  <w:color w:val="0563C1"/>
                  <w:u w:val="single"/>
                </w:rPr>
                <w:t>.</w:t>
              </w:r>
            </w:hyperlink>
            <w:r w:rsidRPr="00BE2689">
              <w:rPr>
                <w:rStyle w:val="normaltextrun"/>
                <w:rFonts w:ascii="Calibri" w:eastAsiaTheme="majorEastAsia" w:hAnsi="Calibri" w:cs="Calibri"/>
                <w:sz w:val="22"/>
                <w:szCs w:val="22"/>
              </w:rPr>
              <w:t>)</w:t>
            </w:r>
          </w:p>
        </w:tc>
      </w:tr>
      <w:tr w:rsidR="006C2FF5" w14:paraId="23006923"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hideMark/>
          </w:tcPr>
          <w:p w14:paraId="3AF5A36D" w14:textId="7968D072" w:rsidR="006C2FF5" w:rsidRDefault="00742F88"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W</w:t>
            </w:r>
            <w:r w:rsidR="006C2FF5">
              <w:rPr>
                <w:rStyle w:val="normaltextrun"/>
                <w:rFonts w:ascii="Calibri" w:eastAsiaTheme="majorEastAsia" w:hAnsi="Calibri" w:cs="Calibri"/>
                <w:color w:val="333333"/>
                <w:sz w:val="22"/>
                <w:szCs w:val="22"/>
              </w:rPr>
              <w:t>ithholding tax rates on payments to non-resident companies</w:t>
            </w:r>
            <w:r w:rsidR="006C2FF5">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7C8B6F0D" w14:textId="32D9D5A2" w:rsidR="006C2FF5" w:rsidRDefault="006C2FF5" w:rsidP="00BE2689">
            <w:pPr>
              <w:pStyle w:val="paragraph"/>
              <w:spacing w:before="0" w:beforeAutospacing="0" w:after="0" w:afterAutospacing="0"/>
              <w:textAlignment w:val="baseline"/>
              <w:rPr>
                <w:rStyle w:val="eop"/>
                <w:rFonts w:ascii="Calibri" w:eastAsiaTheme="majorEastAsia" w:hAnsi="Calibri" w:cs="Calibri"/>
                <w:sz w:val="22"/>
                <w:szCs w:val="22"/>
              </w:rPr>
            </w:pPr>
            <w:r w:rsidRPr="00BE2689">
              <w:rPr>
                <w:rStyle w:val="normaltextrun"/>
                <w:rFonts w:ascii="Calibri" w:eastAsiaTheme="majorEastAsia" w:hAnsi="Calibri" w:cs="Calibri"/>
                <w:sz w:val="22"/>
                <w:szCs w:val="22"/>
                <w:u w:val="single"/>
              </w:rPr>
              <w:t>Dividends</w:t>
            </w:r>
            <w:r w:rsidRPr="00BE2689">
              <w:rPr>
                <w:rStyle w:val="normaltextrun"/>
                <w:rFonts w:ascii="Calibri" w:eastAsiaTheme="majorEastAsia" w:hAnsi="Calibri" w:cs="Calibri"/>
                <w:sz w:val="22"/>
                <w:szCs w:val="22"/>
              </w:rPr>
              <w:t>: 0% (</w:t>
            </w:r>
            <w:hyperlink r:id="rId24" w:anchor="section(4)(4)(c)_0" w:tgtFrame="_blank" w:history="1">
              <w:r w:rsidR="00C5187E" w:rsidRPr="00BE2689">
                <w:rPr>
                  <w:rStyle w:val="normaltextrun"/>
                  <w:rFonts w:ascii="Calibri" w:eastAsiaTheme="majorEastAsia" w:hAnsi="Calibri" w:cs="Calibri"/>
                  <w:color w:val="0563C1"/>
                  <w:sz w:val="22"/>
                  <w:szCs w:val="22"/>
                  <w:u w:val="single"/>
                </w:rPr>
                <w:t>Section V.D.</w:t>
              </w:r>
              <w:r w:rsidR="00D40BC7">
                <w:rPr>
                  <w:rStyle w:val="normaltextrun"/>
                  <w:rFonts w:ascii="Calibri" w:eastAsiaTheme="majorEastAsia" w:hAnsi="Calibri" w:cs="Calibri"/>
                  <w:color w:val="0563C1"/>
                  <w:sz w:val="22"/>
                  <w:szCs w:val="22"/>
                  <w:u w:val="single"/>
                </w:rPr>
                <w:t>4</w:t>
              </w:r>
              <w:r w:rsidR="00C5187E" w:rsidRPr="00BE2689">
                <w:rPr>
                  <w:rStyle w:val="normaltextrun"/>
                  <w:rFonts w:ascii="Calibri" w:eastAsiaTheme="majorEastAsia" w:hAnsi="Calibri" w:cs="Calibri"/>
                  <w:color w:val="0563C1"/>
                  <w:sz w:val="22"/>
                  <w:szCs w:val="22"/>
                  <w:u w:val="single"/>
                </w:rPr>
                <w:t>.c</w:t>
              </w:r>
            </w:hyperlink>
            <w:r w:rsidR="00C5187E" w:rsidRPr="00BE2689">
              <w:rPr>
                <w:rStyle w:val="normaltextrun"/>
                <w:rFonts w:ascii="Calibri" w:eastAsiaTheme="majorEastAsia" w:hAnsi="Calibri" w:cs="Calibri"/>
                <w:color w:val="0563C1"/>
                <w:sz w:val="22"/>
                <w:szCs w:val="22"/>
                <w:u w:val="single"/>
              </w:rPr>
              <w:t>.</w:t>
            </w:r>
            <w:r w:rsidRPr="00BE2689">
              <w:rPr>
                <w:rStyle w:val="normaltextrun"/>
                <w:rFonts w:ascii="Calibri" w:eastAsiaTheme="majorEastAsia" w:hAnsi="Calibri" w:cs="Calibri"/>
                <w:sz w:val="22"/>
                <w:szCs w:val="22"/>
              </w:rPr>
              <w:t>) </w:t>
            </w:r>
            <w:r w:rsidRPr="00BE2689">
              <w:rPr>
                <w:rStyle w:val="eop"/>
                <w:rFonts w:ascii="Calibri" w:eastAsiaTheme="majorEastAsia" w:hAnsi="Calibri" w:cs="Calibri"/>
                <w:sz w:val="22"/>
                <w:szCs w:val="22"/>
              </w:rPr>
              <w:t> </w:t>
            </w:r>
          </w:p>
          <w:p w14:paraId="5BCDAC52" w14:textId="77777777" w:rsidR="00742F88" w:rsidRPr="00BE2689" w:rsidRDefault="00742F88" w:rsidP="00BE2689">
            <w:pPr>
              <w:pStyle w:val="paragraph"/>
              <w:spacing w:before="0" w:beforeAutospacing="0" w:after="0" w:afterAutospacing="0"/>
              <w:textAlignment w:val="baseline"/>
              <w:rPr>
                <w:rFonts w:ascii="Calibri" w:hAnsi="Calibri" w:cs="Calibri"/>
                <w:sz w:val="22"/>
                <w:szCs w:val="22"/>
              </w:rPr>
            </w:pPr>
          </w:p>
          <w:p w14:paraId="0C30397E" w14:textId="0D5C8210" w:rsidR="006C2FF5" w:rsidRDefault="006C2FF5" w:rsidP="00BE2689">
            <w:pPr>
              <w:pStyle w:val="paragraph"/>
              <w:spacing w:before="0" w:beforeAutospacing="0" w:after="0" w:afterAutospacing="0"/>
              <w:textAlignment w:val="baseline"/>
              <w:rPr>
                <w:rStyle w:val="eop"/>
                <w:rFonts w:ascii="Calibri" w:eastAsiaTheme="majorEastAsia" w:hAnsi="Calibri" w:cs="Calibri"/>
                <w:color w:val="FF0000"/>
                <w:sz w:val="22"/>
                <w:szCs w:val="22"/>
              </w:rPr>
            </w:pPr>
            <w:r w:rsidRPr="00BE2689">
              <w:rPr>
                <w:rStyle w:val="normaltextrun"/>
                <w:rFonts w:ascii="Calibri" w:eastAsiaTheme="majorEastAsia" w:hAnsi="Calibri" w:cs="Calibri"/>
                <w:sz w:val="22"/>
                <w:szCs w:val="22"/>
                <w:u w:val="single"/>
              </w:rPr>
              <w:t>Interest</w:t>
            </w:r>
            <w:r w:rsidRPr="00BE2689">
              <w:rPr>
                <w:rStyle w:val="normaltextrun"/>
                <w:rFonts w:ascii="Calibri" w:eastAsiaTheme="majorEastAsia" w:hAnsi="Calibri" w:cs="Calibri"/>
                <w:sz w:val="22"/>
                <w:szCs w:val="22"/>
              </w:rPr>
              <w:t>: 0%</w:t>
            </w:r>
            <w:r w:rsidR="00932CA1" w:rsidRPr="00BE2689">
              <w:rPr>
                <w:rStyle w:val="normaltextrun"/>
                <w:rFonts w:ascii="Calibri" w:eastAsiaTheme="majorEastAsia" w:hAnsi="Calibri" w:cs="Calibri"/>
                <w:sz w:val="22"/>
                <w:szCs w:val="22"/>
              </w:rPr>
              <w:t xml:space="preserve"> </w:t>
            </w:r>
            <w:r w:rsidRPr="00BE2689">
              <w:rPr>
                <w:rStyle w:val="normaltextrun"/>
                <w:rFonts w:ascii="Calibri" w:eastAsiaTheme="majorEastAsia" w:hAnsi="Calibri" w:cs="Calibri"/>
                <w:sz w:val="22"/>
                <w:szCs w:val="22"/>
              </w:rPr>
              <w:t>(</w:t>
            </w:r>
            <w:hyperlink r:id="rId25" w:anchor="section(7)(7)(c)_0" w:tgtFrame="_blank" w:history="1">
              <w:r w:rsidR="00AA4365" w:rsidRPr="00BE2689">
                <w:rPr>
                  <w:rStyle w:val="normaltextrun"/>
                  <w:rFonts w:ascii="Calibri" w:eastAsiaTheme="majorEastAsia" w:hAnsi="Calibri" w:cs="Calibri"/>
                  <w:color w:val="0563C1"/>
                  <w:sz w:val="22"/>
                  <w:szCs w:val="22"/>
                  <w:u w:val="single"/>
                </w:rPr>
                <w:t>Section V.D.7.c</w:t>
              </w:r>
            </w:hyperlink>
            <w:r w:rsidR="00AA4365" w:rsidRPr="00BE2689">
              <w:rPr>
                <w:rStyle w:val="normaltextrun"/>
                <w:rFonts w:ascii="Calibri" w:eastAsiaTheme="majorEastAsia" w:hAnsi="Calibri" w:cs="Calibri"/>
                <w:color w:val="0563C1"/>
                <w:sz w:val="22"/>
                <w:szCs w:val="22"/>
                <w:u w:val="single"/>
              </w:rPr>
              <w:t>.</w:t>
            </w:r>
            <w:r w:rsidRPr="00BE2689">
              <w:rPr>
                <w:rStyle w:val="normaltextrun"/>
                <w:rFonts w:ascii="Calibri" w:eastAsiaTheme="majorEastAsia" w:hAnsi="Calibri" w:cs="Calibri"/>
                <w:sz w:val="22"/>
                <w:szCs w:val="22"/>
              </w:rPr>
              <w:t>) </w:t>
            </w:r>
            <w:r w:rsidRPr="00BE2689">
              <w:rPr>
                <w:rStyle w:val="normaltextrun"/>
                <w:rFonts w:ascii="Calibri" w:eastAsiaTheme="majorEastAsia" w:hAnsi="Calibri" w:cs="Calibri"/>
                <w:color w:val="FF0000"/>
                <w:sz w:val="22"/>
                <w:szCs w:val="22"/>
              </w:rPr>
              <w:t> </w:t>
            </w:r>
            <w:r w:rsidRPr="00BE2689">
              <w:rPr>
                <w:rStyle w:val="eop"/>
                <w:rFonts w:ascii="Calibri" w:eastAsiaTheme="majorEastAsia" w:hAnsi="Calibri" w:cs="Calibri"/>
                <w:color w:val="FF0000"/>
                <w:sz w:val="22"/>
                <w:szCs w:val="22"/>
              </w:rPr>
              <w:t> </w:t>
            </w:r>
          </w:p>
          <w:p w14:paraId="71047D3B" w14:textId="77777777" w:rsidR="00742F88" w:rsidRPr="00BE2689" w:rsidRDefault="00742F88" w:rsidP="00BE2689">
            <w:pPr>
              <w:pStyle w:val="paragraph"/>
              <w:spacing w:before="0" w:beforeAutospacing="0" w:after="0" w:afterAutospacing="0"/>
              <w:textAlignment w:val="baseline"/>
              <w:rPr>
                <w:rFonts w:ascii="Calibri" w:hAnsi="Calibri" w:cs="Calibri"/>
                <w:sz w:val="22"/>
                <w:szCs w:val="22"/>
              </w:rPr>
            </w:pPr>
          </w:p>
          <w:p w14:paraId="5688A2FA" w14:textId="7B1341E2" w:rsidR="006C2FF5" w:rsidRPr="00D14999" w:rsidRDefault="006C2FF5" w:rsidP="00BE2689">
            <w:pPr>
              <w:pStyle w:val="paragraph"/>
              <w:spacing w:before="0" w:beforeAutospacing="0" w:after="0" w:afterAutospacing="0"/>
              <w:textAlignment w:val="baseline"/>
              <w:rPr>
                <w:rFonts w:ascii="Calibri" w:hAnsi="Calibri" w:cs="Calibri"/>
                <w:sz w:val="22"/>
                <w:szCs w:val="22"/>
              </w:rPr>
            </w:pPr>
            <w:r w:rsidRPr="00D14999">
              <w:rPr>
                <w:rStyle w:val="normaltextrun"/>
                <w:rFonts w:ascii="Calibri" w:eastAsiaTheme="majorEastAsia" w:hAnsi="Calibri" w:cs="Calibri"/>
                <w:sz w:val="22"/>
                <w:szCs w:val="22"/>
                <w:u w:val="single"/>
              </w:rPr>
              <w:t>Royalties</w:t>
            </w:r>
            <w:r w:rsidRPr="00D14999">
              <w:rPr>
                <w:rStyle w:val="normaltextrun"/>
                <w:rFonts w:ascii="Calibri" w:eastAsiaTheme="majorEastAsia" w:hAnsi="Calibri" w:cs="Calibri"/>
                <w:sz w:val="22"/>
                <w:szCs w:val="22"/>
              </w:rPr>
              <w:t>: </w:t>
            </w:r>
            <w:r w:rsidR="00C066A8" w:rsidRPr="00D14999">
              <w:rPr>
                <w:rStyle w:val="normaltextrun"/>
                <w:rFonts w:ascii="Calibri" w:eastAsiaTheme="majorEastAsia" w:hAnsi="Calibri" w:cs="Calibri"/>
                <w:sz w:val="22"/>
                <w:szCs w:val="22"/>
              </w:rPr>
              <w:t xml:space="preserve">Generally, </w:t>
            </w:r>
            <w:r w:rsidR="000B1F21" w:rsidRPr="00D14999">
              <w:rPr>
                <w:rStyle w:val="normaltextrun"/>
                <w:rFonts w:ascii="Calibri" w:eastAsiaTheme="majorEastAsia" w:hAnsi="Calibri" w:cs="Calibri"/>
                <w:sz w:val="22"/>
                <w:szCs w:val="22"/>
              </w:rPr>
              <w:t>4.95</w:t>
            </w:r>
            <w:r w:rsidRPr="00D14999">
              <w:rPr>
                <w:rStyle w:val="normaltextrun"/>
                <w:rFonts w:ascii="Calibri" w:eastAsiaTheme="majorEastAsia" w:hAnsi="Calibri" w:cs="Calibri"/>
                <w:sz w:val="22"/>
                <w:szCs w:val="22"/>
              </w:rPr>
              <w:t>%</w:t>
            </w:r>
            <w:r w:rsidR="00FC5514" w:rsidRPr="00D14999">
              <w:rPr>
                <w:rStyle w:val="normaltextrun"/>
                <w:rFonts w:ascii="Calibri" w:eastAsiaTheme="majorEastAsia" w:hAnsi="Calibri" w:cs="Calibri"/>
                <w:sz w:val="22"/>
                <w:szCs w:val="22"/>
              </w:rPr>
              <w:t xml:space="preserve"> </w:t>
            </w:r>
            <w:r w:rsidR="00564F06" w:rsidRPr="00D14999">
              <w:rPr>
                <w:rStyle w:val="normaltextrun"/>
                <w:rFonts w:ascii="Calibri" w:eastAsiaTheme="majorEastAsia" w:hAnsi="Calibri" w:cs="Calibri"/>
                <w:sz w:val="22"/>
                <w:szCs w:val="22"/>
              </w:rPr>
              <w:t>(unrelated party</w:t>
            </w:r>
            <w:r w:rsidR="00CF25FA" w:rsidRPr="00D14999">
              <w:rPr>
                <w:rStyle w:val="normaltextrun"/>
                <w:rFonts w:ascii="Calibri" w:eastAsiaTheme="majorEastAsia" w:hAnsi="Calibri" w:cs="Calibri"/>
                <w:sz w:val="22"/>
                <w:szCs w:val="22"/>
              </w:rPr>
              <w:t xml:space="preserve"> – </w:t>
            </w:r>
            <w:r w:rsidR="00D14999" w:rsidRPr="00A262B0">
              <w:rPr>
                <w:rStyle w:val="normaltextrun"/>
                <w:rFonts w:ascii="Calibri" w:eastAsiaTheme="majorEastAsia" w:hAnsi="Calibri" w:cs="Calibri"/>
                <w:sz w:val="22"/>
                <w:szCs w:val="22"/>
              </w:rPr>
              <w:t xml:space="preserve">based on </w:t>
            </w:r>
            <w:r w:rsidR="00CF25FA" w:rsidRPr="00D14999">
              <w:rPr>
                <w:rStyle w:val="normaltextrun"/>
                <w:rFonts w:ascii="Calibri" w:eastAsiaTheme="majorEastAsia" w:hAnsi="Calibri" w:cs="Calibri"/>
                <w:sz w:val="22"/>
                <w:szCs w:val="22"/>
              </w:rPr>
              <w:t xml:space="preserve">the </w:t>
            </w:r>
            <w:r w:rsidR="00411C81" w:rsidRPr="00D14999">
              <w:rPr>
                <w:rStyle w:val="normaltextrun"/>
                <w:rFonts w:ascii="Calibri" w:eastAsiaTheme="majorEastAsia" w:hAnsi="Calibri" w:cs="Calibri"/>
                <w:sz w:val="22"/>
                <w:szCs w:val="22"/>
              </w:rPr>
              <w:t xml:space="preserve">standard </w:t>
            </w:r>
            <w:r w:rsidR="008C2ED5" w:rsidRPr="00D14999">
              <w:rPr>
                <w:rStyle w:val="normaltextrun"/>
                <w:rFonts w:ascii="Calibri" w:eastAsiaTheme="majorEastAsia" w:hAnsi="Calibri" w:cs="Calibri"/>
                <w:sz w:val="22"/>
                <w:szCs w:val="22"/>
              </w:rPr>
              <w:t>profits tax rate</w:t>
            </w:r>
            <w:r w:rsidR="00824945" w:rsidRPr="00D14999">
              <w:rPr>
                <w:rStyle w:val="normaltextrun"/>
                <w:rFonts w:ascii="Calibri" w:eastAsiaTheme="majorEastAsia" w:hAnsi="Calibri" w:cs="Calibri"/>
                <w:sz w:val="22"/>
                <w:szCs w:val="22"/>
              </w:rPr>
              <w:t xml:space="preserve"> </w:t>
            </w:r>
            <w:r w:rsidR="008C2ED5" w:rsidRPr="00D14999">
              <w:rPr>
                <w:rStyle w:val="normaltextrun"/>
                <w:rFonts w:ascii="Calibri" w:eastAsiaTheme="majorEastAsia" w:hAnsi="Calibri" w:cs="Calibri"/>
                <w:sz w:val="22"/>
                <w:szCs w:val="22"/>
              </w:rPr>
              <w:t xml:space="preserve">applied to 30% of the </w:t>
            </w:r>
            <w:r w:rsidR="000F0047" w:rsidRPr="00D14999">
              <w:rPr>
                <w:rStyle w:val="normaltextrun"/>
                <w:rFonts w:ascii="Calibri" w:eastAsiaTheme="majorEastAsia" w:hAnsi="Calibri" w:cs="Calibri"/>
                <w:sz w:val="22"/>
                <w:szCs w:val="22"/>
              </w:rPr>
              <w:t>gross royalties</w:t>
            </w:r>
            <w:r w:rsidR="00564F06" w:rsidRPr="00D14999">
              <w:rPr>
                <w:rStyle w:val="normaltextrun"/>
                <w:rFonts w:ascii="Calibri" w:eastAsiaTheme="majorEastAsia" w:hAnsi="Calibri" w:cs="Calibri"/>
                <w:sz w:val="22"/>
                <w:szCs w:val="22"/>
              </w:rPr>
              <w:t>)</w:t>
            </w:r>
            <w:r w:rsidR="00CD4C16" w:rsidRPr="00D14999">
              <w:rPr>
                <w:rStyle w:val="normaltextrun"/>
                <w:rFonts w:ascii="Calibri" w:eastAsiaTheme="majorEastAsia" w:hAnsi="Calibri" w:cs="Calibri"/>
                <w:sz w:val="22"/>
                <w:szCs w:val="22"/>
              </w:rPr>
              <w:t xml:space="preserve"> or </w:t>
            </w:r>
            <w:r w:rsidR="000B1F21" w:rsidRPr="00D14999">
              <w:rPr>
                <w:rStyle w:val="normaltextrun"/>
                <w:rFonts w:ascii="Calibri" w:eastAsiaTheme="majorEastAsia" w:hAnsi="Calibri" w:cs="Calibri"/>
                <w:sz w:val="22"/>
                <w:szCs w:val="22"/>
              </w:rPr>
              <w:t>16.5%</w:t>
            </w:r>
            <w:r w:rsidRPr="00D14999">
              <w:rPr>
                <w:rStyle w:val="normaltextrun"/>
                <w:rFonts w:ascii="Calibri" w:eastAsiaTheme="majorEastAsia" w:hAnsi="Calibri" w:cs="Calibri"/>
                <w:sz w:val="22"/>
                <w:szCs w:val="22"/>
              </w:rPr>
              <w:t xml:space="preserve"> </w:t>
            </w:r>
            <w:r w:rsidR="00D46A75" w:rsidRPr="00D14999">
              <w:rPr>
                <w:rStyle w:val="normaltextrun"/>
                <w:rFonts w:ascii="Calibri" w:eastAsiaTheme="majorEastAsia" w:hAnsi="Calibri" w:cs="Calibri"/>
                <w:sz w:val="22"/>
                <w:szCs w:val="22"/>
              </w:rPr>
              <w:t>(related part</w:t>
            </w:r>
            <w:r w:rsidR="00564F06" w:rsidRPr="00D14999">
              <w:rPr>
                <w:rStyle w:val="normaltextrun"/>
                <w:rFonts w:ascii="Calibri" w:eastAsiaTheme="majorEastAsia" w:hAnsi="Calibri" w:cs="Calibri"/>
                <w:sz w:val="22"/>
                <w:szCs w:val="22"/>
              </w:rPr>
              <w:t>y</w:t>
            </w:r>
            <w:r w:rsidR="00D46A75" w:rsidRPr="00D14999">
              <w:rPr>
                <w:rStyle w:val="normaltextrun"/>
                <w:rFonts w:ascii="Calibri" w:eastAsiaTheme="majorEastAsia" w:hAnsi="Calibri" w:cs="Calibri"/>
                <w:sz w:val="22"/>
                <w:szCs w:val="22"/>
              </w:rPr>
              <w:t xml:space="preserve">) </w:t>
            </w:r>
            <w:r w:rsidRPr="00D14999">
              <w:rPr>
                <w:rStyle w:val="normaltextrun"/>
                <w:rFonts w:ascii="Calibri" w:eastAsiaTheme="majorEastAsia" w:hAnsi="Calibri" w:cs="Calibri"/>
                <w:sz w:val="22"/>
                <w:szCs w:val="22"/>
              </w:rPr>
              <w:t>(</w:t>
            </w:r>
            <w:hyperlink r:id="rId26" w:anchor="section(7)(7)(c)_0" w:tgtFrame="_blank" w:history="1">
              <w:r w:rsidRPr="00D14999">
                <w:rPr>
                  <w:rStyle w:val="normaltextrun"/>
                  <w:rFonts w:ascii="Calibri" w:eastAsiaTheme="majorEastAsia" w:hAnsi="Calibri" w:cs="Calibri"/>
                  <w:color w:val="0563C1"/>
                  <w:sz w:val="22"/>
                  <w:szCs w:val="22"/>
                  <w:u w:val="single"/>
                </w:rPr>
                <w:t>Section V.</w:t>
              </w:r>
              <w:r w:rsidR="00553A6B" w:rsidRPr="00D14999">
                <w:rPr>
                  <w:rStyle w:val="normaltextrun"/>
                  <w:rFonts w:ascii="Calibri" w:eastAsiaTheme="majorEastAsia" w:hAnsi="Calibri" w:cs="Calibri"/>
                  <w:color w:val="0563C1"/>
                  <w:sz w:val="22"/>
                  <w:szCs w:val="22"/>
                  <w:u w:val="single"/>
                </w:rPr>
                <w:t>D</w:t>
              </w:r>
              <w:r w:rsidRPr="00D14999">
                <w:rPr>
                  <w:rStyle w:val="normaltextrun"/>
                  <w:rFonts w:ascii="Calibri" w:eastAsiaTheme="majorEastAsia" w:hAnsi="Calibri" w:cs="Calibri"/>
                  <w:color w:val="0563C1"/>
                  <w:sz w:val="22"/>
                  <w:szCs w:val="22"/>
                  <w:u w:val="single"/>
                </w:rPr>
                <w:t>.</w:t>
              </w:r>
              <w:r w:rsidR="00D71C12" w:rsidRPr="00D14999">
                <w:rPr>
                  <w:rStyle w:val="normaltextrun"/>
                  <w:rFonts w:ascii="Calibri" w:eastAsiaTheme="majorEastAsia" w:hAnsi="Calibri" w:cs="Calibri"/>
                  <w:color w:val="0563C1"/>
                  <w:sz w:val="22"/>
                  <w:szCs w:val="22"/>
                  <w:u w:val="single"/>
                </w:rPr>
                <w:t>7.c</w:t>
              </w:r>
            </w:hyperlink>
            <w:r w:rsidRPr="00D14999">
              <w:rPr>
                <w:rStyle w:val="normaltextrun"/>
                <w:rFonts w:ascii="Calibri" w:eastAsiaTheme="majorEastAsia" w:hAnsi="Calibri" w:cs="Calibri"/>
                <w:color w:val="0563C1"/>
                <w:sz w:val="22"/>
                <w:szCs w:val="22"/>
                <w:u w:val="single"/>
              </w:rPr>
              <w:t>.</w:t>
            </w:r>
            <w:r w:rsidRPr="00D14999">
              <w:rPr>
                <w:rStyle w:val="normaltextrun"/>
                <w:rFonts w:ascii="Calibri" w:eastAsiaTheme="majorEastAsia" w:hAnsi="Calibri" w:cs="Calibri"/>
                <w:sz w:val="22"/>
                <w:szCs w:val="22"/>
              </w:rPr>
              <w:t>)</w:t>
            </w:r>
            <w:r w:rsidR="000C0029" w:rsidRPr="00A262B0">
              <w:rPr>
                <w:rStyle w:val="eop"/>
                <w:rFonts w:eastAsiaTheme="majorEastAsia"/>
                <w:sz w:val="22"/>
                <w:szCs w:val="22"/>
              </w:rPr>
              <w:t xml:space="preserve">. </w:t>
            </w:r>
          </w:p>
          <w:p w14:paraId="0079F735" w14:textId="77777777" w:rsidR="00742F88" w:rsidRPr="00742F88" w:rsidRDefault="00742F88" w:rsidP="00742F88">
            <w:pPr>
              <w:pStyle w:val="paragraph"/>
              <w:spacing w:before="0" w:beforeAutospacing="0" w:after="0" w:afterAutospacing="0"/>
              <w:textAlignment w:val="baseline"/>
              <w:rPr>
                <w:rStyle w:val="normaltextrun"/>
              </w:rPr>
            </w:pPr>
          </w:p>
          <w:p w14:paraId="52E12976" w14:textId="54454521" w:rsidR="006C2FF5" w:rsidRPr="00BE2689" w:rsidRDefault="006C2FF5" w:rsidP="00742F88">
            <w:pPr>
              <w:pStyle w:val="paragraph"/>
              <w:spacing w:before="0" w:beforeAutospacing="0" w:after="0" w:afterAutospacing="0"/>
              <w:textAlignment w:val="baseline"/>
            </w:pPr>
            <w:r w:rsidRPr="00BE2689">
              <w:rPr>
                <w:rStyle w:val="normaltextrun"/>
                <w:rFonts w:ascii="Calibri" w:eastAsiaTheme="majorEastAsia" w:hAnsi="Calibri" w:cs="Calibri"/>
                <w:sz w:val="22"/>
                <w:szCs w:val="22"/>
              </w:rPr>
              <w:t xml:space="preserve">For the rates of source country taxation applying under </w:t>
            </w:r>
            <w:r w:rsidR="0078361D" w:rsidRPr="00BE2689">
              <w:rPr>
                <w:rStyle w:val="normaltextrun"/>
                <w:rFonts w:ascii="Calibri" w:eastAsiaTheme="majorEastAsia" w:hAnsi="Calibri" w:cs="Calibri"/>
                <w:sz w:val="22"/>
                <w:szCs w:val="22"/>
              </w:rPr>
              <w:t>H</w:t>
            </w:r>
            <w:r w:rsidR="0078361D" w:rsidRPr="00BE2689">
              <w:rPr>
                <w:rStyle w:val="normaltextrun"/>
                <w:rFonts w:ascii="Calibri" w:eastAsiaTheme="majorEastAsia" w:hAnsi="Calibri" w:cs="Calibri"/>
              </w:rPr>
              <w:t>ong K</w:t>
            </w:r>
            <w:r w:rsidR="00684C56" w:rsidRPr="00BE2689">
              <w:rPr>
                <w:rStyle w:val="normaltextrun"/>
                <w:rFonts w:ascii="Calibri" w:eastAsiaTheme="majorEastAsia" w:hAnsi="Calibri" w:cs="Calibri"/>
              </w:rPr>
              <w:t>o</w:t>
            </w:r>
            <w:r w:rsidR="0078361D" w:rsidRPr="00BE2689">
              <w:rPr>
                <w:rStyle w:val="normaltextrun"/>
                <w:rFonts w:ascii="Calibri" w:eastAsiaTheme="majorEastAsia" w:hAnsi="Calibri" w:cs="Calibri"/>
              </w:rPr>
              <w:t>ng</w:t>
            </w:r>
            <w:r w:rsidRPr="00BE2689">
              <w:rPr>
                <w:rStyle w:val="normaltextrun"/>
                <w:rFonts w:ascii="Calibri" w:eastAsiaTheme="majorEastAsia" w:hAnsi="Calibri" w:cs="Calibri"/>
                <w:sz w:val="22"/>
                <w:szCs w:val="22"/>
              </w:rPr>
              <w:t xml:space="preserve"> domestic law and tax treaties and the context for their application, see the </w:t>
            </w:r>
            <w:hyperlink r:id="rId27" w:tgtFrame="_blank" w:history="1">
              <w:r w:rsidRPr="00BE2689">
                <w:rPr>
                  <w:rStyle w:val="normaltextrun"/>
                  <w:rFonts w:ascii="Calibri" w:eastAsiaTheme="majorEastAsia" w:hAnsi="Calibri" w:cs="Calibri"/>
                  <w:color w:val="0563C1"/>
                  <w:sz w:val="22"/>
                  <w:szCs w:val="22"/>
                  <w:u w:val="single"/>
                </w:rPr>
                <w:t>Withholding Tax Chart</w:t>
              </w:r>
            </w:hyperlink>
            <w:r w:rsidRPr="00BE2689">
              <w:rPr>
                <w:rStyle w:val="normaltextrun"/>
                <w:rFonts w:ascii="Calibri" w:eastAsiaTheme="majorEastAsia" w:hAnsi="Calibri" w:cs="Calibri"/>
                <w:sz w:val="22"/>
                <w:szCs w:val="22"/>
              </w:rPr>
              <w:t>.</w:t>
            </w:r>
            <w:r w:rsidRPr="00BE2689">
              <w:rPr>
                <w:rStyle w:val="eop"/>
                <w:rFonts w:ascii="Calibri" w:eastAsiaTheme="majorEastAsia" w:hAnsi="Calibri" w:cs="Calibri"/>
                <w:sz w:val="22"/>
                <w:szCs w:val="22"/>
              </w:rPr>
              <w:t> </w:t>
            </w:r>
          </w:p>
        </w:tc>
      </w:tr>
      <w:tr w:rsidR="006C2FF5" w14:paraId="549E60F5"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CE3250"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Net operating losses carryback/forward</w:t>
            </w:r>
            <w:r>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6D15A8" w14:textId="5251A9F8" w:rsidR="006C2FF5" w:rsidRPr="00BE2689" w:rsidRDefault="006C2FF5" w:rsidP="00742F88">
            <w:pPr>
              <w:pStyle w:val="paragraph"/>
              <w:textAlignment w:val="baseline"/>
              <w:rPr>
                <w:rFonts w:ascii="Calibri" w:hAnsi="Calibri" w:cs="Calibri"/>
                <w:sz w:val="22"/>
                <w:szCs w:val="22"/>
              </w:rPr>
            </w:pPr>
            <w:r w:rsidRPr="00BE2689">
              <w:rPr>
                <w:rStyle w:val="normaltextrun"/>
                <w:rFonts w:ascii="Calibri" w:eastAsiaTheme="majorEastAsia" w:hAnsi="Calibri" w:cs="Calibri"/>
                <w:sz w:val="22"/>
                <w:szCs w:val="22"/>
                <w:u w:val="single"/>
              </w:rPr>
              <w:t>Carryback</w:t>
            </w:r>
            <w:r w:rsidRPr="00BE2689">
              <w:rPr>
                <w:rStyle w:val="normaltextrun"/>
                <w:rFonts w:ascii="Calibri" w:eastAsiaTheme="majorEastAsia" w:hAnsi="Calibri" w:cs="Calibri"/>
                <w:sz w:val="22"/>
                <w:szCs w:val="22"/>
              </w:rPr>
              <w:t xml:space="preserve">: </w:t>
            </w:r>
            <w:r w:rsidR="00FA1ADE" w:rsidRPr="00BE2689">
              <w:rPr>
                <w:rStyle w:val="normaltextrun"/>
                <w:rFonts w:ascii="Calibri" w:eastAsiaTheme="majorEastAsia" w:hAnsi="Calibri" w:cs="Calibri"/>
                <w:sz w:val="22"/>
                <w:szCs w:val="22"/>
              </w:rPr>
              <w:t>No</w:t>
            </w:r>
            <w:r w:rsidRPr="00BE2689">
              <w:rPr>
                <w:rStyle w:val="normaltextrun"/>
                <w:rFonts w:ascii="Calibri" w:eastAsiaTheme="majorEastAsia" w:hAnsi="Calibri" w:cs="Calibri"/>
                <w:sz w:val="22"/>
                <w:szCs w:val="22"/>
              </w:rPr>
              <w:t>. </w:t>
            </w:r>
            <w:r w:rsidRPr="00BE2689">
              <w:rPr>
                <w:rStyle w:val="eop"/>
                <w:rFonts w:ascii="Calibri" w:eastAsiaTheme="majorEastAsia" w:hAnsi="Calibri" w:cs="Calibri"/>
                <w:sz w:val="22"/>
                <w:szCs w:val="22"/>
              </w:rPr>
              <w:t> </w:t>
            </w:r>
          </w:p>
          <w:p w14:paraId="79E4ABC3" w14:textId="77012470" w:rsidR="006C2FF5" w:rsidRPr="00BE2689" w:rsidRDefault="006C2FF5" w:rsidP="00742F88">
            <w:pPr>
              <w:pStyle w:val="paragraph"/>
              <w:spacing w:after="0" w:afterAutospacing="0"/>
              <w:textAlignment w:val="baseline"/>
              <w:rPr>
                <w:rFonts w:ascii="Calibri" w:hAnsi="Calibri" w:cs="Calibri"/>
                <w:sz w:val="22"/>
                <w:szCs w:val="22"/>
              </w:rPr>
            </w:pPr>
            <w:r w:rsidRPr="00BE2689">
              <w:rPr>
                <w:rStyle w:val="normaltextrun"/>
                <w:rFonts w:ascii="Calibri" w:eastAsiaTheme="majorEastAsia" w:hAnsi="Calibri" w:cs="Calibri"/>
                <w:sz w:val="22"/>
                <w:szCs w:val="22"/>
                <w:u w:val="single"/>
              </w:rPr>
              <w:t>Carryforward</w:t>
            </w:r>
            <w:r w:rsidRPr="00BE2689">
              <w:rPr>
                <w:rStyle w:val="normaltextrun"/>
                <w:rFonts w:ascii="Calibri" w:eastAsiaTheme="majorEastAsia" w:hAnsi="Calibri" w:cs="Calibri"/>
                <w:sz w:val="22"/>
                <w:szCs w:val="22"/>
              </w:rPr>
              <w:t>: Indefinitely. (</w:t>
            </w:r>
            <w:hyperlink r:id="rId28" w:anchor="section(5)(5)(h)(5)(h)(1)_0" w:tgtFrame="_blank" w:history="1">
              <w:r w:rsidRPr="00BE2689">
                <w:rPr>
                  <w:rStyle w:val="normaltextrun"/>
                  <w:rFonts w:ascii="Calibri" w:eastAsiaTheme="majorEastAsia" w:hAnsi="Calibri" w:cs="Calibri"/>
                  <w:color w:val="0563C1"/>
                  <w:sz w:val="22"/>
                  <w:szCs w:val="22"/>
                  <w:u w:val="single"/>
                </w:rPr>
                <w:t>Section V.</w:t>
              </w:r>
              <w:r w:rsidR="000A77CE" w:rsidRPr="00BE2689">
                <w:rPr>
                  <w:rStyle w:val="normaltextrun"/>
                  <w:rFonts w:ascii="Calibri" w:eastAsiaTheme="majorEastAsia" w:hAnsi="Calibri" w:cs="Calibri"/>
                  <w:color w:val="0563C1"/>
                  <w:sz w:val="22"/>
                  <w:szCs w:val="22"/>
                  <w:u w:val="single"/>
                </w:rPr>
                <w:t>D</w:t>
              </w:r>
              <w:r w:rsidRPr="00BE2689">
                <w:rPr>
                  <w:rStyle w:val="normaltextrun"/>
                  <w:rFonts w:ascii="Calibri" w:eastAsiaTheme="majorEastAsia" w:hAnsi="Calibri" w:cs="Calibri"/>
                  <w:color w:val="0563C1"/>
                  <w:sz w:val="22"/>
                  <w:szCs w:val="22"/>
                  <w:u w:val="single"/>
                </w:rPr>
                <w:t>.</w:t>
              </w:r>
              <w:r w:rsidR="000A77CE" w:rsidRPr="00BE2689">
                <w:rPr>
                  <w:rStyle w:val="normaltextrun"/>
                  <w:rFonts w:ascii="Calibri" w:eastAsiaTheme="majorEastAsia" w:hAnsi="Calibri" w:cs="Calibri"/>
                  <w:color w:val="0563C1"/>
                  <w:sz w:val="22"/>
                  <w:szCs w:val="22"/>
                  <w:u w:val="single"/>
                </w:rPr>
                <w:t>5.h.(</w:t>
              </w:r>
              <w:r w:rsidRPr="00BE2689">
                <w:rPr>
                  <w:rStyle w:val="normaltextrun"/>
                  <w:rFonts w:ascii="Calibri" w:eastAsiaTheme="majorEastAsia" w:hAnsi="Calibri" w:cs="Calibri"/>
                  <w:color w:val="0563C1"/>
                  <w:sz w:val="22"/>
                  <w:szCs w:val="22"/>
                  <w:u w:val="single"/>
                </w:rPr>
                <w:t>1</w:t>
              </w:r>
              <w:r w:rsidR="000A77CE" w:rsidRPr="00BE2689">
                <w:rPr>
                  <w:rStyle w:val="normaltextrun"/>
                  <w:rFonts w:ascii="Calibri" w:eastAsiaTheme="majorEastAsia" w:hAnsi="Calibri" w:cs="Calibri"/>
                  <w:color w:val="0563C1"/>
                  <w:sz w:val="22"/>
                  <w:szCs w:val="22"/>
                  <w:u w:val="single"/>
                </w:rPr>
                <w:t>)</w:t>
              </w:r>
            </w:hyperlink>
            <w:r w:rsidRPr="00BE2689">
              <w:rPr>
                <w:rStyle w:val="normaltextrun"/>
                <w:rFonts w:ascii="Calibri" w:eastAsiaTheme="majorEastAsia" w:hAnsi="Calibri" w:cs="Calibri"/>
                <w:sz w:val="22"/>
                <w:szCs w:val="22"/>
              </w:rPr>
              <w:t>)</w:t>
            </w:r>
            <w:r w:rsidRPr="00BE2689">
              <w:rPr>
                <w:rStyle w:val="eop"/>
                <w:rFonts w:ascii="Calibri" w:eastAsiaTheme="majorEastAsia" w:hAnsi="Calibri" w:cs="Calibri"/>
                <w:sz w:val="22"/>
                <w:szCs w:val="22"/>
              </w:rPr>
              <w:t> </w:t>
            </w:r>
          </w:p>
        </w:tc>
      </w:tr>
      <w:tr w:rsidR="006C2FF5" w14:paraId="2C24A7BA"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FA806D"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Restrictions on deductibility of interest expenses </w:t>
            </w:r>
            <w:r>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71DC53D" w14:textId="4888FF9C" w:rsidR="006C2FF5" w:rsidRPr="00BE2689" w:rsidRDefault="00C7047D" w:rsidP="00BE2689">
            <w:pPr>
              <w:pStyle w:val="paragraph"/>
              <w:spacing w:before="0" w:beforeAutospacing="0" w:after="0" w:afterAutospacing="0"/>
              <w:textAlignment w:val="baseline"/>
              <w:rPr>
                <w:rFonts w:ascii="Calibri" w:hAnsi="Calibri" w:cs="Calibri"/>
                <w:sz w:val="22"/>
                <w:szCs w:val="22"/>
              </w:rPr>
            </w:pPr>
            <w:r w:rsidRPr="00BE2689">
              <w:rPr>
                <w:rStyle w:val="normaltextrun"/>
                <w:rFonts w:ascii="Calibri" w:eastAsiaTheme="majorEastAsia" w:hAnsi="Calibri" w:cs="Calibri"/>
                <w:sz w:val="22"/>
                <w:szCs w:val="22"/>
              </w:rPr>
              <w:t>T</w:t>
            </w:r>
            <w:r w:rsidR="00654293" w:rsidRPr="00BE2689">
              <w:rPr>
                <w:rStyle w:val="normaltextrun"/>
                <w:rFonts w:ascii="Calibri" w:eastAsiaTheme="majorEastAsia" w:hAnsi="Calibri" w:cs="Calibri"/>
                <w:sz w:val="22"/>
                <w:szCs w:val="22"/>
              </w:rPr>
              <w:t>h</w:t>
            </w:r>
            <w:r w:rsidR="006C2FF5" w:rsidRPr="00BE2689">
              <w:rPr>
                <w:rStyle w:val="normaltextrun"/>
                <w:rFonts w:ascii="Calibri" w:eastAsiaTheme="majorEastAsia" w:hAnsi="Calibri" w:cs="Calibri"/>
                <w:sz w:val="22"/>
                <w:szCs w:val="22"/>
              </w:rPr>
              <w:t>ere are no thin capitalization rules</w:t>
            </w:r>
            <w:r w:rsidR="00654293" w:rsidRPr="00BE2689">
              <w:rPr>
                <w:rStyle w:val="normaltextrun"/>
                <w:rFonts w:ascii="Calibri" w:eastAsiaTheme="majorEastAsia" w:hAnsi="Calibri" w:cs="Calibri"/>
                <w:sz w:val="22"/>
                <w:szCs w:val="22"/>
              </w:rPr>
              <w:t xml:space="preserve">, but </w:t>
            </w:r>
            <w:r w:rsidR="006C2FF5" w:rsidRPr="00BE2689">
              <w:rPr>
                <w:rStyle w:val="normaltextrun"/>
                <w:rFonts w:ascii="Calibri" w:eastAsiaTheme="majorEastAsia" w:hAnsi="Calibri" w:cs="Calibri"/>
                <w:sz w:val="22"/>
                <w:szCs w:val="22"/>
              </w:rPr>
              <w:t>there are</w:t>
            </w:r>
            <w:r w:rsidR="002F1CD8" w:rsidRPr="00BE2689">
              <w:rPr>
                <w:rStyle w:val="normaltextrun"/>
                <w:rFonts w:ascii="Calibri" w:eastAsiaTheme="majorEastAsia" w:hAnsi="Calibri" w:cs="Calibri"/>
                <w:sz w:val="22"/>
                <w:szCs w:val="22"/>
              </w:rPr>
              <w:t xml:space="preserve"> </w:t>
            </w:r>
            <w:r w:rsidR="006C2FF5" w:rsidRPr="00BE2689">
              <w:rPr>
                <w:rStyle w:val="normaltextrun"/>
                <w:rFonts w:ascii="Calibri" w:eastAsiaTheme="majorEastAsia" w:hAnsi="Calibri" w:cs="Calibri"/>
                <w:sz w:val="22"/>
                <w:szCs w:val="22"/>
              </w:rPr>
              <w:t xml:space="preserve">limitations </w:t>
            </w:r>
            <w:r w:rsidR="002F1CD8" w:rsidRPr="00BE2689">
              <w:rPr>
                <w:rStyle w:val="normaltextrun"/>
                <w:rFonts w:ascii="Calibri" w:eastAsiaTheme="majorEastAsia" w:hAnsi="Calibri" w:cs="Calibri"/>
                <w:sz w:val="22"/>
                <w:szCs w:val="22"/>
              </w:rPr>
              <w:t xml:space="preserve">placed </w:t>
            </w:r>
            <w:r w:rsidR="006C2FF5" w:rsidRPr="00BE2689">
              <w:rPr>
                <w:rStyle w:val="normaltextrun"/>
                <w:rFonts w:ascii="Calibri" w:eastAsiaTheme="majorEastAsia" w:hAnsi="Calibri" w:cs="Calibri"/>
                <w:sz w:val="22"/>
                <w:szCs w:val="22"/>
              </w:rPr>
              <w:t xml:space="preserve">on </w:t>
            </w:r>
            <w:r w:rsidR="002F1CD8" w:rsidRPr="00BE2689">
              <w:rPr>
                <w:rStyle w:val="normaltextrun"/>
                <w:rFonts w:ascii="Calibri" w:eastAsiaTheme="majorEastAsia" w:hAnsi="Calibri" w:cs="Calibri"/>
                <w:sz w:val="22"/>
                <w:szCs w:val="22"/>
              </w:rPr>
              <w:t>the deductibility of interest</w:t>
            </w:r>
            <w:r w:rsidR="00241134" w:rsidRPr="00BE2689">
              <w:rPr>
                <w:rStyle w:val="normaltextrun"/>
                <w:rFonts w:ascii="Calibri" w:eastAsiaTheme="majorEastAsia" w:hAnsi="Calibri" w:cs="Calibri"/>
                <w:sz w:val="22"/>
                <w:szCs w:val="22"/>
              </w:rPr>
              <w:t xml:space="preserve"> expenses</w:t>
            </w:r>
            <w:r w:rsidR="006C2FF5" w:rsidRPr="00BE2689">
              <w:rPr>
                <w:rStyle w:val="normaltextrun"/>
                <w:rFonts w:ascii="Calibri" w:eastAsiaTheme="majorEastAsia" w:hAnsi="Calibri" w:cs="Calibri"/>
                <w:sz w:val="22"/>
                <w:szCs w:val="22"/>
              </w:rPr>
              <w:t xml:space="preserve"> </w:t>
            </w:r>
            <w:r w:rsidR="00450858">
              <w:rPr>
                <w:rStyle w:val="normaltextrun"/>
                <w:rFonts w:ascii="Calibri" w:eastAsiaTheme="majorEastAsia" w:hAnsi="Calibri" w:cs="Calibri"/>
                <w:sz w:val="22"/>
                <w:szCs w:val="22"/>
              </w:rPr>
              <w:t>in certain circumstances</w:t>
            </w:r>
            <w:r w:rsidR="00450858" w:rsidRPr="00BE2689">
              <w:rPr>
                <w:rStyle w:val="normaltextrun"/>
                <w:rFonts w:ascii="Calibri" w:eastAsiaTheme="majorEastAsia" w:hAnsi="Calibri" w:cs="Calibri"/>
                <w:sz w:val="22"/>
                <w:szCs w:val="22"/>
              </w:rPr>
              <w:t xml:space="preserve">. </w:t>
            </w:r>
            <w:r w:rsidR="006C2FF5" w:rsidRPr="00BE2689">
              <w:rPr>
                <w:rStyle w:val="normaltextrun"/>
                <w:rFonts w:ascii="Calibri" w:eastAsiaTheme="majorEastAsia" w:hAnsi="Calibri" w:cs="Calibri"/>
                <w:sz w:val="22"/>
                <w:szCs w:val="22"/>
              </w:rPr>
              <w:t>(</w:t>
            </w:r>
            <w:hyperlink r:id="rId29" w:anchor="section(5)(5)(i)_0" w:tgtFrame="_blank" w:history="1">
              <w:r w:rsidR="006C2FF5" w:rsidRPr="00BE2689">
                <w:rPr>
                  <w:rStyle w:val="normaltextrun"/>
                  <w:rFonts w:ascii="Calibri" w:eastAsiaTheme="majorEastAsia" w:hAnsi="Calibri" w:cs="Calibri"/>
                  <w:color w:val="0563C1"/>
                  <w:sz w:val="22"/>
                  <w:szCs w:val="22"/>
                  <w:u w:val="single"/>
                </w:rPr>
                <w:t>Section V.</w:t>
              </w:r>
              <w:r w:rsidR="007D44E1" w:rsidRPr="00BE2689">
                <w:rPr>
                  <w:rStyle w:val="normaltextrun"/>
                  <w:rFonts w:ascii="Calibri" w:eastAsiaTheme="majorEastAsia" w:hAnsi="Calibri" w:cs="Calibri"/>
                  <w:color w:val="0563C1"/>
                  <w:sz w:val="22"/>
                  <w:szCs w:val="22"/>
                  <w:u w:val="single"/>
                </w:rPr>
                <w:t>D</w:t>
              </w:r>
              <w:r w:rsidR="006C2FF5" w:rsidRPr="00BE2689">
                <w:rPr>
                  <w:rStyle w:val="normaltextrun"/>
                  <w:rFonts w:ascii="Calibri" w:eastAsiaTheme="majorEastAsia" w:hAnsi="Calibri" w:cs="Calibri"/>
                  <w:color w:val="0563C1"/>
                  <w:sz w:val="22"/>
                  <w:szCs w:val="22"/>
                  <w:u w:val="single"/>
                </w:rPr>
                <w:t>.</w:t>
              </w:r>
              <w:r w:rsidR="007D44E1" w:rsidRPr="00BE2689">
                <w:rPr>
                  <w:rStyle w:val="normaltextrun"/>
                  <w:rFonts w:ascii="Calibri" w:eastAsiaTheme="majorEastAsia" w:hAnsi="Calibri" w:cs="Calibri"/>
                  <w:color w:val="0563C1"/>
                  <w:sz w:val="22"/>
                  <w:szCs w:val="22"/>
                  <w:u w:val="single"/>
                </w:rPr>
                <w:t>5</w:t>
              </w:r>
              <w:r w:rsidR="006C2FF5" w:rsidRPr="00BE2689">
                <w:rPr>
                  <w:rStyle w:val="normaltextrun"/>
                  <w:rFonts w:ascii="Calibri" w:eastAsiaTheme="majorEastAsia" w:hAnsi="Calibri" w:cs="Calibri"/>
                  <w:color w:val="0563C1"/>
                  <w:sz w:val="22"/>
                  <w:szCs w:val="22"/>
                  <w:u w:val="single"/>
                </w:rPr>
                <w:t>.</w:t>
              </w:r>
              <w:r w:rsidR="007D44E1" w:rsidRPr="00BE2689">
                <w:rPr>
                  <w:rStyle w:val="normaltextrun"/>
                  <w:rFonts w:ascii="Calibri" w:eastAsiaTheme="majorEastAsia" w:hAnsi="Calibri" w:cs="Calibri"/>
                  <w:color w:val="0563C1"/>
                  <w:sz w:val="22"/>
                  <w:szCs w:val="22"/>
                  <w:u w:val="single"/>
                </w:rPr>
                <w:t>i</w:t>
              </w:r>
              <w:r w:rsidR="006C2FF5" w:rsidRPr="00BE2689">
                <w:rPr>
                  <w:rStyle w:val="normaltextrun"/>
                  <w:rFonts w:ascii="Calibri" w:eastAsiaTheme="majorEastAsia" w:hAnsi="Calibri" w:cs="Calibri"/>
                  <w:color w:val="0563C1"/>
                  <w:sz w:val="22"/>
                  <w:szCs w:val="22"/>
                  <w:u w:val="single"/>
                </w:rPr>
                <w:t>.</w:t>
              </w:r>
            </w:hyperlink>
            <w:r w:rsidR="00E7139A" w:rsidRPr="00BE2689">
              <w:rPr>
                <w:rStyle w:val="eop"/>
                <w:rFonts w:ascii="Calibri" w:eastAsiaTheme="majorEastAsia" w:hAnsi="Calibri" w:cs="Calibri"/>
                <w:sz w:val="22"/>
                <w:szCs w:val="22"/>
              </w:rPr>
              <w:t>)</w:t>
            </w:r>
          </w:p>
        </w:tc>
      </w:tr>
      <w:tr w:rsidR="006C2FF5" w14:paraId="5FFB6983"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4359FF"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Anti-hybrid mismatch rules</w:t>
            </w:r>
            <w:r>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E053CB" w14:textId="524A3833" w:rsidR="006C2FF5" w:rsidRPr="00BE2689" w:rsidRDefault="0019518E" w:rsidP="00BE2689">
            <w:pPr>
              <w:pStyle w:val="paragraph"/>
              <w:spacing w:before="0" w:beforeAutospacing="0" w:after="0" w:afterAutospacing="0"/>
              <w:textAlignment w:val="baseline"/>
            </w:pPr>
            <w:r>
              <w:rPr>
                <w:rStyle w:val="normaltextrun"/>
                <w:rFonts w:ascii="Calibri" w:eastAsiaTheme="majorEastAsia" w:hAnsi="Calibri" w:cs="Calibri"/>
                <w:sz w:val="22"/>
                <w:szCs w:val="22"/>
              </w:rPr>
              <w:t xml:space="preserve">An anti-hybrid rule </w:t>
            </w:r>
            <w:r w:rsidR="00CA229E">
              <w:rPr>
                <w:rStyle w:val="normaltextrun"/>
                <w:rFonts w:ascii="Calibri" w:eastAsiaTheme="majorEastAsia" w:hAnsi="Calibri" w:cs="Calibri"/>
                <w:sz w:val="22"/>
                <w:szCs w:val="22"/>
              </w:rPr>
              <w:t xml:space="preserve">denies the </w:t>
            </w:r>
            <w:r w:rsidR="0013453A">
              <w:rPr>
                <w:rStyle w:val="normaltextrun"/>
                <w:rFonts w:ascii="Calibri" w:eastAsiaTheme="majorEastAsia" w:hAnsi="Calibri" w:cs="Calibri"/>
                <w:sz w:val="22"/>
                <w:szCs w:val="22"/>
              </w:rPr>
              <w:t xml:space="preserve">dividend </w:t>
            </w:r>
            <w:r w:rsidR="00CA229E">
              <w:rPr>
                <w:rStyle w:val="normaltextrun"/>
                <w:rFonts w:ascii="Calibri" w:eastAsiaTheme="majorEastAsia" w:hAnsi="Calibri" w:cs="Calibri"/>
                <w:sz w:val="22"/>
                <w:szCs w:val="22"/>
              </w:rPr>
              <w:t xml:space="preserve">participation exemption for purposes of the </w:t>
            </w:r>
            <w:r w:rsidR="0013453A">
              <w:rPr>
                <w:rStyle w:val="normaltextrun"/>
                <w:rFonts w:ascii="Calibri" w:eastAsiaTheme="majorEastAsia" w:hAnsi="Calibri" w:cs="Calibri"/>
                <w:sz w:val="22"/>
                <w:szCs w:val="22"/>
              </w:rPr>
              <w:t xml:space="preserve">FSIE regime where the dividend is deductible for </w:t>
            </w:r>
            <w:r w:rsidR="004F37AA">
              <w:rPr>
                <w:rStyle w:val="normaltextrun"/>
                <w:rFonts w:ascii="Calibri" w:eastAsiaTheme="majorEastAsia" w:hAnsi="Calibri" w:cs="Calibri"/>
                <w:sz w:val="22"/>
                <w:szCs w:val="22"/>
              </w:rPr>
              <w:t>the paying corporation.</w:t>
            </w:r>
            <w:r w:rsidR="008C15AD">
              <w:rPr>
                <w:rStyle w:val="normaltextrun"/>
                <w:rFonts w:ascii="Calibri" w:eastAsiaTheme="majorEastAsia" w:hAnsi="Calibri" w:cs="Calibri"/>
                <w:sz w:val="22"/>
                <w:szCs w:val="22"/>
              </w:rPr>
              <w:t xml:space="preserve"> (</w:t>
            </w:r>
            <w:hyperlink r:id="rId30" w:anchor="section(4)(4)(b)_0" w:history="1">
              <w:r w:rsidR="006C2FF5" w:rsidRPr="007C6BB4">
                <w:rPr>
                  <w:rStyle w:val="Hyperlink"/>
                  <w:rFonts w:ascii="Calibri" w:eastAsiaTheme="majorEastAsia" w:hAnsi="Calibri" w:cs="Calibri"/>
                  <w:sz w:val="22"/>
                  <w:szCs w:val="22"/>
                </w:rPr>
                <w:t>Section V</w:t>
              </w:r>
              <w:r w:rsidR="004F37AA" w:rsidRPr="007C6BB4">
                <w:rPr>
                  <w:rStyle w:val="Hyperlink"/>
                  <w:rFonts w:ascii="Calibri" w:eastAsiaTheme="majorEastAsia" w:hAnsi="Calibri" w:cs="Calibri"/>
                  <w:sz w:val="22"/>
                  <w:szCs w:val="22"/>
                </w:rPr>
                <w:t>I</w:t>
              </w:r>
              <w:r w:rsidR="006C2FF5" w:rsidRPr="007C6BB4">
                <w:rPr>
                  <w:rStyle w:val="Hyperlink"/>
                  <w:rFonts w:ascii="Calibri" w:eastAsiaTheme="majorEastAsia" w:hAnsi="Calibri" w:cs="Calibri"/>
                  <w:sz w:val="22"/>
                  <w:szCs w:val="22"/>
                </w:rPr>
                <w:t>.</w:t>
              </w:r>
              <w:r w:rsidR="008C15AD" w:rsidRPr="007C6BB4">
                <w:rPr>
                  <w:rStyle w:val="Hyperlink"/>
                  <w:rFonts w:ascii="Calibri" w:eastAsiaTheme="majorEastAsia" w:hAnsi="Calibri" w:cs="Calibri"/>
                  <w:sz w:val="22"/>
                  <w:szCs w:val="22"/>
                </w:rPr>
                <w:t>L.4.b.</w:t>
              </w:r>
            </w:hyperlink>
            <w:r w:rsidR="006C2FF5" w:rsidRPr="00BE2689">
              <w:rPr>
                <w:rStyle w:val="normaltextrun"/>
                <w:rFonts w:ascii="Calibri" w:eastAsiaTheme="majorEastAsia" w:hAnsi="Calibri" w:cs="Calibri"/>
                <w:sz w:val="22"/>
                <w:szCs w:val="22"/>
              </w:rPr>
              <w:t>)</w:t>
            </w:r>
            <w:r w:rsidR="006C2FF5" w:rsidRPr="00BE2689">
              <w:rPr>
                <w:rStyle w:val="eop"/>
                <w:rFonts w:ascii="Calibri" w:eastAsiaTheme="majorEastAsia" w:hAnsi="Calibri" w:cs="Calibri"/>
                <w:sz w:val="22"/>
                <w:szCs w:val="22"/>
              </w:rPr>
              <w:t> </w:t>
            </w:r>
          </w:p>
        </w:tc>
      </w:tr>
      <w:tr w:rsidR="006C2FF5" w14:paraId="2354B238"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hideMark/>
          </w:tcPr>
          <w:p w14:paraId="4B0BAD77" w14:textId="5F6AD5D2" w:rsidR="006C2FF5" w:rsidRPr="00802168" w:rsidRDefault="006C2FF5" w:rsidP="00BE2689">
            <w:pPr>
              <w:pStyle w:val="paragraph"/>
              <w:spacing w:before="0" w:beforeAutospacing="0" w:after="0" w:afterAutospacing="0"/>
              <w:textAlignment w:val="baseline"/>
            </w:pPr>
            <w:r w:rsidRPr="00802168">
              <w:rPr>
                <w:rStyle w:val="normaltextrun"/>
                <w:rFonts w:ascii="Calibri" w:eastAsiaTheme="majorEastAsia" w:hAnsi="Calibri" w:cs="Calibri"/>
                <w:color w:val="333333"/>
                <w:sz w:val="22"/>
                <w:szCs w:val="22"/>
              </w:rPr>
              <w:t>Incentives (major</w:t>
            </w:r>
            <w:r w:rsidR="0000132D" w:rsidRPr="00802168">
              <w:rPr>
                <w:rStyle w:val="normaltextrun"/>
                <w:rFonts w:ascii="Calibri" w:eastAsiaTheme="majorEastAsia" w:hAnsi="Calibri" w:cs="Calibri"/>
                <w:color w:val="333333"/>
                <w:sz w:val="22"/>
                <w:szCs w:val="22"/>
              </w:rPr>
              <w:t>)</w:t>
            </w:r>
            <w:r w:rsidRPr="00802168">
              <w:rPr>
                <w:rStyle w:val="normaltextrun"/>
                <w:rFonts w:ascii="Calibri" w:eastAsiaTheme="majorEastAsia" w:hAnsi="Calibri" w:cs="Calibri"/>
                <w:color w:val="333333"/>
                <w:sz w:val="22"/>
                <w:szCs w:val="22"/>
              </w:rPr>
              <w:t>)</w:t>
            </w:r>
            <w:r w:rsidRPr="00802168">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649EF072" w14:textId="77777777" w:rsidR="00110B13" w:rsidRPr="00802168" w:rsidRDefault="00110B13" w:rsidP="00110B13">
            <w:pPr>
              <w:numPr>
                <w:ilvl w:val="0"/>
                <w:numId w:val="25"/>
              </w:numPr>
              <w:spacing w:after="0" w:line="240" w:lineRule="auto"/>
              <w:jc w:val="both"/>
              <w:rPr>
                <w:rFonts w:cstheme="minorHAnsi"/>
                <w:sz w:val="21"/>
                <w:szCs w:val="21"/>
              </w:rPr>
            </w:pPr>
            <w:r w:rsidRPr="00802168">
              <w:rPr>
                <w:rFonts w:cstheme="minorHAnsi"/>
                <w:sz w:val="21"/>
                <w:szCs w:val="21"/>
              </w:rPr>
              <w:t>R&amp;D: Yes. (</w:t>
            </w:r>
            <w:hyperlink r:id="rId31" w:anchor="section(2)(2)(d)_0" w:history="1">
              <w:r w:rsidRPr="00802168">
                <w:rPr>
                  <w:rStyle w:val="Hyperlink"/>
                  <w:rFonts w:cstheme="minorHAnsi"/>
                  <w:sz w:val="21"/>
                  <w:szCs w:val="21"/>
                </w:rPr>
                <w:t>Section II.E.2.d.</w:t>
              </w:r>
            </w:hyperlink>
            <w:r w:rsidRPr="00802168">
              <w:rPr>
                <w:rFonts w:cstheme="minorHAnsi"/>
                <w:sz w:val="21"/>
                <w:szCs w:val="21"/>
              </w:rPr>
              <w:t xml:space="preserve">, </w:t>
            </w:r>
            <w:hyperlink r:id="rId32" w:anchor="section(4)_0" w:history="1">
              <w:r w:rsidRPr="00802168">
                <w:rPr>
                  <w:rStyle w:val="Hyperlink"/>
                  <w:rFonts w:cstheme="minorHAnsi"/>
                  <w:sz w:val="21"/>
                  <w:szCs w:val="21"/>
                </w:rPr>
                <w:t>Section V.I.4.</w:t>
              </w:r>
            </w:hyperlink>
            <w:r w:rsidRPr="00802168">
              <w:rPr>
                <w:rFonts w:cstheme="minorHAnsi"/>
                <w:sz w:val="21"/>
                <w:szCs w:val="21"/>
              </w:rPr>
              <w:t xml:space="preserve">, and </w:t>
            </w:r>
            <w:hyperlink r:id="rId33" w:anchor="section(4)(4)(c)_0" w:history="1">
              <w:r w:rsidRPr="00802168">
                <w:rPr>
                  <w:rStyle w:val="Hyperlink"/>
                  <w:rFonts w:cstheme="minorHAnsi"/>
                  <w:sz w:val="21"/>
                  <w:szCs w:val="21"/>
                </w:rPr>
                <w:t>Section X.B.4.c.</w:t>
              </w:r>
            </w:hyperlink>
            <w:r w:rsidRPr="00802168">
              <w:rPr>
                <w:rFonts w:cstheme="minorHAnsi"/>
                <w:sz w:val="21"/>
                <w:szCs w:val="21"/>
              </w:rPr>
              <w:t>)</w:t>
            </w:r>
          </w:p>
          <w:p w14:paraId="407B2DB7" w14:textId="44DC64A0" w:rsidR="00110B13" w:rsidRPr="00802168" w:rsidRDefault="00110B13" w:rsidP="00110B13">
            <w:pPr>
              <w:numPr>
                <w:ilvl w:val="0"/>
                <w:numId w:val="25"/>
              </w:numPr>
              <w:spacing w:after="0" w:line="240" w:lineRule="auto"/>
              <w:jc w:val="both"/>
              <w:rPr>
                <w:rFonts w:cstheme="minorHAnsi"/>
                <w:sz w:val="21"/>
                <w:szCs w:val="21"/>
              </w:rPr>
            </w:pPr>
            <w:r w:rsidRPr="00802168">
              <w:rPr>
                <w:rFonts w:cstheme="minorHAnsi"/>
                <w:sz w:val="21"/>
                <w:szCs w:val="21"/>
              </w:rPr>
              <w:t>Patent box: Yes. (</w:t>
            </w:r>
            <w:hyperlink r:id="rId34" w:anchor="jcite" w:history="1">
              <w:r w:rsidRPr="00802168">
                <w:rPr>
                  <w:rStyle w:val="Hyperlink"/>
                  <w:rFonts w:cstheme="minorHAnsi"/>
                  <w:sz w:val="21"/>
                  <w:szCs w:val="21"/>
                </w:rPr>
                <w:t>Section VI.</w:t>
              </w:r>
              <w:r w:rsidR="00F529EB" w:rsidRPr="00802168">
                <w:rPr>
                  <w:rStyle w:val="Hyperlink"/>
                  <w:rFonts w:cstheme="minorHAnsi"/>
                  <w:sz w:val="21"/>
                  <w:szCs w:val="21"/>
                </w:rPr>
                <w:t>L</w:t>
              </w:r>
              <w:r w:rsidRPr="00802168">
                <w:rPr>
                  <w:rStyle w:val="Hyperlink"/>
                  <w:rFonts w:cstheme="minorHAnsi"/>
                  <w:sz w:val="21"/>
                  <w:szCs w:val="21"/>
                </w:rPr>
                <w:t>.</w:t>
              </w:r>
            </w:hyperlink>
            <w:r w:rsidRPr="00802168">
              <w:rPr>
                <w:rFonts w:cstheme="minorHAnsi"/>
                <w:sz w:val="21"/>
                <w:szCs w:val="21"/>
              </w:rPr>
              <w:t>)</w:t>
            </w:r>
          </w:p>
          <w:p w14:paraId="50959953" w14:textId="08A72B03" w:rsidR="00110B13" w:rsidRPr="00802168" w:rsidRDefault="00110B13" w:rsidP="00110B13">
            <w:pPr>
              <w:numPr>
                <w:ilvl w:val="0"/>
                <w:numId w:val="25"/>
              </w:numPr>
              <w:spacing w:after="0" w:line="240" w:lineRule="auto"/>
              <w:jc w:val="both"/>
              <w:rPr>
                <w:rFonts w:cstheme="minorHAnsi"/>
                <w:sz w:val="21"/>
                <w:szCs w:val="21"/>
              </w:rPr>
            </w:pPr>
            <w:r w:rsidRPr="00802168">
              <w:rPr>
                <w:rFonts w:cstheme="minorHAnsi"/>
                <w:sz w:val="21"/>
                <w:szCs w:val="21"/>
              </w:rPr>
              <w:t>Enhanced depreciation / capital allowance: Yes. (</w:t>
            </w:r>
            <w:hyperlink r:id="rId35" w:anchor="section(5)(5)(h)" w:history="1">
              <w:r w:rsidRPr="00802168">
                <w:rPr>
                  <w:rStyle w:val="Hyperlink"/>
                  <w:rFonts w:cstheme="minorHAnsi"/>
                  <w:sz w:val="21"/>
                  <w:szCs w:val="21"/>
                </w:rPr>
                <w:t>Section V.</w:t>
              </w:r>
              <w:r w:rsidR="009F7DCF" w:rsidRPr="00802168">
                <w:rPr>
                  <w:rStyle w:val="Hyperlink"/>
                  <w:rFonts w:cstheme="minorHAnsi"/>
                  <w:sz w:val="21"/>
                  <w:szCs w:val="21"/>
                </w:rPr>
                <w:t>D</w:t>
              </w:r>
              <w:r w:rsidRPr="00802168">
                <w:rPr>
                  <w:rStyle w:val="Hyperlink"/>
                  <w:rFonts w:cstheme="minorHAnsi"/>
                  <w:sz w:val="21"/>
                  <w:szCs w:val="21"/>
                </w:rPr>
                <w:t>.</w:t>
              </w:r>
              <w:r w:rsidR="009F7DCF" w:rsidRPr="00802168">
                <w:rPr>
                  <w:rStyle w:val="Hyperlink"/>
                  <w:rFonts w:cstheme="minorHAnsi"/>
                  <w:sz w:val="21"/>
                  <w:szCs w:val="21"/>
                </w:rPr>
                <w:t>5.h</w:t>
              </w:r>
              <w:r w:rsidRPr="00802168">
                <w:rPr>
                  <w:rStyle w:val="Hyperlink"/>
                  <w:rFonts w:cstheme="minorHAnsi"/>
                  <w:sz w:val="21"/>
                  <w:szCs w:val="21"/>
                </w:rPr>
                <w:t>.</w:t>
              </w:r>
            </w:hyperlink>
            <w:r w:rsidRPr="00802168">
              <w:rPr>
                <w:rFonts w:cstheme="minorHAnsi"/>
                <w:sz w:val="21"/>
                <w:szCs w:val="21"/>
              </w:rPr>
              <w:t>)</w:t>
            </w:r>
          </w:p>
          <w:p w14:paraId="6148E655" w14:textId="32C32E26" w:rsidR="00F839DA" w:rsidRPr="00802168" w:rsidRDefault="00110B13">
            <w:pPr>
              <w:numPr>
                <w:ilvl w:val="0"/>
                <w:numId w:val="25"/>
              </w:numPr>
              <w:spacing w:after="0" w:line="240" w:lineRule="auto"/>
              <w:jc w:val="both"/>
              <w:textAlignment w:val="baseline"/>
              <w:rPr>
                <w:rFonts w:ascii="Calibri" w:eastAsiaTheme="majorEastAsia" w:hAnsi="Calibri" w:cs="Calibri"/>
              </w:rPr>
            </w:pPr>
            <w:r w:rsidRPr="00802168">
              <w:rPr>
                <w:rFonts w:cstheme="minorHAnsi"/>
                <w:sz w:val="21"/>
                <w:szCs w:val="21"/>
              </w:rPr>
              <w:t xml:space="preserve">Environmental: </w:t>
            </w:r>
            <w:r w:rsidR="00467B68" w:rsidRPr="00802168">
              <w:rPr>
                <w:rFonts w:cstheme="minorHAnsi"/>
                <w:sz w:val="21"/>
                <w:szCs w:val="21"/>
              </w:rPr>
              <w:t>No</w:t>
            </w:r>
            <w:r w:rsidRPr="00802168">
              <w:rPr>
                <w:rFonts w:cstheme="minorHAnsi"/>
                <w:sz w:val="21"/>
                <w:szCs w:val="21"/>
              </w:rPr>
              <w:t>.</w:t>
            </w:r>
          </w:p>
          <w:p w14:paraId="1A0A9722" w14:textId="0CAA47BE" w:rsidR="006C2FF5" w:rsidRPr="00802168" w:rsidRDefault="00110B13" w:rsidP="00BE2689">
            <w:pPr>
              <w:numPr>
                <w:ilvl w:val="0"/>
                <w:numId w:val="25"/>
              </w:numPr>
              <w:spacing w:after="0" w:line="240" w:lineRule="auto"/>
              <w:jc w:val="both"/>
              <w:textAlignment w:val="baseline"/>
              <w:rPr>
                <w:rFonts w:ascii="Calibri" w:eastAsiaTheme="majorEastAsia" w:hAnsi="Calibri" w:cs="Calibri"/>
              </w:rPr>
            </w:pPr>
            <w:r w:rsidRPr="00802168">
              <w:rPr>
                <w:rFonts w:cstheme="minorHAnsi"/>
                <w:sz w:val="21"/>
                <w:szCs w:val="21"/>
              </w:rPr>
              <w:t xml:space="preserve">Other: Special </w:t>
            </w:r>
            <w:r w:rsidR="004C6358" w:rsidRPr="00802168">
              <w:rPr>
                <w:rFonts w:cstheme="minorHAnsi"/>
                <w:sz w:val="21"/>
                <w:szCs w:val="21"/>
              </w:rPr>
              <w:t>concessions</w:t>
            </w:r>
            <w:r w:rsidR="00721B8B" w:rsidRPr="00802168">
              <w:rPr>
                <w:rStyle w:val="normaltextrun"/>
                <w:rFonts w:ascii="Calibri" w:eastAsiaTheme="majorEastAsia" w:hAnsi="Calibri" w:cs="Calibri"/>
              </w:rPr>
              <w:t xml:space="preserve"> for </w:t>
            </w:r>
            <w:r w:rsidR="002A4021" w:rsidRPr="00802168">
              <w:rPr>
                <w:rStyle w:val="normaltextrun"/>
                <w:rFonts w:ascii="Calibri" w:eastAsiaTheme="majorEastAsia" w:hAnsi="Calibri" w:cs="Calibri"/>
              </w:rPr>
              <w:t>i</w:t>
            </w:r>
            <w:r w:rsidR="00721B8B" w:rsidRPr="00802168">
              <w:rPr>
                <w:rStyle w:val="normaltextrun"/>
                <w:rFonts w:ascii="Calibri" w:eastAsiaTheme="majorEastAsia" w:hAnsi="Calibri" w:cs="Calibri"/>
              </w:rPr>
              <w:t>nsur</w:t>
            </w:r>
            <w:r w:rsidR="003079D7" w:rsidRPr="00802168">
              <w:rPr>
                <w:rStyle w:val="normaltextrun"/>
                <w:rFonts w:ascii="Calibri" w:eastAsiaTheme="majorEastAsia" w:hAnsi="Calibri" w:cs="Calibri"/>
              </w:rPr>
              <w:t>er</w:t>
            </w:r>
            <w:r w:rsidR="002D2AEA" w:rsidRPr="00802168">
              <w:rPr>
                <w:rStyle w:val="normaltextrun"/>
                <w:rFonts w:ascii="Calibri" w:eastAsiaTheme="majorEastAsia" w:hAnsi="Calibri" w:cs="Calibri"/>
              </w:rPr>
              <w:t>s</w:t>
            </w:r>
            <w:r w:rsidR="00721B8B" w:rsidRPr="00802168">
              <w:rPr>
                <w:rStyle w:val="normaltextrun"/>
                <w:rFonts w:ascii="Calibri" w:eastAsiaTheme="majorEastAsia" w:hAnsi="Calibri" w:cs="Calibri"/>
              </w:rPr>
              <w:t>, financ</w:t>
            </w:r>
            <w:r w:rsidR="001C0984" w:rsidRPr="00802168">
              <w:rPr>
                <w:rStyle w:val="normaltextrun"/>
                <w:rFonts w:ascii="Calibri" w:eastAsiaTheme="majorEastAsia" w:hAnsi="Calibri" w:cs="Calibri"/>
              </w:rPr>
              <w:t xml:space="preserve">ial </w:t>
            </w:r>
            <w:r w:rsidR="00B14006" w:rsidRPr="00802168">
              <w:rPr>
                <w:rStyle w:val="normaltextrun"/>
                <w:rFonts w:ascii="Calibri" w:eastAsiaTheme="majorEastAsia" w:hAnsi="Calibri" w:cs="Calibri"/>
              </w:rPr>
              <w:t>service</w:t>
            </w:r>
            <w:r w:rsidR="001C0984" w:rsidRPr="00802168">
              <w:rPr>
                <w:rStyle w:val="normaltextrun"/>
                <w:rFonts w:ascii="Calibri" w:eastAsiaTheme="majorEastAsia" w:hAnsi="Calibri" w:cs="Calibri"/>
              </w:rPr>
              <w:t>s</w:t>
            </w:r>
            <w:r w:rsidR="00721B8B" w:rsidRPr="00802168">
              <w:rPr>
                <w:rStyle w:val="normaltextrun"/>
                <w:rFonts w:ascii="Calibri" w:eastAsiaTheme="majorEastAsia" w:hAnsi="Calibri" w:cs="Calibri"/>
              </w:rPr>
              <w:t>, aviation/shipping, treasury</w:t>
            </w:r>
            <w:r w:rsidR="00EC6244" w:rsidRPr="00802168">
              <w:rPr>
                <w:rStyle w:val="normaltextrun"/>
                <w:rFonts w:ascii="Calibri" w:eastAsiaTheme="majorEastAsia" w:hAnsi="Calibri" w:cs="Calibri"/>
              </w:rPr>
              <w:t xml:space="preserve"> </w:t>
            </w:r>
            <w:r w:rsidR="002D2AEA" w:rsidRPr="00802168">
              <w:rPr>
                <w:rStyle w:val="normaltextrun"/>
                <w:rFonts w:ascii="Calibri" w:eastAsiaTheme="majorEastAsia" w:hAnsi="Calibri" w:cs="Calibri"/>
              </w:rPr>
              <w:t>operations</w:t>
            </w:r>
            <w:r w:rsidR="0019385D" w:rsidRPr="00802168">
              <w:rPr>
                <w:rStyle w:val="normaltextrun"/>
                <w:rFonts w:ascii="Calibri" w:eastAsiaTheme="majorEastAsia" w:hAnsi="Calibri" w:cs="Calibri"/>
              </w:rPr>
              <w:t xml:space="preserve">, </w:t>
            </w:r>
            <w:r w:rsidR="00721B8B" w:rsidRPr="00802168">
              <w:rPr>
                <w:rStyle w:val="normaltextrun"/>
                <w:rFonts w:ascii="Calibri" w:eastAsiaTheme="majorEastAsia" w:hAnsi="Calibri" w:cs="Calibri"/>
              </w:rPr>
              <w:t>and family offices</w:t>
            </w:r>
            <w:r w:rsidR="00EC6244" w:rsidRPr="00802168">
              <w:rPr>
                <w:rStyle w:val="normaltextrun"/>
                <w:rFonts w:ascii="Calibri" w:eastAsiaTheme="majorEastAsia" w:hAnsi="Calibri" w:cs="Calibri"/>
              </w:rPr>
              <w:t>.</w:t>
            </w:r>
            <w:r w:rsidR="003D3885" w:rsidRPr="00802168">
              <w:rPr>
                <w:rStyle w:val="normaltextrun"/>
                <w:rFonts w:ascii="Calibri" w:eastAsiaTheme="majorEastAsia" w:hAnsi="Calibri" w:cs="Calibri"/>
              </w:rPr>
              <w:t xml:space="preserve"> (</w:t>
            </w:r>
            <w:hyperlink r:id="rId36" w:history="1">
              <w:r w:rsidR="004F15C6" w:rsidRPr="00802168">
                <w:rPr>
                  <w:rStyle w:val="Hyperlink"/>
                  <w:rFonts w:ascii="Calibri" w:eastAsiaTheme="majorEastAsia" w:hAnsi="Calibri" w:cs="Calibri"/>
                </w:rPr>
                <w:t>Sections VI.C.</w:t>
              </w:r>
            </w:hyperlink>
            <w:r w:rsidR="004F15C6" w:rsidRPr="00802168">
              <w:rPr>
                <w:rStyle w:val="normaltextrun"/>
                <w:rFonts w:ascii="Calibri" w:eastAsiaTheme="majorEastAsia" w:hAnsi="Calibri" w:cs="Calibri"/>
              </w:rPr>
              <w:t xml:space="preserve"> to </w:t>
            </w:r>
            <w:hyperlink r:id="rId37" w:history="1">
              <w:r w:rsidR="004F15C6" w:rsidRPr="00802168">
                <w:rPr>
                  <w:rStyle w:val="Hyperlink"/>
                  <w:rFonts w:ascii="Calibri" w:eastAsiaTheme="majorEastAsia" w:hAnsi="Calibri" w:cs="Calibri"/>
                </w:rPr>
                <w:t>J.</w:t>
              </w:r>
            </w:hyperlink>
            <w:r w:rsidR="003D3885" w:rsidRPr="00802168">
              <w:rPr>
                <w:rStyle w:val="normaltextrun"/>
                <w:rFonts w:ascii="Calibri" w:eastAsiaTheme="majorEastAsia" w:hAnsi="Calibri" w:cs="Calibri"/>
              </w:rPr>
              <w:t>)</w:t>
            </w:r>
          </w:p>
        </w:tc>
      </w:tr>
      <w:tr w:rsidR="006C2FF5" w14:paraId="0F35BC91"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345D109" w14:textId="51CEF1F5" w:rsidR="006C2FF5" w:rsidRPr="00802168" w:rsidRDefault="0000132D" w:rsidP="00BE2689">
            <w:pPr>
              <w:pStyle w:val="paragraph"/>
              <w:spacing w:before="0" w:beforeAutospacing="0" w:after="0" w:afterAutospacing="0"/>
              <w:textAlignment w:val="baseline"/>
            </w:pPr>
            <w:r w:rsidRPr="00802168">
              <w:rPr>
                <w:rStyle w:val="normaltextrun"/>
                <w:rFonts w:ascii="Calibri" w:eastAsiaTheme="majorEastAsia" w:hAnsi="Calibri" w:cs="Calibri"/>
                <w:sz w:val="22"/>
                <w:szCs w:val="22"/>
              </w:rPr>
              <w:t>P</w:t>
            </w:r>
            <w:r w:rsidRPr="00802168">
              <w:rPr>
                <w:rStyle w:val="normaltextrun"/>
                <w:rFonts w:ascii="Calibri" w:eastAsiaTheme="majorEastAsia" w:hAnsi="Calibri" w:cs="Calibri"/>
              </w:rPr>
              <w:t>articipation exemption (or similar regime)</w:t>
            </w:r>
            <w:r w:rsidR="005A3B66" w:rsidRPr="00802168">
              <w:rPr>
                <w:rStyle w:val="normaltextrun"/>
                <w:rFonts w:ascii="Calibri" w:eastAsiaTheme="majorEastAsia" w:hAnsi="Calibri" w:cs="Calibri"/>
              </w:rPr>
              <w:t xml:space="preserve"> </w:t>
            </w:r>
          </w:p>
        </w:tc>
        <w:tc>
          <w:tcPr>
            <w:tcW w:w="98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870ECB6" w14:textId="354373ED" w:rsidR="006C2FF5" w:rsidRPr="00802168" w:rsidRDefault="00CE20F5" w:rsidP="00BE2689">
            <w:pPr>
              <w:pStyle w:val="paragraph"/>
              <w:spacing w:before="0" w:beforeAutospacing="0" w:after="0" w:afterAutospacing="0"/>
              <w:textAlignment w:val="baseline"/>
            </w:pPr>
            <w:r w:rsidRPr="00802168">
              <w:rPr>
                <w:rFonts w:ascii="Calibri" w:eastAsiaTheme="majorEastAsia" w:hAnsi="Calibri" w:cs="Calibri"/>
                <w:sz w:val="22"/>
                <w:szCs w:val="22"/>
              </w:rPr>
              <w:t xml:space="preserve">Yes, </w:t>
            </w:r>
            <w:r w:rsidR="008065A5" w:rsidRPr="00802168">
              <w:rPr>
                <w:rFonts w:ascii="Calibri" w:eastAsiaTheme="majorEastAsia" w:hAnsi="Calibri" w:cs="Calibri"/>
                <w:sz w:val="22"/>
                <w:szCs w:val="22"/>
              </w:rPr>
              <w:t xml:space="preserve">there are </w:t>
            </w:r>
            <w:r w:rsidRPr="00802168">
              <w:rPr>
                <w:rFonts w:ascii="Calibri" w:eastAsiaTheme="majorEastAsia" w:hAnsi="Calibri" w:cs="Calibri"/>
                <w:sz w:val="22"/>
                <w:szCs w:val="22"/>
              </w:rPr>
              <w:t xml:space="preserve">limited </w:t>
            </w:r>
            <w:r w:rsidR="008065A5" w:rsidRPr="00802168">
              <w:rPr>
                <w:rFonts w:ascii="Calibri" w:eastAsiaTheme="majorEastAsia" w:hAnsi="Calibri" w:cs="Calibri"/>
                <w:sz w:val="22"/>
                <w:szCs w:val="22"/>
              </w:rPr>
              <w:t xml:space="preserve">exemptions </w:t>
            </w:r>
            <w:r w:rsidR="00994F08" w:rsidRPr="00802168">
              <w:rPr>
                <w:rFonts w:ascii="Calibri" w:eastAsiaTheme="majorEastAsia" w:hAnsi="Calibri" w:cs="Calibri"/>
                <w:sz w:val="22"/>
                <w:szCs w:val="22"/>
              </w:rPr>
              <w:t xml:space="preserve">to the FSIE regime </w:t>
            </w:r>
            <w:r w:rsidR="0005288C" w:rsidRPr="00802168">
              <w:rPr>
                <w:rFonts w:ascii="Calibri" w:eastAsiaTheme="majorEastAsia" w:hAnsi="Calibri" w:cs="Calibri"/>
                <w:sz w:val="22"/>
                <w:szCs w:val="22"/>
              </w:rPr>
              <w:t xml:space="preserve">for certain types of foreign-sourced interest, dividends, and disposal gains </w:t>
            </w:r>
            <w:r w:rsidR="001B3792" w:rsidRPr="00802168">
              <w:rPr>
                <w:rFonts w:ascii="Calibri" w:eastAsiaTheme="majorEastAsia" w:hAnsi="Calibri" w:cs="Calibri"/>
                <w:sz w:val="22"/>
                <w:szCs w:val="22"/>
              </w:rPr>
              <w:t xml:space="preserve">subject to </w:t>
            </w:r>
            <w:r w:rsidR="004B1029" w:rsidRPr="00802168">
              <w:rPr>
                <w:rFonts w:ascii="Calibri" w:eastAsiaTheme="majorEastAsia" w:hAnsi="Calibri" w:cs="Calibri"/>
                <w:sz w:val="22"/>
                <w:szCs w:val="22"/>
              </w:rPr>
              <w:t>requirements on</w:t>
            </w:r>
            <w:r w:rsidR="001B3792" w:rsidRPr="00802168">
              <w:rPr>
                <w:rFonts w:ascii="Calibri" w:eastAsiaTheme="majorEastAsia" w:hAnsi="Calibri" w:cs="Calibri"/>
                <w:sz w:val="22"/>
                <w:szCs w:val="22"/>
              </w:rPr>
              <w:t xml:space="preserve"> economic substance, </w:t>
            </w:r>
            <w:r w:rsidRPr="00802168">
              <w:rPr>
                <w:rFonts w:ascii="Calibri" w:eastAsiaTheme="majorEastAsia" w:hAnsi="Calibri" w:cs="Calibri"/>
                <w:sz w:val="22"/>
                <w:szCs w:val="22"/>
              </w:rPr>
              <w:t>participation</w:t>
            </w:r>
            <w:r w:rsidR="0005288C" w:rsidRPr="00802168">
              <w:rPr>
                <w:rFonts w:ascii="Calibri" w:eastAsiaTheme="majorEastAsia" w:hAnsi="Calibri" w:cs="Calibri"/>
                <w:sz w:val="22"/>
                <w:szCs w:val="22"/>
              </w:rPr>
              <w:t>, or nexus</w:t>
            </w:r>
            <w:r w:rsidRPr="00802168">
              <w:rPr>
                <w:rFonts w:ascii="Calibri" w:eastAsiaTheme="majorEastAsia" w:hAnsi="Calibri" w:cs="Calibri"/>
                <w:sz w:val="22"/>
                <w:szCs w:val="22"/>
              </w:rPr>
              <w:t>. (</w:t>
            </w:r>
            <w:hyperlink r:id="rId38" w:anchor="section(4)" w:history="1">
              <w:r w:rsidRPr="00802168">
                <w:rPr>
                  <w:rStyle w:val="Hyperlink"/>
                  <w:rFonts w:eastAsiaTheme="majorEastAsia"/>
                </w:rPr>
                <w:t xml:space="preserve">Section </w:t>
              </w:r>
              <w:r w:rsidR="009C68D2" w:rsidRPr="00802168">
                <w:rPr>
                  <w:rStyle w:val="Hyperlink"/>
                  <w:rFonts w:ascii="Calibri" w:eastAsiaTheme="majorEastAsia" w:hAnsi="Calibri" w:cs="Calibri"/>
                  <w:sz w:val="22"/>
                  <w:szCs w:val="22"/>
                </w:rPr>
                <w:t>VI.N.4.</w:t>
              </w:r>
            </w:hyperlink>
            <w:r w:rsidRPr="00802168">
              <w:rPr>
                <w:rFonts w:ascii="Calibri" w:eastAsiaTheme="majorEastAsia" w:hAnsi="Calibri" w:cs="Calibri"/>
                <w:sz w:val="22"/>
                <w:szCs w:val="22"/>
              </w:rPr>
              <w:t xml:space="preserve">) </w:t>
            </w:r>
            <w:r w:rsidR="006C2FF5" w:rsidRPr="00802168">
              <w:rPr>
                <w:rStyle w:val="normaltextrun"/>
                <w:rFonts w:ascii="Calibri" w:eastAsiaTheme="majorEastAsia" w:hAnsi="Calibri" w:cs="Calibri"/>
                <w:sz w:val="22"/>
                <w:szCs w:val="22"/>
              </w:rPr>
              <w:t xml:space="preserve">   </w:t>
            </w:r>
            <w:r w:rsidR="006C2FF5" w:rsidRPr="00802168">
              <w:rPr>
                <w:rStyle w:val="eop"/>
                <w:rFonts w:ascii="Calibri" w:eastAsiaTheme="majorEastAsia" w:hAnsi="Calibri" w:cs="Calibri"/>
                <w:sz w:val="22"/>
                <w:szCs w:val="22"/>
              </w:rPr>
              <w:t> </w:t>
            </w:r>
          </w:p>
        </w:tc>
      </w:tr>
      <w:tr w:rsidR="006C2FF5" w14:paraId="558AA6DC"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8FC4DE"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sz w:val="22"/>
                <w:szCs w:val="22"/>
              </w:rPr>
              <w:t>Tax consolidation</w:t>
            </w:r>
            <w:r>
              <w:rPr>
                <w:rStyle w:val="eop"/>
                <w:rFonts w:ascii="Calibri" w:eastAsiaTheme="majorEastAsia" w:hAnsi="Calibri" w:cs="Calibri"/>
                <w:sz w:val="22"/>
                <w:szCs w:val="22"/>
              </w:rPr>
              <w:t> </w:t>
            </w:r>
          </w:p>
        </w:tc>
        <w:tc>
          <w:tcPr>
            <w:tcW w:w="98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5804958" w14:textId="378C0F08" w:rsidR="006C2FF5" w:rsidRPr="00BE2689" w:rsidRDefault="002565F7" w:rsidP="00BE2689">
            <w:pPr>
              <w:pStyle w:val="paragraph"/>
              <w:spacing w:before="0" w:beforeAutospacing="0" w:after="0" w:afterAutospacing="0"/>
              <w:textAlignment w:val="baseline"/>
            </w:pPr>
            <w:r w:rsidRPr="00BE2689">
              <w:rPr>
                <w:rStyle w:val="normaltextrun"/>
                <w:rFonts w:ascii="Calibri" w:eastAsiaTheme="majorEastAsia" w:hAnsi="Calibri" w:cs="Calibri"/>
                <w:sz w:val="22"/>
                <w:szCs w:val="22"/>
              </w:rPr>
              <w:t>No</w:t>
            </w:r>
            <w:r w:rsidR="006C2FF5" w:rsidRPr="00BE2689">
              <w:rPr>
                <w:rStyle w:val="normaltextrun"/>
                <w:rFonts w:ascii="Calibri" w:eastAsiaTheme="majorEastAsia" w:hAnsi="Calibri" w:cs="Calibri"/>
                <w:sz w:val="22"/>
                <w:szCs w:val="22"/>
              </w:rPr>
              <w:t>.</w:t>
            </w:r>
            <w:r w:rsidR="006C2FF5" w:rsidRPr="00BE2689">
              <w:rPr>
                <w:rStyle w:val="eop"/>
                <w:rFonts w:ascii="Calibri" w:eastAsiaTheme="majorEastAsia" w:hAnsi="Calibri" w:cs="Calibri"/>
                <w:sz w:val="22"/>
                <w:szCs w:val="22"/>
              </w:rPr>
              <w:t> </w:t>
            </w:r>
          </w:p>
        </w:tc>
      </w:tr>
      <w:tr w:rsidR="006C2FF5" w14:paraId="4CC14EBB"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30235C"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sz w:val="22"/>
                <w:szCs w:val="22"/>
              </w:rPr>
              <w:t>M&amp;A regime</w:t>
            </w:r>
            <w:r>
              <w:rPr>
                <w:rStyle w:val="eop"/>
                <w:rFonts w:ascii="Calibri" w:eastAsiaTheme="majorEastAsia" w:hAnsi="Calibri" w:cs="Calibri"/>
                <w:sz w:val="22"/>
                <w:szCs w:val="22"/>
              </w:rPr>
              <w:t> </w:t>
            </w:r>
          </w:p>
        </w:tc>
        <w:tc>
          <w:tcPr>
            <w:tcW w:w="98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639929" w14:textId="6A7E7D47" w:rsidR="000D5BCA" w:rsidRPr="00DA6A7B" w:rsidRDefault="000D5BCA" w:rsidP="000D5BCA">
            <w:pPr>
              <w:numPr>
                <w:ilvl w:val="0"/>
                <w:numId w:val="26"/>
              </w:numPr>
              <w:jc w:val="both"/>
              <w:rPr>
                <w:rFonts w:cstheme="minorHAnsi"/>
                <w:sz w:val="21"/>
                <w:szCs w:val="21"/>
              </w:rPr>
            </w:pPr>
            <w:r w:rsidRPr="00DA6A7B">
              <w:rPr>
                <w:rFonts w:cstheme="minorHAnsi"/>
                <w:sz w:val="21"/>
                <w:szCs w:val="21"/>
              </w:rPr>
              <w:t>Tax-free or tax-privileged transaction: Yes. (</w:t>
            </w:r>
            <w:hyperlink r:id="rId39" w:history="1">
              <w:r w:rsidRPr="00DA6A7B">
                <w:rPr>
                  <w:rStyle w:val="Hyperlink"/>
                  <w:rFonts w:cstheme="minorHAnsi"/>
                  <w:sz w:val="21"/>
                  <w:szCs w:val="21"/>
                </w:rPr>
                <w:t>Section V</w:t>
              </w:r>
              <w:r w:rsidR="008E2BC8" w:rsidRPr="00DA6A7B">
                <w:rPr>
                  <w:rStyle w:val="Hyperlink"/>
                  <w:rFonts w:cstheme="minorHAnsi"/>
                  <w:sz w:val="21"/>
                  <w:szCs w:val="21"/>
                </w:rPr>
                <w:t>I</w:t>
              </w:r>
              <w:r w:rsidRPr="00DA6A7B">
                <w:rPr>
                  <w:rStyle w:val="Hyperlink"/>
                  <w:rFonts w:cstheme="minorHAnsi"/>
                  <w:sz w:val="21"/>
                  <w:szCs w:val="21"/>
                </w:rPr>
                <w:t>.</w:t>
              </w:r>
              <w:r w:rsidR="008E2BC8" w:rsidRPr="00DA6A7B">
                <w:rPr>
                  <w:rStyle w:val="Hyperlink"/>
                  <w:rFonts w:cstheme="minorHAnsi"/>
                  <w:sz w:val="21"/>
                  <w:szCs w:val="21"/>
                </w:rPr>
                <w:t>M</w:t>
              </w:r>
              <w:r w:rsidRPr="00DA6A7B">
                <w:rPr>
                  <w:rStyle w:val="Hyperlink"/>
                  <w:rFonts w:cstheme="minorHAnsi"/>
                  <w:sz w:val="21"/>
                  <w:szCs w:val="21"/>
                </w:rPr>
                <w:t>.</w:t>
              </w:r>
            </w:hyperlink>
            <w:r w:rsidRPr="00DA6A7B">
              <w:rPr>
                <w:rFonts w:cstheme="minorHAnsi"/>
                <w:sz w:val="21"/>
                <w:szCs w:val="21"/>
              </w:rPr>
              <w:t>)</w:t>
            </w:r>
          </w:p>
          <w:p w14:paraId="6BF7789B" w14:textId="2D73831F" w:rsidR="000D5BCA" w:rsidRPr="00DA6A7B" w:rsidRDefault="000D5BCA" w:rsidP="000D5BCA">
            <w:pPr>
              <w:numPr>
                <w:ilvl w:val="0"/>
                <w:numId w:val="25"/>
              </w:numPr>
              <w:jc w:val="both"/>
              <w:rPr>
                <w:rFonts w:cstheme="minorHAnsi"/>
                <w:sz w:val="21"/>
                <w:szCs w:val="21"/>
              </w:rPr>
            </w:pPr>
            <w:r w:rsidRPr="00DA6A7B">
              <w:rPr>
                <w:rFonts w:cstheme="minorHAnsi"/>
                <w:sz w:val="21"/>
                <w:szCs w:val="21"/>
              </w:rPr>
              <w:t xml:space="preserve">Stamp duty/share transfer taxes: </w:t>
            </w:r>
            <w:r w:rsidR="00517236" w:rsidRPr="00DA6A7B">
              <w:rPr>
                <w:rFonts w:cstheme="minorHAnsi"/>
                <w:sz w:val="21"/>
                <w:szCs w:val="21"/>
              </w:rPr>
              <w:t>Tran</w:t>
            </w:r>
            <w:r w:rsidR="00CE2A42" w:rsidRPr="00DA6A7B">
              <w:rPr>
                <w:rFonts w:cstheme="minorHAnsi"/>
                <w:sz w:val="21"/>
                <w:szCs w:val="21"/>
              </w:rPr>
              <w:t>sf</w:t>
            </w:r>
            <w:r w:rsidR="00517236" w:rsidRPr="00DA6A7B">
              <w:rPr>
                <w:rFonts w:cstheme="minorHAnsi"/>
                <w:sz w:val="21"/>
                <w:szCs w:val="21"/>
              </w:rPr>
              <w:t>ers or sales of Hong Kong</w:t>
            </w:r>
            <w:r w:rsidR="00CE2A42" w:rsidRPr="00DA6A7B">
              <w:rPr>
                <w:rFonts w:cstheme="minorHAnsi"/>
                <w:sz w:val="21"/>
                <w:szCs w:val="21"/>
              </w:rPr>
              <w:t xml:space="preserve"> </w:t>
            </w:r>
            <w:r w:rsidR="001276C2" w:rsidRPr="00DA6A7B">
              <w:rPr>
                <w:rFonts w:cstheme="minorHAnsi"/>
                <w:sz w:val="21"/>
                <w:szCs w:val="21"/>
              </w:rPr>
              <w:t>property a</w:t>
            </w:r>
            <w:r w:rsidR="00CE2A42" w:rsidRPr="00DA6A7B">
              <w:rPr>
                <w:rFonts w:cstheme="minorHAnsi"/>
                <w:sz w:val="21"/>
                <w:szCs w:val="21"/>
              </w:rPr>
              <w:t>nd transfers of n</w:t>
            </w:r>
            <w:r w:rsidR="00AB5C86" w:rsidRPr="00DA6A7B">
              <w:rPr>
                <w:rFonts w:cstheme="minorHAnsi"/>
                <w:sz w:val="21"/>
                <w:szCs w:val="21"/>
              </w:rPr>
              <w:t>on-exempt</w:t>
            </w:r>
            <w:r w:rsidR="008C0CEC" w:rsidRPr="00DA6A7B">
              <w:rPr>
                <w:rFonts w:cstheme="minorHAnsi"/>
                <w:sz w:val="21"/>
                <w:szCs w:val="21"/>
              </w:rPr>
              <w:t xml:space="preserve"> </w:t>
            </w:r>
            <w:r w:rsidR="001276C2" w:rsidRPr="00DA6A7B">
              <w:rPr>
                <w:rFonts w:cstheme="minorHAnsi"/>
                <w:sz w:val="21"/>
                <w:szCs w:val="21"/>
              </w:rPr>
              <w:t xml:space="preserve">shares in </w:t>
            </w:r>
            <w:r w:rsidR="00CE2A42" w:rsidRPr="00DA6A7B">
              <w:rPr>
                <w:rFonts w:cstheme="minorHAnsi"/>
                <w:sz w:val="21"/>
                <w:szCs w:val="21"/>
              </w:rPr>
              <w:t xml:space="preserve">Hong Kong </w:t>
            </w:r>
            <w:r w:rsidR="001276C2" w:rsidRPr="00DA6A7B">
              <w:rPr>
                <w:rFonts w:cstheme="minorHAnsi"/>
                <w:sz w:val="21"/>
                <w:szCs w:val="21"/>
              </w:rPr>
              <w:t xml:space="preserve">companies </w:t>
            </w:r>
            <w:r w:rsidR="00CE2A42" w:rsidRPr="00DA6A7B">
              <w:rPr>
                <w:rFonts w:cstheme="minorHAnsi"/>
                <w:sz w:val="21"/>
                <w:szCs w:val="21"/>
              </w:rPr>
              <w:t xml:space="preserve">are subject to stamp duty. </w:t>
            </w:r>
            <w:r w:rsidRPr="00DA6A7B">
              <w:rPr>
                <w:rFonts w:cstheme="minorHAnsi"/>
                <w:sz w:val="21"/>
                <w:szCs w:val="21"/>
              </w:rPr>
              <w:t>(</w:t>
            </w:r>
            <w:hyperlink r:id="rId40" w:history="1">
              <w:r w:rsidRPr="00DA6A7B">
                <w:rPr>
                  <w:rStyle w:val="Hyperlink"/>
                  <w:rFonts w:cstheme="minorHAnsi"/>
                  <w:sz w:val="21"/>
                  <w:szCs w:val="21"/>
                </w:rPr>
                <w:t>Section XI.</w:t>
              </w:r>
              <w:r w:rsidR="001A3057" w:rsidRPr="00DA6A7B">
                <w:rPr>
                  <w:rStyle w:val="Hyperlink"/>
                  <w:rFonts w:cstheme="minorHAnsi"/>
                  <w:sz w:val="21"/>
                  <w:szCs w:val="21"/>
                </w:rPr>
                <w:t>A</w:t>
              </w:r>
              <w:r w:rsidRPr="00DA6A7B">
                <w:rPr>
                  <w:rStyle w:val="Hyperlink"/>
                  <w:rFonts w:cstheme="minorHAnsi"/>
                  <w:sz w:val="21"/>
                  <w:szCs w:val="21"/>
                </w:rPr>
                <w:t>.</w:t>
              </w:r>
            </w:hyperlink>
            <w:r w:rsidRPr="00DA6A7B">
              <w:rPr>
                <w:rFonts w:cstheme="minorHAnsi"/>
                <w:sz w:val="21"/>
                <w:szCs w:val="21"/>
              </w:rPr>
              <w:t xml:space="preserve">)  </w:t>
            </w:r>
          </w:p>
          <w:p w14:paraId="28C9474E" w14:textId="55250DB0" w:rsidR="006C2FF5" w:rsidRPr="00BE2689" w:rsidRDefault="000D5BCA" w:rsidP="00DA6A7B">
            <w:pPr>
              <w:numPr>
                <w:ilvl w:val="0"/>
                <w:numId w:val="25"/>
              </w:numPr>
              <w:jc w:val="both"/>
            </w:pPr>
            <w:r w:rsidRPr="00DA6A7B">
              <w:rPr>
                <w:rFonts w:cstheme="minorHAnsi"/>
                <w:sz w:val="21"/>
                <w:szCs w:val="21"/>
              </w:rPr>
              <w:t>Limitation on pre-deal NOL carryforwards</w:t>
            </w:r>
            <w:r w:rsidR="0024548A" w:rsidRPr="00DA6A7B">
              <w:rPr>
                <w:rFonts w:cstheme="minorHAnsi"/>
                <w:sz w:val="21"/>
                <w:szCs w:val="21"/>
              </w:rPr>
              <w:t xml:space="preserve">: </w:t>
            </w:r>
            <w:r w:rsidR="00C224FA" w:rsidRPr="00DA6A7B">
              <w:rPr>
                <w:rFonts w:cstheme="minorHAnsi"/>
                <w:sz w:val="21"/>
                <w:szCs w:val="21"/>
              </w:rPr>
              <w:t>No limitation on l</w:t>
            </w:r>
            <w:r w:rsidR="004B4211" w:rsidRPr="00DA6A7B">
              <w:rPr>
                <w:rFonts w:cstheme="minorHAnsi"/>
                <w:sz w:val="21"/>
                <w:szCs w:val="21"/>
              </w:rPr>
              <w:t xml:space="preserve">osses </w:t>
            </w:r>
            <w:r w:rsidR="00A971BA" w:rsidRPr="00DA6A7B">
              <w:rPr>
                <w:rFonts w:cstheme="minorHAnsi"/>
                <w:sz w:val="21"/>
                <w:szCs w:val="21"/>
              </w:rPr>
              <w:t>acquired</w:t>
            </w:r>
            <w:r w:rsidR="00A63188" w:rsidRPr="00DA6A7B">
              <w:rPr>
                <w:rFonts w:cstheme="minorHAnsi"/>
                <w:sz w:val="21"/>
                <w:szCs w:val="21"/>
              </w:rPr>
              <w:t xml:space="preserve"> in share deals</w:t>
            </w:r>
            <w:r w:rsidRPr="00DA6A7B">
              <w:rPr>
                <w:rFonts w:cstheme="minorHAnsi"/>
                <w:sz w:val="21"/>
                <w:szCs w:val="21"/>
              </w:rPr>
              <w:t>. (</w:t>
            </w:r>
            <w:hyperlink r:id="rId41" w:anchor="section(2)_0" w:history="1">
              <w:r w:rsidR="00A651F7" w:rsidRPr="00DA6A7B">
                <w:rPr>
                  <w:rStyle w:val="Hyperlink"/>
                </w:rPr>
                <w:t>Section VI.M.</w:t>
              </w:r>
              <w:r w:rsidR="0024548A" w:rsidRPr="00DA6A7B">
                <w:rPr>
                  <w:rStyle w:val="Hyperlink"/>
                </w:rPr>
                <w:t>2</w:t>
              </w:r>
              <w:r w:rsidR="00A651F7" w:rsidRPr="00DA6A7B">
                <w:rPr>
                  <w:rStyle w:val="Hyperlink"/>
                </w:rPr>
                <w:t>.</w:t>
              </w:r>
            </w:hyperlink>
            <w:r w:rsidRPr="00DA6A7B">
              <w:rPr>
                <w:rFonts w:cstheme="minorHAnsi"/>
                <w:sz w:val="21"/>
                <w:szCs w:val="21"/>
              </w:rPr>
              <w:t xml:space="preserve">) </w:t>
            </w:r>
            <w:r w:rsidR="006C2FF5" w:rsidRPr="00BE2689">
              <w:rPr>
                <w:rStyle w:val="normaltextrun"/>
                <w:rFonts w:ascii="Calibri" w:eastAsiaTheme="majorEastAsia" w:hAnsi="Calibri" w:cs="Calibri"/>
              </w:rPr>
              <w:t> </w:t>
            </w:r>
            <w:r w:rsidR="006C2FF5" w:rsidRPr="00BE2689">
              <w:rPr>
                <w:rStyle w:val="eop"/>
                <w:rFonts w:ascii="Calibri" w:eastAsiaTheme="majorEastAsia" w:hAnsi="Calibri" w:cs="Calibri"/>
              </w:rPr>
              <w:t> </w:t>
            </w:r>
          </w:p>
        </w:tc>
      </w:tr>
      <w:tr w:rsidR="006C2FF5" w14:paraId="14F31C0B"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EF63C25"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sz w:val="22"/>
                <w:szCs w:val="22"/>
              </w:rPr>
              <w:t>OECD Pillars One and Two</w:t>
            </w:r>
            <w:r>
              <w:rPr>
                <w:rStyle w:val="eop"/>
                <w:rFonts w:ascii="Calibri" w:eastAsiaTheme="majorEastAsia" w:hAnsi="Calibri" w:cs="Calibri"/>
                <w:sz w:val="22"/>
                <w:szCs w:val="22"/>
              </w:rPr>
              <w:t> </w:t>
            </w:r>
          </w:p>
        </w:tc>
        <w:tc>
          <w:tcPr>
            <w:tcW w:w="98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6E139C" w14:textId="1E512A7D" w:rsidR="006C2FF5" w:rsidRPr="00BE2689" w:rsidRDefault="003A2788" w:rsidP="00BE2689">
            <w:pPr>
              <w:pStyle w:val="paragraph"/>
              <w:spacing w:before="0" w:beforeAutospacing="0" w:after="0" w:afterAutospacing="0"/>
              <w:textAlignment w:val="baseline"/>
            </w:pPr>
            <w:r w:rsidRPr="00BE2689">
              <w:rPr>
                <w:rStyle w:val="normaltextrun"/>
                <w:rFonts w:ascii="Calibri" w:eastAsiaTheme="majorEastAsia" w:hAnsi="Calibri" w:cs="Calibri"/>
                <w:sz w:val="22"/>
                <w:szCs w:val="22"/>
              </w:rPr>
              <w:t xml:space="preserve">Hong </w:t>
            </w:r>
            <w:r w:rsidR="00A8480B">
              <w:rPr>
                <w:rStyle w:val="normaltextrun"/>
                <w:rFonts w:ascii="Calibri" w:eastAsiaTheme="majorEastAsia" w:hAnsi="Calibri" w:cs="Calibri"/>
                <w:sz w:val="22"/>
                <w:szCs w:val="22"/>
              </w:rPr>
              <w:t xml:space="preserve">Kong has </w:t>
            </w:r>
            <w:r w:rsidR="006C2FF5" w:rsidRPr="00BE2689">
              <w:rPr>
                <w:rStyle w:val="normaltextrun"/>
                <w:rFonts w:ascii="Calibri" w:eastAsiaTheme="majorEastAsia" w:hAnsi="Calibri" w:cs="Calibri"/>
                <w:sz w:val="22"/>
                <w:szCs w:val="22"/>
              </w:rPr>
              <w:t xml:space="preserve">agreed to </w:t>
            </w:r>
            <w:r w:rsidR="00A5578A" w:rsidRPr="00BE2689">
              <w:rPr>
                <w:rStyle w:val="normaltextrun"/>
                <w:rFonts w:ascii="Calibri" w:eastAsiaTheme="majorEastAsia" w:hAnsi="Calibri" w:cs="Calibri"/>
                <w:sz w:val="22"/>
                <w:szCs w:val="22"/>
              </w:rPr>
              <w:t xml:space="preserve">implement </w:t>
            </w:r>
            <w:r w:rsidR="006C2FF5" w:rsidRPr="00BE2689">
              <w:rPr>
                <w:rStyle w:val="normaltextrun"/>
                <w:rFonts w:ascii="Calibri" w:eastAsiaTheme="majorEastAsia" w:hAnsi="Calibri" w:cs="Calibri"/>
                <w:sz w:val="22"/>
                <w:szCs w:val="22"/>
              </w:rPr>
              <w:t>the Two Pillar Solution. (</w:t>
            </w:r>
            <w:hyperlink r:id="rId42" w:tgtFrame="_blank" w:history="1">
              <w:r w:rsidR="006C2FF5" w:rsidRPr="00BE2689">
                <w:rPr>
                  <w:rStyle w:val="normaltextrun"/>
                  <w:rFonts w:ascii="Calibri" w:eastAsiaTheme="majorEastAsia" w:hAnsi="Calibri" w:cs="Calibri"/>
                  <w:color w:val="0563C1"/>
                  <w:sz w:val="22"/>
                  <w:szCs w:val="22"/>
                  <w:u w:val="single"/>
                </w:rPr>
                <w:t>Section XV.</w:t>
              </w:r>
              <w:r w:rsidRPr="00BE2689">
                <w:rPr>
                  <w:rStyle w:val="normaltextrun"/>
                  <w:rFonts w:ascii="Calibri" w:eastAsiaTheme="majorEastAsia" w:hAnsi="Calibri" w:cs="Calibri"/>
                  <w:color w:val="0563C1"/>
                  <w:sz w:val="22"/>
                  <w:szCs w:val="22"/>
                  <w:u w:val="single"/>
                </w:rPr>
                <w:t>B</w:t>
              </w:r>
              <w:r w:rsidR="006C2FF5" w:rsidRPr="00BE2689">
                <w:rPr>
                  <w:rStyle w:val="normaltextrun"/>
                  <w:rFonts w:ascii="Calibri" w:eastAsiaTheme="majorEastAsia" w:hAnsi="Calibri" w:cs="Calibri"/>
                  <w:color w:val="0563C1"/>
                  <w:sz w:val="22"/>
                  <w:szCs w:val="22"/>
                  <w:u w:val="single"/>
                </w:rPr>
                <w:t>.</w:t>
              </w:r>
            </w:hyperlink>
            <w:r w:rsidR="006C2FF5" w:rsidRPr="00BE2689">
              <w:rPr>
                <w:rStyle w:val="normaltextrun"/>
                <w:rFonts w:ascii="Calibri" w:eastAsiaTheme="majorEastAsia" w:hAnsi="Calibri" w:cs="Calibri"/>
                <w:sz w:val="22"/>
                <w:szCs w:val="22"/>
              </w:rPr>
              <w:t>)</w:t>
            </w:r>
            <w:r w:rsidR="006C2FF5" w:rsidRPr="00BE2689">
              <w:rPr>
                <w:rStyle w:val="eop"/>
                <w:rFonts w:ascii="Calibri" w:eastAsiaTheme="majorEastAsia" w:hAnsi="Calibri" w:cs="Calibri"/>
                <w:sz w:val="22"/>
                <w:szCs w:val="22"/>
              </w:rPr>
              <w:t> </w:t>
            </w:r>
          </w:p>
        </w:tc>
      </w:tr>
      <w:tr w:rsidR="006C2FF5" w14:paraId="03515C5C"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D8799B4"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Controlled foreign company regime</w:t>
            </w:r>
            <w:r>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2061B5" w14:textId="3B2C28CE" w:rsidR="006C2FF5" w:rsidRPr="00BE2689" w:rsidRDefault="000256B0" w:rsidP="00BE2689">
            <w:pPr>
              <w:pStyle w:val="paragraph"/>
              <w:spacing w:before="0" w:beforeAutospacing="0" w:after="0" w:afterAutospacing="0"/>
              <w:textAlignment w:val="baseline"/>
            </w:pPr>
            <w:r w:rsidRPr="00BE2689">
              <w:rPr>
                <w:rStyle w:val="normaltextrun"/>
                <w:rFonts w:ascii="Calibri" w:eastAsiaTheme="majorEastAsia" w:hAnsi="Calibri" w:cs="Calibri"/>
                <w:sz w:val="22"/>
                <w:szCs w:val="22"/>
              </w:rPr>
              <w:t>No</w:t>
            </w:r>
            <w:r w:rsidR="006C2FF5" w:rsidRPr="00BE2689">
              <w:rPr>
                <w:rStyle w:val="normaltextrun"/>
                <w:rFonts w:ascii="Calibri" w:eastAsiaTheme="majorEastAsia" w:hAnsi="Calibri" w:cs="Calibri"/>
                <w:sz w:val="22"/>
                <w:szCs w:val="22"/>
              </w:rPr>
              <w:t>.</w:t>
            </w:r>
            <w:r w:rsidR="006C2FF5" w:rsidRPr="00BE2689">
              <w:rPr>
                <w:rStyle w:val="eop"/>
                <w:rFonts w:ascii="Calibri" w:eastAsiaTheme="majorEastAsia" w:hAnsi="Calibri" w:cs="Calibri"/>
                <w:sz w:val="22"/>
                <w:szCs w:val="22"/>
              </w:rPr>
              <w:t> </w:t>
            </w:r>
          </w:p>
        </w:tc>
      </w:tr>
      <w:tr w:rsidR="006C2FF5" w14:paraId="0EB7D528"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350F5B5"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Transfer pricing regime</w:t>
            </w:r>
            <w:r>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EF1B1D" w14:textId="33AD4202" w:rsidR="006C2FF5" w:rsidRDefault="006C2FF5" w:rsidP="00BE2689">
            <w:pPr>
              <w:pStyle w:val="paragraph"/>
              <w:spacing w:before="0" w:beforeAutospacing="0" w:after="0" w:afterAutospacing="0"/>
              <w:textAlignment w:val="baseline"/>
              <w:rPr>
                <w:rStyle w:val="eop"/>
                <w:rFonts w:ascii="Calibri" w:eastAsiaTheme="majorEastAsia" w:hAnsi="Calibri" w:cs="Calibri"/>
                <w:sz w:val="22"/>
                <w:szCs w:val="22"/>
              </w:rPr>
            </w:pPr>
            <w:r w:rsidRPr="00BE2689">
              <w:rPr>
                <w:rStyle w:val="normaltextrun"/>
                <w:rFonts w:ascii="Calibri" w:eastAsiaTheme="majorEastAsia" w:hAnsi="Calibri" w:cs="Calibri"/>
                <w:sz w:val="22"/>
                <w:szCs w:val="22"/>
              </w:rPr>
              <w:t>Yes. (</w:t>
            </w:r>
            <w:hyperlink r:id="rId43" w:tgtFrame="_blank" w:history="1">
              <w:r w:rsidRPr="00BE2689">
                <w:rPr>
                  <w:rStyle w:val="normaltextrun"/>
                  <w:rFonts w:ascii="Calibri" w:eastAsiaTheme="majorEastAsia" w:hAnsi="Calibri" w:cs="Calibri"/>
                  <w:color w:val="0563C1"/>
                  <w:sz w:val="22"/>
                  <w:szCs w:val="22"/>
                  <w:u w:val="single"/>
                </w:rPr>
                <w:t xml:space="preserve">Section </w:t>
              </w:r>
              <w:r w:rsidR="00E45850" w:rsidRPr="00BE2689">
                <w:rPr>
                  <w:rStyle w:val="normaltextrun"/>
                  <w:rFonts w:ascii="Calibri" w:eastAsiaTheme="majorEastAsia" w:hAnsi="Calibri" w:cs="Calibri"/>
                  <w:color w:val="0563C1"/>
                  <w:sz w:val="22"/>
                  <w:szCs w:val="22"/>
                  <w:u w:val="single"/>
                </w:rPr>
                <w:t>V</w:t>
              </w:r>
              <w:r w:rsidRPr="00BE2689">
                <w:rPr>
                  <w:rStyle w:val="normaltextrun"/>
                  <w:rFonts w:ascii="Calibri" w:eastAsiaTheme="majorEastAsia" w:hAnsi="Calibri" w:cs="Calibri"/>
                  <w:color w:val="0563C1"/>
                  <w:sz w:val="22"/>
                  <w:szCs w:val="22"/>
                  <w:u w:val="single"/>
                </w:rPr>
                <w:t>II</w:t>
              </w:r>
              <w:r w:rsidR="00E45850" w:rsidRPr="00BE2689">
                <w:rPr>
                  <w:rStyle w:val="normaltextrun"/>
                  <w:rFonts w:ascii="Calibri" w:eastAsiaTheme="majorEastAsia" w:hAnsi="Calibri" w:cs="Calibri"/>
                  <w:color w:val="0563C1"/>
                  <w:sz w:val="22"/>
                  <w:szCs w:val="22"/>
                  <w:u w:val="single"/>
                </w:rPr>
                <w:t>.D</w:t>
              </w:r>
              <w:r w:rsidRPr="00BE2689">
                <w:rPr>
                  <w:rStyle w:val="normaltextrun"/>
                  <w:rFonts w:ascii="Calibri" w:eastAsiaTheme="majorEastAsia" w:hAnsi="Calibri" w:cs="Calibri"/>
                  <w:color w:val="0563C1"/>
                  <w:sz w:val="22"/>
                  <w:szCs w:val="22"/>
                  <w:u w:val="single"/>
                </w:rPr>
                <w:t>.</w:t>
              </w:r>
            </w:hyperlink>
            <w:r w:rsidRPr="00BE2689">
              <w:rPr>
                <w:rStyle w:val="normaltextrun"/>
                <w:rFonts w:ascii="Calibri" w:eastAsiaTheme="majorEastAsia" w:hAnsi="Calibri" w:cs="Calibri"/>
                <w:sz w:val="22"/>
                <w:szCs w:val="22"/>
              </w:rPr>
              <w:t>) </w:t>
            </w:r>
            <w:r w:rsidRPr="00BE2689">
              <w:rPr>
                <w:rStyle w:val="eop"/>
                <w:rFonts w:ascii="Calibri" w:eastAsiaTheme="majorEastAsia" w:hAnsi="Calibri" w:cs="Calibri"/>
                <w:sz w:val="22"/>
                <w:szCs w:val="22"/>
              </w:rPr>
              <w:t> </w:t>
            </w:r>
          </w:p>
          <w:p w14:paraId="7B598EA7" w14:textId="77777777" w:rsidR="00275266" w:rsidRDefault="00275266" w:rsidP="00BE2689">
            <w:pPr>
              <w:pStyle w:val="paragraph"/>
              <w:spacing w:before="0" w:beforeAutospacing="0" w:after="0" w:afterAutospacing="0"/>
              <w:textAlignment w:val="baseline"/>
              <w:rPr>
                <w:rStyle w:val="eop"/>
                <w:rFonts w:ascii="Calibri" w:eastAsiaTheme="majorEastAsia" w:hAnsi="Calibri" w:cs="Calibri"/>
                <w:sz w:val="22"/>
                <w:szCs w:val="22"/>
              </w:rPr>
            </w:pPr>
          </w:p>
          <w:p w14:paraId="76F009C3" w14:textId="3D3992FE" w:rsidR="006C2FF5" w:rsidRPr="00BE2689" w:rsidRDefault="006C2FF5" w:rsidP="00275266">
            <w:pPr>
              <w:pStyle w:val="paragraph"/>
              <w:spacing w:before="0" w:beforeAutospacing="0"/>
              <w:textAlignment w:val="baseline"/>
              <w:rPr>
                <w:rFonts w:ascii="Calibri" w:hAnsi="Calibri" w:cs="Calibri"/>
                <w:sz w:val="22"/>
                <w:szCs w:val="22"/>
              </w:rPr>
            </w:pPr>
            <w:r w:rsidRPr="00BE2689">
              <w:rPr>
                <w:rStyle w:val="normaltextrun"/>
                <w:rFonts w:ascii="Calibri" w:eastAsiaTheme="majorEastAsia" w:hAnsi="Calibri" w:cs="Calibri"/>
                <w:color w:val="333333"/>
                <w:sz w:val="22"/>
                <w:szCs w:val="22"/>
              </w:rPr>
              <w:t xml:space="preserve">Country-by-country report: </w:t>
            </w:r>
            <w:r w:rsidRPr="00BE2689">
              <w:rPr>
                <w:rStyle w:val="normaltextrun"/>
                <w:rFonts w:ascii="Calibri" w:eastAsiaTheme="majorEastAsia" w:hAnsi="Calibri" w:cs="Calibri"/>
                <w:sz w:val="22"/>
                <w:szCs w:val="22"/>
              </w:rPr>
              <w:t>Yes. (</w:t>
            </w:r>
            <w:hyperlink r:id="rId44" w:anchor="section(1)_0" w:tgtFrame="_blank" w:history="1">
              <w:r w:rsidRPr="00BE2689">
                <w:rPr>
                  <w:rStyle w:val="normaltextrun"/>
                  <w:rFonts w:ascii="Calibri" w:eastAsiaTheme="majorEastAsia" w:hAnsi="Calibri" w:cs="Calibri"/>
                  <w:color w:val="0563C1"/>
                  <w:sz w:val="22"/>
                  <w:szCs w:val="22"/>
                  <w:u w:val="single"/>
                </w:rPr>
                <w:t xml:space="preserve">Section </w:t>
              </w:r>
              <w:r w:rsidR="0019255E" w:rsidRPr="00BE2689">
                <w:rPr>
                  <w:rStyle w:val="normaltextrun"/>
                  <w:rFonts w:ascii="Calibri" w:eastAsiaTheme="majorEastAsia" w:hAnsi="Calibri" w:cs="Calibri"/>
                  <w:color w:val="0563C1"/>
                  <w:sz w:val="22"/>
                  <w:szCs w:val="22"/>
                  <w:u w:val="single"/>
                </w:rPr>
                <w:t>V</w:t>
              </w:r>
              <w:r w:rsidRPr="00BE2689">
                <w:rPr>
                  <w:rStyle w:val="normaltextrun"/>
                  <w:rFonts w:ascii="Calibri" w:eastAsiaTheme="majorEastAsia" w:hAnsi="Calibri" w:cs="Calibri"/>
                  <w:color w:val="0563C1"/>
                  <w:sz w:val="22"/>
                  <w:szCs w:val="22"/>
                  <w:u w:val="single"/>
                </w:rPr>
                <w:t>II.</w:t>
              </w:r>
              <w:r w:rsidR="0019255E" w:rsidRPr="00BE2689">
                <w:rPr>
                  <w:rStyle w:val="normaltextrun"/>
                  <w:rFonts w:ascii="Calibri" w:eastAsiaTheme="majorEastAsia" w:hAnsi="Calibri" w:cs="Calibri"/>
                  <w:color w:val="0563C1"/>
                  <w:sz w:val="22"/>
                  <w:szCs w:val="22"/>
                  <w:u w:val="single"/>
                </w:rPr>
                <w:t>D.1</w:t>
              </w:r>
              <w:r w:rsidRPr="00BE2689">
                <w:rPr>
                  <w:rStyle w:val="normaltextrun"/>
                  <w:rFonts w:ascii="Calibri" w:eastAsiaTheme="majorEastAsia" w:hAnsi="Calibri" w:cs="Calibri"/>
                  <w:color w:val="0563C1"/>
                  <w:sz w:val="22"/>
                  <w:szCs w:val="22"/>
                  <w:u w:val="single"/>
                </w:rPr>
                <w:t>.</w:t>
              </w:r>
            </w:hyperlink>
            <w:r w:rsidRPr="00BE2689">
              <w:rPr>
                <w:rStyle w:val="normaltextrun"/>
                <w:rFonts w:ascii="Calibri" w:eastAsiaTheme="majorEastAsia" w:hAnsi="Calibri" w:cs="Calibri"/>
                <w:sz w:val="22"/>
                <w:szCs w:val="22"/>
              </w:rPr>
              <w:t>) </w:t>
            </w:r>
            <w:r w:rsidRPr="00BE2689">
              <w:rPr>
                <w:rStyle w:val="eop"/>
                <w:rFonts w:ascii="Calibri" w:eastAsiaTheme="majorEastAsia" w:hAnsi="Calibri" w:cs="Calibri"/>
                <w:sz w:val="22"/>
                <w:szCs w:val="22"/>
              </w:rPr>
              <w:t> </w:t>
            </w:r>
          </w:p>
          <w:p w14:paraId="71B3830F" w14:textId="2FA33A0C" w:rsidR="006C2FF5" w:rsidRPr="00BE2689" w:rsidRDefault="006C2FF5" w:rsidP="00275266">
            <w:pPr>
              <w:pStyle w:val="paragraph"/>
              <w:spacing w:after="0" w:afterAutospacing="0"/>
              <w:textAlignment w:val="baseline"/>
              <w:rPr>
                <w:rFonts w:ascii="Calibri" w:hAnsi="Calibri" w:cs="Calibri"/>
                <w:sz w:val="22"/>
                <w:szCs w:val="22"/>
              </w:rPr>
            </w:pPr>
            <w:r w:rsidRPr="00BE2689">
              <w:rPr>
                <w:rStyle w:val="normaltextrun"/>
                <w:rFonts w:ascii="Calibri" w:eastAsiaTheme="majorEastAsia" w:hAnsi="Calibri" w:cs="Calibri"/>
                <w:sz w:val="22"/>
                <w:szCs w:val="22"/>
              </w:rPr>
              <w:t xml:space="preserve">See also </w:t>
            </w:r>
            <w:hyperlink r:id="rId45" w:tgtFrame="_blank" w:history="1">
              <w:r w:rsidRPr="00BE2689">
                <w:rPr>
                  <w:rStyle w:val="normaltextrun"/>
                  <w:rFonts w:ascii="Calibri" w:eastAsiaTheme="majorEastAsia" w:hAnsi="Calibri" w:cs="Calibri"/>
                  <w:color w:val="0563C1"/>
                  <w:sz w:val="22"/>
                  <w:szCs w:val="22"/>
                  <w:u w:val="single"/>
                </w:rPr>
                <w:t xml:space="preserve">Chapter </w:t>
              </w:r>
              <w:r w:rsidR="00BC34FE" w:rsidRPr="00BE2689">
                <w:rPr>
                  <w:rStyle w:val="normaltextrun"/>
                  <w:rFonts w:ascii="Calibri" w:eastAsiaTheme="majorEastAsia" w:hAnsi="Calibri" w:cs="Calibri"/>
                  <w:color w:val="0563C1"/>
                  <w:sz w:val="22"/>
                  <w:szCs w:val="22"/>
                  <w:u w:val="single"/>
                </w:rPr>
                <w:t>70</w:t>
              </w:r>
              <w:r w:rsidRPr="00BE2689">
                <w:rPr>
                  <w:rStyle w:val="normaltextrun"/>
                  <w:rFonts w:ascii="Calibri" w:eastAsiaTheme="majorEastAsia" w:hAnsi="Calibri" w:cs="Calibri"/>
                  <w:color w:val="0563C1"/>
                  <w:sz w:val="22"/>
                  <w:szCs w:val="22"/>
                  <w:u w:val="single"/>
                </w:rPr>
                <w:t xml:space="preserve"> of 69</w:t>
              </w:r>
              <w:r w:rsidR="00BC34FE" w:rsidRPr="00BE2689">
                <w:rPr>
                  <w:rStyle w:val="normaltextrun"/>
                  <w:rFonts w:ascii="Calibri" w:eastAsiaTheme="majorEastAsia" w:hAnsi="Calibri" w:cs="Calibri"/>
                  <w:color w:val="0563C1"/>
                  <w:sz w:val="22"/>
                  <w:szCs w:val="22"/>
                  <w:u w:val="single"/>
                </w:rPr>
                <w:t>5</w:t>
              </w:r>
              <w:r w:rsidRPr="00BE2689">
                <w:rPr>
                  <w:rStyle w:val="normaltextrun"/>
                  <w:rFonts w:ascii="Calibri" w:eastAsiaTheme="majorEastAsia" w:hAnsi="Calibri" w:cs="Calibri"/>
                  <w:color w:val="0563C1"/>
                  <w:sz w:val="22"/>
                  <w:szCs w:val="22"/>
                  <w:u w:val="single"/>
                </w:rPr>
                <w:t>5 T.M., Transfer Pricing: Rules and Practice in Selected Countries (</w:t>
              </w:r>
              <w:r w:rsidR="00BC34FE" w:rsidRPr="00BE2689">
                <w:rPr>
                  <w:rStyle w:val="normaltextrun"/>
                  <w:rFonts w:ascii="Calibri" w:eastAsiaTheme="majorEastAsia" w:hAnsi="Calibri" w:cs="Calibri"/>
                  <w:color w:val="0563C1"/>
                  <w:sz w:val="22"/>
                  <w:szCs w:val="22"/>
                  <w:u w:val="single"/>
                </w:rPr>
                <w:t>H</w:t>
              </w:r>
              <w:r w:rsidRPr="00BE2689">
                <w:rPr>
                  <w:rStyle w:val="normaltextrun"/>
                  <w:rFonts w:ascii="Calibri" w:eastAsiaTheme="majorEastAsia" w:hAnsi="Calibri" w:cs="Calibri"/>
                  <w:color w:val="0563C1"/>
                  <w:sz w:val="22"/>
                  <w:szCs w:val="22"/>
                  <w:u w:val="single"/>
                </w:rPr>
                <w:t>–</w:t>
              </w:r>
              <w:r w:rsidR="00BC34FE" w:rsidRPr="00BE2689">
                <w:rPr>
                  <w:rStyle w:val="normaltextrun"/>
                  <w:rFonts w:ascii="Calibri" w:eastAsiaTheme="majorEastAsia" w:hAnsi="Calibri" w:cs="Calibri"/>
                  <w:color w:val="0563C1"/>
                  <w:sz w:val="22"/>
                  <w:szCs w:val="22"/>
                  <w:u w:val="single"/>
                </w:rPr>
                <w:t>I</w:t>
              </w:r>
              <w:r w:rsidRPr="00BE2689">
                <w:rPr>
                  <w:rStyle w:val="normaltextrun"/>
                  <w:rFonts w:ascii="Calibri" w:eastAsiaTheme="majorEastAsia" w:hAnsi="Calibri" w:cs="Calibri"/>
                  <w:color w:val="0563C1"/>
                  <w:sz w:val="22"/>
                  <w:szCs w:val="22"/>
                  <w:u w:val="single"/>
                </w:rPr>
                <w:t>)</w:t>
              </w:r>
            </w:hyperlink>
            <w:r w:rsidRPr="00BE2689">
              <w:rPr>
                <w:rStyle w:val="normaltextrun"/>
                <w:rFonts w:ascii="Calibri" w:eastAsiaTheme="majorEastAsia" w:hAnsi="Calibri" w:cs="Calibri"/>
                <w:sz w:val="22"/>
                <w:szCs w:val="22"/>
              </w:rPr>
              <w:t>. </w:t>
            </w:r>
            <w:r w:rsidRPr="00BE2689">
              <w:rPr>
                <w:rStyle w:val="eop"/>
                <w:rFonts w:ascii="Calibri" w:eastAsiaTheme="majorEastAsia" w:hAnsi="Calibri" w:cs="Calibri"/>
                <w:sz w:val="22"/>
                <w:szCs w:val="22"/>
              </w:rPr>
              <w:t> </w:t>
            </w:r>
          </w:p>
        </w:tc>
      </w:tr>
      <w:tr w:rsidR="006C2FF5" w14:paraId="2B6C0AB3"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D791900"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General anti-avoidance rule</w:t>
            </w:r>
            <w:r>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C0FB0D" w14:textId="24AB7312" w:rsidR="006C2FF5" w:rsidRPr="00BE2689" w:rsidRDefault="006C2FF5" w:rsidP="007909FE">
            <w:pPr>
              <w:pStyle w:val="paragraph"/>
              <w:spacing w:before="0" w:beforeAutospacing="0" w:after="0" w:afterAutospacing="0"/>
              <w:textAlignment w:val="baseline"/>
              <w:rPr>
                <w:rFonts w:ascii="Calibri" w:hAnsi="Calibri" w:cs="Calibri"/>
                <w:sz w:val="22"/>
                <w:szCs w:val="22"/>
              </w:rPr>
            </w:pPr>
            <w:r w:rsidRPr="00BE2689">
              <w:rPr>
                <w:rStyle w:val="normaltextrun"/>
                <w:rFonts w:ascii="Calibri" w:eastAsiaTheme="majorEastAsia" w:hAnsi="Calibri" w:cs="Calibri"/>
                <w:sz w:val="22"/>
                <w:szCs w:val="22"/>
              </w:rPr>
              <w:t>Yes. (</w:t>
            </w:r>
            <w:hyperlink r:id="rId46" w:anchor="section(2)_0" w:tgtFrame="_blank" w:history="1">
              <w:r w:rsidRPr="00BE2689">
                <w:rPr>
                  <w:rStyle w:val="normaltextrun"/>
                  <w:rFonts w:ascii="Calibri" w:eastAsiaTheme="majorEastAsia" w:hAnsi="Calibri" w:cs="Calibri"/>
                  <w:color w:val="0563C1"/>
                  <w:sz w:val="22"/>
                  <w:szCs w:val="22"/>
                  <w:u w:val="single"/>
                </w:rPr>
                <w:t xml:space="preserve">Section </w:t>
              </w:r>
              <w:r w:rsidR="0002156D" w:rsidRPr="00BE2689">
                <w:rPr>
                  <w:rStyle w:val="normaltextrun"/>
                  <w:rFonts w:ascii="Calibri" w:eastAsiaTheme="majorEastAsia" w:hAnsi="Calibri" w:cs="Calibri"/>
                  <w:color w:val="0563C1"/>
                  <w:sz w:val="22"/>
                  <w:szCs w:val="22"/>
                  <w:u w:val="single"/>
                </w:rPr>
                <w:t>X</w:t>
              </w:r>
              <w:r w:rsidRPr="00BE2689">
                <w:rPr>
                  <w:rStyle w:val="normaltextrun"/>
                  <w:rFonts w:ascii="Calibri" w:eastAsiaTheme="majorEastAsia" w:hAnsi="Calibri" w:cs="Calibri"/>
                  <w:color w:val="0563C1"/>
                  <w:sz w:val="22"/>
                  <w:szCs w:val="22"/>
                  <w:u w:val="single"/>
                </w:rPr>
                <w:t>.</w:t>
              </w:r>
              <w:r w:rsidR="0002156D" w:rsidRPr="00BE2689">
                <w:rPr>
                  <w:rStyle w:val="normaltextrun"/>
                  <w:rFonts w:ascii="Calibri" w:eastAsiaTheme="majorEastAsia" w:hAnsi="Calibri" w:cs="Calibri"/>
                  <w:color w:val="0563C1"/>
                  <w:sz w:val="22"/>
                  <w:szCs w:val="22"/>
                  <w:u w:val="single"/>
                </w:rPr>
                <w:t>F</w:t>
              </w:r>
              <w:r w:rsidRPr="00BE2689">
                <w:rPr>
                  <w:rStyle w:val="normaltextrun"/>
                  <w:rFonts w:ascii="Calibri" w:eastAsiaTheme="majorEastAsia" w:hAnsi="Calibri" w:cs="Calibri"/>
                  <w:color w:val="0563C1"/>
                  <w:sz w:val="22"/>
                  <w:szCs w:val="22"/>
                  <w:u w:val="single"/>
                </w:rPr>
                <w:t>.</w:t>
              </w:r>
            </w:hyperlink>
            <w:r w:rsidRPr="00BE2689">
              <w:rPr>
                <w:rStyle w:val="normaltextrun"/>
                <w:rFonts w:ascii="Calibri" w:eastAsiaTheme="majorEastAsia" w:hAnsi="Calibri" w:cs="Calibri"/>
                <w:color w:val="0563C1"/>
                <w:sz w:val="22"/>
                <w:szCs w:val="22"/>
                <w:u w:val="single"/>
              </w:rPr>
              <w:t>2.</w:t>
            </w:r>
            <w:r w:rsidRPr="00BE2689">
              <w:rPr>
                <w:rStyle w:val="normaltextrun"/>
                <w:rFonts w:ascii="Calibri" w:eastAsiaTheme="majorEastAsia" w:hAnsi="Calibri" w:cs="Calibri"/>
                <w:sz w:val="22"/>
                <w:szCs w:val="22"/>
              </w:rPr>
              <w:t>)</w:t>
            </w:r>
          </w:p>
        </w:tc>
      </w:tr>
      <w:tr w:rsidR="006C2FF5" w14:paraId="3DB8EE72"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AE33ADC"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Mandatory disclosure regime</w:t>
            </w:r>
            <w:r>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55EEDA" w14:textId="2A2A54EF" w:rsidR="006C2FF5" w:rsidRPr="00BE2689" w:rsidRDefault="00514188" w:rsidP="00BE2689">
            <w:pPr>
              <w:pStyle w:val="paragraph"/>
              <w:spacing w:before="0" w:beforeAutospacing="0" w:after="0" w:afterAutospacing="0"/>
              <w:textAlignment w:val="baseline"/>
            </w:pPr>
            <w:r w:rsidRPr="00BE2689">
              <w:rPr>
                <w:rStyle w:val="normaltextrun"/>
                <w:rFonts w:ascii="Calibri" w:eastAsiaTheme="majorEastAsia" w:hAnsi="Calibri" w:cs="Calibri"/>
                <w:sz w:val="22"/>
                <w:szCs w:val="22"/>
              </w:rPr>
              <w:t>No</w:t>
            </w:r>
            <w:r w:rsidR="006C2FF5" w:rsidRPr="00BE2689">
              <w:rPr>
                <w:rStyle w:val="normaltextrun"/>
                <w:rFonts w:ascii="Calibri" w:eastAsiaTheme="majorEastAsia" w:hAnsi="Calibri" w:cs="Calibri"/>
                <w:sz w:val="22"/>
                <w:szCs w:val="22"/>
              </w:rPr>
              <w:t>.</w:t>
            </w:r>
            <w:r w:rsidR="006C2FF5" w:rsidRPr="00BE2689">
              <w:rPr>
                <w:rStyle w:val="eop"/>
                <w:rFonts w:ascii="Calibri" w:eastAsiaTheme="majorEastAsia" w:hAnsi="Calibri" w:cs="Calibri"/>
                <w:sz w:val="22"/>
                <w:szCs w:val="22"/>
              </w:rPr>
              <w:t> </w:t>
            </w:r>
          </w:p>
        </w:tc>
      </w:tr>
      <w:tr w:rsidR="006C2FF5" w14:paraId="393F88C9"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A06FAA"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Foreign tax relief </w:t>
            </w:r>
            <w:r>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7E8CE4E" w14:textId="1490E544" w:rsidR="006C2FF5" w:rsidRPr="00BE2689" w:rsidRDefault="006C2FF5" w:rsidP="00276CCB">
            <w:pPr>
              <w:pStyle w:val="paragraph"/>
              <w:spacing w:before="0" w:beforeAutospacing="0" w:after="0" w:afterAutospacing="0"/>
              <w:textAlignment w:val="baseline"/>
              <w:rPr>
                <w:rFonts w:ascii="Calibri" w:hAnsi="Calibri" w:cs="Calibri"/>
                <w:sz w:val="22"/>
                <w:szCs w:val="22"/>
              </w:rPr>
            </w:pPr>
            <w:r w:rsidRPr="00BE2689">
              <w:rPr>
                <w:rStyle w:val="normaltextrun"/>
                <w:rFonts w:ascii="Calibri" w:eastAsiaTheme="majorEastAsia" w:hAnsi="Calibri" w:cs="Calibri"/>
                <w:sz w:val="22"/>
                <w:szCs w:val="22"/>
              </w:rPr>
              <w:t>Relief may be granted unilaterally</w:t>
            </w:r>
            <w:r w:rsidR="009807C3" w:rsidRPr="00BE2689">
              <w:rPr>
                <w:rStyle w:val="normaltextrun"/>
                <w:rFonts w:ascii="Calibri" w:eastAsiaTheme="majorEastAsia" w:hAnsi="Calibri" w:cs="Calibri"/>
                <w:sz w:val="22"/>
                <w:szCs w:val="22"/>
              </w:rPr>
              <w:t>:</w:t>
            </w:r>
            <w:r w:rsidR="00236441" w:rsidRPr="00BE2689">
              <w:rPr>
                <w:rStyle w:val="normaltextrun"/>
                <w:rFonts w:ascii="Calibri" w:eastAsiaTheme="majorEastAsia" w:hAnsi="Calibri" w:cs="Calibri"/>
                <w:sz w:val="22"/>
                <w:szCs w:val="22"/>
              </w:rPr>
              <w:t xml:space="preserve"> </w:t>
            </w:r>
            <w:r w:rsidRPr="00BE2689">
              <w:rPr>
                <w:rStyle w:val="normaltextrun"/>
                <w:rFonts w:ascii="Calibri" w:eastAsiaTheme="majorEastAsia" w:hAnsi="Calibri" w:cs="Calibri"/>
                <w:sz w:val="22"/>
                <w:szCs w:val="22"/>
              </w:rPr>
              <w:t xml:space="preserve">by way of </w:t>
            </w:r>
            <w:r w:rsidR="009807C3" w:rsidRPr="00BE2689">
              <w:rPr>
                <w:rStyle w:val="normaltextrun"/>
                <w:rFonts w:ascii="Calibri" w:eastAsiaTheme="majorEastAsia" w:hAnsi="Calibri" w:cs="Calibri"/>
                <w:sz w:val="22"/>
                <w:szCs w:val="22"/>
              </w:rPr>
              <w:t xml:space="preserve">a </w:t>
            </w:r>
            <w:r w:rsidRPr="00BE2689">
              <w:rPr>
                <w:rStyle w:val="normaltextrun"/>
                <w:rFonts w:ascii="Calibri" w:eastAsiaTheme="majorEastAsia" w:hAnsi="Calibri" w:cs="Calibri"/>
                <w:sz w:val="22"/>
                <w:szCs w:val="22"/>
              </w:rPr>
              <w:t>deduction</w:t>
            </w:r>
            <w:r w:rsidR="00D160DA" w:rsidRPr="00BE2689">
              <w:rPr>
                <w:rStyle w:val="normaltextrun"/>
                <w:rFonts w:ascii="Calibri" w:eastAsiaTheme="majorEastAsia" w:hAnsi="Calibri" w:cs="Calibri"/>
                <w:sz w:val="22"/>
                <w:szCs w:val="22"/>
              </w:rPr>
              <w:t>, in certain circumstances</w:t>
            </w:r>
            <w:r w:rsidRPr="00BE2689">
              <w:rPr>
                <w:rStyle w:val="normaltextrun"/>
                <w:rFonts w:ascii="Calibri" w:eastAsiaTheme="majorEastAsia" w:hAnsi="Calibri" w:cs="Calibri"/>
                <w:sz w:val="22"/>
                <w:szCs w:val="22"/>
              </w:rPr>
              <w:t>; or under the terms of a tax treaty: by way of a credit. (</w:t>
            </w:r>
            <w:hyperlink r:id="rId47" w:tgtFrame="_blank" w:history="1">
              <w:r w:rsidRPr="00BE2689">
                <w:rPr>
                  <w:rStyle w:val="normaltextrun"/>
                  <w:rFonts w:ascii="Calibri" w:eastAsiaTheme="majorEastAsia" w:hAnsi="Calibri" w:cs="Calibri"/>
                  <w:color w:val="0563C1"/>
                  <w:sz w:val="22"/>
                  <w:szCs w:val="22"/>
                  <w:u w:val="single"/>
                </w:rPr>
                <w:t>Section XV</w:t>
              </w:r>
              <w:r w:rsidR="001C59FE" w:rsidRPr="00BE2689">
                <w:rPr>
                  <w:rStyle w:val="normaltextrun"/>
                  <w:rFonts w:ascii="Calibri" w:eastAsiaTheme="majorEastAsia" w:hAnsi="Calibri" w:cs="Calibri"/>
                  <w:color w:val="0563C1"/>
                  <w:sz w:val="22"/>
                  <w:szCs w:val="22"/>
                  <w:u w:val="single"/>
                </w:rPr>
                <w:t>I</w:t>
              </w:r>
              <w:r w:rsidRPr="00BE2689">
                <w:rPr>
                  <w:rStyle w:val="normaltextrun"/>
                  <w:rFonts w:ascii="Calibri" w:eastAsiaTheme="majorEastAsia" w:hAnsi="Calibri" w:cs="Calibri"/>
                  <w:color w:val="0563C1"/>
                  <w:sz w:val="22"/>
                  <w:szCs w:val="22"/>
                  <w:u w:val="single"/>
                </w:rPr>
                <w:t>.B.</w:t>
              </w:r>
            </w:hyperlink>
            <w:r w:rsidRPr="00BE2689">
              <w:rPr>
                <w:rStyle w:val="normaltextrun"/>
                <w:rFonts w:ascii="Calibri" w:eastAsiaTheme="majorEastAsia" w:hAnsi="Calibri" w:cs="Calibri"/>
                <w:sz w:val="22"/>
                <w:szCs w:val="22"/>
              </w:rPr>
              <w:t>)</w:t>
            </w:r>
            <w:r w:rsidR="00151506" w:rsidRPr="00BE2689">
              <w:rPr>
                <w:rStyle w:val="normaltextrun"/>
                <w:rFonts w:ascii="Calibri" w:eastAsiaTheme="majorEastAsia" w:hAnsi="Calibri" w:cs="Calibri"/>
                <w:sz w:val="22"/>
                <w:szCs w:val="22"/>
              </w:rPr>
              <w:t xml:space="preserve"> </w:t>
            </w:r>
          </w:p>
        </w:tc>
      </w:tr>
      <w:tr w:rsidR="006C2FF5" w14:paraId="2E4259D1" w14:textId="77777777" w:rsidTr="5B9A3384">
        <w:trPr>
          <w:trHeight w:val="300"/>
        </w:trPr>
        <w:tc>
          <w:tcPr>
            <w:tcW w:w="12892"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556F6A00" w14:textId="77777777" w:rsidR="006C2FF5" w:rsidRPr="00BE2689" w:rsidRDefault="006C2FF5" w:rsidP="00BE2689">
            <w:pPr>
              <w:pStyle w:val="paragraph"/>
              <w:spacing w:before="120" w:beforeAutospacing="0" w:after="120" w:afterAutospacing="0"/>
              <w:textAlignment w:val="baseline"/>
            </w:pPr>
            <w:r w:rsidRPr="00BE2689">
              <w:rPr>
                <w:rStyle w:val="normaltextrun"/>
                <w:rFonts w:ascii="Calibri" w:eastAsiaTheme="majorEastAsia" w:hAnsi="Calibri" w:cs="Calibri"/>
                <w:b/>
                <w:bCs/>
                <w:color w:val="FFFFFF"/>
                <w:sz w:val="28"/>
                <w:szCs w:val="28"/>
              </w:rPr>
              <w:t>Individuals</w:t>
            </w:r>
            <w:r w:rsidRPr="00BE2689">
              <w:rPr>
                <w:rStyle w:val="eop"/>
                <w:rFonts w:ascii="Calibri" w:eastAsiaTheme="majorEastAsia" w:hAnsi="Calibri" w:cs="Calibri"/>
                <w:color w:val="FFFFFF"/>
                <w:sz w:val="28"/>
                <w:szCs w:val="28"/>
              </w:rPr>
              <w:t> </w:t>
            </w:r>
          </w:p>
        </w:tc>
      </w:tr>
      <w:tr w:rsidR="006C2FF5" w14:paraId="02E78724"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hideMark/>
          </w:tcPr>
          <w:p w14:paraId="427C7C45" w14:textId="123E2EC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Personal income tax rates </w:t>
            </w:r>
            <w:r>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38EB5234" w14:textId="77777777" w:rsidR="006F3CB4" w:rsidRDefault="00BC609D" w:rsidP="00BE2689">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Lower of</w:t>
            </w:r>
            <w:r w:rsidR="00DF7404">
              <w:rPr>
                <w:rStyle w:val="normaltextrun"/>
                <w:rFonts w:ascii="Calibri" w:eastAsiaTheme="majorEastAsia" w:hAnsi="Calibri" w:cs="Calibri"/>
                <w:sz w:val="22"/>
                <w:szCs w:val="22"/>
              </w:rPr>
              <w:t xml:space="preserve">: </w:t>
            </w:r>
          </w:p>
          <w:p w14:paraId="1ADDDE29" w14:textId="4CA09AB1" w:rsidR="006F3CB4" w:rsidRDefault="00BC609D" w:rsidP="006F3CB4">
            <w:pPr>
              <w:pStyle w:val="paragraph"/>
              <w:numPr>
                <w:ilvl w:val="0"/>
                <w:numId w:val="27"/>
              </w:numPr>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t</w:t>
            </w:r>
            <w:r w:rsidRPr="00BE2689">
              <w:rPr>
                <w:rStyle w:val="normaltextrun"/>
                <w:rFonts w:ascii="Calibri" w:eastAsiaTheme="majorEastAsia" w:hAnsi="Calibri" w:cs="Calibri"/>
                <w:sz w:val="22"/>
                <w:szCs w:val="22"/>
              </w:rPr>
              <w:t xml:space="preserve">he standard rate </w:t>
            </w:r>
            <w:r>
              <w:rPr>
                <w:rStyle w:val="normaltextrun"/>
                <w:rFonts w:ascii="Calibri" w:eastAsiaTheme="majorEastAsia" w:hAnsi="Calibri" w:cs="Calibri"/>
                <w:sz w:val="22"/>
                <w:szCs w:val="22"/>
              </w:rPr>
              <w:t xml:space="preserve">on net income (before deduction of allowances) at 15% on the first </w:t>
            </w:r>
            <w:r w:rsidRPr="004C7B6D">
              <w:rPr>
                <w:rStyle w:val="normaltextrun"/>
                <w:rFonts w:ascii="Calibri" w:eastAsiaTheme="majorEastAsia" w:hAnsi="Calibri"/>
                <w:sz w:val="22"/>
              </w:rPr>
              <w:t xml:space="preserve">HK$ </w:t>
            </w:r>
            <w:r>
              <w:rPr>
                <w:rStyle w:val="normaltextrun"/>
                <w:rFonts w:ascii="Calibri" w:eastAsiaTheme="majorEastAsia" w:hAnsi="Calibri" w:cs="Calibri"/>
                <w:sz w:val="22"/>
                <w:szCs w:val="22"/>
              </w:rPr>
              <w:t>5</w:t>
            </w:r>
            <w:r w:rsidRPr="004C7B6D">
              <w:rPr>
                <w:rStyle w:val="normaltextrun"/>
                <w:rFonts w:ascii="Calibri" w:eastAsiaTheme="majorEastAsia" w:hAnsi="Calibri"/>
                <w:sz w:val="22"/>
              </w:rPr>
              <w:t>,000</w:t>
            </w:r>
            <w:r>
              <w:rPr>
                <w:rStyle w:val="normaltextrun"/>
                <w:rFonts w:ascii="Calibri" w:eastAsiaTheme="majorEastAsia" w:hAnsi="Calibri" w:cs="Calibri"/>
                <w:sz w:val="22"/>
                <w:szCs w:val="22"/>
              </w:rPr>
              <w:t xml:space="preserve">,000 and 16% on the remainder; and </w:t>
            </w:r>
          </w:p>
          <w:p w14:paraId="5C27EE22" w14:textId="36BD6524" w:rsidR="006C2FF5" w:rsidRPr="00BE2689" w:rsidRDefault="00BC609D" w:rsidP="006F3CB4">
            <w:pPr>
              <w:pStyle w:val="paragraph"/>
              <w:numPr>
                <w:ilvl w:val="0"/>
                <w:numId w:val="2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 xml:space="preserve">(ii) </w:t>
            </w:r>
            <w:r w:rsidRPr="00ED0ABD">
              <w:rPr>
                <w:rStyle w:val="normaltextrun"/>
                <w:rFonts w:eastAsiaTheme="majorEastAsia"/>
              </w:rPr>
              <w:t>t</w:t>
            </w:r>
            <w:r w:rsidRPr="00ED0ABD">
              <w:rPr>
                <w:rStyle w:val="normaltextrun"/>
                <w:rFonts w:ascii="Calibri" w:eastAsiaTheme="majorEastAsia" w:hAnsi="Calibri" w:cs="Calibri"/>
                <w:sz w:val="22"/>
                <w:szCs w:val="22"/>
              </w:rPr>
              <w:t>he</w:t>
            </w:r>
            <w:r w:rsidRPr="004C7B6D">
              <w:rPr>
                <w:rStyle w:val="normaltextrun"/>
                <w:rFonts w:ascii="Calibri" w:eastAsiaTheme="majorEastAsia" w:hAnsi="Calibri"/>
                <w:sz w:val="22"/>
              </w:rPr>
              <w:t xml:space="preserve"> </w:t>
            </w:r>
            <w:r w:rsidRPr="00BE2689">
              <w:rPr>
                <w:rStyle w:val="lrzxr"/>
                <w:rFonts w:ascii="Calibri" w:eastAsiaTheme="majorEastAsia" w:hAnsi="Calibri" w:cs="Calibri"/>
                <w:sz w:val="22"/>
                <w:szCs w:val="22"/>
              </w:rPr>
              <w:t xml:space="preserve">progressive rates </w:t>
            </w:r>
            <w:r w:rsidRPr="00D1205C">
              <w:rPr>
                <w:rStyle w:val="normaltextrun"/>
                <w:rFonts w:ascii="Calibri" w:eastAsiaTheme="majorEastAsia" w:hAnsi="Calibri" w:cs="Calibri"/>
                <w:sz w:val="22"/>
                <w:szCs w:val="22"/>
              </w:rPr>
              <w:t>o</w:t>
            </w:r>
            <w:r w:rsidRPr="00ED0ABD">
              <w:rPr>
                <w:rStyle w:val="normaltextrun"/>
                <w:rFonts w:ascii="Calibri" w:eastAsiaTheme="majorEastAsia" w:hAnsi="Calibri" w:cs="Calibri"/>
                <w:sz w:val="22"/>
                <w:szCs w:val="22"/>
              </w:rPr>
              <w:t xml:space="preserve">n net chargeable income, at </w:t>
            </w:r>
            <w:r w:rsidRPr="00BE2689">
              <w:rPr>
                <w:rStyle w:val="lrzxr"/>
                <w:rFonts w:ascii="Calibri" w:eastAsiaTheme="majorEastAsia" w:hAnsi="Calibri" w:cs="Calibri"/>
                <w:sz w:val="22"/>
                <w:szCs w:val="22"/>
              </w:rPr>
              <w:t>2%, 6%, 10% and 14%</w:t>
            </w:r>
            <w:r w:rsidR="00F22359">
              <w:rPr>
                <w:rStyle w:val="lrzxr"/>
                <w:rFonts w:ascii="Calibri" w:eastAsiaTheme="majorEastAsia" w:hAnsi="Calibri" w:cs="Calibri"/>
                <w:sz w:val="22"/>
                <w:szCs w:val="22"/>
              </w:rPr>
              <w:t>,</w:t>
            </w:r>
            <w:r w:rsidRPr="00BE2689">
              <w:rPr>
                <w:rStyle w:val="lrzxr"/>
                <w:rFonts w:ascii="Calibri" w:eastAsiaTheme="majorEastAsia" w:hAnsi="Calibri" w:cs="Calibri"/>
                <w:sz w:val="22"/>
                <w:szCs w:val="22"/>
              </w:rPr>
              <w:t xml:space="preserve"> based on increments of HK$ 50,000</w:t>
            </w:r>
            <w:r w:rsidR="00F22359">
              <w:rPr>
                <w:rStyle w:val="lrzxr"/>
                <w:rFonts w:ascii="Calibri" w:eastAsiaTheme="majorEastAsia" w:hAnsi="Calibri" w:cs="Calibri"/>
                <w:sz w:val="22"/>
                <w:szCs w:val="22"/>
              </w:rPr>
              <w:t>,</w:t>
            </w:r>
            <w:r w:rsidRPr="00D1205C">
              <w:rPr>
                <w:rStyle w:val="normaltextrun"/>
                <w:rFonts w:eastAsiaTheme="majorEastAsia"/>
              </w:rPr>
              <w:t xml:space="preserve"> </w:t>
            </w:r>
            <w:r w:rsidRPr="00D1205C">
              <w:rPr>
                <w:rStyle w:val="normaltextrun"/>
                <w:rFonts w:ascii="Calibri" w:eastAsiaTheme="majorEastAsia" w:hAnsi="Calibri" w:cs="Calibri"/>
                <w:sz w:val="22"/>
                <w:szCs w:val="22"/>
              </w:rPr>
              <w:t xml:space="preserve">and 17% </w:t>
            </w:r>
            <w:r>
              <w:rPr>
                <w:rStyle w:val="normaltextrun"/>
                <w:rFonts w:ascii="Calibri" w:eastAsiaTheme="majorEastAsia" w:hAnsi="Calibri" w:cs="Calibri"/>
                <w:sz w:val="22"/>
                <w:szCs w:val="22"/>
              </w:rPr>
              <w:t>on net chargeable income above HK$ 200,000</w:t>
            </w:r>
            <w:r w:rsidRPr="00BE2689">
              <w:rPr>
                <w:rStyle w:val="lrzxr"/>
                <w:rFonts w:ascii="Calibri" w:eastAsiaTheme="majorEastAsia" w:hAnsi="Calibri" w:cs="Calibri"/>
                <w:sz w:val="22"/>
                <w:szCs w:val="22"/>
              </w:rPr>
              <w:t>.</w:t>
            </w:r>
            <w:r w:rsidRPr="00BE2689">
              <w:rPr>
                <w:rStyle w:val="normaltextrun"/>
                <w:rFonts w:ascii="Calibri" w:eastAsiaTheme="majorEastAsia" w:hAnsi="Calibri" w:cs="Calibri"/>
                <w:sz w:val="22"/>
                <w:szCs w:val="22"/>
              </w:rPr>
              <w:t xml:space="preserve"> </w:t>
            </w:r>
            <w:r w:rsidR="006C2FF5" w:rsidRPr="00BE2689">
              <w:rPr>
                <w:rStyle w:val="normaltextrun"/>
                <w:rFonts w:ascii="Calibri" w:eastAsiaTheme="majorEastAsia" w:hAnsi="Calibri" w:cs="Calibri"/>
                <w:sz w:val="22"/>
                <w:szCs w:val="22"/>
              </w:rPr>
              <w:t>(</w:t>
            </w:r>
            <w:hyperlink r:id="rId48" w:anchor="section(9)_0" w:tgtFrame="_blank" w:history="1">
              <w:r w:rsidR="006C2FF5" w:rsidRPr="00BE2689">
                <w:rPr>
                  <w:rStyle w:val="normaltextrun"/>
                  <w:rFonts w:ascii="Calibri" w:eastAsiaTheme="majorEastAsia" w:hAnsi="Calibri" w:cs="Calibri"/>
                  <w:color w:val="0563C1"/>
                  <w:sz w:val="22"/>
                  <w:szCs w:val="22"/>
                  <w:u w:val="single"/>
                </w:rPr>
                <w:t xml:space="preserve">Section </w:t>
              </w:r>
              <w:r w:rsidR="00313564" w:rsidRPr="00BE2689">
                <w:rPr>
                  <w:rStyle w:val="normaltextrun"/>
                  <w:rFonts w:ascii="Calibri" w:eastAsiaTheme="majorEastAsia" w:hAnsi="Calibri" w:cs="Calibri"/>
                  <w:color w:val="0563C1"/>
                  <w:sz w:val="22"/>
                  <w:szCs w:val="22"/>
                  <w:u w:val="single"/>
                </w:rPr>
                <w:t>V.C.9</w:t>
              </w:r>
              <w:r w:rsidR="006C2FF5" w:rsidRPr="00BE2689">
                <w:rPr>
                  <w:rStyle w:val="normaltextrun"/>
                  <w:rFonts w:ascii="Calibri" w:eastAsiaTheme="majorEastAsia" w:hAnsi="Calibri" w:cs="Calibri"/>
                  <w:color w:val="0563C1"/>
                  <w:sz w:val="22"/>
                  <w:szCs w:val="22"/>
                  <w:u w:val="single"/>
                </w:rPr>
                <w:t>.</w:t>
              </w:r>
            </w:hyperlink>
            <w:r w:rsidR="006C2FF5" w:rsidRPr="00BE2689">
              <w:rPr>
                <w:rStyle w:val="normaltextrun"/>
                <w:rFonts w:ascii="Calibri" w:eastAsiaTheme="majorEastAsia" w:hAnsi="Calibri" w:cs="Calibri"/>
                <w:sz w:val="22"/>
                <w:szCs w:val="22"/>
              </w:rPr>
              <w:t>)</w:t>
            </w:r>
            <w:r w:rsidR="006C2FF5" w:rsidRPr="00BE2689">
              <w:rPr>
                <w:rStyle w:val="eop"/>
                <w:rFonts w:ascii="Calibri" w:eastAsiaTheme="majorEastAsia" w:hAnsi="Calibri" w:cs="Calibri"/>
                <w:sz w:val="22"/>
                <w:szCs w:val="22"/>
              </w:rPr>
              <w:t> </w:t>
            </w:r>
          </w:p>
        </w:tc>
      </w:tr>
      <w:tr w:rsidR="006C2FF5" w14:paraId="2C99074B"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hideMark/>
          </w:tcPr>
          <w:p w14:paraId="07381C11"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sz w:val="22"/>
                <w:szCs w:val="22"/>
              </w:rPr>
              <w:t>Equity incentives</w:t>
            </w:r>
            <w:r>
              <w:rPr>
                <w:rStyle w:val="eop"/>
                <w:rFonts w:ascii="Calibri" w:eastAsiaTheme="majorEastAsia" w:hAnsi="Calibri" w:cs="Calibri"/>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0E995D32" w14:textId="2CB1EC0A" w:rsidR="006C2FF5" w:rsidRPr="00BE2689" w:rsidRDefault="006C2FF5" w:rsidP="00BE2689">
            <w:pPr>
              <w:pStyle w:val="paragraph"/>
              <w:spacing w:before="0" w:beforeAutospacing="0" w:after="0" w:afterAutospacing="0"/>
              <w:textAlignment w:val="baseline"/>
            </w:pPr>
            <w:r w:rsidRPr="00BE2689">
              <w:rPr>
                <w:rStyle w:val="normaltextrun"/>
                <w:rFonts w:ascii="Calibri" w:eastAsiaTheme="majorEastAsia" w:hAnsi="Calibri" w:cs="Calibri"/>
                <w:sz w:val="22"/>
                <w:szCs w:val="22"/>
              </w:rPr>
              <w:t xml:space="preserve">Yes. </w:t>
            </w:r>
            <w:r w:rsidR="008C796D">
              <w:rPr>
                <w:rStyle w:val="normaltextrun"/>
                <w:rFonts w:ascii="Calibri" w:eastAsiaTheme="majorEastAsia" w:hAnsi="Calibri" w:cs="Calibri"/>
                <w:sz w:val="22"/>
                <w:szCs w:val="22"/>
              </w:rPr>
              <w:t>(</w:t>
            </w:r>
            <w:hyperlink r:id="rId49" w:anchor="section(3)_0" w:history="1">
              <w:r w:rsidR="00DC511E" w:rsidRPr="00910892">
                <w:rPr>
                  <w:rStyle w:val="Hyperlink"/>
                  <w:rFonts w:ascii="Calibri" w:eastAsiaTheme="majorEastAsia" w:hAnsi="Calibri" w:cs="Calibri"/>
                  <w:sz w:val="22"/>
                  <w:szCs w:val="22"/>
                </w:rPr>
                <w:t>Section V.C.3</w:t>
              </w:r>
            </w:hyperlink>
            <w:r w:rsidR="00910892">
              <w:rPr>
                <w:rStyle w:val="eop"/>
                <w:rFonts w:ascii="Calibri" w:eastAsiaTheme="majorEastAsia" w:hAnsi="Calibri" w:cs="Calibri"/>
                <w:sz w:val="22"/>
                <w:szCs w:val="22"/>
              </w:rPr>
              <w:t>.</w:t>
            </w:r>
            <w:r w:rsidR="005B7C46">
              <w:rPr>
                <w:rStyle w:val="eop"/>
                <w:rFonts w:ascii="Calibri" w:eastAsiaTheme="majorEastAsia" w:hAnsi="Calibri" w:cs="Calibri"/>
                <w:sz w:val="22"/>
                <w:szCs w:val="22"/>
              </w:rPr>
              <w:t>)</w:t>
            </w:r>
          </w:p>
        </w:tc>
      </w:tr>
      <w:tr w:rsidR="006C2FF5" w14:paraId="68E67648"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hideMark/>
          </w:tcPr>
          <w:p w14:paraId="05B9A56C"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sz w:val="22"/>
                <w:szCs w:val="22"/>
              </w:rPr>
              <w:t>Foreign tax relief</w:t>
            </w:r>
            <w:r>
              <w:rPr>
                <w:rStyle w:val="eop"/>
                <w:rFonts w:ascii="Calibri" w:eastAsiaTheme="majorEastAsia" w:hAnsi="Calibri" w:cs="Calibri"/>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3E0BE1E9" w14:textId="471596DF" w:rsidR="006C2FF5" w:rsidRPr="00BE2689" w:rsidRDefault="006C2FF5" w:rsidP="00BE2689">
            <w:pPr>
              <w:pStyle w:val="paragraph"/>
              <w:spacing w:before="0" w:beforeAutospacing="0" w:after="0" w:afterAutospacing="0"/>
              <w:textAlignment w:val="baseline"/>
            </w:pPr>
            <w:r w:rsidRPr="00BE2689">
              <w:rPr>
                <w:rStyle w:val="normaltextrun"/>
                <w:rFonts w:ascii="Calibri" w:eastAsiaTheme="majorEastAsia" w:hAnsi="Calibri" w:cs="Calibri"/>
                <w:sz w:val="22"/>
                <w:szCs w:val="22"/>
              </w:rPr>
              <w:t>Yes. (</w:t>
            </w:r>
            <w:hyperlink r:id="rId50" w:tgtFrame="_blank" w:history="1">
              <w:r w:rsidRPr="00BE2689">
                <w:rPr>
                  <w:rStyle w:val="normaltextrun"/>
                  <w:rFonts w:ascii="Calibri" w:eastAsiaTheme="majorEastAsia" w:hAnsi="Calibri" w:cs="Calibri"/>
                  <w:color w:val="0563C1"/>
                  <w:sz w:val="22"/>
                  <w:szCs w:val="22"/>
                  <w:u w:val="single"/>
                </w:rPr>
                <w:t>Section XV</w:t>
              </w:r>
              <w:r w:rsidR="00515E45" w:rsidRPr="00BE2689">
                <w:rPr>
                  <w:rStyle w:val="normaltextrun"/>
                  <w:rFonts w:ascii="Calibri" w:eastAsiaTheme="majorEastAsia" w:hAnsi="Calibri" w:cs="Calibri"/>
                  <w:color w:val="0563C1"/>
                  <w:sz w:val="22"/>
                  <w:szCs w:val="22"/>
                  <w:u w:val="single"/>
                </w:rPr>
                <w:t>I</w:t>
              </w:r>
              <w:r w:rsidRPr="00BE2689">
                <w:rPr>
                  <w:rStyle w:val="normaltextrun"/>
                  <w:rFonts w:ascii="Calibri" w:eastAsiaTheme="majorEastAsia" w:hAnsi="Calibri" w:cs="Calibri"/>
                  <w:color w:val="0563C1"/>
                  <w:sz w:val="22"/>
                  <w:szCs w:val="22"/>
                  <w:u w:val="single"/>
                </w:rPr>
                <w:t>.B.</w:t>
              </w:r>
            </w:hyperlink>
            <w:r w:rsidRPr="00BE2689">
              <w:rPr>
                <w:rStyle w:val="normaltextrun"/>
                <w:rFonts w:ascii="Calibri" w:eastAsiaTheme="majorEastAsia" w:hAnsi="Calibri" w:cs="Calibri"/>
                <w:sz w:val="22"/>
                <w:szCs w:val="22"/>
              </w:rPr>
              <w:t>) </w:t>
            </w:r>
            <w:r w:rsidRPr="00BE2689">
              <w:rPr>
                <w:rStyle w:val="eop"/>
                <w:rFonts w:ascii="Calibri" w:eastAsiaTheme="majorEastAsia" w:hAnsi="Calibri" w:cs="Calibri"/>
                <w:sz w:val="22"/>
                <w:szCs w:val="22"/>
              </w:rPr>
              <w:t> </w:t>
            </w:r>
          </w:p>
        </w:tc>
      </w:tr>
      <w:tr w:rsidR="006C2FF5" w14:paraId="22B3C80B"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D697D7" w14:textId="0D91557D" w:rsidR="006C2FF5" w:rsidRDefault="006C2FF5" w:rsidP="006F3CB4">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Wealth tax</w:t>
            </w:r>
            <w:r w:rsidR="006F3CB4">
              <w:rPr>
                <w:rStyle w:val="normaltextrun"/>
                <w:rFonts w:ascii="Calibri" w:eastAsiaTheme="majorEastAsia" w:hAnsi="Calibri" w:cs="Calibri"/>
                <w:color w:val="333333"/>
                <w:sz w:val="22"/>
                <w:szCs w:val="22"/>
              </w:rPr>
              <w:t>, e</w:t>
            </w:r>
            <w:r>
              <w:rPr>
                <w:rStyle w:val="normaltextrun"/>
                <w:rFonts w:ascii="Calibri" w:eastAsiaTheme="majorEastAsia" w:hAnsi="Calibri" w:cs="Calibri"/>
                <w:color w:val="333333"/>
                <w:sz w:val="22"/>
                <w:szCs w:val="22"/>
              </w:rPr>
              <w:t>state/inheritance taxes</w:t>
            </w:r>
            <w:r w:rsidR="006F3CB4">
              <w:rPr>
                <w:rStyle w:val="normaltextrun"/>
                <w:rFonts w:ascii="Calibri" w:eastAsiaTheme="majorEastAsia" w:hAnsi="Calibri" w:cs="Calibri"/>
                <w:color w:val="333333"/>
                <w:sz w:val="22"/>
                <w:szCs w:val="22"/>
              </w:rPr>
              <w:t>, g</w:t>
            </w:r>
            <w:r>
              <w:rPr>
                <w:rStyle w:val="normaltextrun"/>
                <w:rFonts w:ascii="Calibri" w:eastAsiaTheme="majorEastAsia" w:hAnsi="Calibri" w:cs="Calibri"/>
                <w:color w:val="333333"/>
                <w:sz w:val="22"/>
                <w:szCs w:val="22"/>
              </w:rPr>
              <w:t>ift tax</w:t>
            </w:r>
            <w:r>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6F8BDB09" w14:textId="7DB7CC8E" w:rsidR="006C2FF5" w:rsidRPr="004A7BA1" w:rsidRDefault="00530A9A" w:rsidP="00BE2689">
            <w:pPr>
              <w:pStyle w:val="paragraph"/>
              <w:numPr>
                <w:ilvl w:val="0"/>
                <w:numId w:val="15"/>
              </w:numPr>
              <w:textAlignment w:val="baseline"/>
              <w:rPr>
                <w:rStyle w:val="eop"/>
                <w:rFonts w:ascii="Calibri" w:hAnsi="Calibri" w:cs="Calibri"/>
                <w:sz w:val="22"/>
                <w:szCs w:val="22"/>
              </w:rPr>
            </w:pPr>
            <w:r>
              <w:rPr>
                <w:rFonts w:ascii="Open Sans" w:hAnsi="Open Sans" w:cs="Open Sans"/>
                <w:color w:val="000000"/>
                <w:sz w:val="21"/>
                <w:szCs w:val="21"/>
                <w:shd w:val="clear" w:color="auto" w:fill="FFFFFF"/>
              </w:rPr>
              <w:t>There is no net worth or wealth tax in Hong Kong.</w:t>
            </w:r>
            <w:r w:rsidR="006C2FF5" w:rsidRPr="00BE2689">
              <w:rPr>
                <w:rStyle w:val="normaltextrun"/>
                <w:rFonts w:ascii="Calibri" w:eastAsiaTheme="majorEastAsia" w:hAnsi="Calibri" w:cs="Calibri"/>
                <w:sz w:val="22"/>
                <w:szCs w:val="22"/>
              </w:rPr>
              <w:t>  (</w:t>
            </w:r>
            <w:hyperlink r:id="rId51" w:anchor="section(8)_0" w:tgtFrame="_blank" w:history="1">
              <w:r w:rsidR="006C2FF5" w:rsidRPr="00BE2689">
                <w:rPr>
                  <w:rStyle w:val="normaltextrun"/>
                  <w:rFonts w:ascii="Calibri" w:eastAsiaTheme="majorEastAsia" w:hAnsi="Calibri" w:cs="Calibri"/>
                  <w:color w:val="0563C1"/>
                  <w:sz w:val="22"/>
                  <w:szCs w:val="22"/>
                  <w:u w:val="single"/>
                  <w:shd w:val="clear" w:color="auto" w:fill="FFFFFF"/>
                </w:rPr>
                <w:t>Section IV.</w:t>
              </w:r>
              <w:r w:rsidR="000F445F" w:rsidRPr="00BE2689">
                <w:rPr>
                  <w:rStyle w:val="normaltextrun"/>
                  <w:rFonts w:ascii="Calibri" w:eastAsiaTheme="majorEastAsia" w:hAnsi="Calibri" w:cs="Calibri"/>
                  <w:color w:val="0563C1"/>
                  <w:sz w:val="22"/>
                  <w:szCs w:val="22"/>
                  <w:u w:val="single"/>
                  <w:shd w:val="clear" w:color="auto" w:fill="FFFFFF"/>
                </w:rPr>
                <w:t>B</w:t>
              </w:r>
              <w:r w:rsidR="006C2FF5" w:rsidRPr="00BE2689">
                <w:rPr>
                  <w:rStyle w:val="normaltextrun"/>
                  <w:rFonts w:ascii="Calibri" w:eastAsiaTheme="majorEastAsia" w:hAnsi="Calibri" w:cs="Calibri"/>
                  <w:color w:val="0563C1"/>
                  <w:sz w:val="22"/>
                  <w:szCs w:val="22"/>
                  <w:u w:val="single"/>
                  <w:shd w:val="clear" w:color="auto" w:fill="FFFFFF"/>
                </w:rPr>
                <w:t>.8.</w:t>
              </w:r>
            </w:hyperlink>
            <w:r w:rsidR="006C2FF5" w:rsidRPr="00BE2689">
              <w:rPr>
                <w:rStyle w:val="normaltextrun"/>
                <w:rFonts w:ascii="Calibri" w:eastAsiaTheme="majorEastAsia" w:hAnsi="Calibri" w:cs="Calibri"/>
                <w:sz w:val="22"/>
                <w:szCs w:val="22"/>
              </w:rPr>
              <w:t>)</w:t>
            </w:r>
            <w:r w:rsidR="006C2FF5" w:rsidRPr="00BE2689">
              <w:rPr>
                <w:rStyle w:val="eop"/>
                <w:rFonts w:ascii="Calibri" w:eastAsiaTheme="majorEastAsia" w:hAnsi="Calibri" w:cs="Calibri"/>
                <w:sz w:val="22"/>
                <w:szCs w:val="22"/>
              </w:rPr>
              <w:t> </w:t>
            </w:r>
          </w:p>
          <w:p w14:paraId="4AE3DD76" w14:textId="2EB16BB0" w:rsidR="006C2FF5" w:rsidRPr="004A7BA1" w:rsidRDefault="00171722" w:rsidP="004A7BA1">
            <w:pPr>
              <w:pStyle w:val="paragraph"/>
              <w:numPr>
                <w:ilvl w:val="0"/>
                <w:numId w:val="15"/>
              </w:numPr>
              <w:textAlignment w:val="baseline"/>
              <w:rPr>
                <w:rFonts w:ascii="Calibri" w:hAnsi="Calibri" w:cs="Calibri"/>
                <w:sz w:val="22"/>
                <w:szCs w:val="22"/>
              </w:rPr>
            </w:pPr>
            <w:r>
              <w:rPr>
                <w:rFonts w:ascii="Open Sans" w:hAnsi="Open Sans" w:cs="Open Sans"/>
                <w:color w:val="000000"/>
                <w:sz w:val="21"/>
                <w:szCs w:val="21"/>
                <w:shd w:val="clear" w:color="auto" w:fill="FFFFFF"/>
              </w:rPr>
              <w:t>There is no estate tax, inheritance tax, or gift tax in Hong Kong.</w:t>
            </w:r>
            <w:r w:rsidR="006C2FF5" w:rsidRPr="00BE2689">
              <w:rPr>
                <w:rStyle w:val="normaltextrun"/>
                <w:rFonts w:ascii="Calibri" w:eastAsiaTheme="majorEastAsia" w:hAnsi="Calibri" w:cs="Calibri"/>
                <w:sz w:val="22"/>
                <w:szCs w:val="22"/>
              </w:rPr>
              <w:t xml:space="preserve"> (</w:t>
            </w:r>
            <w:hyperlink r:id="rId52" w:anchor="section(2)_0" w:tgtFrame="_blank" w:history="1">
              <w:r w:rsidR="006C2FF5" w:rsidRPr="00BE2689">
                <w:rPr>
                  <w:rStyle w:val="normaltextrun"/>
                  <w:rFonts w:ascii="Calibri" w:eastAsiaTheme="majorEastAsia" w:hAnsi="Calibri" w:cs="Calibri"/>
                  <w:color w:val="0563C1"/>
                  <w:sz w:val="22"/>
                  <w:szCs w:val="22"/>
                  <w:u w:val="single"/>
                  <w:shd w:val="clear" w:color="auto" w:fill="FFFFFF"/>
                </w:rPr>
                <w:t>Section</w:t>
              </w:r>
              <w:r w:rsidR="00C80995">
                <w:rPr>
                  <w:rStyle w:val="normaltextrun"/>
                  <w:rFonts w:ascii="Calibri" w:eastAsiaTheme="majorEastAsia" w:hAnsi="Calibri" w:cs="Calibri"/>
                  <w:color w:val="0563C1"/>
                  <w:sz w:val="22"/>
                  <w:szCs w:val="22"/>
                  <w:u w:val="single"/>
                  <w:shd w:val="clear" w:color="auto" w:fill="FFFFFF"/>
                </w:rPr>
                <w:t>s</w:t>
              </w:r>
              <w:r w:rsidR="006C2FF5" w:rsidRPr="00BE2689">
                <w:rPr>
                  <w:rStyle w:val="normaltextrun"/>
                  <w:rFonts w:ascii="Calibri" w:eastAsiaTheme="majorEastAsia" w:hAnsi="Calibri" w:cs="Calibri"/>
                  <w:color w:val="0563C1"/>
                  <w:sz w:val="22"/>
                  <w:szCs w:val="22"/>
                  <w:u w:val="single"/>
                  <w:shd w:val="clear" w:color="auto" w:fill="FFFFFF"/>
                </w:rPr>
                <w:t xml:space="preserve"> </w:t>
              </w:r>
              <w:r w:rsidR="003E4170">
                <w:rPr>
                  <w:rStyle w:val="normaltextrun"/>
                  <w:rFonts w:ascii="Calibri" w:eastAsiaTheme="majorEastAsia" w:hAnsi="Calibri" w:cs="Calibri"/>
                  <w:color w:val="0563C1"/>
                  <w:u w:val="single"/>
                  <w:shd w:val="clear" w:color="auto" w:fill="FFFFFF"/>
                </w:rPr>
                <w:t>IV</w:t>
              </w:r>
              <w:r w:rsidR="00EE5C13">
                <w:rPr>
                  <w:rStyle w:val="normaltextrun"/>
                  <w:rFonts w:ascii="Calibri" w:eastAsiaTheme="majorEastAsia" w:hAnsi="Calibri" w:cs="Calibri"/>
                  <w:color w:val="0563C1"/>
                  <w:u w:val="single"/>
                  <w:shd w:val="clear" w:color="auto" w:fill="FFFFFF"/>
                </w:rPr>
                <w:t>.B</w:t>
              </w:r>
              <w:r w:rsidR="00C80995">
                <w:rPr>
                  <w:rStyle w:val="normaltextrun"/>
                  <w:rFonts w:ascii="Calibri" w:eastAsiaTheme="majorEastAsia" w:hAnsi="Calibri" w:cs="Calibri"/>
                  <w:color w:val="0563C1"/>
                  <w:u w:val="single"/>
                  <w:shd w:val="clear" w:color="auto" w:fill="FFFFFF"/>
                </w:rPr>
                <w:t>.2</w:t>
              </w:r>
              <w:r w:rsidR="006C2FF5" w:rsidRPr="00BE2689">
                <w:rPr>
                  <w:rStyle w:val="normaltextrun"/>
                  <w:rFonts w:ascii="Calibri" w:eastAsiaTheme="majorEastAsia" w:hAnsi="Calibri" w:cs="Calibri"/>
                  <w:color w:val="0563C1"/>
                  <w:sz w:val="22"/>
                  <w:szCs w:val="22"/>
                  <w:u w:val="single"/>
                </w:rPr>
                <w:t>.</w:t>
              </w:r>
            </w:hyperlink>
            <w:r w:rsidR="006C2FF5" w:rsidRPr="00BE2689">
              <w:rPr>
                <w:rStyle w:val="eop"/>
                <w:rFonts w:ascii="Calibri" w:eastAsiaTheme="majorEastAsia" w:hAnsi="Calibri" w:cs="Calibri"/>
                <w:sz w:val="22"/>
                <w:szCs w:val="22"/>
              </w:rPr>
              <w:t> </w:t>
            </w:r>
            <w:r w:rsidR="003E4170">
              <w:rPr>
                <w:rStyle w:val="eop"/>
                <w:rFonts w:ascii="Calibri" w:eastAsiaTheme="majorEastAsia" w:hAnsi="Calibri" w:cs="Calibri"/>
                <w:sz w:val="22"/>
                <w:szCs w:val="22"/>
              </w:rPr>
              <w:t>a</w:t>
            </w:r>
            <w:r w:rsidR="003E4170">
              <w:rPr>
                <w:rStyle w:val="eop"/>
                <w:rFonts w:ascii="Calibri" w:eastAsiaTheme="majorEastAsia" w:hAnsi="Calibri" w:cs="Calibri"/>
              </w:rPr>
              <w:t xml:space="preserve">nd </w:t>
            </w:r>
            <w:hyperlink r:id="rId53" w:history="1">
              <w:r w:rsidR="003E4170" w:rsidRPr="003E4170">
                <w:rPr>
                  <w:rStyle w:val="Hyperlink"/>
                  <w:rFonts w:ascii="Calibri" w:eastAsiaTheme="majorEastAsia" w:hAnsi="Calibri" w:cs="Calibri"/>
                </w:rPr>
                <w:t>XIII.A.</w:t>
              </w:r>
            </w:hyperlink>
            <w:r w:rsidR="003E4170">
              <w:rPr>
                <w:rStyle w:val="eop"/>
                <w:rFonts w:ascii="Calibri" w:eastAsiaTheme="majorEastAsia" w:hAnsi="Calibri" w:cs="Calibri"/>
                <w:sz w:val="22"/>
                <w:szCs w:val="22"/>
              </w:rPr>
              <w:t>)</w:t>
            </w:r>
          </w:p>
        </w:tc>
      </w:tr>
      <w:tr w:rsidR="006C2FF5" w14:paraId="2A4051FB"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hideMark/>
          </w:tcPr>
          <w:p w14:paraId="660E0F1B"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Exit tax</w:t>
            </w:r>
            <w:r>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44667917" w14:textId="035A44CA" w:rsidR="006C2FF5" w:rsidRPr="00BE2689" w:rsidRDefault="006C2FF5" w:rsidP="00BE2689">
            <w:pPr>
              <w:pStyle w:val="paragraph"/>
              <w:spacing w:before="0" w:beforeAutospacing="0" w:after="0" w:afterAutospacing="0"/>
              <w:textAlignment w:val="baseline"/>
            </w:pPr>
            <w:r w:rsidRPr="00BE2689">
              <w:rPr>
                <w:rStyle w:val="normaltextrun"/>
                <w:rFonts w:ascii="Calibri" w:eastAsiaTheme="majorEastAsia" w:hAnsi="Calibri" w:cs="Calibri"/>
                <w:sz w:val="22"/>
                <w:szCs w:val="22"/>
              </w:rPr>
              <w:t>No. </w:t>
            </w:r>
            <w:r w:rsidRPr="00BE2689">
              <w:rPr>
                <w:rStyle w:val="eop"/>
                <w:rFonts w:ascii="Calibri" w:eastAsiaTheme="majorEastAsia" w:hAnsi="Calibri" w:cs="Calibri"/>
                <w:sz w:val="22"/>
                <w:szCs w:val="22"/>
              </w:rPr>
              <w:t> </w:t>
            </w:r>
          </w:p>
        </w:tc>
      </w:tr>
      <w:tr w:rsidR="006C2FF5" w14:paraId="0E544EA5" w14:textId="77777777" w:rsidTr="5B9A3384">
        <w:trPr>
          <w:trHeight w:val="300"/>
        </w:trPr>
        <w:tc>
          <w:tcPr>
            <w:tcW w:w="12892"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0095CFDF" w14:textId="77777777" w:rsidR="006C2FF5" w:rsidRDefault="006C2FF5" w:rsidP="00BE2689">
            <w:pPr>
              <w:pStyle w:val="paragraph"/>
              <w:spacing w:before="120" w:beforeAutospacing="0" w:after="120" w:afterAutospacing="0"/>
              <w:textAlignment w:val="baseline"/>
            </w:pPr>
            <w:r>
              <w:rPr>
                <w:rStyle w:val="normaltextrun"/>
                <w:rFonts w:ascii="Calibri" w:eastAsiaTheme="majorEastAsia" w:hAnsi="Calibri" w:cs="Calibri"/>
                <w:b/>
                <w:bCs/>
                <w:color w:val="FFFFFF"/>
                <w:sz w:val="28"/>
                <w:szCs w:val="28"/>
              </w:rPr>
              <w:t>Other Taxes</w:t>
            </w:r>
            <w:r>
              <w:rPr>
                <w:rStyle w:val="eop"/>
                <w:rFonts w:ascii="Calibri" w:eastAsiaTheme="majorEastAsia" w:hAnsi="Calibri" w:cs="Calibri"/>
                <w:color w:val="FFFFFF"/>
                <w:sz w:val="28"/>
                <w:szCs w:val="28"/>
              </w:rPr>
              <w:t> </w:t>
            </w:r>
          </w:p>
        </w:tc>
      </w:tr>
      <w:tr w:rsidR="006C2FF5" w14:paraId="5F708F5A"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hideMark/>
          </w:tcPr>
          <w:p w14:paraId="5359BEFF"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VAT/GST/Sales tax</w:t>
            </w:r>
            <w:r>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096E16E2" w14:textId="500A2FB3" w:rsidR="006C2FF5" w:rsidRPr="00BE2689" w:rsidRDefault="00AE3FBD" w:rsidP="5B9A3384">
            <w:pPr>
              <w:pStyle w:val="paragraph"/>
              <w:spacing w:before="0" w:beforeAutospacing="0" w:after="0" w:afterAutospacing="0"/>
              <w:textAlignment w:val="baseline"/>
              <w:rPr>
                <w:rStyle w:val="normaltextrun"/>
                <w:rFonts w:ascii="Calibri" w:eastAsiaTheme="majorEastAsia" w:hAnsi="Calibri" w:cs="Calibri"/>
                <w:sz w:val="22"/>
                <w:szCs w:val="22"/>
              </w:rPr>
            </w:pPr>
            <w:r w:rsidRPr="5B9A3384">
              <w:rPr>
                <w:rStyle w:val="normaltextrun"/>
                <w:rFonts w:ascii="Calibri" w:eastAsiaTheme="majorEastAsia" w:hAnsi="Calibri" w:cs="Calibri"/>
                <w:sz w:val="22"/>
                <w:szCs w:val="22"/>
              </w:rPr>
              <w:t>No</w:t>
            </w:r>
            <w:r w:rsidR="006C2FF5" w:rsidRPr="5B9A3384">
              <w:rPr>
                <w:rStyle w:val="normaltextrun"/>
                <w:rFonts w:ascii="Calibri" w:eastAsiaTheme="majorEastAsia" w:hAnsi="Calibri" w:cs="Calibri"/>
                <w:sz w:val="22"/>
                <w:szCs w:val="22"/>
              </w:rPr>
              <w:t xml:space="preserve">. </w:t>
            </w:r>
            <w:r w:rsidR="4B237650" w:rsidRPr="5B9A3384">
              <w:rPr>
                <w:rStyle w:val="normaltextrun"/>
                <w:rFonts w:ascii="Calibri" w:eastAsiaTheme="majorEastAsia" w:hAnsi="Calibri" w:cs="Calibri"/>
                <w:sz w:val="22"/>
                <w:szCs w:val="22"/>
              </w:rPr>
              <w:t>(</w:t>
            </w:r>
            <w:hyperlink r:id="rId54" w:anchor="section(4)_0">
              <w:r w:rsidR="4B237650" w:rsidRPr="5B9A3384">
                <w:rPr>
                  <w:rStyle w:val="Hyperlink"/>
                  <w:rFonts w:ascii="Calibri" w:eastAsiaTheme="majorEastAsia" w:hAnsi="Calibri" w:cs="Calibri"/>
                  <w:sz w:val="22"/>
                  <w:szCs w:val="22"/>
                </w:rPr>
                <w:t>Section IV.B.4.</w:t>
              </w:r>
            </w:hyperlink>
            <w:r w:rsidR="4B237650" w:rsidRPr="5B9A3384">
              <w:rPr>
                <w:rStyle w:val="normaltextrun"/>
                <w:rFonts w:ascii="Calibri" w:eastAsiaTheme="majorEastAsia" w:hAnsi="Calibri" w:cs="Calibri"/>
                <w:sz w:val="22"/>
                <w:szCs w:val="22"/>
              </w:rPr>
              <w:t>)</w:t>
            </w:r>
          </w:p>
        </w:tc>
      </w:tr>
      <w:tr w:rsidR="006C2FF5" w14:paraId="60A2B908"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hideMark/>
          </w:tcPr>
          <w:p w14:paraId="7C3852D2"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Digital services tax </w:t>
            </w:r>
            <w:r>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17CE4E68" w14:textId="77777777" w:rsidR="006C2FF5" w:rsidRPr="00BE2689" w:rsidRDefault="006C2FF5" w:rsidP="00BE2689">
            <w:pPr>
              <w:pStyle w:val="paragraph"/>
              <w:spacing w:before="0" w:beforeAutospacing="0" w:after="0" w:afterAutospacing="0"/>
              <w:textAlignment w:val="baseline"/>
            </w:pPr>
            <w:r w:rsidRPr="00BE2689">
              <w:rPr>
                <w:rStyle w:val="normaltextrun"/>
                <w:rFonts w:ascii="Calibri" w:eastAsiaTheme="majorEastAsia" w:hAnsi="Calibri" w:cs="Calibri"/>
                <w:sz w:val="22"/>
                <w:szCs w:val="22"/>
              </w:rPr>
              <w:t>No. </w:t>
            </w:r>
            <w:r w:rsidRPr="00BE2689">
              <w:rPr>
                <w:rStyle w:val="eop"/>
                <w:rFonts w:ascii="Calibri" w:eastAsiaTheme="majorEastAsia" w:hAnsi="Calibri" w:cs="Calibri"/>
                <w:sz w:val="22"/>
                <w:szCs w:val="22"/>
              </w:rPr>
              <w:t> </w:t>
            </w:r>
          </w:p>
        </w:tc>
      </w:tr>
      <w:tr w:rsidR="006C2FF5" w14:paraId="0FB7ADA5"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hideMark/>
          </w:tcPr>
          <w:p w14:paraId="5DA14C29"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Local taxes </w:t>
            </w:r>
            <w:r>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0FF39C16" w14:textId="6A6C64DC" w:rsidR="006C2FF5" w:rsidRPr="00BE2689" w:rsidRDefault="00F61B6E" w:rsidP="00BE2689">
            <w:pPr>
              <w:pStyle w:val="paragraph"/>
              <w:spacing w:before="0" w:beforeAutospacing="0" w:after="0" w:afterAutospacing="0"/>
              <w:textAlignment w:val="baseline"/>
            </w:pPr>
            <w:r w:rsidRPr="00BE2689">
              <w:rPr>
                <w:rStyle w:val="normaltextrun"/>
                <w:rFonts w:ascii="Calibri" w:eastAsiaTheme="majorEastAsia" w:hAnsi="Calibri" w:cs="Calibri"/>
                <w:sz w:val="22"/>
                <w:szCs w:val="22"/>
              </w:rPr>
              <w:t>Generally, n</w:t>
            </w:r>
            <w:r w:rsidR="00E23110" w:rsidRPr="00BE2689">
              <w:rPr>
                <w:rStyle w:val="normaltextrun"/>
                <w:rFonts w:ascii="Calibri" w:eastAsiaTheme="majorEastAsia" w:hAnsi="Calibri" w:cs="Calibri"/>
                <w:sz w:val="22"/>
                <w:szCs w:val="22"/>
              </w:rPr>
              <w:t>o</w:t>
            </w:r>
            <w:r w:rsidR="00EC5918" w:rsidRPr="00BE2689">
              <w:rPr>
                <w:rStyle w:val="normaltextrun"/>
                <w:rFonts w:ascii="Calibri" w:eastAsiaTheme="majorEastAsia" w:hAnsi="Calibri" w:cs="Calibri"/>
                <w:sz w:val="22"/>
                <w:szCs w:val="22"/>
              </w:rPr>
              <w:t>ne</w:t>
            </w:r>
            <w:r w:rsidR="00E23110" w:rsidRPr="00BE2689">
              <w:rPr>
                <w:rStyle w:val="normaltextrun"/>
                <w:rFonts w:ascii="Calibri" w:eastAsiaTheme="majorEastAsia" w:hAnsi="Calibri" w:cs="Calibri"/>
                <w:sz w:val="22"/>
                <w:szCs w:val="22"/>
              </w:rPr>
              <w:t xml:space="preserve">, but </w:t>
            </w:r>
            <w:r w:rsidR="0096591D" w:rsidRPr="00BE2689">
              <w:rPr>
                <w:rStyle w:val="normaltextrun"/>
                <w:rFonts w:ascii="Calibri" w:eastAsiaTheme="majorEastAsia" w:hAnsi="Calibri" w:cs="Calibri"/>
                <w:sz w:val="22"/>
                <w:szCs w:val="22"/>
              </w:rPr>
              <w:t xml:space="preserve">property tax is assessed on </w:t>
            </w:r>
            <w:r w:rsidR="00FC7843" w:rsidRPr="00BE2689">
              <w:rPr>
                <w:rStyle w:val="normaltextrun"/>
                <w:rFonts w:ascii="Calibri" w:eastAsiaTheme="majorEastAsia" w:hAnsi="Calibri" w:cs="Calibri"/>
                <w:sz w:val="22"/>
                <w:szCs w:val="22"/>
              </w:rPr>
              <w:t xml:space="preserve">owners of land or buildings </w:t>
            </w:r>
            <w:r w:rsidR="00EC5918" w:rsidRPr="00BE2689">
              <w:rPr>
                <w:rStyle w:val="normaltextrun"/>
                <w:rFonts w:ascii="Calibri" w:eastAsiaTheme="majorEastAsia" w:hAnsi="Calibri" w:cs="Calibri"/>
                <w:sz w:val="22"/>
                <w:szCs w:val="22"/>
              </w:rPr>
              <w:t xml:space="preserve">on a net </w:t>
            </w:r>
            <w:r w:rsidR="00BC609D">
              <w:rPr>
                <w:rStyle w:val="normaltextrun"/>
                <w:rFonts w:ascii="Calibri" w:eastAsiaTheme="majorEastAsia" w:hAnsi="Calibri" w:cs="Calibri"/>
                <w:sz w:val="22"/>
                <w:szCs w:val="22"/>
              </w:rPr>
              <w:t>assessable</w:t>
            </w:r>
            <w:r w:rsidR="00BC609D" w:rsidRPr="00BE2689">
              <w:rPr>
                <w:rStyle w:val="normaltextrun"/>
                <w:rFonts w:ascii="Calibri" w:eastAsiaTheme="majorEastAsia" w:hAnsi="Calibri" w:cs="Calibri"/>
                <w:sz w:val="22"/>
                <w:szCs w:val="22"/>
              </w:rPr>
              <w:t xml:space="preserve"> </w:t>
            </w:r>
            <w:r w:rsidR="00EC5918" w:rsidRPr="00BE2689">
              <w:rPr>
                <w:rStyle w:val="normaltextrun"/>
                <w:rFonts w:ascii="Calibri" w:eastAsiaTheme="majorEastAsia" w:hAnsi="Calibri" w:cs="Calibri"/>
                <w:sz w:val="22"/>
                <w:szCs w:val="22"/>
              </w:rPr>
              <w:t xml:space="preserve">value basis </w:t>
            </w:r>
            <w:r w:rsidR="0096591D" w:rsidRPr="00BE2689">
              <w:rPr>
                <w:rStyle w:val="normaltextrun"/>
                <w:rFonts w:ascii="Calibri" w:eastAsiaTheme="majorEastAsia" w:hAnsi="Calibri" w:cs="Calibri"/>
                <w:sz w:val="22"/>
                <w:szCs w:val="22"/>
              </w:rPr>
              <w:t xml:space="preserve">and </w:t>
            </w:r>
            <w:r w:rsidR="00A36B64" w:rsidRPr="00BE2689">
              <w:rPr>
                <w:rStyle w:val="normaltextrun"/>
                <w:rFonts w:ascii="Calibri" w:eastAsiaTheme="majorEastAsia" w:hAnsi="Calibri" w:cs="Calibri"/>
                <w:sz w:val="22"/>
                <w:szCs w:val="22"/>
              </w:rPr>
              <w:t xml:space="preserve">ad valorem </w:t>
            </w:r>
            <w:r w:rsidR="00E23110" w:rsidRPr="00BE2689">
              <w:rPr>
                <w:rStyle w:val="normaltextrun"/>
                <w:rFonts w:ascii="Calibri" w:eastAsiaTheme="majorEastAsia" w:hAnsi="Calibri" w:cs="Calibri"/>
                <w:sz w:val="22"/>
                <w:szCs w:val="22"/>
              </w:rPr>
              <w:t xml:space="preserve">stamp duty is charged on </w:t>
            </w:r>
            <w:r w:rsidR="00015837" w:rsidRPr="00BE2689">
              <w:rPr>
                <w:rStyle w:val="normaltextrun"/>
                <w:rFonts w:ascii="Calibri" w:eastAsiaTheme="majorEastAsia" w:hAnsi="Calibri" w:cs="Calibri"/>
                <w:sz w:val="22"/>
                <w:szCs w:val="22"/>
              </w:rPr>
              <w:t xml:space="preserve">real estate </w:t>
            </w:r>
            <w:r w:rsidR="00B263A3" w:rsidRPr="00BE2689">
              <w:rPr>
                <w:rStyle w:val="normaltextrun"/>
                <w:rFonts w:ascii="Calibri" w:eastAsiaTheme="majorEastAsia" w:hAnsi="Calibri" w:cs="Calibri"/>
                <w:sz w:val="22"/>
                <w:szCs w:val="22"/>
              </w:rPr>
              <w:t>sales</w:t>
            </w:r>
            <w:r w:rsidR="00EC5918" w:rsidRPr="00BE2689">
              <w:rPr>
                <w:rStyle w:val="normaltextrun"/>
                <w:rFonts w:ascii="Calibri" w:eastAsiaTheme="majorEastAsia" w:hAnsi="Calibri" w:cs="Calibri"/>
                <w:sz w:val="22"/>
                <w:szCs w:val="22"/>
              </w:rPr>
              <w:t xml:space="preserve">, </w:t>
            </w:r>
            <w:r w:rsidR="00B263A3" w:rsidRPr="00BE2689">
              <w:rPr>
                <w:rStyle w:val="normaltextrun"/>
                <w:rFonts w:ascii="Calibri" w:eastAsiaTheme="majorEastAsia" w:hAnsi="Calibri" w:cs="Calibri"/>
                <w:sz w:val="22"/>
                <w:szCs w:val="22"/>
              </w:rPr>
              <w:t>transfer</w:t>
            </w:r>
            <w:r w:rsidR="00D05647" w:rsidRPr="00BE2689">
              <w:rPr>
                <w:rStyle w:val="normaltextrun"/>
                <w:rFonts w:ascii="Calibri" w:eastAsiaTheme="majorEastAsia" w:hAnsi="Calibri" w:cs="Calibri"/>
                <w:sz w:val="22"/>
                <w:szCs w:val="22"/>
              </w:rPr>
              <w:t>s</w:t>
            </w:r>
            <w:r w:rsidR="00EC5918" w:rsidRPr="00BE2689">
              <w:rPr>
                <w:rStyle w:val="normaltextrun"/>
                <w:rFonts w:ascii="Calibri" w:eastAsiaTheme="majorEastAsia" w:hAnsi="Calibri" w:cs="Calibri"/>
                <w:sz w:val="22"/>
                <w:szCs w:val="22"/>
              </w:rPr>
              <w:t>,</w:t>
            </w:r>
            <w:r w:rsidR="00B263A3" w:rsidRPr="00BE2689">
              <w:rPr>
                <w:rStyle w:val="normaltextrun"/>
                <w:rFonts w:ascii="Calibri" w:eastAsiaTheme="majorEastAsia" w:hAnsi="Calibri" w:cs="Calibri"/>
                <w:sz w:val="22"/>
                <w:szCs w:val="22"/>
              </w:rPr>
              <w:t xml:space="preserve"> </w:t>
            </w:r>
            <w:r w:rsidR="00EC5918" w:rsidRPr="00BE2689">
              <w:rPr>
                <w:rStyle w:val="normaltextrun"/>
                <w:rFonts w:ascii="Calibri" w:eastAsiaTheme="majorEastAsia" w:hAnsi="Calibri" w:cs="Calibri"/>
                <w:sz w:val="22"/>
                <w:szCs w:val="22"/>
              </w:rPr>
              <w:t xml:space="preserve">and </w:t>
            </w:r>
            <w:r w:rsidR="00B263A3" w:rsidRPr="00BE2689">
              <w:rPr>
                <w:rStyle w:val="normaltextrun"/>
                <w:rFonts w:ascii="Calibri" w:eastAsiaTheme="majorEastAsia" w:hAnsi="Calibri" w:cs="Calibri"/>
                <w:sz w:val="22"/>
                <w:szCs w:val="22"/>
              </w:rPr>
              <w:t>leases</w:t>
            </w:r>
            <w:r w:rsidR="00D05647" w:rsidRPr="00BE2689">
              <w:rPr>
                <w:rStyle w:val="normaltextrun"/>
                <w:rFonts w:ascii="Calibri" w:eastAsiaTheme="majorEastAsia" w:hAnsi="Calibri" w:cs="Calibri"/>
                <w:sz w:val="22"/>
                <w:szCs w:val="22"/>
              </w:rPr>
              <w:t>,</w:t>
            </w:r>
            <w:r w:rsidR="00B263A3" w:rsidRPr="00BE2689">
              <w:rPr>
                <w:rStyle w:val="normaltextrun"/>
                <w:rFonts w:ascii="Calibri" w:eastAsiaTheme="majorEastAsia" w:hAnsi="Calibri" w:cs="Calibri"/>
                <w:sz w:val="22"/>
                <w:szCs w:val="22"/>
              </w:rPr>
              <w:t xml:space="preserve"> and </w:t>
            </w:r>
            <w:r w:rsidR="00EC5918" w:rsidRPr="00BE2689">
              <w:rPr>
                <w:rStyle w:val="normaltextrun"/>
                <w:rFonts w:ascii="Calibri" w:eastAsiaTheme="majorEastAsia" w:hAnsi="Calibri" w:cs="Calibri"/>
                <w:sz w:val="22"/>
                <w:szCs w:val="22"/>
              </w:rPr>
              <w:t xml:space="preserve">on </w:t>
            </w:r>
            <w:r w:rsidR="006366FA" w:rsidRPr="00BE2689">
              <w:rPr>
                <w:rStyle w:val="normaltextrun"/>
                <w:rFonts w:ascii="Calibri" w:eastAsiaTheme="majorEastAsia" w:hAnsi="Calibri" w:cs="Calibri"/>
                <w:sz w:val="22"/>
                <w:szCs w:val="22"/>
              </w:rPr>
              <w:t>transfer</w:t>
            </w:r>
            <w:r w:rsidR="00D05647" w:rsidRPr="00BE2689">
              <w:rPr>
                <w:rStyle w:val="normaltextrun"/>
                <w:rFonts w:ascii="Calibri" w:eastAsiaTheme="majorEastAsia" w:hAnsi="Calibri" w:cs="Calibri"/>
                <w:sz w:val="22"/>
                <w:szCs w:val="22"/>
              </w:rPr>
              <w:t>s</w:t>
            </w:r>
            <w:r w:rsidR="006366FA" w:rsidRPr="00BE2689">
              <w:rPr>
                <w:rStyle w:val="normaltextrun"/>
                <w:rFonts w:ascii="Calibri" w:eastAsiaTheme="majorEastAsia" w:hAnsi="Calibri" w:cs="Calibri"/>
                <w:sz w:val="22"/>
                <w:szCs w:val="22"/>
              </w:rPr>
              <w:t xml:space="preserve"> of Hong Kong stock</w:t>
            </w:r>
            <w:r w:rsidR="006C2FF5" w:rsidRPr="00BE2689">
              <w:rPr>
                <w:rStyle w:val="normaltextrun"/>
                <w:rFonts w:ascii="Calibri" w:eastAsiaTheme="majorEastAsia" w:hAnsi="Calibri" w:cs="Calibri"/>
                <w:sz w:val="22"/>
                <w:szCs w:val="22"/>
              </w:rPr>
              <w:t>. (</w:t>
            </w:r>
            <w:hyperlink r:id="rId55" w:tgtFrame="_blank" w:history="1">
              <w:r w:rsidR="00EC5918" w:rsidRPr="00BE2689">
                <w:rPr>
                  <w:rStyle w:val="normaltextrun"/>
                  <w:rFonts w:ascii="Calibri" w:eastAsiaTheme="majorEastAsia" w:hAnsi="Calibri" w:cs="Calibri"/>
                  <w:color w:val="0563C1"/>
                  <w:sz w:val="22"/>
                  <w:szCs w:val="22"/>
                  <w:u w:val="single"/>
                </w:rPr>
                <w:t xml:space="preserve">Section </w:t>
              </w:r>
              <w:r w:rsidR="003624F0" w:rsidRPr="00BE2689">
                <w:rPr>
                  <w:rStyle w:val="normaltextrun"/>
                  <w:rFonts w:ascii="Calibri" w:eastAsiaTheme="majorEastAsia" w:hAnsi="Calibri" w:cs="Calibri"/>
                  <w:color w:val="0563C1"/>
                  <w:sz w:val="22"/>
                  <w:szCs w:val="22"/>
                  <w:u w:val="single"/>
                </w:rPr>
                <w:t>V</w:t>
              </w:r>
              <w:r w:rsidR="00EC5918" w:rsidRPr="00BE2689">
                <w:rPr>
                  <w:rStyle w:val="normaltextrun"/>
                  <w:rFonts w:ascii="Calibri" w:eastAsiaTheme="majorEastAsia" w:hAnsi="Calibri" w:cs="Calibri"/>
                  <w:color w:val="0563C1"/>
                  <w:sz w:val="22"/>
                  <w:szCs w:val="22"/>
                  <w:u w:val="single"/>
                </w:rPr>
                <w:t>.</w:t>
              </w:r>
              <w:r w:rsidR="003624F0" w:rsidRPr="00BE2689">
                <w:rPr>
                  <w:rStyle w:val="normaltextrun"/>
                  <w:rFonts w:ascii="Calibri" w:eastAsiaTheme="majorEastAsia" w:hAnsi="Calibri" w:cs="Calibri"/>
                  <w:color w:val="0563C1"/>
                  <w:sz w:val="22"/>
                  <w:szCs w:val="22"/>
                  <w:u w:val="single"/>
                </w:rPr>
                <w:t>B</w:t>
              </w:r>
              <w:r w:rsidR="00EC5918" w:rsidRPr="00BE2689">
                <w:rPr>
                  <w:rStyle w:val="normaltextrun"/>
                  <w:rFonts w:ascii="Calibri" w:eastAsiaTheme="majorEastAsia" w:hAnsi="Calibri" w:cs="Calibri"/>
                  <w:color w:val="0563C1"/>
                  <w:sz w:val="22"/>
                  <w:szCs w:val="22"/>
                  <w:u w:val="single"/>
                </w:rPr>
                <w:t>.</w:t>
              </w:r>
            </w:hyperlink>
            <w:r w:rsidR="00EC5918" w:rsidRPr="00BE2689">
              <w:rPr>
                <w:rStyle w:val="normaltextrun"/>
                <w:rFonts w:ascii="Calibri" w:eastAsiaTheme="majorEastAsia" w:hAnsi="Calibri" w:cs="Calibri"/>
                <w:sz w:val="22"/>
                <w:szCs w:val="22"/>
              </w:rPr>
              <w:t xml:space="preserve"> and </w:t>
            </w:r>
            <w:hyperlink r:id="rId56" w:tgtFrame="_blank" w:history="1">
              <w:r w:rsidR="006C2FF5" w:rsidRPr="00BE2689">
                <w:rPr>
                  <w:rStyle w:val="normaltextrun"/>
                  <w:rFonts w:ascii="Calibri" w:eastAsiaTheme="majorEastAsia" w:hAnsi="Calibri" w:cs="Calibri"/>
                  <w:color w:val="0563C1"/>
                  <w:sz w:val="22"/>
                  <w:szCs w:val="22"/>
                  <w:u w:val="single"/>
                </w:rPr>
                <w:t xml:space="preserve">Section </w:t>
              </w:r>
              <w:r w:rsidR="00DD293B" w:rsidRPr="00BE2689">
                <w:rPr>
                  <w:rStyle w:val="normaltextrun"/>
                  <w:rFonts w:ascii="Calibri" w:eastAsiaTheme="majorEastAsia" w:hAnsi="Calibri" w:cs="Calibri"/>
                  <w:color w:val="0563C1"/>
                  <w:sz w:val="22"/>
                  <w:szCs w:val="22"/>
                  <w:u w:val="single"/>
                </w:rPr>
                <w:t>X</w:t>
              </w:r>
              <w:r w:rsidR="006C2FF5" w:rsidRPr="00BE2689">
                <w:rPr>
                  <w:rStyle w:val="normaltextrun"/>
                  <w:rFonts w:ascii="Calibri" w:eastAsiaTheme="majorEastAsia" w:hAnsi="Calibri" w:cs="Calibri"/>
                  <w:color w:val="0563C1"/>
                  <w:sz w:val="22"/>
                  <w:szCs w:val="22"/>
                  <w:u w:val="single"/>
                </w:rPr>
                <w:t>I.</w:t>
              </w:r>
              <w:r w:rsidR="00DD293B" w:rsidRPr="00BE2689">
                <w:rPr>
                  <w:rStyle w:val="normaltextrun"/>
                  <w:rFonts w:ascii="Calibri" w:eastAsiaTheme="majorEastAsia" w:hAnsi="Calibri" w:cs="Calibri"/>
                  <w:color w:val="0563C1"/>
                  <w:sz w:val="22"/>
                  <w:szCs w:val="22"/>
                  <w:u w:val="single"/>
                </w:rPr>
                <w:t>A</w:t>
              </w:r>
              <w:r w:rsidR="006C2FF5" w:rsidRPr="00BE2689">
                <w:rPr>
                  <w:rStyle w:val="normaltextrun"/>
                  <w:rFonts w:ascii="Calibri" w:eastAsiaTheme="majorEastAsia" w:hAnsi="Calibri" w:cs="Calibri"/>
                  <w:color w:val="0563C1"/>
                  <w:sz w:val="22"/>
                  <w:szCs w:val="22"/>
                  <w:u w:val="single"/>
                </w:rPr>
                <w:t>.</w:t>
              </w:r>
            </w:hyperlink>
            <w:r w:rsidR="00DD293B" w:rsidRPr="00BE2689">
              <w:rPr>
                <w:rStyle w:val="normaltextrun"/>
                <w:rFonts w:ascii="Calibri" w:eastAsiaTheme="majorEastAsia" w:hAnsi="Calibri" w:cs="Calibri"/>
                <w:sz w:val="22"/>
                <w:szCs w:val="22"/>
              </w:rPr>
              <w:t xml:space="preserve"> and </w:t>
            </w:r>
            <w:hyperlink r:id="rId57" w:tgtFrame="_blank" w:history="1">
              <w:r w:rsidR="005E612A" w:rsidRPr="00BE2689">
                <w:rPr>
                  <w:rStyle w:val="normaltextrun"/>
                  <w:rFonts w:ascii="Calibri" w:eastAsiaTheme="majorEastAsia" w:hAnsi="Calibri" w:cs="Calibri"/>
                  <w:color w:val="0563C1"/>
                  <w:sz w:val="22"/>
                  <w:szCs w:val="22"/>
                  <w:u w:val="single"/>
                </w:rPr>
                <w:t>D</w:t>
              </w:r>
              <w:r w:rsidR="00DD293B" w:rsidRPr="00BE2689">
                <w:rPr>
                  <w:rStyle w:val="normaltextrun"/>
                  <w:rFonts w:ascii="Calibri" w:eastAsiaTheme="majorEastAsia" w:hAnsi="Calibri" w:cs="Calibri"/>
                  <w:color w:val="0563C1"/>
                  <w:sz w:val="22"/>
                  <w:szCs w:val="22"/>
                  <w:u w:val="single"/>
                </w:rPr>
                <w:t>.</w:t>
              </w:r>
            </w:hyperlink>
            <w:r w:rsidR="00DD293B" w:rsidRPr="00BE2689">
              <w:rPr>
                <w:rStyle w:val="normaltextrun"/>
                <w:rFonts w:ascii="Calibri" w:eastAsiaTheme="majorEastAsia" w:hAnsi="Calibri" w:cs="Calibri"/>
                <w:sz w:val="22"/>
                <w:szCs w:val="22"/>
              </w:rPr>
              <w:t>)</w:t>
            </w:r>
            <w:r w:rsidR="006C2FF5" w:rsidRPr="00BE2689">
              <w:rPr>
                <w:rStyle w:val="eop"/>
                <w:rFonts w:ascii="Calibri" w:eastAsiaTheme="majorEastAsia" w:hAnsi="Calibri" w:cs="Calibri"/>
                <w:sz w:val="22"/>
                <w:szCs w:val="22"/>
              </w:rPr>
              <w:t> </w:t>
            </w:r>
          </w:p>
        </w:tc>
      </w:tr>
      <w:tr w:rsidR="006C2FF5" w14:paraId="0B23C4ED" w14:textId="77777777" w:rsidTr="5B9A3384">
        <w:trPr>
          <w:trHeight w:val="300"/>
        </w:trPr>
        <w:tc>
          <w:tcPr>
            <w:tcW w:w="12892"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148D4885" w14:textId="77777777" w:rsidR="006C2FF5" w:rsidRPr="00BE2689" w:rsidRDefault="006C2FF5" w:rsidP="00BE2689">
            <w:pPr>
              <w:pStyle w:val="paragraph"/>
              <w:spacing w:before="120" w:beforeAutospacing="0" w:after="120" w:afterAutospacing="0"/>
              <w:textAlignment w:val="baseline"/>
            </w:pPr>
            <w:r w:rsidRPr="00BE2689">
              <w:rPr>
                <w:rStyle w:val="normaltextrun"/>
                <w:rFonts w:ascii="Calibri" w:eastAsiaTheme="majorEastAsia" w:hAnsi="Calibri" w:cs="Calibri"/>
                <w:b/>
                <w:bCs/>
                <w:color w:val="FFFFFF"/>
                <w:sz w:val="28"/>
                <w:szCs w:val="28"/>
              </w:rPr>
              <w:t>Administrative</w:t>
            </w:r>
            <w:r w:rsidRPr="00BE2689">
              <w:rPr>
                <w:rStyle w:val="eop"/>
                <w:rFonts w:ascii="Calibri" w:eastAsiaTheme="majorEastAsia" w:hAnsi="Calibri" w:cs="Calibri"/>
                <w:color w:val="FFFFFF"/>
                <w:sz w:val="28"/>
                <w:szCs w:val="28"/>
              </w:rPr>
              <w:t> </w:t>
            </w:r>
          </w:p>
        </w:tc>
      </w:tr>
      <w:tr w:rsidR="006C2FF5" w14:paraId="46B1DD05"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hideMark/>
          </w:tcPr>
          <w:p w14:paraId="76466AD2"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Standard tax return filing dates </w:t>
            </w:r>
            <w:r>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09BDD7CC" w14:textId="77777777" w:rsidR="009E7C1C" w:rsidRDefault="006C2FF5" w:rsidP="009E7C1C">
            <w:pPr>
              <w:pStyle w:val="paragraph"/>
              <w:spacing w:after="0" w:afterAutospacing="0"/>
              <w:textAlignment w:val="baseline"/>
              <w:rPr>
                <w:rStyle w:val="eop"/>
                <w:rFonts w:ascii="Calibri" w:eastAsiaTheme="majorEastAsia" w:hAnsi="Calibri" w:cs="Calibri"/>
                <w:sz w:val="22"/>
                <w:szCs w:val="22"/>
              </w:rPr>
            </w:pPr>
            <w:r w:rsidRPr="00BE2689">
              <w:rPr>
                <w:rStyle w:val="normaltextrun"/>
                <w:rFonts w:ascii="Calibri" w:eastAsiaTheme="majorEastAsia" w:hAnsi="Calibri" w:cs="Calibri"/>
                <w:sz w:val="22"/>
                <w:szCs w:val="22"/>
                <w:u w:val="single"/>
              </w:rPr>
              <w:t>Corporations</w:t>
            </w:r>
            <w:r w:rsidRPr="00BE2689">
              <w:rPr>
                <w:rStyle w:val="normaltextrun"/>
                <w:rFonts w:ascii="Calibri" w:eastAsiaTheme="majorEastAsia" w:hAnsi="Calibri" w:cs="Calibri"/>
                <w:sz w:val="22"/>
                <w:szCs w:val="22"/>
              </w:rPr>
              <w:t xml:space="preserve">: </w:t>
            </w:r>
            <w:r w:rsidR="00170D45" w:rsidRPr="00BE2689">
              <w:rPr>
                <w:rStyle w:val="normaltextrun"/>
                <w:rFonts w:ascii="Calibri" w:eastAsiaTheme="majorEastAsia" w:hAnsi="Calibri" w:cs="Calibri"/>
                <w:sz w:val="22"/>
                <w:szCs w:val="22"/>
              </w:rPr>
              <w:t>generally issued at the start of April each</w:t>
            </w:r>
            <w:r w:rsidRPr="00BE2689">
              <w:rPr>
                <w:rStyle w:val="normaltextrun"/>
                <w:rFonts w:ascii="Calibri" w:eastAsiaTheme="majorEastAsia" w:hAnsi="Calibri" w:cs="Calibri"/>
                <w:sz w:val="22"/>
                <w:szCs w:val="22"/>
              </w:rPr>
              <w:t xml:space="preserve"> year</w:t>
            </w:r>
            <w:r w:rsidR="00F95ECB" w:rsidRPr="00BE2689">
              <w:rPr>
                <w:rStyle w:val="normaltextrun"/>
                <w:rFonts w:ascii="Calibri" w:eastAsiaTheme="majorEastAsia" w:hAnsi="Calibri" w:cs="Calibri"/>
                <w:sz w:val="22"/>
                <w:szCs w:val="22"/>
              </w:rPr>
              <w:t xml:space="preserve"> and must be f</w:t>
            </w:r>
            <w:r w:rsidR="00521C32" w:rsidRPr="00BE2689">
              <w:rPr>
                <w:rStyle w:val="normaltextrun"/>
                <w:rFonts w:ascii="Calibri" w:eastAsiaTheme="majorEastAsia" w:hAnsi="Calibri" w:cs="Calibri"/>
                <w:sz w:val="22"/>
                <w:szCs w:val="22"/>
              </w:rPr>
              <w:t>il</w:t>
            </w:r>
            <w:r w:rsidR="00F95ECB" w:rsidRPr="00BE2689">
              <w:rPr>
                <w:rStyle w:val="normaltextrun"/>
                <w:rFonts w:ascii="Calibri" w:eastAsiaTheme="majorEastAsia" w:hAnsi="Calibri" w:cs="Calibri"/>
                <w:sz w:val="22"/>
                <w:szCs w:val="22"/>
              </w:rPr>
              <w:t>ed</w:t>
            </w:r>
            <w:r w:rsidRPr="00BE2689">
              <w:rPr>
                <w:rStyle w:val="eop"/>
                <w:rFonts w:ascii="Calibri" w:eastAsiaTheme="majorEastAsia" w:hAnsi="Calibri" w:cs="Calibri"/>
                <w:sz w:val="22"/>
                <w:szCs w:val="22"/>
              </w:rPr>
              <w:t> </w:t>
            </w:r>
            <w:r w:rsidR="00521C32" w:rsidRPr="00BE2689">
              <w:rPr>
                <w:rStyle w:val="eop"/>
                <w:rFonts w:ascii="Calibri" w:eastAsiaTheme="majorEastAsia" w:hAnsi="Calibri" w:cs="Calibri"/>
                <w:sz w:val="22"/>
                <w:szCs w:val="22"/>
              </w:rPr>
              <w:t>within one month thereafter</w:t>
            </w:r>
            <w:r w:rsidR="009E7C1C">
              <w:rPr>
                <w:rStyle w:val="eop"/>
                <w:rFonts w:ascii="Calibri" w:eastAsiaTheme="majorEastAsia" w:hAnsi="Calibri" w:cs="Calibri"/>
                <w:sz w:val="22"/>
                <w:szCs w:val="22"/>
              </w:rPr>
              <w:t>.</w:t>
            </w:r>
          </w:p>
          <w:p w14:paraId="09023A20" w14:textId="77777777" w:rsidR="009E7C1C" w:rsidRDefault="009E7C1C" w:rsidP="009E7C1C">
            <w:pPr>
              <w:pStyle w:val="paragraph"/>
              <w:spacing w:before="0" w:beforeAutospacing="0" w:after="0" w:afterAutospacing="0"/>
              <w:textAlignment w:val="baseline"/>
              <w:rPr>
                <w:rStyle w:val="normaltextrun"/>
                <w:rFonts w:ascii="Calibri" w:eastAsiaTheme="majorEastAsia" w:hAnsi="Calibri" w:cs="Calibri"/>
                <w:sz w:val="22"/>
                <w:szCs w:val="22"/>
                <w:u w:val="single"/>
              </w:rPr>
            </w:pPr>
          </w:p>
          <w:p w14:paraId="16C60B72" w14:textId="1D8EC402" w:rsidR="006C2FF5" w:rsidRPr="00BE2689" w:rsidRDefault="006C2FF5" w:rsidP="009E7C1C">
            <w:pPr>
              <w:pStyle w:val="paragraph"/>
              <w:spacing w:before="0" w:beforeAutospacing="0" w:after="0" w:afterAutospacing="0"/>
              <w:textAlignment w:val="baseline"/>
              <w:rPr>
                <w:rFonts w:ascii="Calibri" w:hAnsi="Calibri" w:cs="Calibri"/>
                <w:sz w:val="22"/>
                <w:szCs w:val="22"/>
              </w:rPr>
            </w:pPr>
            <w:r w:rsidRPr="00BE2689">
              <w:rPr>
                <w:rStyle w:val="normaltextrun"/>
                <w:rFonts w:ascii="Calibri" w:eastAsiaTheme="majorEastAsia" w:hAnsi="Calibri" w:cs="Calibri"/>
                <w:sz w:val="22"/>
                <w:szCs w:val="22"/>
                <w:u w:val="single"/>
              </w:rPr>
              <w:t>Individuals</w:t>
            </w:r>
            <w:r w:rsidRPr="00BE2689">
              <w:rPr>
                <w:rStyle w:val="normaltextrun"/>
                <w:rFonts w:ascii="Calibri" w:eastAsiaTheme="majorEastAsia" w:hAnsi="Calibri" w:cs="Calibri"/>
                <w:sz w:val="22"/>
                <w:szCs w:val="22"/>
              </w:rPr>
              <w:t xml:space="preserve">: </w:t>
            </w:r>
            <w:r w:rsidR="00A76AD9" w:rsidRPr="00BE2689">
              <w:rPr>
                <w:rStyle w:val="normaltextrun"/>
                <w:rFonts w:ascii="Calibri" w:eastAsiaTheme="majorEastAsia" w:hAnsi="Calibri" w:cs="Calibri"/>
                <w:sz w:val="22"/>
                <w:szCs w:val="22"/>
              </w:rPr>
              <w:t xml:space="preserve">generally issued at the start of </w:t>
            </w:r>
            <w:r w:rsidRPr="00BE2689">
              <w:rPr>
                <w:rStyle w:val="normaltextrun"/>
                <w:rFonts w:ascii="Calibri" w:eastAsiaTheme="majorEastAsia" w:hAnsi="Calibri" w:cs="Calibri"/>
                <w:sz w:val="22"/>
                <w:szCs w:val="22"/>
              </w:rPr>
              <w:t xml:space="preserve">May </w:t>
            </w:r>
            <w:r w:rsidR="00A76AD9" w:rsidRPr="00BE2689">
              <w:rPr>
                <w:rStyle w:val="normaltextrun"/>
                <w:rFonts w:ascii="Calibri" w:eastAsiaTheme="majorEastAsia" w:hAnsi="Calibri" w:cs="Calibri"/>
                <w:sz w:val="22"/>
                <w:szCs w:val="22"/>
              </w:rPr>
              <w:t>each</w:t>
            </w:r>
            <w:r w:rsidRPr="00BE2689">
              <w:rPr>
                <w:rStyle w:val="normaltextrun"/>
                <w:rFonts w:ascii="Calibri" w:eastAsiaTheme="majorEastAsia" w:hAnsi="Calibri" w:cs="Calibri"/>
                <w:sz w:val="22"/>
                <w:szCs w:val="22"/>
              </w:rPr>
              <w:t xml:space="preserve"> year</w:t>
            </w:r>
            <w:r w:rsidR="00A76AD9" w:rsidRPr="00BE2689">
              <w:rPr>
                <w:rStyle w:val="normaltextrun"/>
                <w:rFonts w:ascii="Calibri" w:eastAsiaTheme="majorEastAsia" w:hAnsi="Calibri" w:cs="Calibri"/>
                <w:sz w:val="22"/>
                <w:szCs w:val="22"/>
              </w:rPr>
              <w:t xml:space="preserve"> and</w:t>
            </w:r>
            <w:r w:rsidR="00DF6CFD" w:rsidRPr="00BE2689">
              <w:rPr>
                <w:rStyle w:val="normaltextrun"/>
                <w:rFonts w:ascii="Calibri" w:eastAsiaTheme="majorEastAsia" w:hAnsi="Calibri" w:cs="Calibri"/>
                <w:sz w:val="22"/>
                <w:szCs w:val="22"/>
              </w:rPr>
              <w:t xml:space="preserve"> </w:t>
            </w:r>
            <w:r w:rsidR="00A76AD9" w:rsidRPr="00BE2689">
              <w:rPr>
                <w:rStyle w:val="normaltextrun"/>
                <w:rFonts w:ascii="Calibri" w:eastAsiaTheme="majorEastAsia" w:hAnsi="Calibri" w:cs="Calibri"/>
                <w:sz w:val="22"/>
                <w:szCs w:val="22"/>
              </w:rPr>
              <w:t>must be filed</w:t>
            </w:r>
            <w:r w:rsidR="00DF6CFD" w:rsidRPr="00BE2689">
              <w:rPr>
                <w:rStyle w:val="normaltextrun"/>
                <w:rFonts w:ascii="Calibri" w:eastAsiaTheme="majorEastAsia" w:hAnsi="Calibri" w:cs="Calibri"/>
                <w:sz w:val="22"/>
                <w:szCs w:val="22"/>
              </w:rPr>
              <w:t xml:space="preserve"> </w:t>
            </w:r>
            <w:r w:rsidR="00DF6CFD" w:rsidRPr="00BE2689">
              <w:rPr>
                <w:rStyle w:val="eop"/>
                <w:rFonts w:ascii="Calibri" w:eastAsiaTheme="majorEastAsia" w:hAnsi="Calibri" w:cs="Calibri"/>
                <w:sz w:val="22"/>
                <w:szCs w:val="22"/>
              </w:rPr>
              <w:t>within one month thereafter</w:t>
            </w:r>
            <w:r w:rsidRPr="00BE2689">
              <w:rPr>
                <w:rStyle w:val="normaltextrun"/>
                <w:rFonts w:ascii="Calibri" w:eastAsiaTheme="majorEastAsia" w:hAnsi="Calibri" w:cs="Calibri"/>
                <w:sz w:val="22"/>
                <w:szCs w:val="22"/>
              </w:rPr>
              <w:t>. (</w:t>
            </w:r>
            <w:hyperlink r:id="rId58" w:history="1">
              <w:r w:rsidRPr="00BE2689">
                <w:rPr>
                  <w:rStyle w:val="Hyperlink"/>
                  <w:rFonts w:ascii="Calibri" w:eastAsiaTheme="majorEastAsia" w:hAnsi="Calibri" w:cs="Calibri"/>
                  <w:sz w:val="22"/>
                  <w:szCs w:val="22"/>
                </w:rPr>
                <w:t>Section</w:t>
              </w:r>
            </w:hyperlink>
            <w:r w:rsidRPr="00BE2689">
              <w:rPr>
                <w:rStyle w:val="normaltextrun"/>
                <w:rFonts w:ascii="Calibri" w:eastAsiaTheme="majorEastAsia" w:hAnsi="Calibri" w:cs="Calibri"/>
                <w:color w:val="0563C1"/>
                <w:sz w:val="22"/>
                <w:szCs w:val="22"/>
                <w:u w:val="single"/>
              </w:rPr>
              <w:t xml:space="preserve"> X.</w:t>
            </w:r>
            <w:r w:rsidR="00BB6782" w:rsidRPr="00BE2689">
              <w:rPr>
                <w:rStyle w:val="normaltextrun"/>
                <w:rFonts w:ascii="Calibri" w:eastAsiaTheme="majorEastAsia" w:hAnsi="Calibri" w:cs="Calibri"/>
                <w:color w:val="0563C1"/>
                <w:sz w:val="22"/>
                <w:szCs w:val="22"/>
                <w:u w:val="single"/>
              </w:rPr>
              <w:t>A.</w:t>
            </w:r>
            <w:r w:rsidRPr="00BE2689">
              <w:rPr>
                <w:rStyle w:val="normaltextrun"/>
                <w:rFonts w:ascii="Calibri" w:eastAsiaTheme="majorEastAsia" w:hAnsi="Calibri" w:cs="Calibri"/>
                <w:sz w:val="22"/>
                <w:szCs w:val="22"/>
              </w:rPr>
              <w:t>)</w:t>
            </w:r>
          </w:p>
        </w:tc>
      </w:tr>
      <w:tr w:rsidR="006C2FF5" w14:paraId="605B26B3"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hideMark/>
          </w:tcPr>
          <w:p w14:paraId="3078E308"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Limitations period for assessment</w:t>
            </w:r>
            <w:r>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28AA780F" w14:textId="18811C52" w:rsidR="006C2FF5" w:rsidRPr="00BE2689" w:rsidRDefault="006C2FF5" w:rsidP="00BE2689">
            <w:pPr>
              <w:pStyle w:val="paragraph"/>
              <w:numPr>
                <w:ilvl w:val="0"/>
                <w:numId w:val="19"/>
              </w:numPr>
              <w:textAlignment w:val="baseline"/>
              <w:rPr>
                <w:rFonts w:ascii="Calibri" w:hAnsi="Calibri" w:cs="Calibri"/>
                <w:sz w:val="22"/>
                <w:szCs w:val="22"/>
              </w:rPr>
            </w:pPr>
            <w:r w:rsidRPr="00BE2689">
              <w:rPr>
                <w:rStyle w:val="normaltextrun"/>
                <w:rFonts w:ascii="Calibri" w:eastAsiaTheme="majorEastAsia" w:hAnsi="Calibri" w:cs="Calibri"/>
                <w:sz w:val="22"/>
                <w:szCs w:val="22"/>
              </w:rPr>
              <w:t xml:space="preserve">Up to </w:t>
            </w:r>
            <w:r w:rsidR="004E3021" w:rsidRPr="00BE2689">
              <w:rPr>
                <w:rStyle w:val="normaltextrun"/>
                <w:rFonts w:ascii="Calibri" w:eastAsiaTheme="majorEastAsia" w:hAnsi="Calibri" w:cs="Calibri"/>
                <w:sz w:val="22"/>
                <w:szCs w:val="22"/>
              </w:rPr>
              <w:t>six</w:t>
            </w:r>
            <w:r w:rsidRPr="00BE2689">
              <w:rPr>
                <w:rStyle w:val="normaltextrun"/>
                <w:rFonts w:ascii="Calibri" w:eastAsiaTheme="majorEastAsia" w:hAnsi="Calibri" w:cs="Calibri"/>
                <w:sz w:val="22"/>
                <w:szCs w:val="22"/>
              </w:rPr>
              <w:t xml:space="preserve"> years from the end of the </w:t>
            </w:r>
            <w:r w:rsidR="00050595" w:rsidRPr="00BE2689">
              <w:rPr>
                <w:rStyle w:val="normaltextrun"/>
                <w:rFonts w:ascii="Calibri" w:eastAsiaTheme="majorEastAsia" w:hAnsi="Calibri" w:cs="Calibri"/>
                <w:sz w:val="22"/>
                <w:szCs w:val="22"/>
              </w:rPr>
              <w:t xml:space="preserve">relevant </w:t>
            </w:r>
            <w:r w:rsidRPr="00BE2689">
              <w:rPr>
                <w:rStyle w:val="normaltextrun"/>
                <w:rFonts w:ascii="Calibri" w:eastAsiaTheme="majorEastAsia" w:hAnsi="Calibri" w:cs="Calibri"/>
                <w:sz w:val="22"/>
                <w:szCs w:val="22"/>
              </w:rPr>
              <w:t xml:space="preserve">tax </w:t>
            </w:r>
            <w:proofErr w:type="gramStart"/>
            <w:r w:rsidRPr="00BE2689">
              <w:rPr>
                <w:rStyle w:val="normaltextrun"/>
                <w:rFonts w:ascii="Calibri" w:eastAsiaTheme="majorEastAsia" w:hAnsi="Calibri" w:cs="Calibri"/>
                <w:sz w:val="22"/>
                <w:szCs w:val="22"/>
              </w:rPr>
              <w:t>period;</w:t>
            </w:r>
            <w:proofErr w:type="gramEnd"/>
          </w:p>
          <w:p w14:paraId="2ECC9C3C" w14:textId="13C6A4AD" w:rsidR="006C2FF5" w:rsidRPr="00BE2689" w:rsidRDefault="006C2FF5" w:rsidP="00BE2689">
            <w:pPr>
              <w:pStyle w:val="paragraph"/>
              <w:numPr>
                <w:ilvl w:val="0"/>
                <w:numId w:val="19"/>
              </w:numPr>
              <w:spacing w:after="0" w:afterAutospacing="0"/>
              <w:textAlignment w:val="baseline"/>
              <w:rPr>
                <w:rFonts w:ascii="Calibri" w:hAnsi="Calibri" w:cs="Calibri"/>
                <w:sz w:val="22"/>
                <w:szCs w:val="22"/>
              </w:rPr>
            </w:pPr>
            <w:r w:rsidRPr="00BE2689">
              <w:rPr>
                <w:rStyle w:val="normaltextrun"/>
                <w:rFonts w:ascii="Calibri" w:eastAsiaTheme="majorEastAsia" w:hAnsi="Calibri" w:cs="Calibri"/>
                <w:sz w:val="22"/>
                <w:szCs w:val="22"/>
              </w:rPr>
              <w:t>Up to 1</w:t>
            </w:r>
            <w:r w:rsidR="008C180B" w:rsidRPr="00BE2689">
              <w:rPr>
                <w:rStyle w:val="normaltextrun"/>
                <w:rFonts w:ascii="Calibri" w:eastAsiaTheme="majorEastAsia" w:hAnsi="Calibri" w:cs="Calibri"/>
                <w:sz w:val="22"/>
                <w:szCs w:val="22"/>
              </w:rPr>
              <w:t>0</w:t>
            </w:r>
            <w:r w:rsidRPr="00BE2689">
              <w:rPr>
                <w:rStyle w:val="normaltextrun"/>
                <w:rFonts w:ascii="Calibri" w:eastAsiaTheme="majorEastAsia" w:hAnsi="Calibri" w:cs="Calibri"/>
                <w:sz w:val="22"/>
                <w:szCs w:val="22"/>
              </w:rPr>
              <w:t xml:space="preserve"> years where </w:t>
            </w:r>
            <w:r w:rsidR="008C180B" w:rsidRPr="00BE2689">
              <w:rPr>
                <w:rStyle w:val="normaltextrun"/>
                <w:rFonts w:ascii="Calibri" w:eastAsiaTheme="majorEastAsia" w:hAnsi="Calibri" w:cs="Calibri"/>
                <w:sz w:val="22"/>
                <w:szCs w:val="22"/>
              </w:rPr>
              <w:t>fraud or wi</w:t>
            </w:r>
            <w:r w:rsidR="001D6F45" w:rsidRPr="00BE2689">
              <w:rPr>
                <w:rStyle w:val="normaltextrun"/>
                <w:rFonts w:ascii="Calibri" w:eastAsiaTheme="majorEastAsia" w:hAnsi="Calibri" w:cs="Calibri"/>
                <w:sz w:val="22"/>
                <w:szCs w:val="22"/>
              </w:rPr>
              <w:t>l</w:t>
            </w:r>
            <w:r w:rsidR="008C180B" w:rsidRPr="00BE2689">
              <w:rPr>
                <w:rStyle w:val="normaltextrun"/>
                <w:rFonts w:ascii="Calibri" w:eastAsiaTheme="majorEastAsia" w:hAnsi="Calibri" w:cs="Calibri"/>
                <w:sz w:val="22"/>
                <w:szCs w:val="22"/>
              </w:rPr>
              <w:t xml:space="preserve">lful evasion </w:t>
            </w:r>
            <w:r w:rsidRPr="00BE2689">
              <w:rPr>
                <w:rStyle w:val="normaltextrun"/>
                <w:rFonts w:ascii="Calibri" w:eastAsiaTheme="majorEastAsia" w:hAnsi="Calibri" w:cs="Calibri"/>
                <w:sz w:val="22"/>
                <w:szCs w:val="22"/>
              </w:rPr>
              <w:t>is involved. </w:t>
            </w:r>
            <w:r w:rsidRPr="00BE2689">
              <w:rPr>
                <w:rStyle w:val="eop"/>
                <w:rFonts w:ascii="Calibri" w:eastAsiaTheme="majorEastAsia" w:hAnsi="Calibri" w:cs="Calibri"/>
                <w:sz w:val="22"/>
                <w:szCs w:val="22"/>
              </w:rPr>
              <w:t> </w:t>
            </w:r>
          </w:p>
          <w:p w14:paraId="7A9279E4" w14:textId="65A56E2D" w:rsidR="006C2FF5" w:rsidRPr="00BE2689" w:rsidRDefault="006C2FF5" w:rsidP="00BE2689">
            <w:pPr>
              <w:pStyle w:val="paragraph"/>
              <w:spacing w:before="0" w:beforeAutospacing="0" w:after="0" w:afterAutospacing="0"/>
              <w:ind w:left="360"/>
              <w:textAlignment w:val="baseline"/>
            </w:pPr>
            <w:r w:rsidRPr="00BE2689">
              <w:rPr>
                <w:rStyle w:val="normaltextrun"/>
                <w:rFonts w:ascii="Calibri" w:eastAsiaTheme="majorEastAsia" w:hAnsi="Calibri" w:cs="Calibri"/>
                <w:sz w:val="22"/>
                <w:szCs w:val="22"/>
              </w:rPr>
              <w:t>(</w:t>
            </w:r>
            <w:hyperlink r:id="rId59" w:anchor="section(1)_0" w:tgtFrame="_blank" w:history="1">
              <w:r w:rsidRPr="00BE2689">
                <w:rPr>
                  <w:rStyle w:val="normaltextrun"/>
                  <w:rFonts w:ascii="Calibri" w:eastAsiaTheme="majorEastAsia" w:hAnsi="Calibri" w:cs="Calibri"/>
                  <w:color w:val="0563C1"/>
                  <w:sz w:val="22"/>
                  <w:szCs w:val="22"/>
                  <w:u w:val="single"/>
                </w:rPr>
                <w:t xml:space="preserve">Section </w:t>
              </w:r>
              <w:r w:rsidR="00FD7269" w:rsidRPr="00BE2689">
                <w:rPr>
                  <w:rStyle w:val="normaltextrun"/>
                  <w:rFonts w:ascii="Calibri" w:eastAsiaTheme="majorEastAsia" w:hAnsi="Calibri" w:cs="Calibri"/>
                  <w:color w:val="0563C1"/>
                  <w:sz w:val="22"/>
                  <w:szCs w:val="22"/>
                  <w:u w:val="single"/>
                </w:rPr>
                <w:t>X</w:t>
              </w:r>
              <w:r w:rsidRPr="00BE2689">
                <w:rPr>
                  <w:rStyle w:val="normaltextrun"/>
                  <w:rFonts w:ascii="Calibri" w:eastAsiaTheme="majorEastAsia" w:hAnsi="Calibri" w:cs="Calibri"/>
                  <w:color w:val="0563C1"/>
                  <w:sz w:val="22"/>
                  <w:szCs w:val="22"/>
                  <w:u w:val="single"/>
                </w:rPr>
                <w:t>.</w:t>
              </w:r>
              <w:r w:rsidR="00FD7269" w:rsidRPr="00BE2689">
                <w:rPr>
                  <w:rStyle w:val="normaltextrun"/>
                  <w:rFonts w:ascii="Calibri" w:eastAsiaTheme="majorEastAsia" w:hAnsi="Calibri" w:cs="Calibri"/>
                  <w:color w:val="0563C1"/>
                  <w:sz w:val="22"/>
                  <w:szCs w:val="22"/>
                  <w:u w:val="single"/>
                </w:rPr>
                <w:t>F.1.</w:t>
              </w:r>
            </w:hyperlink>
            <w:r w:rsidRPr="00BE2689">
              <w:rPr>
                <w:rStyle w:val="normaltextrun"/>
                <w:rFonts w:ascii="Calibri" w:eastAsiaTheme="majorEastAsia" w:hAnsi="Calibri" w:cs="Calibri"/>
                <w:sz w:val="22"/>
                <w:szCs w:val="22"/>
              </w:rPr>
              <w:t>)</w:t>
            </w:r>
            <w:r w:rsidRPr="00BE2689">
              <w:rPr>
                <w:rStyle w:val="eop"/>
                <w:rFonts w:ascii="Calibri" w:eastAsiaTheme="majorEastAsia" w:hAnsi="Calibri" w:cs="Calibri"/>
                <w:sz w:val="22"/>
                <w:szCs w:val="22"/>
              </w:rPr>
              <w:t> </w:t>
            </w:r>
          </w:p>
        </w:tc>
      </w:tr>
      <w:tr w:rsidR="006C2FF5" w14:paraId="551AFDCD" w14:textId="77777777" w:rsidTr="5B9A3384">
        <w:trPr>
          <w:trHeight w:val="300"/>
        </w:trPr>
        <w:tc>
          <w:tcPr>
            <w:tcW w:w="2998" w:type="dxa"/>
            <w:tcBorders>
              <w:top w:val="single" w:sz="6" w:space="0" w:color="auto"/>
              <w:left w:val="single" w:sz="6" w:space="0" w:color="auto"/>
              <w:bottom w:val="single" w:sz="6" w:space="0" w:color="auto"/>
              <w:right w:val="single" w:sz="6" w:space="0" w:color="auto"/>
            </w:tcBorders>
            <w:hideMark/>
          </w:tcPr>
          <w:p w14:paraId="23E87912" w14:textId="77777777" w:rsidR="006C2FF5" w:rsidRDefault="006C2FF5" w:rsidP="00BE2689">
            <w:pPr>
              <w:pStyle w:val="paragraph"/>
              <w:spacing w:before="0" w:beforeAutospacing="0" w:after="0" w:afterAutospacing="0"/>
              <w:textAlignment w:val="baseline"/>
            </w:pPr>
            <w:r>
              <w:rPr>
                <w:rStyle w:val="normaltextrun"/>
                <w:rFonts w:ascii="Calibri" w:eastAsiaTheme="majorEastAsia" w:hAnsi="Calibri" w:cs="Calibri"/>
                <w:color w:val="333333"/>
                <w:sz w:val="22"/>
                <w:szCs w:val="22"/>
              </w:rPr>
              <w:t>Advance tax rulings </w:t>
            </w:r>
            <w:r>
              <w:rPr>
                <w:rStyle w:val="eop"/>
                <w:rFonts w:ascii="Calibri" w:eastAsiaTheme="majorEastAsia" w:hAnsi="Calibri" w:cs="Calibri"/>
                <w:color w:val="333333"/>
                <w:sz w:val="22"/>
                <w:szCs w:val="22"/>
              </w:rPr>
              <w:t> </w:t>
            </w:r>
          </w:p>
        </w:tc>
        <w:tc>
          <w:tcPr>
            <w:tcW w:w="9894" w:type="dxa"/>
            <w:tcBorders>
              <w:top w:val="single" w:sz="6" w:space="0" w:color="auto"/>
              <w:left w:val="single" w:sz="6" w:space="0" w:color="auto"/>
              <w:bottom w:val="single" w:sz="6" w:space="0" w:color="auto"/>
              <w:right w:val="single" w:sz="6" w:space="0" w:color="auto"/>
            </w:tcBorders>
            <w:hideMark/>
          </w:tcPr>
          <w:p w14:paraId="28796B6D" w14:textId="2E9F00F5" w:rsidR="006C2FF5" w:rsidRPr="00BE2689" w:rsidRDefault="006C2FF5" w:rsidP="00BE2689">
            <w:pPr>
              <w:pStyle w:val="paragraph"/>
              <w:spacing w:before="0" w:beforeAutospacing="0" w:after="0" w:afterAutospacing="0"/>
              <w:textAlignment w:val="baseline"/>
            </w:pPr>
            <w:r w:rsidRPr="00BE2689">
              <w:rPr>
                <w:rStyle w:val="normaltextrun"/>
                <w:rFonts w:ascii="Calibri" w:eastAsiaTheme="majorEastAsia" w:hAnsi="Calibri" w:cs="Calibri"/>
                <w:sz w:val="22"/>
                <w:szCs w:val="22"/>
              </w:rPr>
              <w:t>Yes. (</w:t>
            </w:r>
            <w:hyperlink r:id="rId60" w:anchor="section(2)_0" w:tgtFrame="_blank" w:history="1">
              <w:r w:rsidRPr="00BE2689">
                <w:rPr>
                  <w:rStyle w:val="normaltextrun"/>
                  <w:rFonts w:ascii="Calibri" w:eastAsiaTheme="majorEastAsia" w:hAnsi="Calibri" w:cs="Calibri"/>
                  <w:color w:val="0563C1"/>
                  <w:sz w:val="22"/>
                  <w:szCs w:val="22"/>
                  <w:u w:val="single"/>
                </w:rPr>
                <w:t xml:space="preserve">Section </w:t>
              </w:r>
              <w:r w:rsidR="002E730A" w:rsidRPr="00BE2689">
                <w:rPr>
                  <w:rStyle w:val="normaltextrun"/>
                  <w:rFonts w:ascii="Calibri" w:eastAsiaTheme="majorEastAsia" w:hAnsi="Calibri" w:cs="Calibri"/>
                  <w:color w:val="0563C1"/>
                  <w:sz w:val="22"/>
                  <w:szCs w:val="22"/>
                  <w:u w:val="single"/>
                </w:rPr>
                <w:t>X</w:t>
              </w:r>
              <w:r w:rsidR="002E730A" w:rsidRPr="00BE2689">
                <w:rPr>
                  <w:rStyle w:val="normaltextrun"/>
                  <w:rFonts w:ascii="Calibri" w:eastAsiaTheme="majorEastAsia" w:hAnsi="Calibri" w:cs="Calibri"/>
                  <w:color w:val="0563C1"/>
                  <w:u w:val="single"/>
                </w:rPr>
                <w:t>.F.2.</w:t>
              </w:r>
            </w:hyperlink>
            <w:r w:rsidRPr="00BE2689">
              <w:rPr>
                <w:rStyle w:val="normaltextrun"/>
                <w:rFonts w:ascii="Calibri" w:eastAsiaTheme="majorEastAsia" w:hAnsi="Calibri" w:cs="Calibri"/>
                <w:sz w:val="22"/>
                <w:szCs w:val="22"/>
              </w:rPr>
              <w:t>)</w:t>
            </w:r>
            <w:r w:rsidRPr="00BE2689">
              <w:rPr>
                <w:rStyle w:val="eop"/>
                <w:rFonts w:ascii="Calibri" w:eastAsiaTheme="majorEastAsia" w:hAnsi="Calibri" w:cs="Calibri"/>
                <w:sz w:val="22"/>
                <w:szCs w:val="22"/>
              </w:rPr>
              <w:t> </w:t>
            </w:r>
          </w:p>
        </w:tc>
      </w:tr>
    </w:tbl>
    <w:p w14:paraId="6F62B521" w14:textId="77777777" w:rsidR="00717CDF" w:rsidRDefault="00717CDF" w:rsidP="00BE2689"/>
    <w:sectPr w:rsidR="00717CDF" w:rsidSect="007B545C">
      <w:headerReference w:type="default" r:id="rId6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C5D49" w14:textId="77777777" w:rsidR="00591F35" w:rsidRDefault="00591F35" w:rsidP="006C2FF5">
      <w:pPr>
        <w:spacing w:after="0" w:line="240" w:lineRule="auto"/>
      </w:pPr>
      <w:r>
        <w:separator/>
      </w:r>
    </w:p>
  </w:endnote>
  <w:endnote w:type="continuationSeparator" w:id="0">
    <w:p w14:paraId="4DB47B6D" w14:textId="77777777" w:rsidR="00591F35" w:rsidRDefault="00591F35" w:rsidP="006C2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7287" w14:textId="77777777" w:rsidR="00591F35" w:rsidRDefault="00591F35" w:rsidP="006C2FF5">
      <w:pPr>
        <w:spacing w:after="0" w:line="240" w:lineRule="auto"/>
      </w:pPr>
      <w:r>
        <w:separator/>
      </w:r>
    </w:p>
  </w:footnote>
  <w:footnote w:type="continuationSeparator" w:id="0">
    <w:p w14:paraId="60F92D50" w14:textId="77777777" w:rsidR="00591F35" w:rsidRDefault="00591F35" w:rsidP="006C2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4795" w14:textId="15D9BCDC" w:rsidR="006C2FF5" w:rsidRPr="006C2FF5" w:rsidRDefault="006C2FF5" w:rsidP="006C2FF5">
    <w:pPr>
      <w:pStyle w:val="paragraph"/>
      <w:spacing w:before="0" w:beforeAutospacing="0" w:after="160" w:afterAutospacing="0"/>
      <w:textAlignment w:val="baseline"/>
    </w:pPr>
    <w:r>
      <w:rPr>
        <w:rStyle w:val="normaltextrun"/>
        <w:rFonts w:ascii="Calibri" w:eastAsiaTheme="majorEastAsia" w:hAnsi="Calibri" w:cs="Calibri"/>
        <w:b/>
        <w:bCs/>
        <w:sz w:val="32"/>
        <w:szCs w:val="32"/>
      </w:rPr>
      <w:t>Hong Kong – Tax System Overview</w:t>
    </w:r>
    <w:r>
      <w:rPr>
        <w:rStyle w:val="eop"/>
        <w:rFonts w:ascii="Calibri" w:eastAsiaTheme="majorEastAsia" w:hAnsi="Calibri" w:cs="Calibri"/>
        <w:sz w:val="32"/>
        <w:szCs w:val="3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370E"/>
    <w:multiLevelType w:val="multilevel"/>
    <w:tmpl w:val="85DCED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4082DA6"/>
    <w:multiLevelType w:val="multilevel"/>
    <w:tmpl w:val="E4AE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910A2"/>
    <w:multiLevelType w:val="hybridMultilevel"/>
    <w:tmpl w:val="9BE4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669EA"/>
    <w:multiLevelType w:val="multilevel"/>
    <w:tmpl w:val="2344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97457"/>
    <w:multiLevelType w:val="hybridMultilevel"/>
    <w:tmpl w:val="6D62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A6DEB"/>
    <w:multiLevelType w:val="multilevel"/>
    <w:tmpl w:val="417E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D1847"/>
    <w:multiLevelType w:val="multilevel"/>
    <w:tmpl w:val="06C0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C7062"/>
    <w:multiLevelType w:val="multilevel"/>
    <w:tmpl w:val="452E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73349"/>
    <w:multiLevelType w:val="hybridMultilevel"/>
    <w:tmpl w:val="7A0C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F5322"/>
    <w:multiLevelType w:val="multilevel"/>
    <w:tmpl w:val="FA60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B2A1B"/>
    <w:multiLevelType w:val="multilevel"/>
    <w:tmpl w:val="EB2A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5B0251"/>
    <w:multiLevelType w:val="multilevel"/>
    <w:tmpl w:val="2DB4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ED6027"/>
    <w:multiLevelType w:val="multilevel"/>
    <w:tmpl w:val="F1DA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AE2BAA"/>
    <w:multiLevelType w:val="hybridMultilevel"/>
    <w:tmpl w:val="33882FF8"/>
    <w:lvl w:ilvl="0" w:tplc="3AD690D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F7697B"/>
    <w:multiLevelType w:val="hybridMultilevel"/>
    <w:tmpl w:val="C7602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E279F"/>
    <w:multiLevelType w:val="multilevel"/>
    <w:tmpl w:val="805E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85EF4"/>
    <w:multiLevelType w:val="hybridMultilevel"/>
    <w:tmpl w:val="8E54D3F6"/>
    <w:lvl w:ilvl="0" w:tplc="FDECF5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334D4"/>
    <w:multiLevelType w:val="hybridMultilevel"/>
    <w:tmpl w:val="E67C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A6EDF"/>
    <w:multiLevelType w:val="hybridMultilevel"/>
    <w:tmpl w:val="3BEEA39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15:restartNumberingAfterBreak="0">
    <w:nsid w:val="607C2EEE"/>
    <w:multiLevelType w:val="multilevel"/>
    <w:tmpl w:val="45A4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0E2758"/>
    <w:multiLevelType w:val="hybridMultilevel"/>
    <w:tmpl w:val="EAB8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D62360"/>
    <w:multiLevelType w:val="hybridMultilevel"/>
    <w:tmpl w:val="B0BCA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EB26895"/>
    <w:multiLevelType w:val="hybridMultilevel"/>
    <w:tmpl w:val="F234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47FBA"/>
    <w:multiLevelType w:val="hybridMultilevel"/>
    <w:tmpl w:val="94E6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195A77"/>
    <w:multiLevelType w:val="hybridMultilevel"/>
    <w:tmpl w:val="8DAEEE7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780A75D9"/>
    <w:multiLevelType w:val="multilevel"/>
    <w:tmpl w:val="CD2C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AF1EBF"/>
    <w:multiLevelType w:val="hybridMultilevel"/>
    <w:tmpl w:val="7B50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8899">
    <w:abstractNumId w:val="15"/>
  </w:num>
  <w:num w:numId="2" w16cid:durableId="993951409">
    <w:abstractNumId w:val="5"/>
  </w:num>
  <w:num w:numId="3" w16cid:durableId="900094970">
    <w:abstractNumId w:val="7"/>
  </w:num>
  <w:num w:numId="4" w16cid:durableId="1553805294">
    <w:abstractNumId w:val="11"/>
  </w:num>
  <w:num w:numId="5" w16cid:durableId="1234314683">
    <w:abstractNumId w:val="1"/>
  </w:num>
  <w:num w:numId="6" w16cid:durableId="1725635720">
    <w:abstractNumId w:val="0"/>
  </w:num>
  <w:num w:numId="7" w16cid:durableId="1316690978">
    <w:abstractNumId w:val="19"/>
  </w:num>
  <w:num w:numId="8" w16cid:durableId="1651904377">
    <w:abstractNumId w:val="10"/>
  </w:num>
  <w:num w:numId="9" w16cid:durableId="1596666916">
    <w:abstractNumId w:val="12"/>
  </w:num>
  <w:num w:numId="10" w16cid:durableId="1273630118">
    <w:abstractNumId w:val="25"/>
  </w:num>
  <w:num w:numId="11" w16cid:durableId="1877765588">
    <w:abstractNumId w:val="6"/>
  </w:num>
  <w:num w:numId="12" w16cid:durableId="1389111034">
    <w:abstractNumId w:val="9"/>
  </w:num>
  <w:num w:numId="13" w16cid:durableId="1334797727">
    <w:abstractNumId w:val="3"/>
  </w:num>
  <w:num w:numId="14" w16cid:durableId="1119648178">
    <w:abstractNumId w:val="22"/>
  </w:num>
  <w:num w:numId="15" w16cid:durableId="128741280">
    <w:abstractNumId w:val="20"/>
  </w:num>
  <w:num w:numId="16" w16cid:durableId="949514293">
    <w:abstractNumId w:val="2"/>
  </w:num>
  <w:num w:numId="17" w16cid:durableId="1092121509">
    <w:abstractNumId w:val="4"/>
  </w:num>
  <w:num w:numId="18" w16cid:durableId="1676574080">
    <w:abstractNumId w:val="14"/>
  </w:num>
  <w:num w:numId="19" w16cid:durableId="39785056">
    <w:abstractNumId w:val="8"/>
  </w:num>
  <w:num w:numId="20" w16cid:durableId="597448352">
    <w:abstractNumId w:val="17"/>
  </w:num>
  <w:num w:numId="21" w16cid:durableId="478426255">
    <w:abstractNumId w:val="26"/>
  </w:num>
  <w:num w:numId="22" w16cid:durableId="1758599643">
    <w:abstractNumId w:val="18"/>
  </w:num>
  <w:num w:numId="23" w16cid:durableId="1773283990">
    <w:abstractNumId w:val="24"/>
  </w:num>
  <w:num w:numId="24" w16cid:durableId="1766805108">
    <w:abstractNumId w:val="23"/>
  </w:num>
  <w:num w:numId="25" w16cid:durableId="1003246396">
    <w:abstractNumId w:val="13"/>
  </w:num>
  <w:num w:numId="26" w16cid:durableId="212740611">
    <w:abstractNumId w:val="21"/>
  </w:num>
  <w:num w:numId="27" w16cid:durableId="19316219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F5"/>
    <w:rsid w:val="0000132D"/>
    <w:rsid w:val="00015292"/>
    <w:rsid w:val="00015837"/>
    <w:rsid w:val="00020F0B"/>
    <w:rsid w:val="0002156D"/>
    <w:rsid w:val="000256B0"/>
    <w:rsid w:val="0004204F"/>
    <w:rsid w:val="00042341"/>
    <w:rsid w:val="00050595"/>
    <w:rsid w:val="00051BA0"/>
    <w:rsid w:val="0005288C"/>
    <w:rsid w:val="00056D84"/>
    <w:rsid w:val="000579DF"/>
    <w:rsid w:val="00072FBD"/>
    <w:rsid w:val="00077475"/>
    <w:rsid w:val="000958C9"/>
    <w:rsid w:val="000A2EF3"/>
    <w:rsid w:val="000A4660"/>
    <w:rsid w:val="000A77CE"/>
    <w:rsid w:val="000B1F21"/>
    <w:rsid w:val="000B7755"/>
    <w:rsid w:val="000C0029"/>
    <w:rsid w:val="000C21B7"/>
    <w:rsid w:val="000C28B7"/>
    <w:rsid w:val="000C3359"/>
    <w:rsid w:val="000C4516"/>
    <w:rsid w:val="000C4BFB"/>
    <w:rsid w:val="000C6D10"/>
    <w:rsid w:val="000D0E45"/>
    <w:rsid w:val="000D2FCA"/>
    <w:rsid w:val="000D5BCA"/>
    <w:rsid w:val="000F0047"/>
    <w:rsid w:val="000F445F"/>
    <w:rsid w:val="00105B71"/>
    <w:rsid w:val="0010630F"/>
    <w:rsid w:val="00110B13"/>
    <w:rsid w:val="001125A9"/>
    <w:rsid w:val="001165D5"/>
    <w:rsid w:val="00121C5C"/>
    <w:rsid w:val="001236F3"/>
    <w:rsid w:val="001276C2"/>
    <w:rsid w:val="00133576"/>
    <w:rsid w:val="0013453A"/>
    <w:rsid w:val="00151506"/>
    <w:rsid w:val="0015548F"/>
    <w:rsid w:val="00166B95"/>
    <w:rsid w:val="00170D45"/>
    <w:rsid w:val="00171722"/>
    <w:rsid w:val="001722FE"/>
    <w:rsid w:val="00174AAD"/>
    <w:rsid w:val="0017603D"/>
    <w:rsid w:val="001831C5"/>
    <w:rsid w:val="0019255E"/>
    <w:rsid w:val="0019385D"/>
    <w:rsid w:val="0019518E"/>
    <w:rsid w:val="001A3057"/>
    <w:rsid w:val="001A65D9"/>
    <w:rsid w:val="001A6CD0"/>
    <w:rsid w:val="001B3792"/>
    <w:rsid w:val="001B66B4"/>
    <w:rsid w:val="001C0984"/>
    <w:rsid w:val="001C18E6"/>
    <w:rsid w:val="001C59FE"/>
    <w:rsid w:val="001D0529"/>
    <w:rsid w:val="001D08C7"/>
    <w:rsid w:val="001D5C0C"/>
    <w:rsid w:val="001D6F45"/>
    <w:rsid w:val="001E1F7F"/>
    <w:rsid w:val="001F1BFA"/>
    <w:rsid w:val="001F4A9B"/>
    <w:rsid w:val="00224FDA"/>
    <w:rsid w:val="0022784A"/>
    <w:rsid w:val="00233DAA"/>
    <w:rsid w:val="00236441"/>
    <w:rsid w:val="00241134"/>
    <w:rsid w:val="0024247A"/>
    <w:rsid w:val="0024548A"/>
    <w:rsid w:val="002532B7"/>
    <w:rsid w:val="0025381B"/>
    <w:rsid w:val="002565F7"/>
    <w:rsid w:val="0025678C"/>
    <w:rsid w:val="0025697C"/>
    <w:rsid w:val="00257A87"/>
    <w:rsid w:val="002645A6"/>
    <w:rsid w:val="00273A59"/>
    <w:rsid w:val="00275266"/>
    <w:rsid w:val="00276CCB"/>
    <w:rsid w:val="0028072B"/>
    <w:rsid w:val="0028305D"/>
    <w:rsid w:val="002A1FE3"/>
    <w:rsid w:val="002A4021"/>
    <w:rsid w:val="002B1929"/>
    <w:rsid w:val="002B2E38"/>
    <w:rsid w:val="002B4C69"/>
    <w:rsid w:val="002C2F56"/>
    <w:rsid w:val="002C7A8D"/>
    <w:rsid w:val="002D2134"/>
    <w:rsid w:val="002D2AEA"/>
    <w:rsid w:val="002D2F61"/>
    <w:rsid w:val="002D3D12"/>
    <w:rsid w:val="002D7262"/>
    <w:rsid w:val="002E37AE"/>
    <w:rsid w:val="002E42D8"/>
    <w:rsid w:val="002E730A"/>
    <w:rsid w:val="002F0AC9"/>
    <w:rsid w:val="002F1CD8"/>
    <w:rsid w:val="002F73BB"/>
    <w:rsid w:val="00300F6F"/>
    <w:rsid w:val="003079D7"/>
    <w:rsid w:val="00312CA6"/>
    <w:rsid w:val="00313564"/>
    <w:rsid w:val="0032634E"/>
    <w:rsid w:val="00331FC7"/>
    <w:rsid w:val="00344737"/>
    <w:rsid w:val="003569B1"/>
    <w:rsid w:val="003624F0"/>
    <w:rsid w:val="003676B9"/>
    <w:rsid w:val="0038504F"/>
    <w:rsid w:val="003878AE"/>
    <w:rsid w:val="003A2788"/>
    <w:rsid w:val="003D1A76"/>
    <w:rsid w:val="003D33CB"/>
    <w:rsid w:val="003D3885"/>
    <w:rsid w:val="003E4170"/>
    <w:rsid w:val="00411C81"/>
    <w:rsid w:val="0041395D"/>
    <w:rsid w:val="00425006"/>
    <w:rsid w:val="00430BC7"/>
    <w:rsid w:val="00450858"/>
    <w:rsid w:val="004508BC"/>
    <w:rsid w:val="004569D4"/>
    <w:rsid w:val="004608E0"/>
    <w:rsid w:val="00466980"/>
    <w:rsid w:val="00467B68"/>
    <w:rsid w:val="00480D6F"/>
    <w:rsid w:val="00483F34"/>
    <w:rsid w:val="00496D07"/>
    <w:rsid w:val="00497B5E"/>
    <w:rsid w:val="004A7BA1"/>
    <w:rsid w:val="004B1029"/>
    <w:rsid w:val="004B4211"/>
    <w:rsid w:val="004C33B4"/>
    <w:rsid w:val="004C6358"/>
    <w:rsid w:val="004D6C4F"/>
    <w:rsid w:val="004E2C82"/>
    <w:rsid w:val="004E3021"/>
    <w:rsid w:val="004F15C6"/>
    <w:rsid w:val="004F37AA"/>
    <w:rsid w:val="004F7731"/>
    <w:rsid w:val="0050050F"/>
    <w:rsid w:val="005028A3"/>
    <w:rsid w:val="0050509E"/>
    <w:rsid w:val="00506D56"/>
    <w:rsid w:val="00507027"/>
    <w:rsid w:val="00512046"/>
    <w:rsid w:val="00514188"/>
    <w:rsid w:val="00515E45"/>
    <w:rsid w:val="00517236"/>
    <w:rsid w:val="00521C32"/>
    <w:rsid w:val="005243E7"/>
    <w:rsid w:val="005254AC"/>
    <w:rsid w:val="00530A9A"/>
    <w:rsid w:val="005343AA"/>
    <w:rsid w:val="0054422B"/>
    <w:rsid w:val="00553A6B"/>
    <w:rsid w:val="00556F60"/>
    <w:rsid w:val="00563C30"/>
    <w:rsid w:val="00564F06"/>
    <w:rsid w:val="00565361"/>
    <w:rsid w:val="0057558A"/>
    <w:rsid w:val="00577100"/>
    <w:rsid w:val="00580159"/>
    <w:rsid w:val="00587C35"/>
    <w:rsid w:val="00590B9D"/>
    <w:rsid w:val="00591F35"/>
    <w:rsid w:val="005A352E"/>
    <w:rsid w:val="005A3B66"/>
    <w:rsid w:val="005A6723"/>
    <w:rsid w:val="005B7C46"/>
    <w:rsid w:val="005D572B"/>
    <w:rsid w:val="005E5E84"/>
    <w:rsid w:val="005E612A"/>
    <w:rsid w:val="005F016E"/>
    <w:rsid w:val="005F7BB0"/>
    <w:rsid w:val="00605A03"/>
    <w:rsid w:val="006074FE"/>
    <w:rsid w:val="00613730"/>
    <w:rsid w:val="006238A3"/>
    <w:rsid w:val="006362FA"/>
    <w:rsid w:val="006366FA"/>
    <w:rsid w:val="006370A6"/>
    <w:rsid w:val="00640C79"/>
    <w:rsid w:val="006423DC"/>
    <w:rsid w:val="006460D7"/>
    <w:rsid w:val="006478F0"/>
    <w:rsid w:val="00654293"/>
    <w:rsid w:val="00657F97"/>
    <w:rsid w:val="006658D3"/>
    <w:rsid w:val="006718A9"/>
    <w:rsid w:val="00674E22"/>
    <w:rsid w:val="006750C9"/>
    <w:rsid w:val="00684C56"/>
    <w:rsid w:val="00687179"/>
    <w:rsid w:val="006918DA"/>
    <w:rsid w:val="00694779"/>
    <w:rsid w:val="00694A66"/>
    <w:rsid w:val="00694FAB"/>
    <w:rsid w:val="00695F25"/>
    <w:rsid w:val="006B66CB"/>
    <w:rsid w:val="006B7F0B"/>
    <w:rsid w:val="006C0A4F"/>
    <w:rsid w:val="006C1946"/>
    <w:rsid w:val="006C2FF5"/>
    <w:rsid w:val="006D56C0"/>
    <w:rsid w:val="006E54B3"/>
    <w:rsid w:val="006F1FDD"/>
    <w:rsid w:val="006F3CB4"/>
    <w:rsid w:val="00701E31"/>
    <w:rsid w:val="007077F9"/>
    <w:rsid w:val="00713855"/>
    <w:rsid w:val="00717CDF"/>
    <w:rsid w:val="00721B8B"/>
    <w:rsid w:val="00727629"/>
    <w:rsid w:val="0073024E"/>
    <w:rsid w:val="00735597"/>
    <w:rsid w:val="007412F7"/>
    <w:rsid w:val="00742F88"/>
    <w:rsid w:val="0075415E"/>
    <w:rsid w:val="00754E63"/>
    <w:rsid w:val="007604AC"/>
    <w:rsid w:val="007619B5"/>
    <w:rsid w:val="00762C8F"/>
    <w:rsid w:val="007723CB"/>
    <w:rsid w:val="00776281"/>
    <w:rsid w:val="00777B13"/>
    <w:rsid w:val="0078361D"/>
    <w:rsid w:val="007839C0"/>
    <w:rsid w:val="00787775"/>
    <w:rsid w:val="007909FE"/>
    <w:rsid w:val="007922BB"/>
    <w:rsid w:val="007965AC"/>
    <w:rsid w:val="007A4F7A"/>
    <w:rsid w:val="007A5EFD"/>
    <w:rsid w:val="007B545C"/>
    <w:rsid w:val="007C0AB4"/>
    <w:rsid w:val="007C6BB4"/>
    <w:rsid w:val="007D44E1"/>
    <w:rsid w:val="007D4EF1"/>
    <w:rsid w:val="007D56A3"/>
    <w:rsid w:val="007E04BA"/>
    <w:rsid w:val="007E24EF"/>
    <w:rsid w:val="007E25E6"/>
    <w:rsid w:val="00800DFF"/>
    <w:rsid w:val="00802168"/>
    <w:rsid w:val="00805C9A"/>
    <w:rsid w:val="008065A5"/>
    <w:rsid w:val="00812BDF"/>
    <w:rsid w:val="00820A1F"/>
    <w:rsid w:val="00821533"/>
    <w:rsid w:val="00821889"/>
    <w:rsid w:val="00823F3D"/>
    <w:rsid w:val="00824945"/>
    <w:rsid w:val="00830714"/>
    <w:rsid w:val="0083175B"/>
    <w:rsid w:val="00836BAE"/>
    <w:rsid w:val="00844063"/>
    <w:rsid w:val="0086164B"/>
    <w:rsid w:val="00864CD6"/>
    <w:rsid w:val="00875396"/>
    <w:rsid w:val="00881CB0"/>
    <w:rsid w:val="0088606F"/>
    <w:rsid w:val="008A6B5C"/>
    <w:rsid w:val="008B24B4"/>
    <w:rsid w:val="008B5027"/>
    <w:rsid w:val="008C0CEC"/>
    <w:rsid w:val="008C15AD"/>
    <w:rsid w:val="008C180B"/>
    <w:rsid w:val="008C2ED5"/>
    <w:rsid w:val="008C3E16"/>
    <w:rsid w:val="008C796D"/>
    <w:rsid w:val="008D7B1A"/>
    <w:rsid w:val="008E1A9C"/>
    <w:rsid w:val="008E2BC8"/>
    <w:rsid w:val="008E356E"/>
    <w:rsid w:val="00904881"/>
    <w:rsid w:val="00910892"/>
    <w:rsid w:val="0091772C"/>
    <w:rsid w:val="00927AEC"/>
    <w:rsid w:val="009302C1"/>
    <w:rsid w:val="00932CA1"/>
    <w:rsid w:val="00946F8F"/>
    <w:rsid w:val="00955004"/>
    <w:rsid w:val="0095761C"/>
    <w:rsid w:val="00962797"/>
    <w:rsid w:val="0096591D"/>
    <w:rsid w:val="009659AD"/>
    <w:rsid w:val="0097075E"/>
    <w:rsid w:val="00976E2A"/>
    <w:rsid w:val="009807C3"/>
    <w:rsid w:val="009821CD"/>
    <w:rsid w:val="009901B3"/>
    <w:rsid w:val="00993B13"/>
    <w:rsid w:val="00994F08"/>
    <w:rsid w:val="009954D8"/>
    <w:rsid w:val="00996493"/>
    <w:rsid w:val="0099783E"/>
    <w:rsid w:val="009C6133"/>
    <w:rsid w:val="009C68D2"/>
    <w:rsid w:val="009D1E82"/>
    <w:rsid w:val="009E2B6E"/>
    <w:rsid w:val="009E2D5D"/>
    <w:rsid w:val="009E57E4"/>
    <w:rsid w:val="009E7C1C"/>
    <w:rsid w:val="009F7DCF"/>
    <w:rsid w:val="00A03B9D"/>
    <w:rsid w:val="00A21133"/>
    <w:rsid w:val="00A262B0"/>
    <w:rsid w:val="00A36B64"/>
    <w:rsid w:val="00A3762B"/>
    <w:rsid w:val="00A4106E"/>
    <w:rsid w:val="00A529AA"/>
    <w:rsid w:val="00A5486A"/>
    <w:rsid w:val="00A5578A"/>
    <w:rsid w:val="00A56590"/>
    <w:rsid w:val="00A565ED"/>
    <w:rsid w:val="00A63188"/>
    <w:rsid w:val="00A651F7"/>
    <w:rsid w:val="00A74A06"/>
    <w:rsid w:val="00A76979"/>
    <w:rsid w:val="00A76AD9"/>
    <w:rsid w:val="00A82E78"/>
    <w:rsid w:val="00A8480B"/>
    <w:rsid w:val="00A84AF0"/>
    <w:rsid w:val="00A84BEF"/>
    <w:rsid w:val="00A910A8"/>
    <w:rsid w:val="00A9334F"/>
    <w:rsid w:val="00A93E4B"/>
    <w:rsid w:val="00A971BA"/>
    <w:rsid w:val="00AA4365"/>
    <w:rsid w:val="00AA6003"/>
    <w:rsid w:val="00AB43B8"/>
    <w:rsid w:val="00AB57A7"/>
    <w:rsid w:val="00AB5C86"/>
    <w:rsid w:val="00AC38A3"/>
    <w:rsid w:val="00AC52FC"/>
    <w:rsid w:val="00AC66CB"/>
    <w:rsid w:val="00AC7784"/>
    <w:rsid w:val="00AD49C3"/>
    <w:rsid w:val="00AD643E"/>
    <w:rsid w:val="00AE06BB"/>
    <w:rsid w:val="00AE3FBD"/>
    <w:rsid w:val="00AE6AA5"/>
    <w:rsid w:val="00AE79BB"/>
    <w:rsid w:val="00B07FD4"/>
    <w:rsid w:val="00B14006"/>
    <w:rsid w:val="00B16202"/>
    <w:rsid w:val="00B25176"/>
    <w:rsid w:val="00B263A3"/>
    <w:rsid w:val="00B3239F"/>
    <w:rsid w:val="00B414D5"/>
    <w:rsid w:val="00B722E1"/>
    <w:rsid w:val="00B85DFA"/>
    <w:rsid w:val="00B87B9F"/>
    <w:rsid w:val="00B971F3"/>
    <w:rsid w:val="00BA4232"/>
    <w:rsid w:val="00BA6F95"/>
    <w:rsid w:val="00BB37F1"/>
    <w:rsid w:val="00BB6782"/>
    <w:rsid w:val="00BC0330"/>
    <w:rsid w:val="00BC205B"/>
    <w:rsid w:val="00BC34FE"/>
    <w:rsid w:val="00BC4581"/>
    <w:rsid w:val="00BC493F"/>
    <w:rsid w:val="00BC4EB9"/>
    <w:rsid w:val="00BC609D"/>
    <w:rsid w:val="00BD00CB"/>
    <w:rsid w:val="00BD01A1"/>
    <w:rsid w:val="00BD5109"/>
    <w:rsid w:val="00BE1D0F"/>
    <w:rsid w:val="00BE2689"/>
    <w:rsid w:val="00BE61B0"/>
    <w:rsid w:val="00C066A8"/>
    <w:rsid w:val="00C14EDE"/>
    <w:rsid w:val="00C224FA"/>
    <w:rsid w:val="00C32C65"/>
    <w:rsid w:val="00C404FA"/>
    <w:rsid w:val="00C5187E"/>
    <w:rsid w:val="00C56052"/>
    <w:rsid w:val="00C5666B"/>
    <w:rsid w:val="00C57E01"/>
    <w:rsid w:val="00C7047D"/>
    <w:rsid w:val="00C71872"/>
    <w:rsid w:val="00C732F4"/>
    <w:rsid w:val="00C73555"/>
    <w:rsid w:val="00C74613"/>
    <w:rsid w:val="00C80995"/>
    <w:rsid w:val="00C83DD0"/>
    <w:rsid w:val="00C86FCD"/>
    <w:rsid w:val="00C87C99"/>
    <w:rsid w:val="00C95236"/>
    <w:rsid w:val="00C95616"/>
    <w:rsid w:val="00CA229E"/>
    <w:rsid w:val="00CB1381"/>
    <w:rsid w:val="00CB6E83"/>
    <w:rsid w:val="00CC2F83"/>
    <w:rsid w:val="00CD24B1"/>
    <w:rsid w:val="00CD387E"/>
    <w:rsid w:val="00CD4C16"/>
    <w:rsid w:val="00CE20F5"/>
    <w:rsid w:val="00CE2A42"/>
    <w:rsid w:val="00CE3C7F"/>
    <w:rsid w:val="00CE4836"/>
    <w:rsid w:val="00CE6A6C"/>
    <w:rsid w:val="00CF1D38"/>
    <w:rsid w:val="00CF25FA"/>
    <w:rsid w:val="00CF3117"/>
    <w:rsid w:val="00CF5D07"/>
    <w:rsid w:val="00D02852"/>
    <w:rsid w:val="00D05647"/>
    <w:rsid w:val="00D07FF3"/>
    <w:rsid w:val="00D10D1B"/>
    <w:rsid w:val="00D14999"/>
    <w:rsid w:val="00D160DA"/>
    <w:rsid w:val="00D2068B"/>
    <w:rsid w:val="00D20EB5"/>
    <w:rsid w:val="00D27E2B"/>
    <w:rsid w:val="00D40BC7"/>
    <w:rsid w:val="00D41D3B"/>
    <w:rsid w:val="00D46A75"/>
    <w:rsid w:val="00D70FDF"/>
    <w:rsid w:val="00D71C12"/>
    <w:rsid w:val="00D76373"/>
    <w:rsid w:val="00D779CC"/>
    <w:rsid w:val="00D928A6"/>
    <w:rsid w:val="00DA18CF"/>
    <w:rsid w:val="00DA5443"/>
    <w:rsid w:val="00DA6A7B"/>
    <w:rsid w:val="00DB67B2"/>
    <w:rsid w:val="00DB68E0"/>
    <w:rsid w:val="00DC511E"/>
    <w:rsid w:val="00DC5988"/>
    <w:rsid w:val="00DC681D"/>
    <w:rsid w:val="00DD0071"/>
    <w:rsid w:val="00DD293B"/>
    <w:rsid w:val="00DD5DF4"/>
    <w:rsid w:val="00DD708A"/>
    <w:rsid w:val="00DE26C3"/>
    <w:rsid w:val="00DE50FF"/>
    <w:rsid w:val="00DF6CFD"/>
    <w:rsid w:val="00DF7404"/>
    <w:rsid w:val="00E049DA"/>
    <w:rsid w:val="00E1457F"/>
    <w:rsid w:val="00E17550"/>
    <w:rsid w:val="00E23110"/>
    <w:rsid w:val="00E35884"/>
    <w:rsid w:val="00E45850"/>
    <w:rsid w:val="00E46ACF"/>
    <w:rsid w:val="00E472F0"/>
    <w:rsid w:val="00E54A4B"/>
    <w:rsid w:val="00E553AE"/>
    <w:rsid w:val="00E5607F"/>
    <w:rsid w:val="00E7139A"/>
    <w:rsid w:val="00E759A0"/>
    <w:rsid w:val="00E83890"/>
    <w:rsid w:val="00E83C46"/>
    <w:rsid w:val="00EB0695"/>
    <w:rsid w:val="00EB2866"/>
    <w:rsid w:val="00EC0343"/>
    <w:rsid w:val="00EC1E4A"/>
    <w:rsid w:val="00EC20C9"/>
    <w:rsid w:val="00EC5918"/>
    <w:rsid w:val="00EC6244"/>
    <w:rsid w:val="00EE2F9F"/>
    <w:rsid w:val="00EE3CE7"/>
    <w:rsid w:val="00EE5C13"/>
    <w:rsid w:val="00EF35EA"/>
    <w:rsid w:val="00F02819"/>
    <w:rsid w:val="00F22359"/>
    <w:rsid w:val="00F311EB"/>
    <w:rsid w:val="00F4606A"/>
    <w:rsid w:val="00F503B1"/>
    <w:rsid w:val="00F50B5E"/>
    <w:rsid w:val="00F529EB"/>
    <w:rsid w:val="00F55B71"/>
    <w:rsid w:val="00F567A1"/>
    <w:rsid w:val="00F61B6E"/>
    <w:rsid w:val="00F65E06"/>
    <w:rsid w:val="00F839DA"/>
    <w:rsid w:val="00F91E85"/>
    <w:rsid w:val="00F95ECB"/>
    <w:rsid w:val="00FA012E"/>
    <w:rsid w:val="00FA1ADE"/>
    <w:rsid w:val="00FA34BA"/>
    <w:rsid w:val="00FA5B0D"/>
    <w:rsid w:val="00FB45D2"/>
    <w:rsid w:val="00FC21AA"/>
    <w:rsid w:val="00FC5514"/>
    <w:rsid w:val="00FC7843"/>
    <w:rsid w:val="00FD6ACF"/>
    <w:rsid w:val="00FD7269"/>
    <w:rsid w:val="00FE46F4"/>
    <w:rsid w:val="00FE5581"/>
    <w:rsid w:val="00FF04DC"/>
    <w:rsid w:val="00FF5BCD"/>
    <w:rsid w:val="4B237650"/>
    <w:rsid w:val="5B9A3384"/>
    <w:rsid w:val="661C9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03CD"/>
  <w15:chartTrackingRefBased/>
  <w15:docId w15:val="{5DACD775-648D-40BC-B990-839FE589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F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F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F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F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F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F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F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F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F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F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F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F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FF5"/>
    <w:rPr>
      <w:rFonts w:eastAsiaTheme="majorEastAsia" w:cstheme="majorBidi"/>
      <w:color w:val="272727" w:themeColor="text1" w:themeTint="D8"/>
    </w:rPr>
  </w:style>
  <w:style w:type="paragraph" w:styleId="Title">
    <w:name w:val="Title"/>
    <w:basedOn w:val="Normal"/>
    <w:next w:val="Normal"/>
    <w:link w:val="TitleChar"/>
    <w:uiPriority w:val="10"/>
    <w:qFormat/>
    <w:rsid w:val="006C2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F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FF5"/>
    <w:pPr>
      <w:spacing w:before="160"/>
      <w:jc w:val="center"/>
    </w:pPr>
    <w:rPr>
      <w:i/>
      <w:iCs/>
      <w:color w:val="404040" w:themeColor="text1" w:themeTint="BF"/>
    </w:rPr>
  </w:style>
  <w:style w:type="character" w:customStyle="1" w:styleId="QuoteChar">
    <w:name w:val="Quote Char"/>
    <w:basedOn w:val="DefaultParagraphFont"/>
    <w:link w:val="Quote"/>
    <w:uiPriority w:val="29"/>
    <w:rsid w:val="006C2FF5"/>
    <w:rPr>
      <w:i/>
      <w:iCs/>
      <w:color w:val="404040" w:themeColor="text1" w:themeTint="BF"/>
    </w:rPr>
  </w:style>
  <w:style w:type="paragraph" w:styleId="ListParagraph">
    <w:name w:val="List Paragraph"/>
    <w:basedOn w:val="Normal"/>
    <w:uiPriority w:val="34"/>
    <w:qFormat/>
    <w:rsid w:val="006C2FF5"/>
    <w:pPr>
      <w:ind w:left="720"/>
      <w:contextualSpacing/>
    </w:pPr>
  </w:style>
  <w:style w:type="character" w:styleId="IntenseEmphasis">
    <w:name w:val="Intense Emphasis"/>
    <w:basedOn w:val="DefaultParagraphFont"/>
    <w:uiPriority w:val="21"/>
    <w:qFormat/>
    <w:rsid w:val="006C2FF5"/>
    <w:rPr>
      <w:i/>
      <w:iCs/>
      <w:color w:val="0F4761" w:themeColor="accent1" w:themeShade="BF"/>
    </w:rPr>
  </w:style>
  <w:style w:type="paragraph" w:styleId="IntenseQuote">
    <w:name w:val="Intense Quote"/>
    <w:basedOn w:val="Normal"/>
    <w:next w:val="Normal"/>
    <w:link w:val="IntenseQuoteChar"/>
    <w:uiPriority w:val="30"/>
    <w:qFormat/>
    <w:rsid w:val="006C2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FF5"/>
    <w:rPr>
      <w:i/>
      <w:iCs/>
      <w:color w:val="0F4761" w:themeColor="accent1" w:themeShade="BF"/>
    </w:rPr>
  </w:style>
  <w:style w:type="character" w:styleId="IntenseReference">
    <w:name w:val="Intense Reference"/>
    <w:basedOn w:val="DefaultParagraphFont"/>
    <w:uiPriority w:val="32"/>
    <w:qFormat/>
    <w:rsid w:val="006C2FF5"/>
    <w:rPr>
      <w:b/>
      <w:bCs/>
      <w:smallCaps/>
      <w:color w:val="0F4761" w:themeColor="accent1" w:themeShade="BF"/>
      <w:spacing w:val="5"/>
    </w:rPr>
  </w:style>
  <w:style w:type="paragraph" w:customStyle="1" w:styleId="paragraph">
    <w:name w:val="paragraph"/>
    <w:basedOn w:val="Normal"/>
    <w:rsid w:val="006C2FF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C2FF5"/>
  </w:style>
  <w:style w:type="character" w:customStyle="1" w:styleId="eop">
    <w:name w:val="eop"/>
    <w:basedOn w:val="DefaultParagraphFont"/>
    <w:rsid w:val="006C2FF5"/>
  </w:style>
  <w:style w:type="paragraph" w:styleId="Header">
    <w:name w:val="header"/>
    <w:basedOn w:val="Normal"/>
    <w:link w:val="HeaderChar"/>
    <w:uiPriority w:val="99"/>
    <w:unhideWhenUsed/>
    <w:rsid w:val="006C2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FF5"/>
  </w:style>
  <w:style w:type="paragraph" w:styleId="Footer">
    <w:name w:val="footer"/>
    <w:basedOn w:val="Normal"/>
    <w:link w:val="FooterChar"/>
    <w:uiPriority w:val="99"/>
    <w:unhideWhenUsed/>
    <w:rsid w:val="006C2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FF5"/>
  </w:style>
  <w:style w:type="character" w:customStyle="1" w:styleId="lrzxr">
    <w:name w:val="lrzxr"/>
    <w:basedOn w:val="DefaultParagraphFont"/>
    <w:rsid w:val="00713855"/>
  </w:style>
  <w:style w:type="character" w:styleId="Hyperlink">
    <w:name w:val="Hyperlink"/>
    <w:basedOn w:val="DefaultParagraphFont"/>
    <w:uiPriority w:val="99"/>
    <w:unhideWhenUsed/>
    <w:rsid w:val="00233DAA"/>
    <w:rPr>
      <w:color w:val="467886" w:themeColor="hyperlink"/>
      <w:u w:val="single"/>
    </w:rPr>
  </w:style>
  <w:style w:type="character" w:styleId="UnresolvedMention">
    <w:name w:val="Unresolved Mention"/>
    <w:basedOn w:val="DefaultParagraphFont"/>
    <w:uiPriority w:val="99"/>
    <w:semiHidden/>
    <w:unhideWhenUsed/>
    <w:rsid w:val="00233DAA"/>
    <w:rPr>
      <w:color w:val="605E5C"/>
      <w:shd w:val="clear" w:color="auto" w:fill="E1DFDD"/>
    </w:rPr>
  </w:style>
  <w:style w:type="character" w:styleId="CommentReference">
    <w:name w:val="annotation reference"/>
    <w:basedOn w:val="DefaultParagraphFont"/>
    <w:uiPriority w:val="99"/>
    <w:semiHidden/>
    <w:unhideWhenUsed/>
    <w:rsid w:val="00D27E2B"/>
    <w:rPr>
      <w:sz w:val="16"/>
      <w:szCs w:val="16"/>
    </w:rPr>
  </w:style>
  <w:style w:type="paragraph" w:styleId="CommentText">
    <w:name w:val="annotation text"/>
    <w:basedOn w:val="Normal"/>
    <w:link w:val="CommentTextChar"/>
    <w:uiPriority w:val="99"/>
    <w:unhideWhenUsed/>
    <w:rsid w:val="00D27E2B"/>
    <w:pPr>
      <w:spacing w:line="240" w:lineRule="auto"/>
    </w:pPr>
    <w:rPr>
      <w:sz w:val="20"/>
      <w:szCs w:val="20"/>
    </w:rPr>
  </w:style>
  <w:style w:type="character" w:customStyle="1" w:styleId="CommentTextChar">
    <w:name w:val="Comment Text Char"/>
    <w:basedOn w:val="DefaultParagraphFont"/>
    <w:link w:val="CommentText"/>
    <w:uiPriority w:val="99"/>
    <w:rsid w:val="00D27E2B"/>
    <w:rPr>
      <w:sz w:val="20"/>
      <w:szCs w:val="20"/>
    </w:rPr>
  </w:style>
  <w:style w:type="paragraph" w:styleId="CommentSubject">
    <w:name w:val="annotation subject"/>
    <w:basedOn w:val="CommentText"/>
    <w:next w:val="CommentText"/>
    <w:link w:val="CommentSubjectChar"/>
    <w:uiPriority w:val="99"/>
    <w:semiHidden/>
    <w:unhideWhenUsed/>
    <w:rsid w:val="00D27E2B"/>
    <w:rPr>
      <w:b/>
      <w:bCs/>
    </w:rPr>
  </w:style>
  <w:style w:type="character" w:customStyle="1" w:styleId="CommentSubjectChar">
    <w:name w:val="Comment Subject Char"/>
    <w:basedOn w:val="CommentTextChar"/>
    <w:link w:val="CommentSubject"/>
    <w:uiPriority w:val="99"/>
    <w:semiHidden/>
    <w:rsid w:val="00D27E2B"/>
    <w:rPr>
      <w:b/>
      <w:bCs/>
      <w:sz w:val="20"/>
      <w:szCs w:val="20"/>
    </w:rPr>
  </w:style>
  <w:style w:type="paragraph" w:styleId="Revision">
    <w:name w:val="Revision"/>
    <w:hidden/>
    <w:uiPriority w:val="99"/>
    <w:semiHidden/>
    <w:rsid w:val="006460D7"/>
    <w:pPr>
      <w:spacing w:after="0" w:line="240" w:lineRule="auto"/>
    </w:pPr>
  </w:style>
  <w:style w:type="paragraph" w:styleId="NormalWeb">
    <w:name w:val="Normal (Web)"/>
    <w:basedOn w:val="Normal"/>
    <w:uiPriority w:val="99"/>
    <w:semiHidden/>
    <w:unhideWhenUsed/>
    <w:rsid w:val="000423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BA4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232"/>
    <w:rPr>
      <w:rFonts w:ascii="Segoe UI" w:hAnsi="Segoe UI" w:cs="Segoe UI"/>
      <w:sz w:val="18"/>
      <w:szCs w:val="18"/>
    </w:rPr>
  </w:style>
  <w:style w:type="character" w:styleId="Mention">
    <w:name w:val="Mention"/>
    <w:basedOn w:val="DefaultParagraphFont"/>
    <w:uiPriority w:val="99"/>
    <w:unhideWhenUsed/>
    <w:rsid w:val="009954D8"/>
    <w:rPr>
      <w:color w:val="2B579A"/>
      <w:shd w:val="clear" w:color="auto" w:fill="E1DFDD"/>
    </w:rPr>
  </w:style>
  <w:style w:type="character" w:styleId="FollowedHyperlink">
    <w:name w:val="FollowedHyperlink"/>
    <w:basedOn w:val="DefaultParagraphFont"/>
    <w:uiPriority w:val="99"/>
    <w:semiHidden/>
    <w:unhideWhenUsed/>
    <w:rsid w:val="000152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17100">
      <w:bodyDiv w:val="1"/>
      <w:marLeft w:val="0"/>
      <w:marRight w:val="0"/>
      <w:marTop w:val="0"/>
      <w:marBottom w:val="0"/>
      <w:divBdr>
        <w:top w:val="none" w:sz="0" w:space="0" w:color="auto"/>
        <w:left w:val="none" w:sz="0" w:space="0" w:color="auto"/>
        <w:bottom w:val="none" w:sz="0" w:space="0" w:color="auto"/>
        <w:right w:val="none" w:sz="0" w:space="0" w:color="auto"/>
      </w:divBdr>
    </w:div>
    <w:div w:id="495347531">
      <w:bodyDiv w:val="1"/>
      <w:marLeft w:val="0"/>
      <w:marRight w:val="0"/>
      <w:marTop w:val="0"/>
      <w:marBottom w:val="0"/>
      <w:divBdr>
        <w:top w:val="none" w:sz="0" w:space="0" w:color="auto"/>
        <w:left w:val="none" w:sz="0" w:space="0" w:color="auto"/>
        <w:bottom w:val="none" w:sz="0" w:space="0" w:color="auto"/>
        <w:right w:val="none" w:sz="0" w:space="0" w:color="auto"/>
      </w:divBdr>
      <w:divsChild>
        <w:div w:id="152643447">
          <w:marLeft w:val="0"/>
          <w:marRight w:val="0"/>
          <w:marTop w:val="0"/>
          <w:marBottom w:val="0"/>
          <w:divBdr>
            <w:top w:val="none" w:sz="0" w:space="0" w:color="auto"/>
            <w:left w:val="none" w:sz="0" w:space="0" w:color="auto"/>
            <w:bottom w:val="none" w:sz="0" w:space="0" w:color="auto"/>
            <w:right w:val="none" w:sz="0" w:space="0" w:color="auto"/>
          </w:divBdr>
          <w:divsChild>
            <w:div w:id="13478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9831">
      <w:bodyDiv w:val="1"/>
      <w:marLeft w:val="0"/>
      <w:marRight w:val="0"/>
      <w:marTop w:val="0"/>
      <w:marBottom w:val="0"/>
      <w:divBdr>
        <w:top w:val="none" w:sz="0" w:space="0" w:color="auto"/>
        <w:left w:val="none" w:sz="0" w:space="0" w:color="auto"/>
        <w:bottom w:val="none" w:sz="0" w:space="0" w:color="auto"/>
        <w:right w:val="none" w:sz="0" w:space="0" w:color="auto"/>
      </w:divBdr>
      <w:divsChild>
        <w:div w:id="1566640532">
          <w:marLeft w:val="0"/>
          <w:marRight w:val="0"/>
          <w:marTop w:val="0"/>
          <w:marBottom w:val="0"/>
          <w:divBdr>
            <w:top w:val="none" w:sz="0" w:space="0" w:color="auto"/>
            <w:left w:val="none" w:sz="0" w:space="0" w:color="auto"/>
            <w:bottom w:val="none" w:sz="0" w:space="0" w:color="auto"/>
            <w:right w:val="none" w:sz="0" w:space="0" w:color="auto"/>
          </w:divBdr>
          <w:divsChild>
            <w:div w:id="811479609">
              <w:marLeft w:val="0"/>
              <w:marRight w:val="0"/>
              <w:marTop w:val="0"/>
              <w:marBottom w:val="0"/>
              <w:divBdr>
                <w:top w:val="none" w:sz="0" w:space="0" w:color="auto"/>
                <w:left w:val="none" w:sz="0" w:space="0" w:color="auto"/>
                <w:bottom w:val="none" w:sz="0" w:space="0" w:color="auto"/>
                <w:right w:val="none" w:sz="0" w:space="0" w:color="auto"/>
              </w:divBdr>
              <w:divsChild>
                <w:div w:id="1942759051">
                  <w:marLeft w:val="0"/>
                  <w:marRight w:val="0"/>
                  <w:marTop w:val="0"/>
                  <w:marBottom w:val="0"/>
                  <w:divBdr>
                    <w:top w:val="none" w:sz="0" w:space="0" w:color="auto"/>
                    <w:left w:val="none" w:sz="0" w:space="0" w:color="auto"/>
                    <w:bottom w:val="none" w:sz="0" w:space="0" w:color="auto"/>
                    <w:right w:val="none" w:sz="0" w:space="0" w:color="auto"/>
                  </w:divBdr>
                  <w:divsChild>
                    <w:div w:id="14230387">
                      <w:marLeft w:val="0"/>
                      <w:marRight w:val="0"/>
                      <w:marTop w:val="0"/>
                      <w:marBottom w:val="0"/>
                      <w:divBdr>
                        <w:top w:val="none" w:sz="0" w:space="0" w:color="auto"/>
                        <w:left w:val="none" w:sz="0" w:space="0" w:color="auto"/>
                        <w:bottom w:val="none" w:sz="0" w:space="0" w:color="auto"/>
                        <w:right w:val="none" w:sz="0" w:space="0" w:color="auto"/>
                      </w:divBdr>
                      <w:divsChild>
                        <w:div w:id="318003123">
                          <w:marLeft w:val="0"/>
                          <w:marRight w:val="0"/>
                          <w:marTop w:val="0"/>
                          <w:marBottom w:val="0"/>
                          <w:divBdr>
                            <w:top w:val="none" w:sz="0" w:space="0" w:color="auto"/>
                            <w:left w:val="none" w:sz="0" w:space="0" w:color="auto"/>
                            <w:bottom w:val="none" w:sz="0" w:space="0" w:color="auto"/>
                            <w:right w:val="none" w:sz="0" w:space="0" w:color="auto"/>
                          </w:divBdr>
                        </w:div>
                        <w:div w:id="1782797360">
                          <w:marLeft w:val="0"/>
                          <w:marRight w:val="0"/>
                          <w:marTop w:val="0"/>
                          <w:marBottom w:val="0"/>
                          <w:divBdr>
                            <w:top w:val="none" w:sz="0" w:space="0" w:color="auto"/>
                            <w:left w:val="none" w:sz="0" w:space="0" w:color="auto"/>
                            <w:bottom w:val="none" w:sz="0" w:space="0" w:color="auto"/>
                            <w:right w:val="none" w:sz="0" w:space="0" w:color="auto"/>
                          </w:divBdr>
                        </w:div>
                      </w:divsChild>
                    </w:div>
                    <w:div w:id="21905660">
                      <w:marLeft w:val="0"/>
                      <w:marRight w:val="0"/>
                      <w:marTop w:val="0"/>
                      <w:marBottom w:val="0"/>
                      <w:divBdr>
                        <w:top w:val="none" w:sz="0" w:space="0" w:color="auto"/>
                        <w:left w:val="none" w:sz="0" w:space="0" w:color="auto"/>
                        <w:bottom w:val="none" w:sz="0" w:space="0" w:color="auto"/>
                        <w:right w:val="none" w:sz="0" w:space="0" w:color="auto"/>
                      </w:divBdr>
                      <w:divsChild>
                        <w:div w:id="2063477299">
                          <w:marLeft w:val="0"/>
                          <w:marRight w:val="0"/>
                          <w:marTop w:val="0"/>
                          <w:marBottom w:val="0"/>
                          <w:divBdr>
                            <w:top w:val="none" w:sz="0" w:space="0" w:color="auto"/>
                            <w:left w:val="none" w:sz="0" w:space="0" w:color="auto"/>
                            <w:bottom w:val="none" w:sz="0" w:space="0" w:color="auto"/>
                            <w:right w:val="none" w:sz="0" w:space="0" w:color="auto"/>
                          </w:divBdr>
                        </w:div>
                      </w:divsChild>
                    </w:div>
                    <w:div w:id="58333877">
                      <w:marLeft w:val="0"/>
                      <w:marRight w:val="0"/>
                      <w:marTop w:val="0"/>
                      <w:marBottom w:val="0"/>
                      <w:divBdr>
                        <w:top w:val="none" w:sz="0" w:space="0" w:color="auto"/>
                        <w:left w:val="none" w:sz="0" w:space="0" w:color="auto"/>
                        <w:bottom w:val="none" w:sz="0" w:space="0" w:color="auto"/>
                        <w:right w:val="none" w:sz="0" w:space="0" w:color="auto"/>
                      </w:divBdr>
                      <w:divsChild>
                        <w:div w:id="1434519936">
                          <w:marLeft w:val="0"/>
                          <w:marRight w:val="0"/>
                          <w:marTop w:val="0"/>
                          <w:marBottom w:val="0"/>
                          <w:divBdr>
                            <w:top w:val="none" w:sz="0" w:space="0" w:color="auto"/>
                            <w:left w:val="none" w:sz="0" w:space="0" w:color="auto"/>
                            <w:bottom w:val="none" w:sz="0" w:space="0" w:color="auto"/>
                            <w:right w:val="none" w:sz="0" w:space="0" w:color="auto"/>
                          </w:divBdr>
                        </w:div>
                      </w:divsChild>
                    </w:div>
                    <w:div w:id="144784118">
                      <w:marLeft w:val="0"/>
                      <w:marRight w:val="0"/>
                      <w:marTop w:val="0"/>
                      <w:marBottom w:val="0"/>
                      <w:divBdr>
                        <w:top w:val="none" w:sz="0" w:space="0" w:color="auto"/>
                        <w:left w:val="none" w:sz="0" w:space="0" w:color="auto"/>
                        <w:bottom w:val="none" w:sz="0" w:space="0" w:color="auto"/>
                        <w:right w:val="none" w:sz="0" w:space="0" w:color="auto"/>
                      </w:divBdr>
                      <w:divsChild>
                        <w:div w:id="1176264334">
                          <w:marLeft w:val="0"/>
                          <w:marRight w:val="0"/>
                          <w:marTop w:val="0"/>
                          <w:marBottom w:val="0"/>
                          <w:divBdr>
                            <w:top w:val="none" w:sz="0" w:space="0" w:color="auto"/>
                            <w:left w:val="none" w:sz="0" w:space="0" w:color="auto"/>
                            <w:bottom w:val="none" w:sz="0" w:space="0" w:color="auto"/>
                            <w:right w:val="none" w:sz="0" w:space="0" w:color="auto"/>
                          </w:divBdr>
                        </w:div>
                      </w:divsChild>
                    </w:div>
                    <w:div w:id="178276818">
                      <w:marLeft w:val="0"/>
                      <w:marRight w:val="0"/>
                      <w:marTop w:val="0"/>
                      <w:marBottom w:val="0"/>
                      <w:divBdr>
                        <w:top w:val="none" w:sz="0" w:space="0" w:color="auto"/>
                        <w:left w:val="none" w:sz="0" w:space="0" w:color="auto"/>
                        <w:bottom w:val="none" w:sz="0" w:space="0" w:color="auto"/>
                        <w:right w:val="none" w:sz="0" w:space="0" w:color="auto"/>
                      </w:divBdr>
                      <w:divsChild>
                        <w:div w:id="1639995969">
                          <w:marLeft w:val="0"/>
                          <w:marRight w:val="0"/>
                          <w:marTop w:val="0"/>
                          <w:marBottom w:val="0"/>
                          <w:divBdr>
                            <w:top w:val="none" w:sz="0" w:space="0" w:color="auto"/>
                            <w:left w:val="none" w:sz="0" w:space="0" w:color="auto"/>
                            <w:bottom w:val="none" w:sz="0" w:space="0" w:color="auto"/>
                            <w:right w:val="none" w:sz="0" w:space="0" w:color="auto"/>
                          </w:divBdr>
                        </w:div>
                      </w:divsChild>
                    </w:div>
                    <w:div w:id="190730916">
                      <w:marLeft w:val="0"/>
                      <w:marRight w:val="0"/>
                      <w:marTop w:val="0"/>
                      <w:marBottom w:val="0"/>
                      <w:divBdr>
                        <w:top w:val="none" w:sz="0" w:space="0" w:color="auto"/>
                        <w:left w:val="none" w:sz="0" w:space="0" w:color="auto"/>
                        <w:bottom w:val="none" w:sz="0" w:space="0" w:color="auto"/>
                        <w:right w:val="none" w:sz="0" w:space="0" w:color="auto"/>
                      </w:divBdr>
                      <w:divsChild>
                        <w:div w:id="751970284">
                          <w:marLeft w:val="0"/>
                          <w:marRight w:val="0"/>
                          <w:marTop w:val="0"/>
                          <w:marBottom w:val="0"/>
                          <w:divBdr>
                            <w:top w:val="none" w:sz="0" w:space="0" w:color="auto"/>
                            <w:left w:val="none" w:sz="0" w:space="0" w:color="auto"/>
                            <w:bottom w:val="none" w:sz="0" w:space="0" w:color="auto"/>
                            <w:right w:val="none" w:sz="0" w:space="0" w:color="auto"/>
                          </w:divBdr>
                        </w:div>
                      </w:divsChild>
                    </w:div>
                    <w:div w:id="273907648">
                      <w:marLeft w:val="0"/>
                      <w:marRight w:val="0"/>
                      <w:marTop w:val="0"/>
                      <w:marBottom w:val="0"/>
                      <w:divBdr>
                        <w:top w:val="none" w:sz="0" w:space="0" w:color="auto"/>
                        <w:left w:val="none" w:sz="0" w:space="0" w:color="auto"/>
                        <w:bottom w:val="none" w:sz="0" w:space="0" w:color="auto"/>
                        <w:right w:val="none" w:sz="0" w:space="0" w:color="auto"/>
                      </w:divBdr>
                      <w:divsChild>
                        <w:div w:id="894316364">
                          <w:marLeft w:val="0"/>
                          <w:marRight w:val="0"/>
                          <w:marTop w:val="0"/>
                          <w:marBottom w:val="0"/>
                          <w:divBdr>
                            <w:top w:val="none" w:sz="0" w:space="0" w:color="auto"/>
                            <w:left w:val="none" w:sz="0" w:space="0" w:color="auto"/>
                            <w:bottom w:val="none" w:sz="0" w:space="0" w:color="auto"/>
                            <w:right w:val="none" w:sz="0" w:space="0" w:color="auto"/>
                          </w:divBdr>
                        </w:div>
                      </w:divsChild>
                    </w:div>
                    <w:div w:id="277101304">
                      <w:marLeft w:val="0"/>
                      <w:marRight w:val="0"/>
                      <w:marTop w:val="0"/>
                      <w:marBottom w:val="0"/>
                      <w:divBdr>
                        <w:top w:val="none" w:sz="0" w:space="0" w:color="auto"/>
                        <w:left w:val="none" w:sz="0" w:space="0" w:color="auto"/>
                        <w:bottom w:val="none" w:sz="0" w:space="0" w:color="auto"/>
                        <w:right w:val="none" w:sz="0" w:space="0" w:color="auto"/>
                      </w:divBdr>
                      <w:divsChild>
                        <w:div w:id="210115900">
                          <w:marLeft w:val="0"/>
                          <w:marRight w:val="0"/>
                          <w:marTop w:val="0"/>
                          <w:marBottom w:val="0"/>
                          <w:divBdr>
                            <w:top w:val="none" w:sz="0" w:space="0" w:color="auto"/>
                            <w:left w:val="none" w:sz="0" w:space="0" w:color="auto"/>
                            <w:bottom w:val="none" w:sz="0" w:space="0" w:color="auto"/>
                            <w:right w:val="none" w:sz="0" w:space="0" w:color="auto"/>
                          </w:divBdr>
                        </w:div>
                      </w:divsChild>
                    </w:div>
                    <w:div w:id="279340139">
                      <w:marLeft w:val="0"/>
                      <w:marRight w:val="0"/>
                      <w:marTop w:val="0"/>
                      <w:marBottom w:val="0"/>
                      <w:divBdr>
                        <w:top w:val="none" w:sz="0" w:space="0" w:color="auto"/>
                        <w:left w:val="none" w:sz="0" w:space="0" w:color="auto"/>
                        <w:bottom w:val="none" w:sz="0" w:space="0" w:color="auto"/>
                        <w:right w:val="none" w:sz="0" w:space="0" w:color="auto"/>
                      </w:divBdr>
                      <w:divsChild>
                        <w:div w:id="1836416911">
                          <w:marLeft w:val="0"/>
                          <w:marRight w:val="0"/>
                          <w:marTop w:val="0"/>
                          <w:marBottom w:val="0"/>
                          <w:divBdr>
                            <w:top w:val="none" w:sz="0" w:space="0" w:color="auto"/>
                            <w:left w:val="none" w:sz="0" w:space="0" w:color="auto"/>
                            <w:bottom w:val="none" w:sz="0" w:space="0" w:color="auto"/>
                            <w:right w:val="none" w:sz="0" w:space="0" w:color="auto"/>
                          </w:divBdr>
                        </w:div>
                        <w:div w:id="1885143070">
                          <w:marLeft w:val="0"/>
                          <w:marRight w:val="0"/>
                          <w:marTop w:val="0"/>
                          <w:marBottom w:val="0"/>
                          <w:divBdr>
                            <w:top w:val="none" w:sz="0" w:space="0" w:color="auto"/>
                            <w:left w:val="none" w:sz="0" w:space="0" w:color="auto"/>
                            <w:bottom w:val="none" w:sz="0" w:space="0" w:color="auto"/>
                            <w:right w:val="none" w:sz="0" w:space="0" w:color="auto"/>
                          </w:divBdr>
                        </w:div>
                      </w:divsChild>
                    </w:div>
                    <w:div w:id="291055725">
                      <w:marLeft w:val="0"/>
                      <w:marRight w:val="0"/>
                      <w:marTop w:val="0"/>
                      <w:marBottom w:val="0"/>
                      <w:divBdr>
                        <w:top w:val="none" w:sz="0" w:space="0" w:color="auto"/>
                        <w:left w:val="none" w:sz="0" w:space="0" w:color="auto"/>
                        <w:bottom w:val="none" w:sz="0" w:space="0" w:color="auto"/>
                        <w:right w:val="none" w:sz="0" w:space="0" w:color="auto"/>
                      </w:divBdr>
                      <w:divsChild>
                        <w:div w:id="170947546">
                          <w:marLeft w:val="0"/>
                          <w:marRight w:val="0"/>
                          <w:marTop w:val="0"/>
                          <w:marBottom w:val="0"/>
                          <w:divBdr>
                            <w:top w:val="none" w:sz="0" w:space="0" w:color="auto"/>
                            <w:left w:val="none" w:sz="0" w:space="0" w:color="auto"/>
                            <w:bottom w:val="none" w:sz="0" w:space="0" w:color="auto"/>
                            <w:right w:val="none" w:sz="0" w:space="0" w:color="auto"/>
                          </w:divBdr>
                        </w:div>
                      </w:divsChild>
                    </w:div>
                    <w:div w:id="341400743">
                      <w:marLeft w:val="0"/>
                      <w:marRight w:val="0"/>
                      <w:marTop w:val="0"/>
                      <w:marBottom w:val="0"/>
                      <w:divBdr>
                        <w:top w:val="none" w:sz="0" w:space="0" w:color="auto"/>
                        <w:left w:val="none" w:sz="0" w:space="0" w:color="auto"/>
                        <w:bottom w:val="none" w:sz="0" w:space="0" w:color="auto"/>
                        <w:right w:val="none" w:sz="0" w:space="0" w:color="auto"/>
                      </w:divBdr>
                      <w:divsChild>
                        <w:div w:id="2032107136">
                          <w:marLeft w:val="0"/>
                          <w:marRight w:val="0"/>
                          <w:marTop w:val="0"/>
                          <w:marBottom w:val="0"/>
                          <w:divBdr>
                            <w:top w:val="none" w:sz="0" w:space="0" w:color="auto"/>
                            <w:left w:val="none" w:sz="0" w:space="0" w:color="auto"/>
                            <w:bottom w:val="none" w:sz="0" w:space="0" w:color="auto"/>
                            <w:right w:val="none" w:sz="0" w:space="0" w:color="auto"/>
                          </w:divBdr>
                        </w:div>
                      </w:divsChild>
                    </w:div>
                    <w:div w:id="413281382">
                      <w:marLeft w:val="0"/>
                      <w:marRight w:val="0"/>
                      <w:marTop w:val="0"/>
                      <w:marBottom w:val="0"/>
                      <w:divBdr>
                        <w:top w:val="none" w:sz="0" w:space="0" w:color="auto"/>
                        <w:left w:val="none" w:sz="0" w:space="0" w:color="auto"/>
                        <w:bottom w:val="none" w:sz="0" w:space="0" w:color="auto"/>
                        <w:right w:val="none" w:sz="0" w:space="0" w:color="auto"/>
                      </w:divBdr>
                      <w:divsChild>
                        <w:div w:id="876164831">
                          <w:marLeft w:val="0"/>
                          <w:marRight w:val="0"/>
                          <w:marTop w:val="0"/>
                          <w:marBottom w:val="0"/>
                          <w:divBdr>
                            <w:top w:val="none" w:sz="0" w:space="0" w:color="auto"/>
                            <w:left w:val="none" w:sz="0" w:space="0" w:color="auto"/>
                            <w:bottom w:val="none" w:sz="0" w:space="0" w:color="auto"/>
                            <w:right w:val="none" w:sz="0" w:space="0" w:color="auto"/>
                          </w:divBdr>
                        </w:div>
                      </w:divsChild>
                    </w:div>
                    <w:div w:id="425421167">
                      <w:marLeft w:val="0"/>
                      <w:marRight w:val="0"/>
                      <w:marTop w:val="0"/>
                      <w:marBottom w:val="0"/>
                      <w:divBdr>
                        <w:top w:val="none" w:sz="0" w:space="0" w:color="auto"/>
                        <w:left w:val="none" w:sz="0" w:space="0" w:color="auto"/>
                        <w:bottom w:val="none" w:sz="0" w:space="0" w:color="auto"/>
                        <w:right w:val="none" w:sz="0" w:space="0" w:color="auto"/>
                      </w:divBdr>
                      <w:divsChild>
                        <w:div w:id="1494905828">
                          <w:marLeft w:val="0"/>
                          <w:marRight w:val="0"/>
                          <w:marTop w:val="0"/>
                          <w:marBottom w:val="0"/>
                          <w:divBdr>
                            <w:top w:val="none" w:sz="0" w:space="0" w:color="auto"/>
                            <w:left w:val="none" w:sz="0" w:space="0" w:color="auto"/>
                            <w:bottom w:val="none" w:sz="0" w:space="0" w:color="auto"/>
                            <w:right w:val="none" w:sz="0" w:space="0" w:color="auto"/>
                          </w:divBdr>
                        </w:div>
                      </w:divsChild>
                    </w:div>
                    <w:div w:id="427777424">
                      <w:marLeft w:val="0"/>
                      <w:marRight w:val="0"/>
                      <w:marTop w:val="0"/>
                      <w:marBottom w:val="0"/>
                      <w:divBdr>
                        <w:top w:val="none" w:sz="0" w:space="0" w:color="auto"/>
                        <w:left w:val="none" w:sz="0" w:space="0" w:color="auto"/>
                        <w:bottom w:val="none" w:sz="0" w:space="0" w:color="auto"/>
                        <w:right w:val="none" w:sz="0" w:space="0" w:color="auto"/>
                      </w:divBdr>
                      <w:divsChild>
                        <w:div w:id="2034382325">
                          <w:marLeft w:val="0"/>
                          <w:marRight w:val="0"/>
                          <w:marTop w:val="0"/>
                          <w:marBottom w:val="0"/>
                          <w:divBdr>
                            <w:top w:val="none" w:sz="0" w:space="0" w:color="auto"/>
                            <w:left w:val="none" w:sz="0" w:space="0" w:color="auto"/>
                            <w:bottom w:val="none" w:sz="0" w:space="0" w:color="auto"/>
                            <w:right w:val="none" w:sz="0" w:space="0" w:color="auto"/>
                          </w:divBdr>
                        </w:div>
                      </w:divsChild>
                    </w:div>
                    <w:div w:id="459496515">
                      <w:marLeft w:val="0"/>
                      <w:marRight w:val="0"/>
                      <w:marTop w:val="0"/>
                      <w:marBottom w:val="0"/>
                      <w:divBdr>
                        <w:top w:val="none" w:sz="0" w:space="0" w:color="auto"/>
                        <w:left w:val="none" w:sz="0" w:space="0" w:color="auto"/>
                        <w:bottom w:val="none" w:sz="0" w:space="0" w:color="auto"/>
                        <w:right w:val="none" w:sz="0" w:space="0" w:color="auto"/>
                      </w:divBdr>
                      <w:divsChild>
                        <w:div w:id="66459834">
                          <w:marLeft w:val="0"/>
                          <w:marRight w:val="0"/>
                          <w:marTop w:val="0"/>
                          <w:marBottom w:val="0"/>
                          <w:divBdr>
                            <w:top w:val="none" w:sz="0" w:space="0" w:color="auto"/>
                            <w:left w:val="none" w:sz="0" w:space="0" w:color="auto"/>
                            <w:bottom w:val="none" w:sz="0" w:space="0" w:color="auto"/>
                            <w:right w:val="none" w:sz="0" w:space="0" w:color="auto"/>
                          </w:divBdr>
                        </w:div>
                      </w:divsChild>
                    </w:div>
                    <w:div w:id="468937085">
                      <w:marLeft w:val="0"/>
                      <w:marRight w:val="0"/>
                      <w:marTop w:val="0"/>
                      <w:marBottom w:val="0"/>
                      <w:divBdr>
                        <w:top w:val="none" w:sz="0" w:space="0" w:color="auto"/>
                        <w:left w:val="none" w:sz="0" w:space="0" w:color="auto"/>
                        <w:bottom w:val="none" w:sz="0" w:space="0" w:color="auto"/>
                        <w:right w:val="none" w:sz="0" w:space="0" w:color="auto"/>
                      </w:divBdr>
                      <w:divsChild>
                        <w:div w:id="1442142472">
                          <w:marLeft w:val="0"/>
                          <w:marRight w:val="0"/>
                          <w:marTop w:val="0"/>
                          <w:marBottom w:val="0"/>
                          <w:divBdr>
                            <w:top w:val="none" w:sz="0" w:space="0" w:color="auto"/>
                            <w:left w:val="none" w:sz="0" w:space="0" w:color="auto"/>
                            <w:bottom w:val="none" w:sz="0" w:space="0" w:color="auto"/>
                            <w:right w:val="none" w:sz="0" w:space="0" w:color="auto"/>
                          </w:divBdr>
                        </w:div>
                      </w:divsChild>
                    </w:div>
                    <w:div w:id="470709699">
                      <w:marLeft w:val="0"/>
                      <w:marRight w:val="0"/>
                      <w:marTop w:val="0"/>
                      <w:marBottom w:val="0"/>
                      <w:divBdr>
                        <w:top w:val="none" w:sz="0" w:space="0" w:color="auto"/>
                        <w:left w:val="none" w:sz="0" w:space="0" w:color="auto"/>
                        <w:bottom w:val="none" w:sz="0" w:space="0" w:color="auto"/>
                        <w:right w:val="none" w:sz="0" w:space="0" w:color="auto"/>
                      </w:divBdr>
                      <w:divsChild>
                        <w:div w:id="634145114">
                          <w:marLeft w:val="0"/>
                          <w:marRight w:val="0"/>
                          <w:marTop w:val="0"/>
                          <w:marBottom w:val="0"/>
                          <w:divBdr>
                            <w:top w:val="none" w:sz="0" w:space="0" w:color="auto"/>
                            <w:left w:val="none" w:sz="0" w:space="0" w:color="auto"/>
                            <w:bottom w:val="none" w:sz="0" w:space="0" w:color="auto"/>
                            <w:right w:val="none" w:sz="0" w:space="0" w:color="auto"/>
                          </w:divBdr>
                        </w:div>
                      </w:divsChild>
                    </w:div>
                    <w:div w:id="477111464">
                      <w:marLeft w:val="0"/>
                      <w:marRight w:val="0"/>
                      <w:marTop w:val="0"/>
                      <w:marBottom w:val="0"/>
                      <w:divBdr>
                        <w:top w:val="none" w:sz="0" w:space="0" w:color="auto"/>
                        <w:left w:val="none" w:sz="0" w:space="0" w:color="auto"/>
                        <w:bottom w:val="none" w:sz="0" w:space="0" w:color="auto"/>
                        <w:right w:val="none" w:sz="0" w:space="0" w:color="auto"/>
                      </w:divBdr>
                      <w:divsChild>
                        <w:div w:id="227229414">
                          <w:marLeft w:val="0"/>
                          <w:marRight w:val="0"/>
                          <w:marTop w:val="0"/>
                          <w:marBottom w:val="0"/>
                          <w:divBdr>
                            <w:top w:val="none" w:sz="0" w:space="0" w:color="auto"/>
                            <w:left w:val="none" w:sz="0" w:space="0" w:color="auto"/>
                            <w:bottom w:val="none" w:sz="0" w:space="0" w:color="auto"/>
                            <w:right w:val="none" w:sz="0" w:space="0" w:color="auto"/>
                          </w:divBdr>
                        </w:div>
                      </w:divsChild>
                    </w:div>
                    <w:div w:id="573785332">
                      <w:marLeft w:val="0"/>
                      <w:marRight w:val="0"/>
                      <w:marTop w:val="0"/>
                      <w:marBottom w:val="0"/>
                      <w:divBdr>
                        <w:top w:val="none" w:sz="0" w:space="0" w:color="auto"/>
                        <w:left w:val="none" w:sz="0" w:space="0" w:color="auto"/>
                        <w:bottom w:val="none" w:sz="0" w:space="0" w:color="auto"/>
                        <w:right w:val="none" w:sz="0" w:space="0" w:color="auto"/>
                      </w:divBdr>
                      <w:divsChild>
                        <w:div w:id="1539733143">
                          <w:marLeft w:val="0"/>
                          <w:marRight w:val="0"/>
                          <w:marTop w:val="0"/>
                          <w:marBottom w:val="0"/>
                          <w:divBdr>
                            <w:top w:val="none" w:sz="0" w:space="0" w:color="auto"/>
                            <w:left w:val="none" w:sz="0" w:space="0" w:color="auto"/>
                            <w:bottom w:val="none" w:sz="0" w:space="0" w:color="auto"/>
                            <w:right w:val="none" w:sz="0" w:space="0" w:color="auto"/>
                          </w:divBdr>
                        </w:div>
                      </w:divsChild>
                    </w:div>
                    <w:div w:id="651132060">
                      <w:marLeft w:val="0"/>
                      <w:marRight w:val="0"/>
                      <w:marTop w:val="0"/>
                      <w:marBottom w:val="0"/>
                      <w:divBdr>
                        <w:top w:val="none" w:sz="0" w:space="0" w:color="auto"/>
                        <w:left w:val="none" w:sz="0" w:space="0" w:color="auto"/>
                        <w:bottom w:val="none" w:sz="0" w:space="0" w:color="auto"/>
                        <w:right w:val="none" w:sz="0" w:space="0" w:color="auto"/>
                      </w:divBdr>
                      <w:divsChild>
                        <w:div w:id="136075241">
                          <w:marLeft w:val="0"/>
                          <w:marRight w:val="0"/>
                          <w:marTop w:val="0"/>
                          <w:marBottom w:val="0"/>
                          <w:divBdr>
                            <w:top w:val="none" w:sz="0" w:space="0" w:color="auto"/>
                            <w:left w:val="none" w:sz="0" w:space="0" w:color="auto"/>
                            <w:bottom w:val="none" w:sz="0" w:space="0" w:color="auto"/>
                            <w:right w:val="none" w:sz="0" w:space="0" w:color="auto"/>
                          </w:divBdr>
                        </w:div>
                      </w:divsChild>
                    </w:div>
                    <w:div w:id="665133472">
                      <w:marLeft w:val="0"/>
                      <w:marRight w:val="0"/>
                      <w:marTop w:val="0"/>
                      <w:marBottom w:val="0"/>
                      <w:divBdr>
                        <w:top w:val="none" w:sz="0" w:space="0" w:color="auto"/>
                        <w:left w:val="none" w:sz="0" w:space="0" w:color="auto"/>
                        <w:bottom w:val="none" w:sz="0" w:space="0" w:color="auto"/>
                        <w:right w:val="none" w:sz="0" w:space="0" w:color="auto"/>
                      </w:divBdr>
                      <w:divsChild>
                        <w:div w:id="548034964">
                          <w:marLeft w:val="0"/>
                          <w:marRight w:val="0"/>
                          <w:marTop w:val="0"/>
                          <w:marBottom w:val="0"/>
                          <w:divBdr>
                            <w:top w:val="none" w:sz="0" w:space="0" w:color="auto"/>
                            <w:left w:val="none" w:sz="0" w:space="0" w:color="auto"/>
                            <w:bottom w:val="none" w:sz="0" w:space="0" w:color="auto"/>
                            <w:right w:val="none" w:sz="0" w:space="0" w:color="auto"/>
                          </w:divBdr>
                        </w:div>
                      </w:divsChild>
                    </w:div>
                    <w:div w:id="681585808">
                      <w:marLeft w:val="0"/>
                      <w:marRight w:val="0"/>
                      <w:marTop w:val="0"/>
                      <w:marBottom w:val="0"/>
                      <w:divBdr>
                        <w:top w:val="none" w:sz="0" w:space="0" w:color="auto"/>
                        <w:left w:val="none" w:sz="0" w:space="0" w:color="auto"/>
                        <w:bottom w:val="none" w:sz="0" w:space="0" w:color="auto"/>
                        <w:right w:val="none" w:sz="0" w:space="0" w:color="auto"/>
                      </w:divBdr>
                      <w:divsChild>
                        <w:div w:id="179315191">
                          <w:marLeft w:val="0"/>
                          <w:marRight w:val="0"/>
                          <w:marTop w:val="0"/>
                          <w:marBottom w:val="0"/>
                          <w:divBdr>
                            <w:top w:val="none" w:sz="0" w:space="0" w:color="auto"/>
                            <w:left w:val="none" w:sz="0" w:space="0" w:color="auto"/>
                            <w:bottom w:val="none" w:sz="0" w:space="0" w:color="auto"/>
                            <w:right w:val="none" w:sz="0" w:space="0" w:color="auto"/>
                          </w:divBdr>
                        </w:div>
                        <w:div w:id="461726998">
                          <w:marLeft w:val="0"/>
                          <w:marRight w:val="0"/>
                          <w:marTop w:val="0"/>
                          <w:marBottom w:val="0"/>
                          <w:divBdr>
                            <w:top w:val="none" w:sz="0" w:space="0" w:color="auto"/>
                            <w:left w:val="none" w:sz="0" w:space="0" w:color="auto"/>
                            <w:bottom w:val="none" w:sz="0" w:space="0" w:color="auto"/>
                            <w:right w:val="none" w:sz="0" w:space="0" w:color="auto"/>
                          </w:divBdr>
                        </w:div>
                        <w:div w:id="1799571404">
                          <w:marLeft w:val="0"/>
                          <w:marRight w:val="0"/>
                          <w:marTop w:val="0"/>
                          <w:marBottom w:val="0"/>
                          <w:divBdr>
                            <w:top w:val="none" w:sz="0" w:space="0" w:color="auto"/>
                            <w:left w:val="none" w:sz="0" w:space="0" w:color="auto"/>
                            <w:bottom w:val="none" w:sz="0" w:space="0" w:color="auto"/>
                            <w:right w:val="none" w:sz="0" w:space="0" w:color="auto"/>
                          </w:divBdr>
                        </w:div>
                      </w:divsChild>
                    </w:div>
                    <w:div w:id="741558728">
                      <w:marLeft w:val="0"/>
                      <w:marRight w:val="0"/>
                      <w:marTop w:val="0"/>
                      <w:marBottom w:val="0"/>
                      <w:divBdr>
                        <w:top w:val="none" w:sz="0" w:space="0" w:color="auto"/>
                        <w:left w:val="none" w:sz="0" w:space="0" w:color="auto"/>
                        <w:bottom w:val="none" w:sz="0" w:space="0" w:color="auto"/>
                        <w:right w:val="none" w:sz="0" w:space="0" w:color="auto"/>
                      </w:divBdr>
                      <w:divsChild>
                        <w:div w:id="451096467">
                          <w:marLeft w:val="0"/>
                          <w:marRight w:val="0"/>
                          <w:marTop w:val="0"/>
                          <w:marBottom w:val="0"/>
                          <w:divBdr>
                            <w:top w:val="none" w:sz="0" w:space="0" w:color="auto"/>
                            <w:left w:val="none" w:sz="0" w:space="0" w:color="auto"/>
                            <w:bottom w:val="none" w:sz="0" w:space="0" w:color="auto"/>
                            <w:right w:val="none" w:sz="0" w:space="0" w:color="auto"/>
                          </w:divBdr>
                        </w:div>
                      </w:divsChild>
                    </w:div>
                    <w:div w:id="754521831">
                      <w:marLeft w:val="0"/>
                      <w:marRight w:val="0"/>
                      <w:marTop w:val="0"/>
                      <w:marBottom w:val="0"/>
                      <w:divBdr>
                        <w:top w:val="none" w:sz="0" w:space="0" w:color="auto"/>
                        <w:left w:val="none" w:sz="0" w:space="0" w:color="auto"/>
                        <w:bottom w:val="none" w:sz="0" w:space="0" w:color="auto"/>
                        <w:right w:val="none" w:sz="0" w:space="0" w:color="auto"/>
                      </w:divBdr>
                      <w:divsChild>
                        <w:div w:id="1478231395">
                          <w:marLeft w:val="0"/>
                          <w:marRight w:val="0"/>
                          <w:marTop w:val="0"/>
                          <w:marBottom w:val="0"/>
                          <w:divBdr>
                            <w:top w:val="none" w:sz="0" w:space="0" w:color="auto"/>
                            <w:left w:val="none" w:sz="0" w:space="0" w:color="auto"/>
                            <w:bottom w:val="none" w:sz="0" w:space="0" w:color="auto"/>
                            <w:right w:val="none" w:sz="0" w:space="0" w:color="auto"/>
                          </w:divBdr>
                        </w:div>
                      </w:divsChild>
                    </w:div>
                    <w:div w:id="800655589">
                      <w:marLeft w:val="0"/>
                      <w:marRight w:val="0"/>
                      <w:marTop w:val="0"/>
                      <w:marBottom w:val="0"/>
                      <w:divBdr>
                        <w:top w:val="none" w:sz="0" w:space="0" w:color="auto"/>
                        <w:left w:val="none" w:sz="0" w:space="0" w:color="auto"/>
                        <w:bottom w:val="none" w:sz="0" w:space="0" w:color="auto"/>
                        <w:right w:val="none" w:sz="0" w:space="0" w:color="auto"/>
                      </w:divBdr>
                      <w:divsChild>
                        <w:div w:id="1168012698">
                          <w:marLeft w:val="0"/>
                          <w:marRight w:val="0"/>
                          <w:marTop w:val="0"/>
                          <w:marBottom w:val="0"/>
                          <w:divBdr>
                            <w:top w:val="none" w:sz="0" w:space="0" w:color="auto"/>
                            <w:left w:val="none" w:sz="0" w:space="0" w:color="auto"/>
                            <w:bottom w:val="none" w:sz="0" w:space="0" w:color="auto"/>
                            <w:right w:val="none" w:sz="0" w:space="0" w:color="auto"/>
                          </w:divBdr>
                        </w:div>
                      </w:divsChild>
                    </w:div>
                    <w:div w:id="852915121">
                      <w:marLeft w:val="0"/>
                      <w:marRight w:val="0"/>
                      <w:marTop w:val="0"/>
                      <w:marBottom w:val="0"/>
                      <w:divBdr>
                        <w:top w:val="none" w:sz="0" w:space="0" w:color="auto"/>
                        <w:left w:val="none" w:sz="0" w:space="0" w:color="auto"/>
                        <w:bottom w:val="none" w:sz="0" w:space="0" w:color="auto"/>
                        <w:right w:val="none" w:sz="0" w:space="0" w:color="auto"/>
                      </w:divBdr>
                      <w:divsChild>
                        <w:div w:id="416906533">
                          <w:marLeft w:val="0"/>
                          <w:marRight w:val="0"/>
                          <w:marTop w:val="0"/>
                          <w:marBottom w:val="0"/>
                          <w:divBdr>
                            <w:top w:val="none" w:sz="0" w:space="0" w:color="auto"/>
                            <w:left w:val="none" w:sz="0" w:space="0" w:color="auto"/>
                            <w:bottom w:val="none" w:sz="0" w:space="0" w:color="auto"/>
                            <w:right w:val="none" w:sz="0" w:space="0" w:color="auto"/>
                          </w:divBdr>
                        </w:div>
                      </w:divsChild>
                    </w:div>
                    <w:div w:id="876895095">
                      <w:marLeft w:val="0"/>
                      <w:marRight w:val="0"/>
                      <w:marTop w:val="0"/>
                      <w:marBottom w:val="0"/>
                      <w:divBdr>
                        <w:top w:val="none" w:sz="0" w:space="0" w:color="auto"/>
                        <w:left w:val="none" w:sz="0" w:space="0" w:color="auto"/>
                        <w:bottom w:val="none" w:sz="0" w:space="0" w:color="auto"/>
                        <w:right w:val="none" w:sz="0" w:space="0" w:color="auto"/>
                      </w:divBdr>
                      <w:divsChild>
                        <w:div w:id="2120175099">
                          <w:marLeft w:val="0"/>
                          <w:marRight w:val="0"/>
                          <w:marTop w:val="0"/>
                          <w:marBottom w:val="0"/>
                          <w:divBdr>
                            <w:top w:val="none" w:sz="0" w:space="0" w:color="auto"/>
                            <w:left w:val="none" w:sz="0" w:space="0" w:color="auto"/>
                            <w:bottom w:val="none" w:sz="0" w:space="0" w:color="auto"/>
                            <w:right w:val="none" w:sz="0" w:space="0" w:color="auto"/>
                          </w:divBdr>
                        </w:div>
                      </w:divsChild>
                    </w:div>
                    <w:div w:id="924220469">
                      <w:marLeft w:val="0"/>
                      <w:marRight w:val="0"/>
                      <w:marTop w:val="0"/>
                      <w:marBottom w:val="0"/>
                      <w:divBdr>
                        <w:top w:val="none" w:sz="0" w:space="0" w:color="auto"/>
                        <w:left w:val="none" w:sz="0" w:space="0" w:color="auto"/>
                        <w:bottom w:val="none" w:sz="0" w:space="0" w:color="auto"/>
                        <w:right w:val="none" w:sz="0" w:space="0" w:color="auto"/>
                      </w:divBdr>
                      <w:divsChild>
                        <w:div w:id="1777166892">
                          <w:marLeft w:val="0"/>
                          <w:marRight w:val="0"/>
                          <w:marTop w:val="0"/>
                          <w:marBottom w:val="0"/>
                          <w:divBdr>
                            <w:top w:val="none" w:sz="0" w:space="0" w:color="auto"/>
                            <w:left w:val="none" w:sz="0" w:space="0" w:color="auto"/>
                            <w:bottom w:val="none" w:sz="0" w:space="0" w:color="auto"/>
                            <w:right w:val="none" w:sz="0" w:space="0" w:color="auto"/>
                          </w:divBdr>
                        </w:div>
                      </w:divsChild>
                    </w:div>
                    <w:div w:id="968245579">
                      <w:marLeft w:val="0"/>
                      <w:marRight w:val="0"/>
                      <w:marTop w:val="0"/>
                      <w:marBottom w:val="0"/>
                      <w:divBdr>
                        <w:top w:val="none" w:sz="0" w:space="0" w:color="auto"/>
                        <w:left w:val="none" w:sz="0" w:space="0" w:color="auto"/>
                        <w:bottom w:val="none" w:sz="0" w:space="0" w:color="auto"/>
                        <w:right w:val="none" w:sz="0" w:space="0" w:color="auto"/>
                      </w:divBdr>
                      <w:divsChild>
                        <w:div w:id="486942497">
                          <w:marLeft w:val="0"/>
                          <w:marRight w:val="0"/>
                          <w:marTop w:val="0"/>
                          <w:marBottom w:val="0"/>
                          <w:divBdr>
                            <w:top w:val="none" w:sz="0" w:space="0" w:color="auto"/>
                            <w:left w:val="none" w:sz="0" w:space="0" w:color="auto"/>
                            <w:bottom w:val="none" w:sz="0" w:space="0" w:color="auto"/>
                            <w:right w:val="none" w:sz="0" w:space="0" w:color="auto"/>
                          </w:divBdr>
                        </w:div>
                        <w:div w:id="733310577">
                          <w:marLeft w:val="0"/>
                          <w:marRight w:val="0"/>
                          <w:marTop w:val="0"/>
                          <w:marBottom w:val="0"/>
                          <w:divBdr>
                            <w:top w:val="none" w:sz="0" w:space="0" w:color="auto"/>
                            <w:left w:val="none" w:sz="0" w:space="0" w:color="auto"/>
                            <w:bottom w:val="none" w:sz="0" w:space="0" w:color="auto"/>
                            <w:right w:val="none" w:sz="0" w:space="0" w:color="auto"/>
                          </w:divBdr>
                        </w:div>
                        <w:div w:id="2003195467">
                          <w:marLeft w:val="0"/>
                          <w:marRight w:val="0"/>
                          <w:marTop w:val="0"/>
                          <w:marBottom w:val="0"/>
                          <w:divBdr>
                            <w:top w:val="none" w:sz="0" w:space="0" w:color="auto"/>
                            <w:left w:val="none" w:sz="0" w:space="0" w:color="auto"/>
                            <w:bottom w:val="none" w:sz="0" w:space="0" w:color="auto"/>
                            <w:right w:val="none" w:sz="0" w:space="0" w:color="auto"/>
                          </w:divBdr>
                        </w:div>
                      </w:divsChild>
                    </w:div>
                    <w:div w:id="978414188">
                      <w:marLeft w:val="0"/>
                      <w:marRight w:val="0"/>
                      <w:marTop w:val="0"/>
                      <w:marBottom w:val="0"/>
                      <w:divBdr>
                        <w:top w:val="none" w:sz="0" w:space="0" w:color="auto"/>
                        <w:left w:val="none" w:sz="0" w:space="0" w:color="auto"/>
                        <w:bottom w:val="none" w:sz="0" w:space="0" w:color="auto"/>
                        <w:right w:val="none" w:sz="0" w:space="0" w:color="auto"/>
                      </w:divBdr>
                      <w:divsChild>
                        <w:div w:id="368839399">
                          <w:marLeft w:val="0"/>
                          <w:marRight w:val="0"/>
                          <w:marTop w:val="0"/>
                          <w:marBottom w:val="0"/>
                          <w:divBdr>
                            <w:top w:val="none" w:sz="0" w:space="0" w:color="auto"/>
                            <w:left w:val="none" w:sz="0" w:space="0" w:color="auto"/>
                            <w:bottom w:val="none" w:sz="0" w:space="0" w:color="auto"/>
                            <w:right w:val="none" w:sz="0" w:space="0" w:color="auto"/>
                          </w:divBdr>
                        </w:div>
                      </w:divsChild>
                    </w:div>
                    <w:div w:id="996106934">
                      <w:marLeft w:val="0"/>
                      <w:marRight w:val="0"/>
                      <w:marTop w:val="0"/>
                      <w:marBottom w:val="0"/>
                      <w:divBdr>
                        <w:top w:val="none" w:sz="0" w:space="0" w:color="auto"/>
                        <w:left w:val="none" w:sz="0" w:space="0" w:color="auto"/>
                        <w:bottom w:val="none" w:sz="0" w:space="0" w:color="auto"/>
                        <w:right w:val="none" w:sz="0" w:space="0" w:color="auto"/>
                      </w:divBdr>
                      <w:divsChild>
                        <w:div w:id="140274400">
                          <w:marLeft w:val="0"/>
                          <w:marRight w:val="0"/>
                          <w:marTop w:val="0"/>
                          <w:marBottom w:val="0"/>
                          <w:divBdr>
                            <w:top w:val="none" w:sz="0" w:space="0" w:color="auto"/>
                            <w:left w:val="none" w:sz="0" w:space="0" w:color="auto"/>
                            <w:bottom w:val="none" w:sz="0" w:space="0" w:color="auto"/>
                            <w:right w:val="none" w:sz="0" w:space="0" w:color="auto"/>
                          </w:divBdr>
                        </w:div>
                      </w:divsChild>
                    </w:div>
                    <w:div w:id="996804268">
                      <w:marLeft w:val="0"/>
                      <w:marRight w:val="0"/>
                      <w:marTop w:val="0"/>
                      <w:marBottom w:val="0"/>
                      <w:divBdr>
                        <w:top w:val="none" w:sz="0" w:space="0" w:color="auto"/>
                        <w:left w:val="none" w:sz="0" w:space="0" w:color="auto"/>
                        <w:bottom w:val="none" w:sz="0" w:space="0" w:color="auto"/>
                        <w:right w:val="none" w:sz="0" w:space="0" w:color="auto"/>
                      </w:divBdr>
                      <w:divsChild>
                        <w:div w:id="995379617">
                          <w:marLeft w:val="0"/>
                          <w:marRight w:val="0"/>
                          <w:marTop w:val="0"/>
                          <w:marBottom w:val="0"/>
                          <w:divBdr>
                            <w:top w:val="none" w:sz="0" w:space="0" w:color="auto"/>
                            <w:left w:val="none" w:sz="0" w:space="0" w:color="auto"/>
                            <w:bottom w:val="none" w:sz="0" w:space="0" w:color="auto"/>
                            <w:right w:val="none" w:sz="0" w:space="0" w:color="auto"/>
                          </w:divBdr>
                        </w:div>
                      </w:divsChild>
                    </w:div>
                    <w:div w:id="1007514745">
                      <w:marLeft w:val="0"/>
                      <w:marRight w:val="0"/>
                      <w:marTop w:val="0"/>
                      <w:marBottom w:val="0"/>
                      <w:divBdr>
                        <w:top w:val="none" w:sz="0" w:space="0" w:color="auto"/>
                        <w:left w:val="none" w:sz="0" w:space="0" w:color="auto"/>
                        <w:bottom w:val="none" w:sz="0" w:space="0" w:color="auto"/>
                        <w:right w:val="none" w:sz="0" w:space="0" w:color="auto"/>
                      </w:divBdr>
                      <w:divsChild>
                        <w:div w:id="286668602">
                          <w:marLeft w:val="0"/>
                          <w:marRight w:val="0"/>
                          <w:marTop w:val="0"/>
                          <w:marBottom w:val="0"/>
                          <w:divBdr>
                            <w:top w:val="none" w:sz="0" w:space="0" w:color="auto"/>
                            <w:left w:val="none" w:sz="0" w:space="0" w:color="auto"/>
                            <w:bottom w:val="none" w:sz="0" w:space="0" w:color="auto"/>
                            <w:right w:val="none" w:sz="0" w:space="0" w:color="auto"/>
                          </w:divBdr>
                        </w:div>
                      </w:divsChild>
                    </w:div>
                    <w:div w:id="1017582971">
                      <w:marLeft w:val="0"/>
                      <w:marRight w:val="0"/>
                      <w:marTop w:val="0"/>
                      <w:marBottom w:val="0"/>
                      <w:divBdr>
                        <w:top w:val="none" w:sz="0" w:space="0" w:color="auto"/>
                        <w:left w:val="none" w:sz="0" w:space="0" w:color="auto"/>
                        <w:bottom w:val="none" w:sz="0" w:space="0" w:color="auto"/>
                        <w:right w:val="none" w:sz="0" w:space="0" w:color="auto"/>
                      </w:divBdr>
                      <w:divsChild>
                        <w:div w:id="43647848">
                          <w:marLeft w:val="0"/>
                          <w:marRight w:val="0"/>
                          <w:marTop w:val="0"/>
                          <w:marBottom w:val="0"/>
                          <w:divBdr>
                            <w:top w:val="none" w:sz="0" w:space="0" w:color="auto"/>
                            <w:left w:val="none" w:sz="0" w:space="0" w:color="auto"/>
                            <w:bottom w:val="none" w:sz="0" w:space="0" w:color="auto"/>
                            <w:right w:val="none" w:sz="0" w:space="0" w:color="auto"/>
                          </w:divBdr>
                        </w:div>
                      </w:divsChild>
                    </w:div>
                    <w:div w:id="1068503301">
                      <w:marLeft w:val="0"/>
                      <w:marRight w:val="0"/>
                      <w:marTop w:val="0"/>
                      <w:marBottom w:val="0"/>
                      <w:divBdr>
                        <w:top w:val="none" w:sz="0" w:space="0" w:color="auto"/>
                        <w:left w:val="none" w:sz="0" w:space="0" w:color="auto"/>
                        <w:bottom w:val="none" w:sz="0" w:space="0" w:color="auto"/>
                        <w:right w:val="none" w:sz="0" w:space="0" w:color="auto"/>
                      </w:divBdr>
                      <w:divsChild>
                        <w:div w:id="69426397">
                          <w:marLeft w:val="0"/>
                          <w:marRight w:val="0"/>
                          <w:marTop w:val="0"/>
                          <w:marBottom w:val="0"/>
                          <w:divBdr>
                            <w:top w:val="none" w:sz="0" w:space="0" w:color="auto"/>
                            <w:left w:val="none" w:sz="0" w:space="0" w:color="auto"/>
                            <w:bottom w:val="none" w:sz="0" w:space="0" w:color="auto"/>
                            <w:right w:val="none" w:sz="0" w:space="0" w:color="auto"/>
                          </w:divBdr>
                        </w:div>
                        <w:div w:id="763695884">
                          <w:marLeft w:val="0"/>
                          <w:marRight w:val="0"/>
                          <w:marTop w:val="0"/>
                          <w:marBottom w:val="0"/>
                          <w:divBdr>
                            <w:top w:val="none" w:sz="0" w:space="0" w:color="auto"/>
                            <w:left w:val="none" w:sz="0" w:space="0" w:color="auto"/>
                            <w:bottom w:val="none" w:sz="0" w:space="0" w:color="auto"/>
                            <w:right w:val="none" w:sz="0" w:space="0" w:color="auto"/>
                          </w:divBdr>
                        </w:div>
                        <w:div w:id="1123575540">
                          <w:marLeft w:val="0"/>
                          <w:marRight w:val="0"/>
                          <w:marTop w:val="0"/>
                          <w:marBottom w:val="0"/>
                          <w:divBdr>
                            <w:top w:val="none" w:sz="0" w:space="0" w:color="auto"/>
                            <w:left w:val="none" w:sz="0" w:space="0" w:color="auto"/>
                            <w:bottom w:val="none" w:sz="0" w:space="0" w:color="auto"/>
                            <w:right w:val="none" w:sz="0" w:space="0" w:color="auto"/>
                          </w:divBdr>
                        </w:div>
                        <w:div w:id="1284264409">
                          <w:marLeft w:val="0"/>
                          <w:marRight w:val="0"/>
                          <w:marTop w:val="0"/>
                          <w:marBottom w:val="0"/>
                          <w:divBdr>
                            <w:top w:val="none" w:sz="0" w:space="0" w:color="auto"/>
                            <w:left w:val="none" w:sz="0" w:space="0" w:color="auto"/>
                            <w:bottom w:val="none" w:sz="0" w:space="0" w:color="auto"/>
                            <w:right w:val="none" w:sz="0" w:space="0" w:color="auto"/>
                          </w:divBdr>
                        </w:div>
                        <w:div w:id="1898009317">
                          <w:marLeft w:val="0"/>
                          <w:marRight w:val="0"/>
                          <w:marTop w:val="0"/>
                          <w:marBottom w:val="0"/>
                          <w:divBdr>
                            <w:top w:val="none" w:sz="0" w:space="0" w:color="auto"/>
                            <w:left w:val="none" w:sz="0" w:space="0" w:color="auto"/>
                            <w:bottom w:val="none" w:sz="0" w:space="0" w:color="auto"/>
                            <w:right w:val="none" w:sz="0" w:space="0" w:color="auto"/>
                          </w:divBdr>
                        </w:div>
                        <w:div w:id="1914243511">
                          <w:marLeft w:val="0"/>
                          <w:marRight w:val="0"/>
                          <w:marTop w:val="0"/>
                          <w:marBottom w:val="0"/>
                          <w:divBdr>
                            <w:top w:val="none" w:sz="0" w:space="0" w:color="auto"/>
                            <w:left w:val="none" w:sz="0" w:space="0" w:color="auto"/>
                            <w:bottom w:val="none" w:sz="0" w:space="0" w:color="auto"/>
                            <w:right w:val="none" w:sz="0" w:space="0" w:color="auto"/>
                          </w:divBdr>
                        </w:div>
                      </w:divsChild>
                    </w:div>
                    <w:div w:id="1138261893">
                      <w:marLeft w:val="0"/>
                      <w:marRight w:val="0"/>
                      <w:marTop w:val="0"/>
                      <w:marBottom w:val="0"/>
                      <w:divBdr>
                        <w:top w:val="none" w:sz="0" w:space="0" w:color="auto"/>
                        <w:left w:val="none" w:sz="0" w:space="0" w:color="auto"/>
                        <w:bottom w:val="none" w:sz="0" w:space="0" w:color="auto"/>
                        <w:right w:val="none" w:sz="0" w:space="0" w:color="auto"/>
                      </w:divBdr>
                      <w:divsChild>
                        <w:div w:id="1938515850">
                          <w:marLeft w:val="0"/>
                          <w:marRight w:val="0"/>
                          <w:marTop w:val="0"/>
                          <w:marBottom w:val="0"/>
                          <w:divBdr>
                            <w:top w:val="none" w:sz="0" w:space="0" w:color="auto"/>
                            <w:left w:val="none" w:sz="0" w:space="0" w:color="auto"/>
                            <w:bottom w:val="none" w:sz="0" w:space="0" w:color="auto"/>
                            <w:right w:val="none" w:sz="0" w:space="0" w:color="auto"/>
                          </w:divBdr>
                        </w:div>
                      </w:divsChild>
                    </w:div>
                    <w:div w:id="1145320229">
                      <w:marLeft w:val="0"/>
                      <w:marRight w:val="0"/>
                      <w:marTop w:val="0"/>
                      <w:marBottom w:val="0"/>
                      <w:divBdr>
                        <w:top w:val="none" w:sz="0" w:space="0" w:color="auto"/>
                        <w:left w:val="none" w:sz="0" w:space="0" w:color="auto"/>
                        <w:bottom w:val="none" w:sz="0" w:space="0" w:color="auto"/>
                        <w:right w:val="none" w:sz="0" w:space="0" w:color="auto"/>
                      </w:divBdr>
                      <w:divsChild>
                        <w:div w:id="122620790">
                          <w:marLeft w:val="0"/>
                          <w:marRight w:val="0"/>
                          <w:marTop w:val="0"/>
                          <w:marBottom w:val="0"/>
                          <w:divBdr>
                            <w:top w:val="none" w:sz="0" w:space="0" w:color="auto"/>
                            <w:left w:val="none" w:sz="0" w:space="0" w:color="auto"/>
                            <w:bottom w:val="none" w:sz="0" w:space="0" w:color="auto"/>
                            <w:right w:val="none" w:sz="0" w:space="0" w:color="auto"/>
                          </w:divBdr>
                        </w:div>
                        <w:div w:id="282350822">
                          <w:marLeft w:val="0"/>
                          <w:marRight w:val="0"/>
                          <w:marTop w:val="0"/>
                          <w:marBottom w:val="0"/>
                          <w:divBdr>
                            <w:top w:val="none" w:sz="0" w:space="0" w:color="auto"/>
                            <w:left w:val="none" w:sz="0" w:space="0" w:color="auto"/>
                            <w:bottom w:val="none" w:sz="0" w:space="0" w:color="auto"/>
                            <w:right w:val="none" w:sz="0" w:space="0" w:color="auto"/>
                          </w:divBdr>
                        </w:div>
                        <w:div w:id="736786045">
                          <w:marLeft w:val="0"/>
                          <w:marRight w:val="0"/>
                          <w:marTop w:val="0"/>
                          <w:marBottom w:val="0"/>
                          <w:divBdr>
                            <w:top w:val="none" w:sz="0" w:space="0" w:color="auto"/>
                            <w:left w:val="none" w:sz="0" w:space="0" w:color="auto"/>
                            <w:bottom w:val="none" w:sz="0" w:space="0" w:color="auto"/>
                            <w:right w:val="none" w:sz="0" w:space="0" w:color="auto"/>
                          </w:divBdr>
                        </w:div>
                        <w:div w:id="1663511902">
                          <w:marLeft w:val="0"/>
                          <w:marRight w:val="0"/>
                          <w:marTop w:val="0"/>
                          <w:marBottom w:val="0"/>
                          <w:divBdr>
                            <w:top w:val="none" w:sz="0" w:space="0" w:color="auto"/>
                            <w:left w:val="none" w:sz="0" w:space="0" w:color="auto"/>
                            <w:bottom w:val="none" w:sz="0" w:space="0" w:color="auto"/>
                            <w:right w:val="none" w:sz="0" w:space="0" w:color="auto"/>
                          </w:divBdr>
                        </w:div>
                      </w:divsChild>
                    </w:div>
                    <w:div w:id="1148133639">
                      <w:marLeft w:val="0"/>
                      <w:marRight w:val="0"/>
                      <w:marTop w:val="0"/>
                      <w:marBottom w:val="0"/>
                      <w:divBdr>
                        <w:top w:val="none" w:sz="0" w:space="0" w:color="auto"/>
                        <w:left w:val="none" w:sz="0" w:space="0" w:color="auto"/>
                        <w:bottom w:val="none" w:sz="0" w:space="0" w:color="auto"/>
                        <w:right w:val="none" w:sz="0" w:space="0" w:color="auto"/>
                      </w:divBdr>
                      <w:divsChild>
                        <w:div w:id="1788429976">
                          <w:marLeft w:val="0"/>
                          <w:marRight w:val="0"/>
                          <w:marTop w:val="0"/>
                          <w:marBottom w:val="0"/>
                          <w:divBdr>
                            <w:top w:val="none" w:sz="0" w:space="0" w:color="auto"/>
                            <w:left w:val="none" w:sz="0" w:space="0" w:color="auto"/>
                            <w:bottom w:val="none" w:sz="0" w:space="0" w:color="auto"/>
                            <w:right w:val="none" w:sz="0" w:space="0" w:color="auto"/>
                          </w:divBdr>
                        </w:div>
                      </w:divsChild>
                    </w:div>
                    <w:div w:id="1184829012">
                      <w:marLeft w:val="0"/>
                      <w:marRight w:val="0"/>
                      <w:marTop w:val="0"/>
                      <w:marBottom w:val="0"/>
                      <w:divBdr>
                        <w:top w:val="none" w:sz="0" w:space="0" w:color="auto"/>
                        <w:left w:val="none" w:sz="0" w:space="0" w:color="auto"/>
                        <w:bottom w:val="none" w:sz="0" w:space="0" w:color="auto"/>
                        <w:right w:val="none" w:sz="0" w:space="0" w:color="auto"/>
                      </w:divBdr>
                      <w:divsChild>
                        <w:div w:id="21054057">
                          <w:marLeft w:val="0"/>
                          <w:marRight w:val="0"/>
                          <w:marTop w:val="0"/>
                          <w:marBottom w:val="0"/>
                          <w:divBdr>
                            <w:top w:val="none" w:sz="0" w:space="0" w:color="auto"/>
                            <w:left w:val="none" w:sz="0" w:space="0" w:color="auto"/>
                            <w:bottom w:val="none" w:sz="0" w:space="0" w:color="auto"/>
                            <w:right w:val="none" w:sz="0" w:space="0" w:color="auto"/>
                          </w:divBdr>
                        </w:div>
                      </w:divsChild>
                    </w:div>
                    <w:div w:id="1192378812">
                      <w:marLeft w:val="0"/>
                      <w:marRight w:val="0"/>
                      <w:marTop w:val="0"/>
                      <w:marBottom w:val="0"/>
                      <w:divBdr>
                        <w:top w:val="none" w:sz="0" w:space="0" w:color="auto"/>
                        <w:left w:val="none" w:sz="0" w:space="0" w:color="auto"/>
                        <w:bottom w:val="none" w:sz="0" w:space="0" w:color="auto"/>
                        <w:right w:val="none" w:sz="0" w:space="0" w:color="auto"/>
                      </w:divBdr>
                      <w:divsChild>
                        <w:div w:id="60717627">
                          <w:marLeft w:val="0"/>
                          <w:marRight w:val="0"/>
                          <w:marTop w:val="0"/>
                          <w:marBottom w:val="0"/>
                          <w:divBdr>
                            <w:top w:val="none" w:sz="0" w:space="0" w:color="auto"/>
                            <w:left w:val="none" w:sz="0" w:space="0" w:color="auto"/>
                            <w:bottom w:val="none" w:sz="0" w:space="0" w:color="auto"/>
                            <w:right w:val="none" w:sz="0" w:space="0" w:color="auto"/>
                          </w:divBdr>
                        </w:div>
                      </w:divsChild>
                    </w:div>
                    <w:div w:id="1246837387">
                      <w:marLeft w:val="0"/>
                      <w:marRight w:val="0"/>
                      <w:marTop w:val="0"/>
                      <w:marBottom w:val="0"/>
                      <w:divBdr>
                        <w:top w:val="none" w:sz="0" w:space="0" w:color="auto"/>
                        <w:left w:val="none" w:sz="0" w:space="0" w:color="auto"/>
                        <w:bottom w:val="none" w:sz="0" w:space="0" w:color="auto"/>
                        <w:right w:val="none" w:sz="0" w:space="0" w:color="auto"/>
                      </w:divBdr>
                      <w:divsChild>
                        <w:div w:id="615988413">
                          <w:marLeft w:val="0"/>
                          <w:marRight w:val="0"/>
                          <w:marTop w:val="0"/>
                          <w:marBottom w:val="0"/>
                          <w:divBdr>
                            <w:top w:val="none" w:sz="0" w:space="0" w:color="auto"/>
                            <w:left w:val="none" w:sz="0" w:space="0" w:color="auto"/>
                            <w:bottom w:val="none" w:sz="0" w:space="0" w:color="auto"/>
                            <w:right w:val="none" w:sz="0" w:space="0" w:color="auto"/>
                          </w:divBdr>
                        </w:div>
                      </w:divsChild>
                    </w:div>
                    <w:div w:id="1286816442">
                      <w:marLeft w:val="0"/>
                      <w:marRight w:val="0"/>
                      <w:marTop w:val="0"/>
                      <w:marBottom w:val="0"/>
                      <w:divBdr>
                        <w:top w:val="none" w:sz="0" w:space="0" w:color="auto"/>
                        <w:left w:val="none" w:sz="0" w:space="0" w:color="auto"/>
                        <w:bottom w:val="none" w:sz="0" w:space="0" w:color="auto"/>
                        <w:right w:val="none" w:sz="0" w:space="0" w:color="auto"/>
                      </w:divBdr>
                      <w:divsChild>
                        <w:div w:id="1737125801">
                          <w:marLeft w:val="0"/>
                          <w:marRight w:val="0"/>
                          <w:marTop w:val="0"/>
                          <w:marBottom w:val="0"/>
                          <w:divBdr>
                            <w:top w:val="none" w:sz="0" w:space="0" w:color="auto"/>
                            <w:left w:val="none" w:sz="0" w:space="0" w:color="auto"/>
                            <w:bottom w:val="none" w:sz="0" w:space="0" w:color="auto"/>
                            <w:right w:val="none" w:sz="0" w:space="0" w:color="auto"/>
                          </w:divBdr>
                        </w:div>
                      </w:divsChild>
                    </w:div>
                    <w:div w:id="1290866098">
                      <w:marLeft w:val="0"/>
                      <w:marRight w:val="0"/>
                      <w:marTop w:val="0"/>
                      <w:marBottom w:val="0"/>
                      <w:divBdr>
                        <w:top w:val="none" w:sz="0" w:space="0" w:color="auto"/>
                        <w:left w:val="none" w:sz="0" w:space="0" w:color="auto"/>
                        <w:bottom w:val="none" w:sz="0" w:space="0" w:color="auto"/>
                        <w:right w:val="none" w:sz="0" w:space="0" w:color="auto"/>
                      </w:divBdr>
                      <w:divsChild>
                        <w:div w:id="562175340">
                          <w:marLeft w:val="0"/>
                          <w:marRight w:val="0"/>
                          <w:marTop w:val="0"/>
                          <w:marBottom w:val="0"/>
                          <w:divBdr>
                            <w:top w:val="none" w:sz="0" w:space="0" w:color="auto"/>
                            <w:left w:val="none" w:sz="0" w:space="0" w:color="auto"/>
                            <w:bottom w:val="none" w:sz="0" w:space="0" w:color="auto"/>
                            <w:right w:val="none" w:sz="0" w:space="0" w:color="auto"/>
                          </w:divBdr>
                        </w:div>
                      </w:divsChild>
                    </w:div>
                    <w:div w:id="1294023094">
                      <w:marLeft w:val="0"/>
                      <w:marRight w:val="0"/>
                      <w:marTop w:val="0"/>
                      <w:marBottom w:val="0"/>
                      <w:divBdr>
                        <w:top w:val="none" w:sz="0" w:space="0" w:color="auto"/>
                        <w:left w:val="none" w:sz="0" w:space="0" w:color="auto"/>
                        <w:bottom w:val="none" w:sz="0" w:space="0" w:color="auto"/>
                        <w:right w:val="none" w:sz="0" w:space="0" w:color="auto"/>
                      </w:divBdr>
                      <w:divsChild>
                        <w:div w:id="1808890282">
                          <w:marLeft w:val="0"/>
                          <w:marRight w:val="0"/>
                          <w:marTop w:val="0"/>
                          <w:marBottom w:val="0"/>
                          <w:divBdr>
                            <w:top w:val="none" w:sz="0" w:space="0" w:color="auto"/>
                            <w:left w:val="none" w:sz="0" w:space="0" w:color="auto"/>
                            <w:bottom w:val="none" w:sz="0" w:space="0" w:color="auto"/>
                            <w:right w:val="none" w:sz="0" w:space="0" w:color="auto"/>
                          </w:divBdr>
                        </w:div>
                        <w:div w:id="1859460994">
                          <w:marLeft w:val="0"/>
                          <w:marRight w:val="0"/>
                          <w:marTop w:val="0"/>
                          <w:marBottom w:val="0"/>
                          <w:divBdr>
                            <w:top w:val="none" w:sz="0" w:space="0" w:color="auto"/>
                            <w:left w:val="none" w:sz="0" w:space="0" w:color="auto"/>
                            <w:bottom w:val="none" w:sz="0" w:space="0" w:color="auto"/>
                            <w:right w:val="none" w:sz="0" w:space="0" w:color="auto"/>
                          </w:divBdr>
                        </w:div>
                      </w:divsChild>
                    </w:div>
                    <w:div w:id="1411535570">
                      <w:marLeft w:val="0"/>
                      <w:marRight w:val="0"/>
                      <w:marTop w:val="0"/>
                      <w:marBottom w:val="0"/>
                      <w:divBdr>
                        <w:top w:val="none" w:sz="0" w:space="0" w:color="auto"/>
                        <w:left w:val="none" w:sz="0" w:space="0" w:color="auto"/>
                        <w:bottom w:val="none" w:sz="0" w:space="0" w:color="auto"/>
                        <w:right w:val="none" w:sz="0" w:space="0" w:color="auto"/>
                      </w:divBdr>
                      <w:divsChild>
                        <w:div w:id="1638991284">
                          <w:marLeft w:val="0"/>
                          <w:marRight w:val="0"/>
                          <w:marTop w:val="0"/>
                          <w:marBottom w:val="0"/>
                          <w:divBdr>
                            <w:top w:val="none" w:sz="0" w:space="0" w:color="auto"/>
                            <w:left w:val="none" w:sz="0" w:space="0" w:color="auto"/>
                            <w:bottom w:val="none" w:sz="0" w:space="0" w:color="auto"/>
                            <w:right w:val="none" w:sz="0" w:space="0" w:color="auto"/>
                          </w:divBdr>
                        </w:div>
                      </w:divsChild>
                    </w:div>
                    <w:div w:id="1415977024">
                      <w:marLeft w:val="0"/>
                      <w:marRight w:val="0"/>
                      <w:marTop w:val="0"/>
                      <w:marBottom w:val="0"/>
                      <w:divBdr>
                        <w:top w:val="none" w:sz="0" w:space="0" w:color="auto"/>
                        <w:left w:val="none" w:sz="0" w:space="0" w:color="auto"/>
                        <w:bottom w:val="none" w:sz="0" w:space="0" w:color="auto"/>
                        <w:right w:val="none" w:sz="0" w:space="0" w:color="auto"/>
                      </w:divBdr>
                      <w:divsChild>
                        <w:div w:id="364333513">
                          <w:marLeft w:val="0"/>
                          <w:marRight w:val="0"/>
                          <w:marTop w:val="0"/>
                          <w:marBottom w:val="0"/>
                          <w:divBdr>
                            <w:top w:val="none" w:sz="0" w:space="0" w:color="auto"/>
                            <w:left w:val="none" w:sz="0" w:space="0" w:color="auto"/>
                            <w:bottom w:val="none" w:sz="0" w:space="0" w:color="auto"/>
                            <w:right w:val="none" w:sz="0" w:space="0" w:color="auto"/>
                          </w:divBdr>
                        </w:div>
                        <w:div w:id="473181351">
                          <w:marLeft w:val="0"/>
                          <w:marRight w:val="0"/>
                          <w:marTop w:val="0"/>
                          <w:marBottom w:val="0"/>
                          <w:divBdr>
                            <w:top w:val="none" w:sz="0" w:space="0" w:color="auto"/>
                            <w:left w:val="none" w:sz="0" w:space="0" w:color="auto"/>
                            <w:bottom w:val="none" w:sz="0" w:space="0" w:color="auto"/>
                            <w:right w:val="none" w:sz="0" w:space="0" w:color="auto"/>
                          </w:divBdr>
                        </w:div>
                      </w:divsChild>
                    </w:div>
                    <w:div w:id="1422414826">
                      <w:marLeft w:val="0"/>
                      <w:marRight w:val="0"/>
                      <w:marTop w:val="0"/>
                      <w:marBottom w:val="0"/>
                      <w:divBdr>
                        <w:top w:val="none" w:sz="0" w:space="0" w:color="auto"/>
                        <w:left w:val="none" w:sz="0" w:space="0" w:color="auto"/>
                        <w:bottom w:val="none" w:sz="0" w:space="0" w:color="auto"/>
                        <w:right w:val="none" w:sz="0" w:space="0" w:color="auto"/>
                      </w:divBdr>
                      <w:divsChild>
                        <w:div w:id="1873565754">
                          <w:marLeft w:val="0"/>
                          <w:marRight w:val="0"/>
                          <w:marTop w:val="0"/>
                          <w:marBottom w:val="0"/>
                          <w:divBdr>
                            <w:top w:val="none" w:sz="0" w:space="0" w:color="auto"/>
                            <w:left w:val="none" w:sz="0" w:space="0" w:color="auto"/>
                            <w:bottom w:val="none" w:sz="0" w:space="0" w:color="auto"/>
                            <w:right w:val="none" w:sz="0" w:space="0" w:color="auto"/>
                          </w:divBdr>
                        </w:div>
                      </w:divsChild>
                    </w:div>
                    <w:div w:id="1443065698">
                      <w:marLeft w:val="0"/>
                      <w:marRight w:val="0"/>
                      <w:marTop w:val="0"/>
                      <w:marBottom w:val="0"/>
                      <w:divBdr>
                        <w:top w:val="none" w:sz="0" w:space="0" w:color="auto"/>
                        <w:left w:val="none" w:sz="0" w:space="0" w:color="auto"/>
                        <w:bottom w:val="none" w:sz="0" w:space="0" w:color="auto"/>
                        <w:right w:val="none" w:sz="0" w:space="0" w:color="auto"/>
                      </w:divBdr>
                      <w:divsChild>
                        <w:div w:id="310869587">
                          <w:marLeft w:val="0"/>
                          <w:marRight w:val="0"/>
                          <w:marTop w:val="0"/>
                          <w:marBottom w:val="0"/>
                          <w:divBdr>
                            <w:top w:val="none" w:sz="0" w:space="0" w:color="auto"/>
                            <w:left w:val="none" w:sz="0" w:space="0" w:color="auto"/>
                            <w:bottom w:val="none" w:sz="0" w:space="0" w:color="auto"/>
                            <w:right w:val="none" w:sz="0" w:space="0" w:color="auto"/>
                          </w:divBdr>
                        </w:div>
                      </w:divsChild>
                    </w:div>
                    <w:div w:id="1443186963">
                      <w:marLeft w:val="0"/>
                      <w:marRight w:val="0"/>
                      <w:marTop w:val="0"/>
                      <w:marBottom w:val="0"/>
                      <w:divBdr>
                        <w:top w:val="none" w:sz="0" w:space="0" w:color="auto"/>
                        <w:left w:val="none" w:sz="0" w:space="0" w:color="auto"/>
                        <w:bottom w:val="none" w:sz="0" w:space="0" w:color="auto"/>
                        <w:right w:val="none" w:sz="0" w:space="0" w:color="auto"/>
                      </w:divBdr>
                      <w:divsChild>
                        <w:div w:id="1278173293">
                          <w:marLeft w:val="0"/>
                          <w:marRight w:val="0"/>
                          <w:marTop w:val="0"/>
                          <w:marBottom w:val="0"/>
                          <w:divBdr>
                            <w:top w:val="none" w:sz="0" w:space="0" w:color="auto"/>
                            <w:left w:val="none" w:sz="0" w:space="0" w:color="auto"/>
                            <w:bottom w:val="none" w:sz="0" w:space="0" w:color="auto"/>
                            <w:right w:val="none" w:sz="0" w:space="0" w:color="auto"/>
                          </w:divBdr>
                        </w:div>
                      </w:divsChild>
                    </w:div>
                    <w:div w:id="1468472248">
                      <w:marLeft w:val="0"/>
                      <w:marRight w:val="0"/>
                      <w:marTop w:val="0"/>
                      <w:marBottom w:val="0"/>
                      <w:divBdr>
                        <w:top w:val="none" w:sz="0" w:space="0" w:color="auto"/>
                        <w:left w:val="none" w:sz="0" w:space="0" w:color="auto"/>
                        <w:bottom w:val="none" w:sz="0" w:space="0" w:color="auto"/>
                        <w:right w:val="none" w:sz="0" w:space="0" w:color="auto"/>
                      </w:divBdr>
                      <w:divsChild>
                        <w:div w:id="42415313">
                          <w:marLeft w:val="0"/>
                          <w:marRight w:val="0"/>
                          <w:marTop w:val="0"/>
                          <w:marBottom w:val="0"/>
                          <w:divBdr>
                            <w:top w:val="none" w:sz="0" w:space="0" w:color="auto"/>
                            <w:left w:val="none" w:sz="0" w:space="0" w:color="auto"/>
                            <w:bottom w:val="none" w:sz="0" w:space="0" w:color="auto"/>
                            <w:right w:val="none" w:sz="0" w:space="0" w:color="auto"/>
                          </w:divBdr>
                        </w:div>
                      </w:divsChild>
                    </w:div>
                    <w:div w:id="1479834956">
                      <w:marLeft w:val="0"/>
                      <w:marRight w:val="0"/>
                      <w:marTop w:val="0"/>
                      <w:marBottom w:val="0"/>
                      <w:divBdr>
                        <w:top w:val="none" w:sz="0" w:space="0" w:color="auto"/>
                        <w:left w:val="none" w:sz="0" w:space="0" w:color="auto"/>
                        <w:bottom w:val="none" w:sz="0" w:space="0" w:color="auto"/>
                        <w:right w:val="none" w:sz="0" w:space="0" w:color="auto"/>
                      </w:divBdr>
                      <w:divsChild>
                        <w:div w:id="641816668">
                          <w:marLeft w:val="0"/>
                          <w:marRight w:val="0"/>
                          <w:marTop w:val="0"/>
                          <w:marBottom w:val="0"/>
                          <w:divBdr>
                            <w:top w:val="none" w:sz="0" w:space="0" w:color="auto"/>
                            <w:left w:val="none" w:sz="0" w:space="0" w:color="auto"/>
                            <w:bottom w:val="none" w:sz="0" w:space="0" w:color="auto"/>
                            <w:right w:val="none" w:sz="0" w:space="0" w:color="auto"/>
                          </w:divBdr>
                        </w:div>
                      </w:divsChild>
                    </w:div>
                    <w:div w:id="1487621622">
                      <w:marLeft w:val="0"/>
                      <w:marRight w:val="0"/>
                      <w:marTop w:val="0"/>
                      <w:marBottom w:val="0"/>
                      <w:divBdr>
                        <w:top w:val="none" w:sz="0" w:space="0" w:color="auto"/>
                        <w:left w:val="none" w:sz="0" w:space="0" w:color="auto"/>
                        <w:bottom w:val="none" w:sz="0" w:space="0" w:color="auto"/>
                        <w:right w:val="none" w:sz="0" w:space="0" w:color="auto"/>
                      </w:divBdr>
                      <w:divsChild>
                        <w:div w:id="815071831">
                          <w:marLeft w:val="0"/>
                          <w:marRight w:val="0"/>
                          <w:marTop w:val="0"/>
                          <w:marBottom w:val="0"/>
                          <w:divBdr>
                            <w:top w:val="none" w:sz="0" w:space="0" w:color="auto"/>
                            <w:left w:val="none" w:sz="0" w:space="0" w:color="auto"/>
                            <w:bottom w:val="none" w:sz="0" w:space="0" w:color="auto"/>
                            <w:right w:val="none" w:sz="0" w:space="0" w:color="auto"/>
                          </w:divBdr>
                        </w:div>
                      </w:divsChild>
                    </w:div>
                    <w:div w:id="1562254693">
                      <w:marLeft w:val="0"/>
                      <w:marRight w:val="0"/>
                      <w:marTop w:val="0"/>
                      <w:marBottom w:val="0"/>
                      <w:divBdr>
                        <w:top w:val="none" w:sz="0" w:space="0" w:color="auto"/>
                        <w:left w:val="none" w:sz="0" w:space="0" w:color="auto"/>
                        <w:bottom w:val="none" w:sz="0" w:space="0" w:color="auto"/>
                        <w:right w:val="none" w:sz="0" w:space="0" w:color="auto"/>
                      </w:divBdr>
                      <w:divsChild>
                        <w:div w:id="151259065">
                          <w:marLeft w:val="0"/>
                          <w:marRight w:val="0"/>
                          <w:marTop w:val="0"/>
                          <w:marBottom w:val="0"/>
                          <w:divBdr>
                            <w:top w:val="none" w:sz="0" w:space="0" w:color="auto"/>
                            <w:left w:val="none" w:sz="0" w:space="0" w:color="auto"/>
                            <w:bottom w:val="none" w:sz="0" w:space="0" w:color="auto"/>
                            <w:right w:val="none" w:sz="0" w:space="0" w:color="auto"/>
                          </w:divBdr>
                        </w:div>
                      </w:divsChild>
                    </w:div>
                    <w:div w:id="1563171295">
                      <w:marLeft w:val="0"/>
                      <w:marRight w:val="0"/>
                      <w:marTop w:val="0"/>
                      <w:marBottom w:val="0"/>
                      <w:divBdr>
                        <w:top w:val="none" w:sz="0" w:space="0" w:color="auto"/>
                        <w:left w:val="none" w:sz="0" w:space="0" w:color="auto"/>
                        <w:bottom w:val="none" w:sz="0" w:space="0" w:color="auto"/>
                        <w:right w:val="none" w:sz="0" w:space="0" w:color="auto"/>
                      </w:divBdr>
                      <w:divsChild>
                        <w:div w:id="256985966">
                          <w:marLeft w:val="0"/>
                          <w:marRight w:val="0"/>
                          <w:marTop w:val="0"/>
                          <w:marBottom w:val="0"/>
                          <w:divBdr>
                            <w:top w:val="none" w:sz="0" w:space="0" w:color="auto"/>
                            <w:left w:val="none" w:sz="0" w:space="0" w:color="auto"/>
                            <w:bottom w:val="none" w:sz="0" w:space="0" w:color="auto"/>
                            <w:right w:val="none" w:sz="0" w:space="0" w:color="auto"/>
                          </w:divBdr>
                        </w:div>
                      </w:divsChild>
                    </w:div>
                    <w:div w:id="1586455172">
                      <w:marLeft w:val="0"/>
                      <w:marRight w:val="0"/>
                      <w:marTop w:val="0"/>
                      <w:marBottom w:val="0"/>
                      <w:divBdr>
                        <w:top w:val="none" w:sz="0" w:space="0" w:color="auto"/>
                        <w:left w:val="none" w:sz="0" w:space="0" w:color="auto"/>
                        <w:bottom w:val="none" w:sz="0" w:space="0" w:color="auto"/>
                        <w:right w:val="none" w:sz="0" w:space="0" w:color="auto"/>
                      </w:divBdr>
                      <w:divsChild>
                        <w:div w:id="212692428">
                          <w:marLeft w:val="0"/>
                          <w:marRight w:val="0"/>
                          <w:marTop w:val="0"/>
                          <w:marBottom w:val="0"/>
                          <w:divBdr>
                            <w:top w:val="none" w:sz="0" w:space="0" w:color="auto"/>
                            <w:left w:val="none" w:sz="0" w:space="0" w:color="auto"/>
                            <w:bottom w:val="none" w:sz="0" w:space="0" w:color="auto"/>
                            <w:right w:val="none" w:sz="0" w:space="0" w:color="auto"/>
                          </w:divBdr>
                        </w:div>
                      </w:divsChild>
                    </w:div>
                    <w:div w:id="1606304929">
                      <w:marLeft w:val="0"/>
                      <w:marRight w:val="0"/>
                      <w:marTop w:val="0"/>
                      <w:marBottom w:val="0"/>
                      <w:divBdr>
                        <w:top w:val="none" w:sz="0" w:space="0" w:color="auto"/>
                        <w:left w:val="none" w:sz="0" w:space="0" w:color="auto"/>
                        <w:bottom w:val="none" w:sz="0" w:space="0" w:color="auto"/>
                        <w:right w:val="none" w:sz="0" w:space="0" w:color="auto"/>
                      </w:divBdr>
                      <w:divsChild>
                        <w:div w:id="1926452626">
                          <w:marLeft w:val="0"/>
                          <w:marRight w:val="0"/>
                          <w:marTop w:val="0"/>
                          <w:marBottom w:val="0"/>
                          <w:divBdr>
                            <w:top w:val="none" w:sz="0" w:space="0" w:color="auto"/>
                            <w:left w:val="none" w:sz="0" w:space="0" w:color="auto"/>
                            <w:bottom w:val="none" w:sz="0" w:space="0" w:color="auto"/>
                            <w:right w:val="none" w:sz="0" w:space="0" w:color="auto"/>
                          </w:divBdr>
                        </w:div>
                      </w:divsChild>
                    </w:div>
                    <w:div w:id="1611468452">
                      <w:marLeft w:val="0"/>
                      <w:marRight w:val="0"/>
                      <w:marTop w:val="0"/>
                      <w:marBottom w:val="0"/>
                      <w:divBdr>
                        <w:top w:val="none" w:sz="0" w:space="0" w:color="auto"/>
                        <w:left w:val="none" w:sz="0" w:space="0" w:color="auto"/>
                        <w:bottom w:val="none" w:sz="0" w:space="0" w:color="auto"/>
                        <w:right w:val="none" w:sz="0" w:space="0" w:color="auto"/>
                      </w:divBdr>
                      <w:divsChild>
                        <w:div w:id="1983191174">
                          <w:marLeft w:val="0"/>
                          <w:marRight w:val="0"/>
                          <w:marTop w:val="0"/>
                          <w:marBottom w:val="0"/>
                          <w:divBdr>
                            <w:top w:val="none" w:sz="0" w:space="0" w:color="auto"/>
                            <w:left w:val="none" w:sz="0" w:space="0" w:color="auto"/>
                            <w:bottom w:val="none" w:sz="0" w:space="0" w:color="auto"/>
                            <w:right w:val="none" w:sz="0" w:space="0" w:color="auto"/>
                          </w:divBdr>
                        </w:div>
                      </w:divsChild>
                    </w:div>
                    <w:div w:id="1635721978">
                      <w:marLeft w:val="0"/>
                      <w:marRight w:val="0"/>
                      <w:marTop w:val="0"/>
                      <w:marBottom w:val="0"/>
                      <w:divBdr>
                        <w:top w:val="none" w:sz="0" w:space="0" w:color="auto"/>
                        <w:left w:val="none" w:sz="0" w:space="0" w:color="auto"/>
                        <w:bottom w:val="none" w:sz="0" w:space="0" w:color="auto"/>
                        <w:right w:val="none" w:sz="0" w:space="0" w:color="auto"/>
                      </w:divBdr>
                      <w:divsChild>
                        <w:div w:id="1836065273">
                          <w:marLeft w:val="0"/>
                          <w:marRight w:val="0"/>
                          <w:marTop w:val="0"/>
                          <w:marBottom w:val="0"/>
                          <w:divBdr>
                            <w:top w:val="none" w:sz="0" w:space="0" w:color="auto"/>
                            <w:left w:val="none" w:sz="0" w:space="0" w:color="auto"/>
                            <w:bottom w:val="none" w:sz="0" w:space="0" w:color="auto"/>
                            <w:right w:val="none" w:sz="0" w:space="0" w:color="auto"/>
                          </w:divBdr>
                        </w:div>
                      </w:divsChild>
                    </w:div>
                    <w:div w:id="1709841916">
                      <w:marLeft w:val="0"/>
                      <w:marRight w:val="0"/>
                      <w:marTop w:val="0"/>
                      <w:marBottom w:val="0"/>
                      <w:divBdr>
                        <w:top w:val="none" w:sz="0" w:space="0" w:color="auto"/>
                        <w:left w:val="none" w:sz="0" w:space="0" w:color="auto"/>
                        <w:bottom w:val="none" w:sz="0" w:space="0" w:color="auto"/>
                        <w:right w:val="none" w:sz="0" w:space="0" w:color="auto"/>
                      </w:divBdr>
                      <w:divsChild>
                        <w:div w:id="1589273179">
                          <w:marLeft w:val="0"/>
                          <w:marRight w:val="0"/>
                          <w:marTop w:val="0"/>
                          <w:marBottom w:val="0"/>
                          <w:divBdr>
                            <w:top w:val="none" w:sz="0" w:space="0" w:color="auto"/>
                            <w:left w:val="none" w:sz="0" w:space="0" w:color="auto"/>
                            <w:bottom w:val="none" w:sz="0" w:space="0" w:color="auto"/>
                            <w:right w:val="none" w:sz="0" w:space="0" w:color="auto"/>
                          </w:divBdr>
                        </w:div>
                      </w:divsChild>
                    </w:div>
                    <w:div w:id="1720397870">
                      <w:marLeft w:val="0"/>
                      <w:marRight w:val="0"/>
                      <w:marTop w:val="0"/>
                      <w:marBottom w:val="0"/>
                      <w:divBdr>
                        <w:top w:val="none" w:sz="0" w:space="0" w:color="auto"/>
                        <w:left w:val="none" w:sz="0" w:space="0" w:color="auto"/>
                        <w:bottom w:val="none" w:sz="0" w:space="0" w:color="auto"/>
                        <w:right w:val="none" w:sz="0" w:space="0" w:color="auto"/>
                      </w:divBdr>
                      <w:divsChild>
                        <w:div w:id="906301167">
                          <w:marLeft w:val="0"/>
                          <w:marRight w:val="0"/>
                          <w:marTop w:val="0"/>
                          <w:marBottom w:val="0"/>
                          <w:divBdr>
                            <w:top w:val="none" w:sz="0" w:space="0" w:color="auto"/>
                            <w:left w:val="none" w:sz="0" w:space="0" w:color="auto"/>
                            <w:bottom w:val="none" w:sz="0" w:space="0" w:color="auto"/>
                            <w:right w:val="none" w:sz="0" w:space="0" w:color="auto"/>
                          </w:divBdr>
                        </w:div>
                        <w:div w:id="1957061323">
                          <w:marLeft w:val="0"/>
                          <w:marRight w:val="0"/>
                          <w:marTop w:val="0"/>
                          <w:marBottom w:val="0"/>
                          <w:divBdr>
                            <w:top w:val="none" w:sz="0" w:space="0" w:color="auto"/>
                            <w:left w:val="none" w:sz="0" w:space="0" w:color="auto"/>
                            <w:bottom w:val="none" w:sz="0" w:space="0" w:color="auto"/>
                            <w:right w:val="none" w:sz="0" w:space="0" w:color="auto"/>
                          </w:divBdr>
                        </w:div>
                      </w:divsChild>
                    </w:div>
                    <w:div w:id="1740439621">
                      <w:marLeft w:val="0"/>
                      <w:marRight w:val="0"/>
                      <w:marTop w:val="0"/>
                      <w:marBottom w:val="0"/>
                      <w:divBdr>
                        <w:top w:val="none" w:sz="0" w:space="0" w:color="auto"/>
                        <w:left w:val="none" w:sz="0" w:space="0" w:color="auto"/>
                        <w:bottom w:val="none" w:sz="0" w:space="0" w:color="auto"/>
                        <w:right w:val="none" w:sz="0" w:space="0" w:color="auto"/>
                      </w:divBdr>
                      <w:divsChild>
                        <w:div w:id="1871796236">
                          <w:marLeft w:val="0"/>
                          <w:marRight w:val="0"/>
                          <w:marTop w:val="0"/>
                          <w:marBottom w:val="0"/>
                          <w:divBdr>
                            <w:top w:val="none" w:sz="0" w:space="0" w:color="auto"/>
                            <w:left w:val="none" w:sz="0" w:space="0" w:color="auto"/>
                            <w:bottom w:val="none" w:sz="0" w:space="0" w:color="auto"/>
                            <w:right w:val="none" w:sz="0" w:space="0" w:color="auto"/>
                          </w:divBdr>
                        </w:div>
                      </w:divsChild>
                    </w:div>
                    <w:div w:id="1741710516">
                      <w:marLeft w:val="0"/>
                      <w:marRight w:val="0"/>
                      <w:marTop w:val="0"/>
                      <w:marBottom w:val="0"/>
                      <w:divBdr>
                        <w:top w:val="none" w:sz="0" w:space="0" w:color="auto"/>
                        <w:left w:val="none" w:sz="0" w:space="0" w:color="auto"/>
                        <w:bottom w:val="none" w:sz="0" w:space="0" w:color="auto"/>
                        <w:right w:val="none" w:sz="0" w:space="0" w:color="auto"/>
                      </w:divBdr>
                      <w:divsChild>
                        <w:div w:id="1277785946">
                          <w:marLeft w:val="0"/>
                          <w:marRight w:val="0"/>
                          <w:marTop w:val="0"/>
                          <w:marBottom w:val="0"/>
                          <w:divBdr>
                            <w:top w:val="none" w:sz="0" w:space="0" w:color="auto"/>
                            <w:left w:val="none" w:sz="0" w:space="0" w:color="auto"/>
                            <w:bottom w:val="none" w:sz="0" w:space="0" w:color="auto"/>
                            <w:right w:val="none" w:sz="0" w:space="0" w:color="auto"/>
                          </w:divBdr>
                        </w:div>
                      </w:divsChild>
                    </w:div>
                    <w:div w:id="1834101568">
                      <w:marLeft w:val="0"/>
                      <w:marRight w:val="0"/>
                      <w:marTop w:val="0"/>
                      <w:marBottom w:val="0"/>
                      <w:divBdr>
                        <w:top w:val="none" w:sz="0" w:space="0" w:color="auto"/>
                        <w:left w:val="none" w:sz="0" w:space="0" w:color="auto"/>
                        <w:bottom w:val="none" w:sz="0" w:space="0" w:color="auto"/>
                        <w:right w:val="none" w:sz="0" w:space="0" w:color="auto"/>
                      </w:divBdr>
                      <w:divsChild>
                        <w:div w:id="1685595171">
                          <w:marLeft w:val="0"/>
                          <w:marRight w:val="0"/>
                          <w:marTop w:val="0"/>
                          <w:marBottom w:val="0"/>
                          <w:divBdr>
                            <w:top w:val="none" w:sz="0" w:space="0" w:color="auto"/>
                            <w:left w:val="none" w:sz="0" w:space="0" w:color="auto"/>
                            <w:bottom w:val="none" w:sz="0" w:space="0" w:color="auto"/>
                            <w:right w:val="none" w:sz="0" w:space="0" w:color="auto"/>
                          </w:divBdr>
                        </w:div>
                      </w:divsChild>
                    </w:div>
                    <w:div w:id="1853835869">
                      <w:marLeft w:val="0"/>
                      <w:marRight w:val="0"/>
                      <w:marTop w:val="0"/>
                      <w:marBottom w:val="0"/>
                      <w:divBdr>
                        <w:top w:val="none" w:sz="0" w:space="0" w:color="auto"/>
                        <w:left w:val="none" w:sz="0" w:space="0" w:color="auto"/>
                        <w:bottom w:val="none" w:sz="0" w:space="0" w:color="auto"/>
                        <w:right w:val="none" w:sz="0" w:space="0" w:color="auto"/>
                      </w:divBdr>
                      <w:divsChild>
                        <w:div w:id="1540900194">
                          <w:marLeft w:val="0"/>
                          <w:marRight w:val="0"/>
                          <w:marTop w:val="0"/>
                          <w:marBottom w:val="0"/>
                          <w:divBdr>
                            <w:top w:val="none" w:sz="0" w:space="0" w:color="auto"/>
                            <w:left w:val="none" w:sz="0" w:space="0" w:color="auto"/>
                            <w:bottom w:val="none" w:sz="0" w:space="0" w:color="auto"/>
                            <w:right w:val="none" w:sz="0" w:space="0" w:color="auto"/>
                          </w:divBdr>
                        </w:div>
                      </w:divsChild>
                    </w:div>
                    <w:div w:id="1971133731">
                      <w:marLeft w:val="0"/>
                      <w:marRight w:val="0"/>
                      <w:marTop w:val="0"/>
                      <w:marBottom w:val="0"/>
                      <w:divBdr>
                        <w:top w:val="none" w:sz="0" w:space="0" w:color="auto"/>
                        <w:left w:val="none" w:sz="0" w:space="0" w:color="auto"/>
                        <w:bottom w:val="none" w:sz="0" w:space="0" w:color="auto"/>
                        <w:right w:val="none" w:sz="0" w:space="0" w:color="auto"/>
                      </w:divBdr>
                      <w:divsChild>
                        <w:div w:id="547226861">
                          <w:marLeft w:val="0"/>
                          <w:marRight w:val="0"/>
                          <w:marTop w:val="0"/>
                          <w:marBottom w:val="0"/>
                          <w:divBdr>
                            <w:top w:val="none" w:sz="0" w:space="0" w:color="auto"/>
                            <w:left w:val="none" w:sz="0" w:space="0" w:color="auto"/>
                            <w:bottom w:val="none" w:sz="0" w:space="0" w:color="auto"/>
                            <w:right w:val="none" w:sz="0" w:space="0" w:color="auto"/>
                          </w:divBdr>
                        </w:div>
                      </w:divsChild>
                    </w:div>
                    <w:div w:id="2007707819">
                      <w:marLeft w:val="0"/>
                      <w:marRight w:val="0"/>
                      <w:marTop w:val="0"/>
                      <w:marBottom w:val="0"/>
                      <w:divBdr>
                        <w:top w:val="none" w:sz="0" w:space="0" w:color="auto"/>
                        <w:left w:val="none" w:sz="0" w:space="0" w:color="auto"/>
                        <w:bottom w:val="none" w:sz="0" w:space="0" w:color="auto"/>
                        <w:right w:val="none" w:sz="0" w:space="0" w:color="auto"/>
                      </w:divBdr>
                      <w:divsChild>
                        <w:div w:id="467011060">
                          <w:marLeft w:val="0"/>
                          <w:marRight w:val="0"/>
                          <w:marTop w:val="0"/>
                          <w:marBottom w:val="0"/>
                          <w:divBdr>
                            <w:top w:val="none" w:sz="0" w:space="0" w:color="auto"/>
                            <w:left w:val="none" w:sz="0" w:space="0" w:color="auto"/>
                            <w:bottom w:val="none" w:sz="0" w:space="0" w:color="auto"/>
                            <w:right w:val="none" w:sz="0" w:space="0" w:color="auto"/>
                          </w:divBdr>
                        </w:div>
                      </w:divsChild>
                    </w:div>
                    <w:div w:id="2077974101">
                      <w:marLeft w:val="0"/>
                      <w:marRight w:val="0"/>
                      <w:marTop w:val="0"/>
                      <w:marBottom w:val="0"/>
                      <w:divBdr>
                        <w:top w:val="none" w:sz="0" w:space="0" w:color="auto"/>
                        <w:left w:val="none" w:sz="0" w:space="0" w:color="auto"/>
                        <w:bottom w:val="none" w:sz="0" w:space="0" w:color="auto"/>
                        <w:right w:val="none" w:sz="0" w:space="0" w:color="auto"/>
                      </w:divBdr>
                      <w:divsChild>
                        <w:div w:id="778915739">
                          <w:marLeft w:val="0"/>
                          <w:marRight w:val="0"/>
                          <w:marTop w:val="0"/>
                          <w:marBottom w:val="0"/>
                          <w:divBdr>
                            <w:top w:val="none" w:sz="0" w:space="0" w:color="auto"/>
                            <w:left w:val="none" w:sz="0" w:space="0" w:color="auto"/>
                            <w:bottom w:val="none" w:sz="0" w:space="0" w:color="auto"/>
                            <w:right w:val="none" w:sz="0" w:space="0" w:color="auto"/>
                          </w:divBdr>
                        </w:div>
                        <w:div w:id="1794009156">
                          <w:marLeft w:val="0"/>
                          <w:marRight w:val="0"/>
                          <w:marTop w:val="0"/>
                          <w:marBottom w:val="0"/>
                          <w:divBdr>
                            <w:top w:val="none" w:sz="0" w:space="0" w:color="auto"/>
                            <w:left w:val="none" w:sz="0" w:space="0" w:color="auto"/>
                            <w:bottom w:val="none" w:sz="0" w:space="0" w:color="auto"/>
                            <w:right w:val="none" w:sz="0" w:space="0" w:color="auto"/>
                          </w:divBdr>
                        </w:div>
                      </w:divsChild>
                    </w:div>
                    <w:div w:id="2108768931">
                      <w:marLeft w:val="0"/>
                      <w:marRight w:val="0"/>
                      <w:marTop w:val="0"/>
                      <w:marBottom w:val="0"/>
                      <w:divBdr>
                        <w:top w:val="none" w:sz="0" w:space="0" w:color="auto"/>
                        <w:left w:val="none" w:sz="0" w:space="0" w:color="auto"/>
                        <w:bottom w:val="none" w:sz="0" w:space="0" w:color="auto"/>
                        <w:right w:val="none" w:sz="0" w:space="0" w:color="auto"/>
                      </w:divBdr>
                      <w:divsChild>
                        <w:div w:id="1029256052">
                          <w:marLeft w:val="0"/>
                          <w:marRight w:val="0"/>
                          <w:marTop w:val="0"/>
                          <w:marBottom w:val="0"/>
                          <w:divBdr>
                            <w:top w:val="none" w:sz="0" w:space="0" w:color="auto"/>
                            <w:left w:val="none" w:sz="0" w:space="0" w:color="auto"/>
                            <w:bottom w:val="none" w:sz="0" w:space="0" w:color="auto"/>
                            <w:right w:val="none" w:sz="0" w:space="0" w:color="auto"/>
                          </w:divBdr>
                        </w:div>
                        <w:div w:id="1658411343">
                          <w:marLeft w:val="0"/>
                          <w:marRight w:val="0"/>
                          <w:marTop w:val="0"/>
                          <w:marBottom w:val="0"/>
                          <w:divBdr>
                            <w:top w:val="none" w:sz="0" w:space="0" w:color="auto"/>
                            <w:left w:val="none" w:sz="0" w:space="0" w:color="auto"/>
                            <w:bottom w:val="none" w:sz="0" w:space="0" w:color="auto"/>
                            <w:right w:val="none" w:sz="0" w:space="0" w:color="auto"/>
                          </w:divBdr>
                        </w:div>
                      </w:divsChild>
                    </w:div>
                    <w:div w:id="2113622791">
                      <w:marLeft w:val="0"/>
                      <w:marRight w:val="0"/>
                      <w:marTop w:val="0"/>
                      <w:marBottom w:val="0"/>
                      <w:divBdr>
                        <w:top w:val="none" w:sz="0" w:space="0" w:color="auto"/>
                        <w:left w:val="none" w:sz="0" w:space="0" w:color="auto"/>
                        <w:bottom w:val="none" w:sz="0" w:space="0" w:color="auto"/>
                        <w:right w:val="none" w:sz="0" w:space="0" w:color="auto"/>
                      </w:divBdr>
                      <w:divsChild>
                        <w:div w:id="431899429">
                          <w:marLeft w:val="0"/>
                          <w:marRight w:val="0"/>
                          <w:marTop w:val="0"/>
                          <w:marBottom w:val="0"/>
                          <w:divBdr>
                            <w:top w:val="none" w:sz="0" w:space="0" w:color="auto"/>
                            <w:left w:val="none" w:sz="0" w:space="0" w:color="auto"/>
                            <w:bottom w:val="none" w:sz="0" w:space="0" w:color="auto"/>
                            <w:right w:val="none" w:sz="0" w:space="0" w:color="auto"/>
                          </w:divBdr>
                        </w:div>
                        <w:div w:id="1328901819">
                          <w:marLeft w:val="0"/>
                          <w:marRight w:val="0"/>
                          <w:marTop w:val="0"/>
                          <w:marBottom w:val="0"/>
                          <w:divBdr>
                            <w:top w:val="none" w:sz="0" w:space="0" w:color="auto"/>
                            <w:left w:val="none" w:sz="0" w:space="0" w:color="auto"/>
                            <w:bottom w:val="none" w:sz="0" w:space="0" w:color="auto"/>
                            <w:right w:val="none" w:sz="0" w:space="0" w:color="auto"/>
                          </w:divBdr>
                        </w:div>
                      </w:divsChild>
                    </w:div>
                    <w:div w:id="2130776113">
                      <w:marLeft w:val="0"/>
                      <w:marRight w:val="0"/>
                      <w:marTop w:val="0"/>
                      <w:marBottom w:val="0"/>
                      <w:divBdr>
                        <w:top w:val="none" w:sz="0" w:space="0" w:color="auto"/>
                        <w:left w:val="none" w:sz="0" w:space="0" w:color="auto"/>
                        <w:bottom w:val="none" w:sz="0" w:space="0" w:color="auto"/>
                        <w:right w:val="none" w:sz="0" w:space="0" w:color="auto"/>
                      </w:divBdr>
                      <w:divsChild>
                        <w:div w:id="19898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omberglaw.com/product/tax/document/XPV1JNH8" TargetMode="External"/><Relationship Id="rId18" Type="http://schemas.openxmlformats.org/officeDocument/2006/relationships/hyperlink" Target="https://www.bloomberglaw.com/product/tax/document/27885432360" TargetMode="External"/><Relationship Id="rId26" Type="http://schemas.openxmlformats.org/officeDocument/2006/relationships/hyperlink" Target="https://www.bloomberglaw.com/product/tax/document/XPV1JOH8" TargetMode="External"/><Relationship Id="rId39" Type="http://schemas.openxmlformats.org/officeDocument/2006/relationships/hyperlink" Target="https://go.bloombergtax.com/product/tax/document/spa/33715399208" TargetMode="External"/><Relationship Id="rId21" Type="http://schemas.openxmlformats.org/officeDocument/2006/relationships/hyperlink" Target="https://www.bloomberglaw.com/product/tax/document/32901622312" TargetMode="External"/><Relationship Id="rId34" Type="http://schemas.openxmlformats.org/officeDocument/2006/relationships/hyperlink" Target="https://go.bloombergtax.com/product/tax/document/spa/XUKHDRH8?bc=W1siRG9jdW1lbnQiLCIvcHJvZHVjdC90YXgvZG9jdW1lbnQvMT9jaXRhdGlvbj1UTSUyMDcxNTIlMjBWSSUyMEwmYW1wO3N1bW1hcnk9eWVzIl1d--f2fd135f382520d6ce985af377f588ae5e0eaccc&amp;jcsearch=TM%25207152%2520VI%2520L" TargetMode="External"/><Relationship Id="rId42" Type="http://schemas.openxmlformats.org/officeDocument/2006/relationships/hyperlink" Target="https://www.bloomberglaw.com/product/tax/document/32901621800" TargetMode="External"/><Relationship Id="rId47" Type="http://schemas.openxmlformats.org/officeDocument/2006/relationships/hyperlink" Target="https://www.bloomberglaw.com/product/tax/document/30405422120" TargetMode="External"/><Relationship Id="rId50" Type="http://schemas.openxmlformats.org/officeDocument/2006/relationships/hyperlink" Target="https://www.bloomberglaw.com/product/tax/document/30405422120" TargetMode="External"/><Relationship Id="rId55" Type="http://schemas.openxmlformats.org/officeDocument/2006/relationships/hyperlink" Target="https://www.bloomberglaw.com/product/tax/document/27885428264"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loomberglaw.com/product/tax/document/32901623336" TargetMode="External"/><Relationship Id="rId29" Type="http://schemas.openxmlformats.org/officeDocument/2006/relationships/hyperlink" Target="https://www.bloomberglaw.com/product/tax/document/XPV1JOH8" TargetMode="External"/><Relationship Id="rId11" Type="http://schemas.openxmlformats.org/officeDocument/2006/relationships/hyperlink" Target="https://www.bloomberglaw.com/product/tax/document/XPV1IUH8" TargetMode="External"/><Relationship Id="rId24" Type="http://schemas.openxmlformats.org/officeDocument/2006/relationships/hyperlink" Target="https://www.bloomberglaw.com/product/tax/document/XPV1JOH8" TargetMode="External"/><Relationship Id="rId32" Type="http://schemas.openxmlformats.org/officeDocument/2006/relationships/hyperlink" Target="https://go.bloombergtax.com/product/tax/document/spa/XPV29SH8" TargetMode="External"/><Relationship Id="rId37" Type="http://schemas.openxmlformats.org/officeDocument/2006/relationships/hyperlink" Target="https://www.bloomberglaw.com/product/tax/document/27885439016" TargetMode="External"/><Relationship Id="rId40" Type="http://schemas.openxmlformats.org/officeDocument/2006/relationships/hyperlink" Target="https://go.bloombergtax.com/product/tax/document/spa/27885429800" TargetMode="External"/><Relationship Id="rId45" Type="http://schemas.openxmlformats.org/officeDocument/2006/relationships/hyperlink" Target="https://www.bloomberglaw.com/product/tax/document/27902691368" TargetMode="External"/><Relationship Id="rId53" Type="http://schemas.openxmlformats.org/officeDocument/2006/relationships/hyperlink" Target="https://www.bloomberglaw.com/product/tax/document/27885412904" TargetMode="External"/><Relationship Id="rId58" Type="http://schemas.openxmlformats.org/officeDocument/2006/relationships/hyperlink" Target="https://www.bloomberglaw.com/product/tax/document/27885420072" TargetMode="External"/><Relationship Id="rId5" Type="http://schemas.openxmlformats.org/officeDocument/2006/relationships/styles" Target="styles.xml"/><Relationship Id="rId61" Type="http://schemas.openxmlformats.org/officeDocument/2006/relationships/header" Target="header1.xml"/><Relationship Id="rId19" Type="http://schemas.openxmlformats.org/officeDocument/2006/relationships/hyperlink" Target="https://www.bloomberglaw.com/product/tax/document/XPV1JOH8" TargetMode="External"/><Relationship Id="rId14" Type="http://schemas.openxmlformats.org/officeDocument/2006/relationships/hyperlink" Target="https://www.bloomberglaw.com/product/tax/document/XPV1JN18" TargetMode="External"/><Relationship Id="rId22" Type="http://schemas.openxmlformats.org/officeDocument/2006/relationships/hyperlink" Target="https://www.bloomberglaw.com/product/tax/search/results/829ef8df02520c766a193fe4fc222f64?bc=W1siU2VhcmNoIFJlc3VsdHMiLCIvcHJvZHVjdC90YXgvc2VhcmNoL3Jlc3VsdHMvZjM0YTczNDc3ODljZmIxMTc1OTJhZWViYzI5YTY1MGM_Y3VyYXRlZD10cnVlIl1d--5485816f816b979eb4572e25f204009f7401cfca" TargetMode="External"/><Relationship Id="rId27" Type="http://schemas.openxmlformats.org/officeDocument/2006/relationships/hyperlink" Target="https://www.bloomberglaw.com/product/tax/bbna/chart/3/10092" TargetMode="External"/><Relationship Id="rId30" Type="http://schemas.openxmlformats.org/officeDocument/2006/relationships/hyperlink" Target="https://www.bloomberglaw.com/product/tax/document/XUKHDRH8" TargetMode="External"/><Relationship Id="rId35" Type="http://schemas.openxmlformats.org/officeDocument/2006/relationships/hyperlink" Target="https://go.bloombergtax.com/product/tax/document/spa/XPV1JOH8" TargetMode="External"/><Relationship Id="rId43" Type="http://schemas.openxmlformats.org/officeDocument/2006/relationships/hyperlink" Target="https://www.bloomberglaw.com/product/tax/document/27885404712" TargetMode="External"/><Relationship Id="rId48" Type="http://schemas.openxmlformats.org/officeDocument/2006/relationships/hyperlink" Target="https://www.bloomberglaw.com/product/tax/document/XPV1JN18" TargetMode="External"/><Relationship Id="rId56" Type="http://schemas.openxmlformats.org/officeDocument/2006/relationships/hyperlink" Target="https://www.bloomberglaw.com/product/tax/document/27885429800" TargetMode="External"/><Relationship Id="rId8" Type="http://schemas.openxmlformats.org/officeDocument/2006/relationships/footnotes" Target="footnotes.xml"/><Relationship Id="rId51" Type="http://schemas.openxmlformats.org/officeDocument/2006/relationships/hyperlink" Target="https://www.bloomberglaw.com/product/tax/document/XPV1IV18" TargetMode="External"/><Relationship Id="rId3" Type="http://schemas.openxmlformats.org/officeDocument/2006/relationships/customXml" Target="../customXml/item3.xml"/><Relationship Id="rId12" Type="http://schemas.openxmlformats.org/officeDocument/2006/relationships/hyperlink" Target="https://www.bloomberglaw.com/product/tax/document/27885428776" TargetMode="External"/><Relationship Id="rId17" Type="http://schemas.openxmlformats.org/officeDocument/2006/relationships/hyperlink" Target="https://www.bloomberglaw.com/product/tax/document/27885428776" TargetMode="External"/><Relationship Id="rId25" Type="http://schemas.openxmlformats.org/officeDocument/2006/relationships/hyperlink" Target="https://www.bloomberglaw.com/product/tax/document/XPV1JOH8" TargetMode="External"/><Relationship Id="rId33" Type="http://schemas.openxmlformats.org/officeDocument/2006/relationships/hyperlink" Target="https://go.bloombergtax.com/product/tax/document/spa/XPV29I18" TargetMode="External"/><Relationship Id="rId38" Type="http://schemas.openxmlformats.org/officeDocument/2006/relationships/hyperlink" Target="https://go.bloombergtax.com/product/tax/document/spa/XVFK0218" TargetMode="External"/><Relationship Id="rId46" Type="http://schemas.openxmlformats.org/officeDocument/2006/relationships/hyperlink" Target="https://www.bloomberglaw.com/product/tax/document/XPV1JIH8" TargetMode="External"/><Relationship Id="rId59" Type="http://schemas.openxmlformats.org/officeDocument/2006/relationships/hyperlink" Target="https://www.bloomberglaw.com/product/tax/document/XPV1JIH8" TargetMode="External"/><Relationship Id="rId20" Type="http://schemas.openxmlformats.org/officeDocument/2006/relationships/hyperlink" Target="https://www.bloomberglaw.com/product/tax/document/30405421608" TargetMode="External"/><Relationship Id="rId41" Type="http://schemas.openxmlformats.org/officeDocument/2006/relationships/hyperlink" Target="https://go.bloombergtax.com/product/tax/document/spa/33715399208" TargetMode="External"/><Relationship Id="rId54" Type="http://schemas.openxmlformats.org/officeDocument/2006/relationships/hyperlink" Target="https://go.bloombergtax.com/product/tax/document/spa/XPV1IV18"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bloomberglaw.com/product/tax/document/XPV1JOH8" TargetMode="External"/><Relationship Id="rId23" Type="http://schemas.openxmlformats.org/officeDocument/2006/relationships/hyperlink" Target="https://www.bloomberglaw.com/product/tax/document/XPV1JOH8" TargetMode="External"/><Relationship Id="rId28" Type="http://schemas.openxmlformats.org/officeDocument/2006/relationships/hyperlink" Target="https://www.bloomberglaw.com/product/tax/document/XPV1JOH8" TargetMode="External"/><Relationship Id="rId36" Type="http://schemas.openxmlformats.org/officeDocument/2006/relationships/hyperlink" Target="https://go.bloombergtax.com/product/tax/document/spa/27885436968" TargetMode="External"/><Relationship Id="rId49" Type="http://schemas.openxmlformats.org/officeDocument/2006/relationships/hyperlink" Target="https://www.bloomberglaw.com/product/tax/document/XPV1JN18" TargetMode="External"/><Relationship Id="rId57" Type="http://schemas.openxmlformats.org/officeDocument/2006/relationships/hyperlink" Target="https://www.bloomberglaw.com/product/tax/document/27885430312" TargetMode="External"/><Relationship Id="rId10" Type="http://schemas.openxmlformats.org/officeDocument/2006/relationships/hyperlink" Target="https://www.ird.gov.hk/eng/welcome.htm" TargetMode="External"/><Relationship Id="rId31" Type="http://schemas.openxmlformats.org/officeDocument/2006/relationships/hyperlink" Target="https://go.bloombergtax.com/product/tax/document/spa/XPV2A5H8" TargetMode="External"/><Relationship Id="rId44" Type="http://schemas.openxmlformats.org/officeDocument/2006/relationships/hyperlink" Target="https://www.bloomberglaw.com/product/tax/document/XPV1J0H8" TargetMode="External"/><Relationship Id="rId52" Type="http://schemas.openxmlformats.org/officeDocument/2006/relationships/hyperlink" Target="https://www.bloomberglaw.com/product/tax/document/XPV1IV18" TargetMode="External"/><Relationship Id="rId60" Type="http://schemas.openxmlformats.org/officeDocument/2006/relationships/hyperlink" Target="https://www.bloomberglaw.com/product/tax/document/XPV1JIH8"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49d4f-8e51-4d4e-9219-a2af429b1568" xsi:nil="true"/>
    <lcf76f155ced4ddcb4097134ff3c332f xmlns="c7bd160f-8f9f-4a57-9297-bc564d29ee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8" ma:contentTypeDescription="Create a new document." ma:contentTypeScope="" ma:versionID="664aeef97708797fa38c8eb7787b31ca">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b588906d300f61a0ffcc0e4d3720f842"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0726A-B284-4EDA-AD18-388449D528FF}">
  <ds:schemaRefs>
    <ds:schemaRef ds:uri="http://schemas.microsoft.com/office/2006/metadata/properties"/>
    <ds:schemaRef ds:uri="http://schemas.microsoft.com/office/infopath/2007/PartnerControls"/>
    <ds:schemaRef ds:uri="http://schemas.microsoft.com/sharepoint/v3"/>
    <ds:schemaRef ds:uri="51449d4f-8e51-4d4e-9219-a2af429b1568"/>
    <ds:schemaRef ds:uri="c7bd160f-8f9f-4a57-9297-bc564d29ee4c"/>
  </ds:schemaRefs>
</ds:datastoreItem>
</file>

<file path=customXml/itemProps2.xml><?xml version="1.0" encoding="utf-8"?>
<ds:datastoreItem xmlns:ds="http://schemas.openxmlformats.org/officeDocument/2006/customXml" ds:itemID="{D8278075-17CA-49CB-90F9-925473C12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49d4f-8e51-4d4e-9219-a2af429b1568"/>
    <ds:schemaRef ds:uri="c7bd160f-8f9f-4a57-9297-bc564d29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E4665-FF2B-4CA0-8A96-3774393AF720}">
  <ds:schemaRefs>
    <ds:schemaRef ds:uri="http://schemas.microsoft.com/sharepoint/v3/contenttype/forms"/>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1754</Words>
  <Characters>10001</Characters>
  <Application>Microsoft Office Word</Application>
  <DocSecurity>4</DocSecurity>
  <Lines>83</Lines>
  <Paragraphs>23</Paragraphs>
  <ScaleCrop>false</ScaleCrop>
  <Company/>
  <LinksUpToDate>false</LinksUpToDate>
  <CharactersWithSpaces>11732</CharactersWithSpaces>
  <SharedDoc>false</SharedDoc>
  <HLinks>
    <vt:vector size="306" baseType="variant">
      <vt:variant>
        <vt:i4>2621508</vt:i4>
      </vt:variant>
      <vt:variant>
        <vt:i4>150</vt:i4>
      </vt:variant>
      <vt:variant>
        <vt:i4>0</vt:i4>
      </vt:variant>
      <vt:variant>
        <vt:i4>5</vt:i4>
      </vt:variant>
      <vt:variant>
        <vt:lpwstr>https://www.bloomberglaw.com/product/tax/document/XPV1JIH8</vt:lpwstr>
      </vt:variant>
      <vt:variant>
        <vt:lpwstr>section(2)_0</vt:lpwstr>
      </vt:variant>
      <vt:variant>
        <vt:i4>2621511</vt:i4>
      </vt:variant>
      <vt:variant>
        <vt:i4>147</vt:i4>
      </vt:variant>
      <vt:variant>
        <vt:i4>0</vt:i4>
      </vt:variant>
      <vt:variant>
        <vt:i4>5</vt:i4>
      </vt:variant>
      <vt:variant>
        <vt:lpwstr>https://www.bloomberglaw.com/product/tax/document/XPV1JIH8</vt:lpwstr>
      </vt:variant>
      <vt:variant>
        <vt:lpwstr>section(1)_0</vt:lpwstr>
      </vt:variant>
      <vt:variant>
        <vt:i4>4915215</vt:i4>
      </vt:variant>
      <vt:variant>
        <vt:i4>144</vt:i4>
      </vt:variant>
      <vt:variant>
        <vt:i4>0</vt:i4>
      </vt:variant>
      <vt:variant>
        <vt:i4>5</vt:i4>
      </vt:variant>
      <vt:variant>
        <vt:lpwstr>https://www.bloomberglaw.com/product/tax/document/27885420072</vt:lpwstr>
      </vt:variant>
      <vt:variant>
        <vt:lpwstr/>
      </vt:variant>
      <vt:variant>
        <vt:i4>5046285</vt:i4>
      </vt:variant>
      <vt:variant>
        <vt:i4>141</vt:i4>
      </vt:variant>
      <vt:variant>
        <vt:i4>0</vt:i4>
      </vt:variant>
      <vt:variant>
        <vt:i4>5</vt:i4>
      </vt:variant>
      <vt:variant>
        <vt:lpwstr>https://www.bloomberglaw.com/product/tax/document/27885430312</vt:lpwstr>
      </vt:variant>
      <vt:variant>
        <vt:lpwstr/>
      </vt:variant>
      <vt:variant>
        <vt:i4>4521991</vt:i4>
      </vt:variant>
      <vt:variant>
        <vt:i4>138</vt:i4>
      </vt:variant>
      <vt:variant>
        <vt:i4>0</vt:i4>
      </vt:variant>
      <vt:variant>
        <vt:i4>5</vt:i4>
      </vt:variant>
      <vt:variant>
        <vt:lpwstr>https://www.bloomberglaw.com/product/tax/document/27885429800</vt:lpwstr>
      </vt:variant>
      <vt:variant>
        <vt:lpwstr/>
      </vt:variant>
      <vt:variant>
        <vt:i4>4325389</vt:i4>
      </vt:variant>
      <vt:variant>
        <vt:i4>135</vt:i4>
      </vt:variant>
      <vt:variant>
        <vt:i4>0</vt:i4>
      </vt:variant>
      <vt:variant>
        <vt:i4>5</vt:i4>
      </vt:variant>
      <vt:variant>
        <vt:lpwstr>https://www.bloomberglaw.com/product/tax/document/27885428264</vt:lpwstr>
      </vt:variant>
      <vt:variant>
        <vt:lpwstr/>
      </vt:variant>
      <vt:variant>
        <vt:i4>458805</vt:i4>
      </vt:variant>
      <vt:variant>
        <vt:i4>132</vt:i4>
      </vt:variant>
      <vt:variant>
        <vt:i4>0</vt:i4>
      </vt:variant>
      <vt:variant>
        <vt:i4>5</vt:i4>
      </vt:variant>
      <vt:variant>
        <vt:lpwstr>https://go.bloombergtax.com/product/tax/document/spa/XPV1IV18</vt:lpwstr>
      </vt:variant>
      <vt:variant>
        <vt:lpwstr>section(4)_0</vt:lpwstr>
      </vt:variant>
      <vt:variant>
        <vt:i4>5111813</vt:i4>
      </vt:variant>
      <vt:variant>
        <vt:i4>129</vt:i4>
      </vt:variant>
      <vt:variant>
        <vt:i4>0</vt:i4>
      </vt:variant>
      <vt:variant>
        <vt:i4>5</vt:i4>
      </vt:variant>
      <vt:variant>
        <vt:lpwstr>https://www.bloomberglaw.com/product/tax/document/27885412904</vt:lpwstr>
      </vt:variant>
      <vt:variant>
        <vt:lpwstr/>
      </vt:variant>
      <vt:variant>
        <vt:i4>3604510</vt:i4>
      </vt:variant>
      <vt:variant>
        <vt:i4>126</vt:i4>
      </vt:variant>
      <vt:variant>
        <vt:i4>0</vt:i4>
      </vt:variant>
      <vt:variant>
        <vt:i4>5</vt:i4>
      </vt:variant>
      <vt:variant>
        <vt:lpwstr>https://www.bloomberglaw.com/product/tax/document/XPV1IV18</vt:lpwstr>
      </vt:variant>
      <vt:variant>
        <vt:lpwstr>section(2)_0</vt:lpwstr>
      </vt:variant>
      <vt:variant>
        <vt:i4>3604500</vt:i4>
      </vt:variant>
      <vt:variant>
        <vt:i4>123</vt:i4>
      </vt:variant>
      <vt:variant>
        <vt:i4>0</vt:i4>
      </vt:variant>
      <vt:variant>
        <vt:i4>5</vt:i4>
      </vt:variant>
      <vt:variant>
        <vt:lpwstr>https://www.bloomberglaw.com/product/tax/document/XPV1IV18</vt:lpwstr>
      </vt:variant>
      <vt:variant>
        <vt:lpwstr>section(8)_0</vt:lpwstr>
      </vt:variant>
      <vt:variant>
        <vt:i4>4390915</vt:i4>
      </vt:variant>
      <vt:variant>
        <vt:i4>120</vt:i4>
      </vt:variant>
      <vt:variant>
        <vt:i4>0</vt:i4>
      </vt:variant>
      <vt:variant>
        <vt:i4>5</vt:i4>
      </vt:variant>
      <vt:variant>
        <vt:lpwstr>https://www.bloomberglaw.com/product/tax/document/30405422120</vt:lpwstr>
      </vt:variant>
      <vt:variant>
        <vt:lpwstr/>
      </vt:variant>
      <vt:variant>
        <vt:i4>3080220</vt:i4>
      </vt:variant>
      <vt:variant>
        <vt:i4>117</vt:i4>
      </vt:variant>
      <vt:variant>
        <vt:i4>0</vt:i4>
      </vt:variant>
      <vt:variant>
        <vt:i4>5</vt:i4>
      </vt:variant>
      <vt:variant>
        <vt:lpwstr>https://www.bloomberglaw.com/product/tax/document/XPV1JN18</vt:lpwstr>
      </vt:variant>
      <vt:variant>
        <vt:lpwstr>section(3)_0</vt:lpwstr>
      </vt:variant>
      <vt:variant>
        <vt:i4>3080214</vt:i4>
      </vt:variant>
      <vt:variant>
        <vt:i4>114</vt:i4>
      </vt:variant>
      <vt:variant>
        <vt:i4>0</vt:i4>
      </vt:variant>
      <vt:variant>
        <vt:i4>5</vt:i4>
      </vt:variant>
      <vt:variant>
        <vt:lpwstr>https://www.bloomberglaw.com/product/tax/document/XPV1JN18</vt:lpwstr>
      </vt:variant>
      <vt:variant>
        <vt:lpwstr>section(9)_0</vt:lpwstr>
      </vt:variant>
      <vt:variant>
        <vt:i4>4390915</vt:i4>
      </vt:variant>
      <vt:variant>
        <vt:i4>111</vt:i4>
      </vt:variant>
      <vt:variant>
        <vt:i4>0</vt:i4>
      </vt:variant>
      <vt:variant>
        <vt:i4>5</vt:i4>
      </vt:variant>
      <vt:variant>
        <vt:lpwstr>https://www.bloomberglaw.com/product/tax/document/30405422120</vt:lpwstr>
      </vt:variant>
      <vt:variant>
        <vt:lpwstr/>
      </vt:variant>
      <vt:variant>
        <vt:i4>2621508</vt:i4>
      </vt:variant>
      <vt:variant>
        <vt:i4>108</vt:i4>
      </vt:variant>
      <vt:variant>
        <vt:i4>0</vt:i4>
      </vt:variant>
      <vt:variant>
        <vt:i4>5</vt:i4>
      </vt:variant>
      <vt:variant>
        <vt:lpwstr>https://www.bloomberglaw.com/product/tax/document/XPV1JIH8</vt:lpwstr>
      </vt:variant>
      <vt:variant>
        <vt:lpwstr>section(2)_0</vt:lpwstr>
      </vt:variant>
      <vt:variant>
        <vt:i4>4259841</vt:i4>
      </vt:variant>
      <vt:variant>
        <vt:i4>105</vt:i4>
      </vt:variant>
      <vt:variant>
        <vt:i4>0</vt:i4>
      </vt:variant>
      <vt:variant>
        <vt:i4>5</vt:i4>
      </vt:variant>
      <vt:variant>
        <vt:lpwstr>https://www.bloomberglaw.com/product/tax/document/27902691368</vt:lpwstr>
      </vt:variant>
      <vt:variant>
        <vt:lpwstr/>
      </vt:variant>
      <vt:variant>
        <vt:i4>7405639</vt:i4>
      </vt:variant>
      <vt:variant>
        <vt:i4>102</vt:i4>
      </vt:variant>
      <vt:variant>
        <vt:i4>0</vt:i4>
      </vt:variant>
      <vt:variant>
        <vt:i4>5</vt:i4>
      </vt:variant>
      <vt:variant>
        <vt:lpwstr>https://www.bloomberglaw.com/product/tax/document/XPV1J0H8</vt:lpwstr>
      </vt:variant>
      <vt:variant>
        <vt:lpwstr>section(1)_0</vt:lpwstr>
      </vt:variant>
      <vt:variant>
        <vt:i4>4784138</vt:i4>
      </vt:variant>
      <vt:variant>
        <vt:i4>99</vt:i4>
      </vt:variant>
      <vt:variant>
        <vt:i4>0</vt:i4>
      </vt:variant>
      <vt:variant>
        <vt:i4>5</vt:i4>
      </vt:variant>
      <vt:variant>
        <vt:lpwstr>https://www.bloomberglaw.com/product/tax/document/27885404712</vt:lpwstr>
      </vt:variant>
      <vt:variant>
        <vt:lpwstr/>
      </vt:variant>
      <vt:variant>
        <vt:i4>4325379</vt:i4>
      </vt:variant>
      <vt:variant>
        <vt:i4>96</vt:i4>
      </vt:variant>
      <vt:variant>
        <vt:i4>0</vt:i4>
      </vt:variant>
      <vt:variant>
        <vt:i4>5</vt:i4>
      </vt:variant>
      <vt:variant>
        <vt:lpwstr>https://www.bloomberglaw.com/product/tax/document/32901621800</vt:lpwstr>
      </vt:variant>
      <vt:variant>
        <vt:lpwstr/>
      </vt:variant>
      <vt:variant>
        <vt:i4>5439548</vt:i4>
      </vt:variant>
      <vt:variant>
        <vt:i4>93</vt:i4>
      </vt:variant>
      <vt:variant>
        <vt:i4>0</vt:i4>
      </vt:variant>
      <vt:variant>
        <vt:i4>5</vt:i4>
      </vt:variant>
      <vt:variant>
        <vt:lpwstr>https://go.bloombergtax.com/product/tax/document/spa/33715399208</vt:lpwstr>
      </vt:variant>
      <vt:variant>
        <vt:lpwstr>section(2)_0</vt:lpwstr>
      </vt:variant>
      <vt:variant>
        <vt:i4>1769548</vt:i4>
      </vt:variant>
      <vt:variant>
        <vt:i4>90</vt:i4>
      </vt:variant>
      <vt:variant>
        <vt:i4>0</vt:i4>
      </vt:variant>
      <vt:variant>
        <vt:i4>5</vt:i4>
      </vt:variant>
      <vt:variant>
        <vt:lpwstr>https://go.bloombergtax.com/product/tax/document/spa/27885429800</vt:lpwstr>
      </vt:variant>
      <vt:variant>
        <vt:lpwstr/>
      </vt:variant>
      <vt:variant>
        <vt:i4>1835078</vt:i4>
      </vt:variant>
      <vt:variant>
        <vt:i4>87</vt:i4>
      </vt:variant>
      <vt:variant>
        <vt:i4>0</vt:i4>
      </vt:variant>
      <vt:variant>
        <vt:i4>5</vt:i4>
      </vt:variant>
      <vt:variant>
        <vt:lpwstr>https://go.bloombergtax.com/product/tax/document/spa/33715399208</vt:lpwstr>
      </vt:variant>
      <vt:variant>
        <vt:lpwstr/>
      </vt:variant>
      <vt:variant>
        <vt:i4>8257650</vt:i4>
      </vt:variant>
      <vt:variant>
        <vt:i4>84</vt:i4>
      </vt:variant>
      <vt:variant>
        <vt:i4>0</vt:i4>
      </vt:variant>
      <vt:variant>
        <vt:i4>5</vt:i4>
      </vt:variant>
      <vt:variant>
        <vt:lpwstr>https://go.bloombergtax.com/product/tax/document/spa/XVFK0218</vt:lpwstr>
      </vt:variant>
      <vt:variant>
        <vt:lpwstr>section(4)</vt:lpwstr>
      </vt:variant>
      <vt:variant>
        <vt:i4>4456462</vt:i4>
      </vt:variant>
      <vt:variant>
        <vt:i4>81</vt:i4>
      </vt:variant>
      <vt:variant>
        <vt:i4>0</vt:i4>
      </vt:variant>
      <vt:variant>
        <vt:i4>5</vt:i4>
      </vt:variant>
      <vt:variant>
        <vt:lpwstr>https://www.bloomberglaw.com/product/tax/document/27885439016</vt:lpwstr>
      </vt:variant>
      <vt:variant>
        <vt:lpwstr/>
      </vt:variant>
      <vt:variant>
        <vt:i4>1245253</vt:i4>
      </vt:variant>
      <vt:variant>
        <vt:i4>78</vt:i4>
      </vt:variant>
      <vt:variant>
        <vt:i4>0</vt:i4>
      </vt:variant>
      <vt:variant>
        <vt:i4>5</vt:i4>
      </vt:variant>
      <vt:variant>
        <vt:lpwstr>https://go.bloombergtax.com/product/tax/document/spa/27885436968</vt:lpwstr>
      </vt:variant>
      <vt:variant>
        <vt:lpwstr/>
      </vt:variant>
      <vt:variant>
        <vt:i4>5832731</vt:i4>
      </vt:variant>
      <vt:variant>
        <vt:i4>75</vt:i4>
      </vt:variant>
      <vt:variant>
        <vt:i4>0</vt:i4>
      </vt:variant>
      <vt:variant>
        <vt:i4>5</vt:i4>
      </vt:variant>
      <vt:variant>
        <vt:lpwstr>https://go.bloombergtax.com/product/tax/document/spa/XPV1JOH8</vt:lpwstr>
      </vt:variant>
      <vt:variant>
        <vt:lpwstr>section(5)(5)(h)</vt:lpwstr>
      </vt:variant>
      <vt:variant>
        <vt:i4>1572941</vt:i4>
      </vt:variant>
      <vt:variant>
        <vt:i4>72</vt:i4>
      </vt:variant>
      <vt:variant>
        <vt:i4>0</vt:i4>
      </vt:variant>
      <vt:variant>
        <vt:i4>5</vt:i4>
      </vt:variant>
      <vt:variant>
        <vt:lpwstr>https://go.bloombergtax.com/product/tax/document/spa/XUKHDRH8?bc=W1siRG9jdW1lbnQiLCIvcHJvZHVjdC90YXgvZG9jdW1lbnQvMT9jaXRhdGlvbj1UTSUyMDcxNTIlMjBWSSUyMEwmYW1wO3N1bW1hcnk9eWVzIl1d--f2fd135f382520d6ce985af377f588ae5e0eaccc&amp;jcsearch=TM%25207152%2520VI%2520L</vt:lpwstr>
      </vt:variant>
      <vt:variant>
        <vt:lpwstr>jcite</vt:lpwstr>
      </vt:variant>
      <vt:variant>
        <vt:i4>6422603</vt:i4>
      </vt:variant>
      <vt:variant>
        <vt:i4>69</vt:i4>
      </vt:variant>
      <vt:variant>
        <vt:i4>0</vt:i4>
      </vt:variant>
      <vt:variant>
        <vt:i4>5</vt:i4>
      </vt:variant>
      <vt:variant>
        <vt:lpwstr>https://go.bloombergtax.com/product/tax/document/spa/XPV29I18</vt:lpwstr>
      </vt:variant>
      <vt:variant>
        <vt:lpwstr>section(4)(4)(c)_0</vt:lpwstr>
      </vt:variant>
      <vt:variant>
        <vt:i4>917555</vt:i4>
      </vt:variant>
      <vt:variant>
        <vt:i4>66</vt:i4>
      </vt:variant>
      <vt:variant>
        <vt:i4>0</vt:i4>
      </vt:variant>
      <vt:variant>
        <vt:i4>5</vt:i4>
      </vt:variant>
      <vt:variant>
        <vt:lpwstr>https://go.bloombergtax.com/product/tax/document/spa/XPV29SH8</vt:lpwstr>
      </vt:variant>
      <vt:variant>
        <vt:lpwstr>section(4)_0</vt:lpwstr>
      </vt:variant>
      <vt:variant>
        <vt:i4>6619158</vt:i4>
      </vt:variant>
      <vt:variant>
        <vt:i4>63</vt:i4>
      </vt:variant>
      <vt:variant>
        <vt:i4>0</vt:i4>
      </vt:variant>
      <vt:variant>
        <vt:i4>5</vt:i4>
      </vt:variant>
      <vt:variant>
        <vt:lpwstr>https://go.bloombergtax.com/product/tax/document/spa/XPV2A5H8</vt:lpwstr>
      </vt:variant>
      <vt:variant>
        <vt:lpwstr>section(2)(2)(d)_0</vt:lpwstr>
      </vt:variant>
      <vt:variant>
        <vt:i4>5898290</vt:i4>
      </vt:variant>
      <vt:variant>
        <vt:i4>60</vt:i4>
      </vt:variant>
      <vt:variant>
        <vt:i4>0</vt:i4>
      </vt:variant>
      <vt:variant>
        <vt:i4>5</vt:i4>
      </vt:variant>
      <vt:variant>
        <vt:lpwstr>https://www.bloomberglaw.com/product/tax/document/XUKHDRH8</vt:lpwstr>
      </vt:variant>
      <vt:variant>
        <vt:lpwstr>section(4)(4)(b)_0</vt:lpwstr>
      </vt:variant>
      <vt:variant>
        <vt:i4>1703979</vt:i4>
      </vt:variant>
      <vt:variant>
        <vt:i4>57</vt:i4>
      </vt:variant>
      <vt:variant>
        <vt:i4>0</vt:i4>
      </vt:variant>
      <vt:variant>
        <vt:i4>5</vt:i4>
      </vt:variant>
      <vt:variant>
        <vt:lpwstr>https://www.bloomberglaw.com/product/tax/document/XPV1JOH8</vt:lpwstr>
      </vt:variant>
      <vt:variant>
        <vt:lpwstr>section(5)(5)(i)_0</vt:lpwstr>
      </vt:variant>
      <vt:variant>
        <vt:i4>7340061</vt:i4>
      </vt:variant>
      <vt:variant>
        <vt:i4>54</vt:i4>
      </vt:variant>
      <vt:variant>
        <vt:i4>0</vt:i4>
      </vt:variant>
      <vt:variant>
        <vt:i4>5</vt:i4>
      </vt:variant>
      <vt:variant>
        <vt:lpwstr>https://www.bloomberglaw.com/product/tax/document/XPV1JOH8</vt:lpwstr>
      </vt:variant>
      <vt:variant>
        <vt:lpwstr>section(5)(5)(h)(5)(h)(1)_0</vt:lpwstr>
      </vt:variant>
      <vt:variant>
        <vt:i4>7078014</vt:i4>
      </vt:variant>
      <vt:variant>
        <vt:i4>51</vt:i4>
      </vt:variant>
      <vt:variant>
        <vt:i4>0</vt:i4>
      </vt:variant>
      <vt:variant>
        <vt:i4>5</vt:i4>
      </vt:variant>
      <vt:variant>
        <vt:lpwstr>https://www.bloomberglaw.com/product/tax/bbna/chart/3/10092</vt:lpwstr>
      </vt:variant>
      <vt:variant>
        <vt:lpwstr/>
      </vt:variant>
      <vt:variant>
        <vt:i4>1572899</vt:i4>
      </vt:variant>
      <vt:variant>
        <vt:i4>48</vt:i4>
      </vt:variant>
      <vt:variant>
        <vt:i4>0</vt:i4>
      </vt:variant>
      <vt:variant>
        <vt:i4>5</vt:i4>
      </vt:variant>
      <vt:variant>
        <vt:lpwstr>https://www.bloomberglaw.com/product/tax/document/XPV1JOH8</vt:lpwstr>
      </vt:variant>
      <vt:variant>
        <vt:lpwstr>section(7)(7)(c)_0</vt:lpwstr>
      </vt:variant>
      <vt:variant>
        <vt:i4>1572899</vt:i4>
      </vt:variant>
      <vt:variant>
        <vt:i4>45</vt:i4>
      </vt:variant>
      <vt:variant>
        <vt:i4>0</vt:i4>
      </vt:variant>
      <vt:variant>
        <vt:i4>5</vt:i4>
      </vt:variant>
      <vt:variant>
        <vt:lpwstr>https://www.bloomberglaw.com/product/tax/document/XPV1JOH8</vt:lpwstr>
      </vt:variant>
      <vt:variant>
        <vt:lpwstr>section(7)(7)(c)_0</vt:lpwstr>
      </vt:variant>
      <vt:variant>
        <vt:i4>1769504</vt:i4>
      </vt:variant>
      <vt:variant>
        <vt:i4>42</vt:i4>
      </vt:variant>
      <vt:variant>
        <vt:i4>0</vt:i4>
      </vt:variant>
      <vt:variant>
        <vt:i4>5</vt:i4>
      </vt:variant>
      <vt:variant>
        <vt:lpwstr>https://www.bloomberglaw.com/product/tax/document/XPV1JOH8</vt:lpwstr>
      </vt:variant>
      <vt:variant>
        <vt:lpwstr>section(4)(4)(c)_0</vt:lpwstr>
      </vt:variant>
      <vt:variant>
        <vt:i4>1572899</vt:i4>
      </vt:variant>
      <vt:variant>
        <vt:i4>39</vt:i4>
      </vt:variant>
      <vt:variant>
        <vt:i4>0</vt:i4>
      </vt:variant>
      <vt:variant>
        <vt:i4>5</vt:i4>
      </vt:variant>
      <vt:variant>
        <vt:lpwstr>https://www.bloomberglaw.com/product/tax/document/XPV1JOH8</vt:lpwstr>
      </vt:variant>
      <vt:variant>
        <vt:lpwstr>section(7)(7)(c)_0</vt:lpwstr>
      </vt:variant>
      <vt:variant>
        <vt:i4>1114237</vt:i4>
      </vt:variant>
      <vt:variant>
        <vt:i4>36</vt:i4>
      </vt:variant>
      <vt:variant>
        <vt:i4>0</vt:i4>
      </vt:variant>
      <vt:variant>
        <vt:i4>5</vt:i4>
      </vt:variant>
      <vt:variant>
        <vt:lpwstr>https://www.bloomberglaw.com/product/tax/search/results/829ef8df02520c766a193fe4fc222f64?bc=W1siU2VhcmNoIFJlc3VsdHMiLCIvcHJvZHVjdC90YXgvc2VhcmNoL3Jlc3VsdHMvZjM0YTczNDc3ODljZmIxMTc1OTJhZWViYzI5YTY1MGM_Y3VyYXRlZD10cnVlIl1d--5485816f816b979eb4572e25f204009f7401cfca</vt:lpwstr>
      </vt:variant>
      <vt:variant>
        <vt:lpwstr/>
      </vt:variant>
      <vt:variant>
        <vt:i4>4194312</vt:i4>
      </vt:variant>
      <vt:variant>
        <vt:i4>33</vt:i4>
      </vt:variant>
      <vt:variant>
        <vt:i4>0</vt:i4>
      </vt:variant>
      <vt:variant>
        <vt:i4>5</vt:i4>
      </vt:variant>
      <vt:variant>
        <vt:lpwstr>https://www.bloomberglaw.com/product/tax/document/32901622312</vt:lpwstr>
      </vt:variant>
      <vt:variant>
        <vt:lpwstr/>
      </vt:variant>
      <vt:variant>
        <vt:i4>4325380</vt:i4>
      </vt:variant>
      <vt:variant>
        <vt:i4>30</vt:i4>
      </vt:variant>
      <vt:variant>
        <vt:i4>0</vt:i4>
      </vt:variant>
      <vt:variant>
        <vt:i4>5</vt:i4>
      </vt:variant>
      <vt:variant>
        <vt:lpwstr>https://www.bloomberglaw.com/product/tax/document/30405421608</vt:lpwstr>
      </vt:variant>
      <vt:variant>
        <vt:lpwstr/>
      </vt:variant>
      <vt:variant>
        <vt:i4>3014724</vt:i4>
      </vt:variant>
      <vt:variant>
        <vt:i4>27</vt:i4>
      </vt:variant>
      <vt:variant>
        <vt:i4>0</vt:i4>
      </vt:variant>
      <vt:variant>
        <vt:i4>5</vt:i4>
      </vt:variant>
      <vt:variant>
        <vt:lpwstr>https://www.bloomberglaw.com/product/tax/document/XPV1JOH8</vt:lpwstr>
      </vt:variant>
      <vt:variant>
        <vt:lpwstr>section(2)_0</vt:lpwstr>
      </vt:variant>
      <vt:variant>
        <vt:i4>4718605</vt:i4>
      </vt:variant>
      <vt:variant>
        <vt:i4>24</vt:i4>
      </vt:variant>
      <vt:variant>
        <vt:i4>0</vt:i4>
      </vt:variant>
      <vt:variant>
        <vt:i4>5</vt:i4>
      </vt:variant>
      <vt:variant>
        <vt:lpwstr>https://www.bloomberglaw.com/product/tax/document/27885432360</vt:lpwstr>
      </vt:variant>
      <vt:variant>
        <vt:lpwstr/>
      </vt:variant>
      <vt:variant>
        <vt:i4>4390920</vt:i4>
      </vt:variant>
      <vt:variant>
        <vt:i4>21</vt:i4>
      </vt:variant>
      <vt:variant>
        <vt:i4>0</vt:i4>
      </vt:variant>
      <vt:variant>
        <vt:i4>5</vt:i4>
      </vt:variant>
      <vt:variant>
        <vt:lpwstr>https://www.bloomberglaw.com/product/tax/document/27885428776</vt:lpwstr>
      </vt:variant>
      <vt:variant>
        <vt:lpwstr/>
      </vt:variant>
      <vt:variant>
        <vt:i4>4390920</vt:i4>
      </vt:variant>
      <vt:variant>
        <vt:i4>18</vt:i4>
      </vt:variant>
      <vt:variant>
        <vt:i4>0</vt:i4>
      </vt:variant>
      <vt:variant>
        <vt:i4>5</vt:i4>
      </vt:variant>
      <vt:variant>
        <vt:lpwstr>https://www.bloomberglaw.com/product/tax/document/32901623336</vt:lpwstr>
      </vt:variant>
      <vt:variant>
        <vt:lpwstr/>
      </vt:variant>
      <vt:variant>
        <vt:i4>3014727</vt:i4>
      </vt:variant>
      <vt:variant>
        <vt:i4>15</vt:i4>
      </vt:variant>
      <vt:variant>
        <vt:i4>0</vt:i4>
      </vt:variant>
      <vt:variant>
        <vt:i4>5</vt:i4>
      </vt:variant>
      <vt:variant>
        <vt:lpwstr>https://www.bloomberglaw.com/product/tax/document/XPV1JOH8</vt:lpwstr>
      </vt:variant>
      <vt:variant>
        <vt:lpwstr>section(1)_0</vt:lpwstr>
      </vt:variant>
      <vt:variant>
        <vt:i4>3080222</vt:i4>
      </vt:variant>
      <vt:variant>
        <vt:i4>12</vt:i4>
      </vt:variant>
      <vt:variant>
        <vt:i4>0</vt:i4>
      </vt:variant>
      <vt:variant>
        <vt:i4>5</vt:i4>
      </vt:variant>
      <vt:variant>
        <vt:lpwstr>https://www.bloomberglaw.com/product/tax/document/XPV1JN18</vt:lpwstr>
      </vt:variant>
      <vt:variant>
        <vt:lpwstr>section(1)_0</vt:lpwstr>
      </vt:variant>
      <vt:variant>
        <vt:i4>3080263</vt:i4>
      </vt:variant>
      <vt:variant>
        <vt:i4>9</vt:i4>
      </vt:variant>
      <vt:variant>
        <vt:i4>0</vt:i4>
      </vt:variant>
      <vt:variant>
        <vt:i4>5</vt:i4>
      </vt:variant>
      <vt:variant>
        <vt:lpwstr>https://www.bloomberglaw.com/product/tax/document/XPV1JNH8</vt:lpwstr>
      </vt:variant>
      <vt:variant>
        <vt:lpwstr>section(1)_0</vt:lpwstr>
      </vt:variant>
      <vt:variant>
        <vt:i4>4390920</vt:i4>
      </vt:variant>
      <vt:variant>
        <vt:i4>6</vt:i4>
      </vt:variant>
      <vt:variant>
        <vt:i4>0</vt:i4>
      </vt:variant>
      <vt:variant>
        <vt:i4>5</vt:i4>
      </vt:variant>
      <vt:variant>
        <vt:lpwstr>https://www.bloomberglaw.com/product/tax/document/27885428776</vt:lpwstr>
      </vt:variant>
      <vt:variant>
        <vt:lpwstr/>
      </vt:variant>
      <vt:variant>
        <vt:i4>3407940</vt:i4>
      </vt:variant>
      <vt:variant>
        <vt:i4>3</vt:i4>
      </vt:variant>
      <vt:variant>
        <vt:i4>0</vt:i4>
      </vt:variant>
      <vt:variant>
        <vt:i4>5</vt:i4>
      </vt:variant>
      <vt:variant>
        <vt:lpwstr>https://www.bloomberglaw.com/product/tax/document/XPV1IUH8</vt:lpwstr>
      </vt:variant>
      <vt:variant>
        <vt:lpwstr>section(1)_0</vt:lpwstr>
      </vt:variant>
      <vt:variant>
        <vt:i4>2621547</vt:i4>
      </vt:variant>
      <vt:variant>
        <vt:i4>0</vt:i4>
      </vt:variant>
      <vt:variant>
        <vt:i4>0</vt:i4>
      </vt:variant>
      <vt:variant>
        <vt:i4>5</vt:i4>
      </vt:variant>
      <vt:variant>
        <vt:lpwstr>https://www.ird.gov.hk/eng/welcome.htm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Menezes, Maria</dc:creator>
  <cp:keywords/>
  <cp:lastModifiedBy>Tanevski, Tome</cp:lastModifiedBy>
  <cp:revision>21</cp:revision>
  <dcterms:created xsi:type="dcterms:W3CDTF">2025-09-03T23:32:00Z</dcterms:created>
  <dcterms:modified xsi:type="dcterms:W3CDTF">2025-09-04T08:17:00Z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0x01010074045C6645180C49B5F3BF356B510BE9</vt:lpwstr>
  </property>
  <property fmtid="{D5CDD505-2E9C-101B-9397-08002B2CF9AE}" pid="3" name="MediaServiceImageTags">
    <vt:lpwstr/>
  </property>
</Properties>
</file>