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847" w:tblpY="1"/>
        <w:tblW w:w="13770" w:type="dxa"/>
        <w:tblInd w:w="0" w:type="dxa"/>
        <w:tblLook w:val="04A0" w:firstRow="1" w:lastRow="0" w:firstColumn="1" w:lastColumn="0" w:noHBand="0" w:noVBand="1"/>
      </w:tblPr>
      <w:tblGrid>
        <w:gridCol w:w="3960"/>
        <w:gridCol w:w="5850"/>
        <w:gridCol w:w="3960"/>
      </w:tblGrid>
      <w:tr w:rsidR="00246F15" w14:paraId="549B462E" w14:textId="77777777" w:rsidTr="00246F15">
        <w:tc>
          <w:tcPr>
            <w:tcW w:w="3960" w:type="dxa"/>
            <w:tcBorders>
              <w:right w:val="nil"/>
            </w:tcBorders>
            <w:shd w:val="clear" w:color="auto" w:fill="8EAADB" w:themeFill="accent1" w:themeFillTint="99"/>
            <w:hideMark/>
          </w:tcPr>
          <w:p w14:paraId="4B0245C6" w14:textId="77777777" w:rsidR="00246F15" w:rsidRPr="00C576E7" w:rsidRDefault="00246F15" w:rsidP="00246F15">
            <w:pPr>
              <w:spacing w:before="120" w:after="120"/>
              <w:rPr>
                <w:rFonts w:cs="Aptos"/>
                <w:b/>
                <w:bCs/>
                <w:color w:val="FFFFFF" w:themeColor="background1"/>
              </w:rPr>
            </w:pPr>
            <w:r w:rsidRPr="00C576E7">
              <w:rPr>
                <w:rFonts w:cs="Aptos"/>
                <w:b/>
                <w:bCs/>
                <w:color w:val="FFFFFF" w:themeColor="background1"/>
                <w:sz w:val="28"/>
                <w:szCs w:val="28"/>
              </w:rPr>
              <w:t>Characteristics</w:t>
            </w:r>
          </w:p>
        </w:tc>
        <w:tc>
          <w:tcPr>
            <w:tcW w:w="9810" w:type="dxa"/>
            <w:gridSpan w:val="2"/>
            <w:tcBorders>
              <w:right w:val="nil"/>
            </w:tcBorders>
            <w:shd w:val="clear" w:color="auto" w:fill="8EAADB" w:themeFill="accent1" w:themeFillTint="99"/>
          </w:tcPr>
          <w:p w14:paraId="313B8CF4" w14:textId="77777777" w:rsidR="00246F15" w:rsidRPr="00C576E7" w:rsidRDefault="00246F15" w:rsidP="00246F15">
            <w:pPr>
              <w:spacing w:before="120" w:after="120"/>
              <w:rPr>
                <w:rFonts w:cs="Aptos"/>
                <w:b/>
                <w:bCs/>
                <w:color w:val="FFFFFF" w:themeColor="background1"/>
              </w:rPr>
            </w:pPr>
            <w:r w:rsidRPr="00C576E7">
              <w:rPr>
                <w:rFonts w:cs="Aptos"/>
                <w:b/>
                <w:bCs/>
                <w:color w:val="FFFFFF" w:themeColor="background1"/>
                <w:sz w:val="28"/>
                <w:szCs w:val="28"/>
              </w:rPr>
              <w:t>Portfolio Content</w:t>
            </w:r>
          </w:p>
        </w:tc>
      </w:tr>
      <w:tr w:rsidR="004E1781" w14:paraId="2A730AE3" w14:textId="77777777" w:rsidTr="00972C4F">
        <w:tc>
          <w:tcPr>
            <w:tcW w:w="13770" w:type="dxa"/>
            <w:gridSpan w:val="3"/>
            <w:shd w:val="clear" w:color="auto" w:fill="A6A6A6" w:themeFill="background1" w:themeFillShade="A6"/>
          </w:tcPr>
          <w:p w14:paraId="63E02EDF" w14:textId="77777777" w:rsidR="004E1781" w:rsidRPr="00ED2F2C" w:rsidRDefault="004E1781" w:rsidP="00BF1894">
            <w:pPr>
              <w:spacing w:before="120" w:after="120"/>
              <w:jc w:val="both"/>
              <w:rPr>
                <w:rFonts w:cs="Aptos"/>
                <w:b/>
                <w:bCs/>
                <w:color w:val="FFFFFF" w:themeColor="background1"/>
                <w:sz w:val="28"/>
                <w:szCs w:val="28"/>
              </w:rPr>
            </w:pPr>
            <w:r w:rsidRPr="00ED2F2C">
              <w:rPr>
                <w:rFonts w:cs="Aptos"/>
                <w:b/>
                <w:bCs/>
                <w:color w:val="FFFFFF" w:themeColor="background1"/>
                <w:sz w:val="28"/>
                <w:szCs w:val="28"/>
              </w:rPr>
              <w:t>General</w:t>
            </w:r>
          </w:p>
        </w:tc>
      </w:tr>
      <w:tr w:rsidR="004E1781" w14:paraId="39DF7D40" w14:textId="77777777" w:rsidTr="00BF1894">
        <w:tc>
          <w:tcPr>
            <w:tcW w:w="3960" w:type="dxa"/>
          </w:tcPr>
          <w:p w14:paraId="1A757332" w14:textId="77777777" w:rsidR="004E1781" w:rsidRPr="000E6EDF" w:rsidRDefault="004E1781" w:rsidP="00BF1894">
            <w:pPr>
              <w:jc w:val="both"/>
              <w:rPr>
                <w:rFonts w:cs="Aptos"/>
                <w:color w:val="333333"/>
              </w:rPr>
            </w:pPr>
            <w:r w:rsidRPr="000E6EDF">
              <w:rPr>
                <w:rFonts w:cs="Aptos"/>
                <w:color w:val="333333"/>
              </w:rPr>
              <w:t>Revenue authority</w:t>
            </w:r>
          </w:p>
        </w:tc>
        <w:tc>
          <w:tcPr>
            <w:tcW w:w="9810" w:type="dxa"/>
            <w:gridSpan w:val="2"/>
          </w:tcPr>
          <w:p w14:paraId="26D0F8A4" w14:textId="77777777" w:rsidR="004E1781" w:rsidRPr="000E6EDF" w:rsidRDefault="00466804" w:rsidP="00BF1894">
            <w:pPr>
              <w:jc w:val="both"/>
              <w:rPr>
                <w:rFonts w:cs="Aptos"/>
              </w:rPr>
            </w:pPr>
            <w:hyperlink r:id="rId11" w:history="1">
              <w:r w:rsidR="008A0FCF" w:rsidRPr="000E6EDF">
                <w:rPr>
                  <w:rStyle w:val="Hyperlink"/>
                  <w:rFonts w:cs="Aptos"/>
                </w:rPr>
                <w:t>The Federal Revenue Secretariat (RFB)</w:t>
              </w:r>
            </w:hyperlink>
            <w:r w:rsidR="004E1781" w:rsidRPr="000E6EDF">
              <w:rPr>
                <w:rFonts w:cs="Aptos"/>
              </w:rPr>
              <w:t xml:space="preserve">  </w:t>
            </w:r>
          </w:p>
        </w:tc>
      </w:tr>
      <w:tr w:rsidR="004E1781" w14:paraId="1D777022" w14:textId="77777777" w:rsidTr="00BF1894">
        <w:tc>
          <w:tcPr>
            <w:tcW w:w="3960" w:type="dxa"/>
            <w:hideMark/>
          </w:tcPr>
          <w:p w14:paraId="4DD4D9A4" w14:textId="77777777" w:rsidR="004E1781" w:rsidRPr="000E6EDF" w:rsidRDefault="004E1781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  <w:color w:val="333333"/>
              </w:rPr>
              <w:t xml:space="preserve">Type of tax system </w:t>
            </w:r>
          </w:p>
        </w:tc>
        <w:tc>
          <w:tcPr>
            <w:tcW w:w="9810" w:type="dxa"/>
            <w:gridSpan w:val="2"/>
            <w:hideMark/>
          </w:tcPr>
          <w:p w14:paraId="79AE36CD" w14:textId="77777777" w:rsidR="004E1781" w:rsidRPr="000E6EDF" w:rsidRDefault="004E1781" w:rsidP="00BF1894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>Residents: Worldwide system. (</w:t>
            </w:r>
            <w:r w:rsidR="00054751">
              <w:rPr>
                <w:rFonts w:cs="Aptos"/>
                <w:u w:val="single"/>
              </w:rPr>
              <w:t>Corporations:</w:t>
            </w:r>
            <w:r w:rsidR="00054751" w:rsidRPr="00A440EC">
              <w:rPr>
                <w:rFonts w:cs="Aptos"/>
              </w:rPr>
              <w:t xml:space="preserve"> </w:t>
            </w:r>
            <w:hyperlink r:id="rId12" w:anchor="section(2)_0" w:history="1">
              <w:r w:rsidRPr="000E6EDF">
                <w:rPr>
                  <w:rStyle w:val="Hyperlink"/>
                  <w:rFonts w:cs="Aptos"/>
                </w:rPr>
                <w:t>Section V.</w:t>
              </w:r>
              <w:r w:rsidR="008A0FCF" w:rsidRPr="000E6EDF">
                <w:rPr>
                  <w:rStyle w:val="Hyperlink"/>
                  <w:rFonts w:cs="Aptos"/>
                </w:rPr>
                <w:t>C</w:t>
              </w:r>
              <w:r w:rsidRPr="000E6EDF">
                <w:rPr>
                  <w:rStyle w:val="Hyperlink"/>
                  <w:rFonts w:cs="Aptos"/>
                </w:rPr>
                <w:t>.</w:t>
              </w:r>
              <w:r w:rsidR="008A0FCF" w:rsidRPr="000E6EDF">
                <w:rPr>
                  <w:rStyle w:val="Hyperlink"/>
                  <w:rFonts w:cs="Aptos"/>
                </w:rPr>
                <w:t>2</w:t>
              </w:r>
              <w:r w:rsidRPr="000E6EDF">
                <w:rPr>
                  <w:rStyle w:val="Hyperlink"/>
                  <w:rFonts w:cs="Aptos"/>
                </w:rPr>
                <w:t>.</w:t>
              </w:r>
            </w:hyperlink>
            <w:r w:rsidR="00054751">
              <w:rPr>
                <w:rStyle w:val="Hyperlink"/>
                <w:rFonts w:cs="Aptos"/>
              </w:rPr>
              <w:t>;</w:t>
            </w:r>
            <w:r w:rsidR="00054751" w:rsidRPr="00A440EC">
              <w:rPr>
                <w:rStyle w:val="Hyperlink"/>
                <w:rFonts w:cs="Aptos"/>
                <w:u w:val="none"/>
              </w:rPr>
              <w:t xml:space="preserve"> </w:t>
            </w:r>
            <w:r w:rsidR="00054751" w:rsidRPr="00A440EC">
              <w:rPr>
                <w:u w:val="single"/>
              </w:rPr>
              <w:t>Individuals:</w:t>
            </w:r>
            <w:r w:rsidR="00054751">
              <w:rPr>
                <w:rStyle w:val="Hyperlink"/>
                <w:rFonts w:cs="Aptos"/>
                <w:u w:val="none"/>
              </w:rPr>
              <w:t xml:space="preserve"> </w:t>
            </w:r>
            <w:hyperlink r:id="rId13" w:history="1">
              <w:r w:rsidR="00054751" w:rsidRPr="00054751">
                <w:rPr>
                  <w:rStyle w:val="Hyperlink"/>
                  <w:rFonts w:cs="Aptos"/>
                </w:rPr>
                <w:t>Section IX</w:t>
              </w:r>
            </w:hyperlink>
            <w:r w:rsidR="00054751">
              <w:rPr>
                <w:rStyle w:val="Hyperlink"/>
                <w:rFonts w:cs="Aptos"/>
                <w:u w:val="none"/>
              </w:rPr>
              <w:t>.</w:t>
            </w:r>
            <w:r w:rsidRPr="000E6EDF">
              <w:rPr>
                <w:rFonts w:cs="Aptos"/>
              </w:rPr>
              <w:t>)</w:t>
            </w:r>
          </w:p>
          <w:p w14:paraId="2B794897" w14:textId="77777777" w:rsidR="004E1781" w:rsidRPr="000E6EDF" w:rsidRDefault="004E1781" w:rsidP="00BF1894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 xml:space="preserve">Non-residents: </w:t>
            </w:r>
            <w:r w:rsidR="008A0FCF" w:rsidRPr="000E6EDF">
              <w:rPr>
                <w:rFonts w:cs="Aptos"/>
              </w:rPr>
              <w:t>Brazilian</w:t>
            </w:r>
            <w:r w:rsidR="00A20455" w:rsidRPr="000E6EDF">
              <w:rPr>
                <w:rFonts w:cs="Aptos"/>
              </w:rPr>
              <w:t>-</w:t>
            </w:r>
            <w:r w:rsidRPr="000E6EDF">
              <w:rPr>
                <w:rFonts w:cs="Aptos"/>
              </w:rPr>
              <w:t>source income. (</w:t>
            </w:r>
            <w:r w:rsidR="00054751">
              <w:rPr>
                <w:rFonts w:cs="Aptos"/>
                <w:u w:val="single"/>
              </w:rPr>
              <w:t xml:space="preserve">Corporations: </w:t>
            </w:r>
            <w:hyperlink r:id="rId14" w:history="1">
              <w:r w:rsidRPr="000E6EDF">
                <w:rPr>
                  <w:rStyle w:val="Hyperlink"/>
                  <w:rFonts w:cs="Aptos"/>
                </w:rPr>
                <w:t>Section VI.A.</w:t>
              </w:r>
            </w:hyperlink>
            <w:r w:rsidR="00054751">
              <w:rPr>
                <w:rFonts w:cs="Aptos"/>
              </w:rPr>
              <w:t xml:space="preserve">; </w:t>
            </w:r>
            <w:r w:rsidR="00054751" w:rsidRPr="00A440EC">
              <w:rPr>
                <w:rFonts w:cs="Aptos"/>
                <w:u w:val="single"/>
              </w:rPr>
              <w:t>Individuals</w:t>
            </w:r>
            <w:r w:rsidR="00054751">
              <w:rPr>
                <w:rFonts w:cs="Aptos"/>
                <w:u w:val="single"/>
              </w:rPr>
              <w:t>:</w:t>
            </w:r>
            <w:r w:rsidR="00054751">
              <w:rPr>
                <w:rFonts w:cs="Aptos"/>
              </w:rPr>
              <w:t xml:space="preserve"> </w:t>
            </w:r>
            <w:hyperlink r:id="rId15" w:history="1">
              <w:r w:rsidR="00054751" w:rsidRPr="00054751">
                <w:rPr>
                  <w:rStyle w:val="Hyperlink"/>
                  <w:rFonts w:cs="Aptos"/>
                </w:rPr>
                <w:t>Section X.</w:t>
              </w:r>
            </w:hyperlink>
            <w:r w:rsidR="00054751">
              <w:rPr>
                <w:rFonts w:cs="Aptos"/>
              </w:rPr>
              <w:t>)</w:t>
            </w:r>
            <w:r w:rsidR="004E5DB6" w:rsidRPr="000E6EDF">
              <w:rPr>
                <w:rFonts w:cs="Aptos"/>
              </w:rPr>
              <w:t xml:space="preserve"> </w:t>
            </w:r>
          </w:p>
          <w:p w14:paraId="66E294E8" w14:textId="77777777" w:rsidR="004E1781" w:rsidRPr="000E6EDF" w:rsidRDefault="004E1781" w:rsidP="00BF1894">
            <w:pPr>
              <w:pStyle w:val="ListParagraph"/>
              <w:spacing w:line="240" w:lineRule="auto"/>
              <w:jc w:val="both"/>
              <w:rPr>
                <w:rFonts w:cs="Aptos"/>
              </w:rPr>
            </w:pPr>
          </w:p>
        </w:tc>
      </w:tr>
      <w:tr w:rsidR="00802C69" w14:paraId="233545B3" w14:textId="77777777" w:rsidTr="00BF1894">
        <w:tc>
          <w:tcPr>
            <w:tcW w:w="3960" w:type="dxa"/>
          </w:tcPr>
          <w:p w14:paraId="0A1598C1" w14:textId="77777777" w:rsidR="00802C69" w:rsidRPr="000E6EDF" w:rsidRDefault="00054751" w:rsidP="00BF1894">
            <w:pPr>
              <w:jc w:val="both"/>
              <w:rPr>
                <w:rFonts w:cs="Aptos"/>
                <w:color w:val="333333"/>
              </w:rPr>
            </w:pPr>
            <w:r>
              <w:rPr>
                <w:rFonts w:cs="Aptos"/>
                <w:color w:val="333333"/>
              </w:rPr>
              <w:t>R</w:t>
            </w:r>
            <w:r w:rsidR="001F7F31" w:rsidRPr="000E6EDF">
              <w:rPr>
                <w:rFonts w:cs="Aptos"/>
                <w:color w:val="333333"/>
              </w:rPr>
              <w:t>esidence</w:t>
            </w:r>
            <w:r w:rsidR="00C77180" w:rsidRPr="000E6EDF">
              <w:rPr>
                <w:rFonts w:cs="Aptos"/>
                <w:color w:val="333333"/>
              </w:rPr>
              <w:t xml:space="preserve"> </w:t>
            </w:r>
          </w:p>
        </w:tc>
        <w:tc>
          <w:tcPr>
            <w:tcW w:w="9810" w:type="dxa"/>
            <w:gridSpan w:val="2"/>
          </w:tcPr>
          <w:p w14:paraId="7991D3C4" w14:textId="77777777" w:rsidR="008C2BF6" w:rsidRPr="000E6EDF" w:rsidRDefault="0000379C" w:rsidP="00BF1894">
            <w:pPr>
              <w:jc w:val="both"/>
              <w:rPr>
                <w:rFonts w:cs="Aptos"/>
              </w:rPr>
            </w:pPr>
            <w:r>
              <w:rPr>
                <w:rFonts w:cs="Aptos"/>
              </w:rPr>
              <w:t xml:space="preserve">Corporations: </w:t>
            </w:r>
            <w:r w:rsidR="008C2BF6" w:rsidRPr="000E6EDF">
              <w:rPr>
                <w:rFonts w:cs="Aptos"/>
              </w:rPr>
              <w:t xml:space="preserve">A company </w:t>
            </w:r>
            <w:r w:rsidR="00A20455" w:rsidRPr="000E6EDF">
              <w:rPr>
                <w:rFonts w:cs="Aptos"/>
              </w:rPr>
              <w:t>i</w:t>
            </w:r>
            <w:r w:rsidR="008C2BF6" w:rsidRPr="000E6EDF">
              <w:rPr>
                <w:rFonts w:cs="Aptos"/>
              </w:rPr>
              <w:t xml:space="preserve">s tax resident in </w:t>
            </w:r>
            <w:r w:rsidR="008A0FCF" w:rsidRPr="000E6EDF">
              <w:rPr>
                <w:rFonts w:cs="Aptos"/>
              </w:rPr>
              <w:t>Brazil</w:t>
            </w:r>
            <w:r w:rsidR="008C2BF6" w:rsidRPr="000E6EDF">
              <w:rPr>
                <w:rFonts w:cs="Aptos"/>
              </w:rPr>
              <w:t xml:space="preserve"> if:</w:t>
            </w:r>
          </w:p>
          <w:p w14:paraId="6A75F41F" w14:textId="77777777" w:rsidR="008C2BF6" w:rsidRPr="000E6EDF" w:rsidRDefault="008C2BF6" w:rsidP="00BF1894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 xml:space="preserve">It is incorporated </w:t>
            </w:r>
            <w:r w:rsidR="008A0FCF" w:rsidRPr="000E6EDF">
              <w:rPr>
                <w:rFonts w:cs="Aptos"/>
              </w:rPr>
              <w:t>under Brazilian law</w:t>
            </w:r>
            <w:r w:rsidRPr="000E6EDF">
              <w:rPr>
                <w:rFonts w:cs="Aptos"/>
              </w:rPr>
              <w:t>; or</w:t>
            </w:r>
          </w:p>
          <w:p w14:paraId="4A233515" w14:textId="77777777" w:rsidR="008C2BF6" w:rsidRPr="00AE5374" w:rsidRDefault="008A0FCF" w:rsidP="00C73F11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cs="Aptos"/>
              </w:rPr>
            </w:pPr>
            <w:r w:rsidRPr="00AE5374">
              <w:rPr>
                <w:rFonts w:cs="Aptos"/>
              </w:rPr>
              <w:t xml:space="preserve">It opts </w:t>
            </w:r>
            <w:r w:rsidR="004B5AD4">
              <w:rPr>
                <w:rFonts w:cs="Aptos"/>
              </w:rPr>
              <w:t>to</w:t>
            </w:r>
            <w:r w:rsidRPr="00AE5374">
              <w:rPr>
                <w:rFonts w:cs="Aptos"/>
              </w:rPr>
              <w:t xml:space="preserve"> register its corporate headquarters in Brazil</w:t>
            </w:r>
            <w:r w:rsidR="008C2BF6" w:rsidRPr="00AE5374">
              <w:rPr>
                <w:rFonts w:cs="Aptos"/>
              </w:rPr>
              <w:t>.</w:t>
            </w:r>
            <w:r w:rsidR="00AE5374" w:rsidRPr="00AE5374">
              <w:rPr>
                <w:rFonts w:cs="Aptos"/>
              </w:rPr>
              <w:t xml:space="preserve"> </w:t>
            </w:r>
            <w:r w:rsidR="008C2BF6" w:rsidRPr="00AE5374">
              <w:rPr>
                <w:rFonts w:cs="Aptos"/>
              </w:rPr>
              <w:t>(</w:t>
            </w:r>
            <w:hyperlink r:id="rId16" w:history="1">
              <w:r w:rsidRPr="00AE5374">
                <w:rPr>
                  <w:rStyle w:val="Hyperlink"/>
                  <w:rFonts w:cs="Aptos"/>
                </w:rPr>
                <w:t>Section V.</w:t>
              </w:r>
              <w:r w:rsidR="00090030" w:rsidRPr="00AE5374">
                <w:rPr>
                  <w:rStyle w:val="Hyperlink"/>
                  <w:rFonts w:cs="Aptos"/>
                </w:rPr>
                <w:t>C</w:t>
              </w:r>
              <w:r w:rsidRPr="00AE5374">
                <w:rPr>
                  <w:rStyle w:val="Hyperlink"/>
                  <w:rFonts w:cs="Aptos"/>
                </w:rPr>
                <w:t>.</w:t>
              </w:r>
              <w:r w:rsidR="00090030" w:rsidRPr="00AE5374">
                <w:rPr>
                  <w:rStyle w:val="Hyperlink"/>
                  <w:rFonts w:cs="Aptos"/>
                </w:rPr>
                <w:t>1.</w:t>
              </w:r>
            </w:hyperlink>
            <w:r w:rsidR="00E22101" w:rsidRPr="00AE5374">
              <w:rPr>
                <w:rFonts w:cs="Aptos"/>
              </w:rPr>
              <w:t>)</w:t>
            </w:r>
          </w:p>
          <w:p w14:paraId="43B84F14" w14:textId="77777777" w:rsidR="00054751" w:rsidRPr="00054751" w:rsidRDefault="00054751" w:rsidP="00054751">
            <w:pPr>
              <w:jc w:val="both"/>
              <w:rPr>
                <w:rFonts w:cs="Aptos"/>
              </w:rPr>
            </w:pPr>
            <w:r>
              <w:rPr>
                <w:rFonts w:cs="Aptos"/>
              </w:rPr>
              <w:t xml:space="preserve">Individuals: </w:t>
            </w:r>
            <w:r w:rsidRPr="00054751">
              <w:rPr>
                <w:rFonts w:cs="Aptos"/>
              </w:rPr>
              <w:t xml:space="preserve">An individual is tax resident in </w:t>
            </w:r>
            <w:r>
              <w:rPr>
                <w:rFonts w:cs="Aptos"/>
              </w:rPr>
              <w:t>Brazil</w:t>
            </w:r>
            <w:r w:rsidRPr="00054751">
              <w:rPr>
                <w:rFonts w:cs="Aptos"/>
              </w:rPr>
              <w:t xml:space="preserve"> if</w:t>
            </w:r>
            <w:r w:rsidR="007B430A">
              <w:rPr>
                <w:rFonts w:cs="Aptos"/>
              </w:rPr>
              <w:t xml:space="preserve"> he or she</w:t>
            </w:r>
            <w:r w:rsidRPr="00054751">
              <w:rPr>
                <w:rFonts w:cs="Aptos"/>
              </w:rPr>
              <w:t>:</w:t>
            </w:r>
          </w:p>
          <w:p w14:paraId="10BE940D" w14:textId="77777777" w:rsidR="00054751" w:rsidRPr="00054751" w:rsidRDefault="00054751" w:rsidP="00054751">
            <w:pPr>
              <w:ind w:left="421"/>
              <w:jc w:val="both"/>
              <w:rPr>
                <w:rFonts w:cs="Aptos"/>
              </w:rPr>
            </w:pPr>
            <w:r w:rsidRPr="00054751">
              <w:rPr>
                <w:rFonts w:cs="Aptos"/>
              </w:rPr>
              <w:t>•</w:t>
            </w:r>
            <w:r w:rsidRPr="00054751">
              <w:rPr>
                <w:rFonts w:cs="Aptos"/>
              </w:rPr>
              <w:tab/>
            </w:r>
            <w:r w:rsidR="007B430A">
              <w:rPr>
                <w:rFonts w:cs="Aptos"/>
              </w:rPr>
              <w:t>I</w:t>
            </w:r>
            <w:r w:rsidRPr="00054751">
              <w:rPr>
                <w:rFonts w:cs="Aptos"/>
              </w:rPr>
              <w:t xml:space="preserve">s domiciled in </w:t>
            </w:r>
            <w:proofErr w:type="gramStart"/>
            <w:r>
              <w:rPr>
                <w:rFonts w:cs="Aptos"/>
              </w:rPr>
              <w:t>Brazil</w:t>
            </w:r>
            <w:r w:rsidRPr="00054751">
              <w:rPr>
                <w:rFonts w:cs="Aptos"/>
              </w:rPr>
              <w:t>;</w:t>
            </w:r>
            <w:proofErr w:type="gramEnd"/>
          </w:p>
          <w:p w14:paraId="7A426BC5" w14:textId="77777777" w:rsidR="00054751" w:rsidRDefault="00054751" w:rsidP="00A440EC">
            <w:pPr>
              <w:ind w:left="691" w:hanging="270"/>
              <w:jc w:val="both"/>
              <w:rPr>
                <w:rFonts w:cs="Aptos"/>
              </w:rPr>
            </w:pPr>
            <w:r w:rsidRPr="00054751">
              <w:rPr>
                <w:rFonts w:cs="Aptos"/>
              </w:rPr>
              <w:t>•</w:t>
            </w:r>
            <w:r w:rsidRPr="00054751">
              <w:rPr>
                <w:rFonts w:cs="Aptos"/>
              </w:rPr>
              <w:tab/>
              <w:t xml:space="preserve">Is not domiciled in </w:t>
            </w:r>
            <w:r>
              <w:rPr>
                <w:rFonts w:cs="Aptos"/>
              </w:rPr>
              <w:t>Brazil</w:t>
            </w:r>
            <w:r w:rsidRPr="00054751">
              <w:rPr>
                <w:rFonts w:cs="Aptos"/>
              </w:rPr>
              <w:t xml:space="preserve"> but resides in </w:t>
            </w:r>
            <w:r>
              <w:rPr>
                <w:rFonts w:cs="Aptos"/>
              </w:rPr>
              <w:t>Brazil</w:t>
            </w:r>
            <w:r w:rsidRPr="00054751">
              <w:rPr>
                <w:rFonts w:cs="Aptos"/>
              </w:rPr>
              <w:t xml:space="preserve"> for 183 days or more </w:t>
            </w:r>
            <w:r>
              <w:rPr>
                <w:rFonts w:cs="Aptos"/>
              </w:rPr>
              <w:t>during a 12-month period</w:t>
            </w:r>
            <w:r w:rsidRPr="00054751">
              <w:rPr>
                <w:rFonts w:cs="Aptos"/>
              </w:rPr>
              <w:t xml:space="preserve"> (</w:t>
            </w:r>
            <w:hyperlink r:id="rId17" w:history="1">
              <w:r w:rsidRPr="00054751">
                <w:rPr>
                  <w:rStyle w:val="Hyperlink"/>
                  <w:rFonts w:cs="Aptos"/>
                </w:rPr>
                <w:t>Section X.</w:t>
              </w:r>
            </w:hyperlink>
            <w:r>
              <w:rPr>
                <w:rFonts w:cs="Aptos"/>
              </w:rPr>
              <w:t>)</w:t>
            </w:r>
            <w:r w:rsidR="008903F6">
              <w:rPr>
                <w:rFonts w:cs="Aptos"/>
              </w:rPr>
              <w:t>;</w:t>
            </w:r>
            <w:r w:rsidR="007B430A">
              <w:rPr>
                <w:rFonts w:cs="Aptos"/>
              </w:rPr>
              <w:t xml:space="preserve"> or</w:t>
            </w:r>
          </w:p>
          <w:p w14:paraId="612D557B" w14:textId="77777777" w:rsidR="008903F6" w:rsidRPr="008903F6" w:rsidRDefault="009F2A7A" w:rsidP="00DE65F4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cs="Aptos"/>
              </w:rPr>
            </w:pPr>
            <w:r>
              <w:rPr>
                <w:rFonts w:cs="Aptos"/>
              </w:rPr>
              <w:t xml:space="preserve">Enters Brazil with a permanent visa or work visa to be </w:t>
            </w:r>
            <w:r w:rsidR="007B430A">
              <w:rPr>
                <w:rFonts w:cs="Aptos"/>
              </w:rPr>
              <w:t xml:space="preserve">an </w:t>
            </w:r>
            <w:r>
              <w:rPr>
                <w:rFonts w:cs="Aptos"/>
              </w:rPr>
              <w:t>employee of a Brazilian company</w:t>
            </w:r>
            <w:r w:rsidR="00D2375F">
              <w:rPr>
                <w:rFonts w:cs="Aptos"/>
              </w:rPr>
              <w:t>.</w:t>
            </w:r>
          </w:p>
        </w:tc>
      </w:tr>
      <w:tr w:rsidR="004E1781" w14:paraId="026C71D8" w14:textId="77777777" w:rsidTr="00BF1894">
        <w:tc>
          <w:tcPr>
            <w:tcW w:w="3960" w:type="dxa"/>
            <w:hideMark/>
          </w:tcPr>
          <w:p w14:paraId="4DBF9AB9" w14:textId="77777777" w:rsidR="004E1781" w:rsidRPr="000E6EDF" w:rsidRDefault="004E1781" w:rsidP="00FF2913">
            <w:pPr>
              <w:jc w:val="both"/>
              <w:rPr>
                <w:rFonts w:cs="Aptos"/>
                <w:color w:val="333333"/>
              </w:rPr>
            </w:pPr>
            <w:r w:rsidRPr="000E6EDF">
              <w:rPr>
                <w:rFonts w:cs="Aptos"/>
                <w:color w:val="333333"/>
              </w:rPr>
              <w:t xml:space="preserve">Basic domestic nexus rule for foreign corporations </w:t>
            </w:r>
          </w:p>
          <w:p w14:paraId="4A9F9BF9" w14:textId="77777777" w:rsidR="004E1781" w:rsidRPr="000E6EDF" w:rsidRDefault="004E1781" w:rsidP="00BF1894">
            <w:pPr>
              <w:jc w:val="right"/>
              <w:rPr>
                <w:rFonts w:cs="Aptos"/>
              </w:rPr>
            </w:pPr>
          </w:p>
        </w:tc>
        <w:tc>
          <w:tcPr>
            <w:tcW w:w="9810" w:type="dxa"/>
            <w:gridSpan w:val="2"/>
            <w:hideMark/>
          </w:tcPr>
          <w:p w14:paraId="682F8775" w14:textId="77777777" w:rsidR="00054751" w:rsidRPr="000E6EDF" w:rsidRDefault="00B50C40" w:rsidP="00054751">
            <w:pPr>
              <w:jc w:val="both"/>
              <w:rPr>
                <w:rFonts w:cs="Aptos"/>
              </w:rPr>
            </w:pPr>
            <w:r w:rsidRPr="00B50C40">
              <w:rPr>
                <w:rFonts w:cs="Aptos"/>
              </w:rPr>
              <w:t>Under Brazilian income tax rules, a foreign legal entity that carries on regular business activities in Brazil is treated in the same manner as if it were a resident legal entity.</w:t>
            </w:r>
            <w:r w:rsidR="004E1781" w:rsidRPr="000E6EDF">
              <w:rPr>
                <w:rFonts w:cs="Aptos"/>
              </w:rPr>
              <w:t xml:space="preserve"> (</w:t>
            </w:r>
            <w:hyperlink r:id="rId18" w:history="1">
              <w:r w:rsidR="004E1781" w:rsidRPr="000E6EDF">
                <w:rPr>
                  <w:rStyle w:val="Hyperlink"/>
                  <w:rFonts w:cs="Aptos"/>
                </w:rPr>
                <w:t>Section VI.</w:t>
              </w:r>
              <w:r w:rsidR="00FF2913" w:rsidRPr="000E6EDF">
                <w:rPr>
                  <w:rStyle w:val="Hyperlink"/>
                  <w:rFonts w:cs="Aptos"/>
                </w:rPr>
                <w:t>C</w:t>
              </w:r>
              <w:r w:rsidR="004E1781" w:rsidRPr="000E6EDF">
                <w:rPr>
                  <w:rStyle w:val="Hyperlink"/>
                  <w:rFonts w:cs="Aptos"/>
                </w:rPr>
                <w:t>.</w:t>
              </w:r>
            </w:hyperlink>
            <w:r w:rsidR="004E1781" w:rsidRPr="000E6EDF">
              <w:rPr>
                <w:rFonts w:cs="Aptos"/>
              </w:rPr>
              <w:t>)</w:t>
            </w:r>
          </w:p>
        </w:tc>
      </w:tr>
      <w:tr w:rsidR="004E1781" w14:paraId="2BA0D740" w14:textId="77777777" w:rsidTr="00BF1894">
        <w:tc>
          <w:tcPr>
            <w:tcW w:w="3960" w:type="dxa"/>
            <w:hideMark/>
          </w:tcPr>
          <w:p w14:paraId="155812E2" w14:textId="77777777" w:rsidR="004E1781" w:rsidRPr="000E6EDF" w:rsidRDefault="004E1781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  <w:color w:val="333333"/>
              </w:rPr>
              <w:t>Treaty network</w:t>
            </w:r>
          </w:p>
        </w:tc>
        <w:tc>
          <w:tcPr>
            <w:tcW w:w="9810" w:type="dxa"/>
            <w:gridSpan w:val="2"/>
            <w:hideMark/>
          </w:tcPr>
          <w:p w14:paraId="6ED93068" w14:textId="77777777" w:rsidR="004E1781" w:rsidRPr="000E6EDF" w:rsidRDefault="00AD2B0E" w:rsidP="00BF1894">
            <w:pPr>
              <w:jc w:val="both"/>
            </w:pPr>
            <w:r>
              <w:t xml:space="preserve">Brazil has </w:t>
            </w:r>
            <w:r w:rsidR="00FF2913" w:rsidRPr="000E6EDF">
              <w:t>less than 40 tax treaties in force</w:t>
            </w:r>
            <w:r>
              <w:t>. Its treaty network covers most industrialized countries, except the United States</w:t>
            </w:r>
            <w:r w:rsidR="00B85D94">
              <w:t>,</w:t>
            </w:r>
            <w:r>
              <w:t xml:space="preserve"> </w:t>
            </w:r>
            <w:r w:rsidR="00B85D94">
              <w:t xml:space="preserve">the United Kingdom (signed, but not yet in force) </w:t>
            </w:r>
            <w:r>
              <w:t>and Germany</w:t>
            </w:r>
            <w:r w:rsidR="004E1781" w:rsidRPr="000E6EDF">
              <w:t xml:space="preserve">. </w:t>
            </w:r>
            <w:r w:rsidR="00FF2913" w:rsidRPr="000E6EDF">
              <w:t>(</w:t>
            </w:r>
            <w:hyperlink r:id="rId19" w:anchor="section(1)" w:history="1">
              <w:r w:rsidR="00FF2913" w:rsidRPr="000E6EDF">
                <w:rPr>
                  <w:rStyle w:val="Hyperlink"/>
                </w:rPr>
                <w:t>Section XIII.B.1.</w:t>
              </w:r>
            </w:hyperlink>
            <w:r w:rsidR="00FF2913" w:rsidRPr="000E6EDF">
              <w:t>)</w:t>
            </w:r>
          </w:p>
          <w:p w14:paraId="1D23017E" w14:textId="77777777" w:rsidR="004E1781" w:rsidRPr="000E6EDF" w:rsidRDefault="004E1781" w:rsidP="00BF1894">
            <w:pPr>
              <w:jc w:val="both"/>
            </w:pPr>
            <w:r w:rsidRPr="000E6EDF">
              <w:t xml:space="preserve">MLI signatory: </w:t>
            </w:r>
            <w:r w:rsidR="00FF2913" w:rsidRPr="000E6EDF">
              <w:t>No</w:t>
            </w:r>
            <w:r w:rsidRPr="000E6EDF">
              <w:t>. (</w:t>
            </w:r>
            <w:hyperlink r:id="rId20" w:anchor="section(1)" w:history="1">
              <w:r w:rsidRPr="000E6EDF">
                <w:rPr>
                  <w:rStyle w:val="Hyperlink"/>
                  <w:rFonts w:cs="Aptos"/>
                </w:rPr>
                <w:t>Section X</w:t>
              </w:r>
              <w:r w:rsidR="00FF2913" w:rsidRPr="000E6EDF">
                <w:rPr>
                  <w:rStyle w:val="Hyperlink"/>
                  <w:rFonts w:cs="Aptos"/>
                </w:rPr>
                <w:t>III.B.1.</w:t>
              </w:r>
            </w:hyperlink>
            <w:r w:rsidRPr="000E6EDF">
              <w:rPr>
                <w:rFonts w:cs="Aptos"/>
              </w:rPr>
              <w:t>)</w:t>
            </w:r>
          </w:p>
          <w:p w14:paraId="62FCEE0D" w14:textId="77777777" w:rsidR="004E1781" w:rsidRPr="000E6EDF" w:rsidRDefault="004E1781" w:rsidP="00BF1894">
            <w:pPr>
              <w:jc w:val="both"/>
            </w:pPr>
            <w:r w:rsidRPr="000E6EDF">
              <w:t xml:space="preserve">For the texts and status of </w:t>
            </w:r>
            <w:r w:rsidR="00FF2913" w:rsidRPr="000E6EDF">
              <w:t>Brazil</w:t>
            </w:r>
            <w:r w:rsidRPr="000E6EDF">
              <w:t xml:space="preserve">’s tax treaties, see </w:t>
            </w:r>
            <w:hyperlink r:id="rId21" w:history="1">
              <w:r w:rsidRPr="000E6EDF">
                <w:rPr>
                  <w:rStyle w:val="Hyperlink"/>
                </w:rPr>
                <w:t>International Tax Treaties</w:t>
              </w:r>
            </w:hyperlink>
            <w:r w:rsidRPr="000E6EDF">
              <w:t>.</w:t>
            </w:r>
          </w:p>
          <w:p w14:paraId="1C455A2B" w14:textId="77777777" w:rsidR="004E1781" w:rsidRPr="000E6EDF" w:rsidRDefault="004E1781" w:rsidP="00BF1894">
            <w:pPr>
              <w:pStyle w:val="ListParagraph"/>
              <w:spacing w:line="240" w:lineRule="auto"/>
              <w:jc w:val="both"/>
            </w:pPr>
          </w:p>
        </w:tc>
      </w:tr>
      <w:tr w:rsidR="004E1781" w14:paraId="2B1EB849" w14:textId="77777777" w:rsidTr="00BF1894">
        <w:trPr>
          <w:gridAfter w:val="1"/>
          <w:wAfter w:w="3960" w:type="dxa"/>
        </w:trPr>
        <w:tc>
          <w:tcPr>
            <w:tcW w:w="9810" w:type="dxa"/>
            <w:gridSpan w:val="2"/>
            <w:hideMark/>
          </w:tcPr>
          <w:p w14:paraId="546E6B7F" w14:textId="77777777" w:rsidR="004E1781" w:rsidRDefault="004E1781" w:rsidP="00BF1894">
            <w:pPr>
              <w:jc w:val="both"/>
              <w:rPr>
                <w:rFonts w:cs="Aptos"/>
                <w:sz w:val="21"/>
                <w:szCs w:val="21"/>
              </w:rPr>
            </w:pPr>
          </w:p>
        </w:tc>
      </w:tr>
      <w:tr w:rsidR="004E1781" w14:paraId="4A10A7D8" w14:textId="77777777" w:rsidTr="00972C4F">
        <w:tc>
          <w:tcPr>
            <w:tcW w:w="13770" w:type="dxa"/>
            <w:gridSpan w:val="3"/>
            <w:shd w:val="clear" w:color="auto" w:fill="A6A6A6" w:themeFill="background1" w:themeFillShade="A6"/>
          </w:tcPr>
          <w:p w14:paraId="5490977E" w14:textId="77777777" w:rsidR="004E1781" w:rsidRPr="00B94FFF" w:rsidRDefault="004E1781" w:rsidP="00BF1894">
            <w:pPr>
              <w:spacing w:before="120" w:after="120"/>
              <w:jc w:val="both"/>
              <w:rPr>
                <w:rFonts w:cs="Aptos"/>
                <w:b/>
                <w:bCs/>
                <w:color w:val="FFFFFF" w:themeColor="background1"/>
                <w:sz w:val="21"/>
                <w:szCs w:val="21"/>
              </w:rPr>
            </w:pPr>
            <w:r w:rsidRPr="00B94FFF">
              <w:rPr>
                <w:rFonts w:cs="Aptos"/>
                <w:b/>
                <w:bCs/>
                <w:color w:val="FFFFFF" w:themeColor="background1"/>
                <w:sz w:val="28"/>
                <w:szCs w:val="28"/>
              </w:rPr>
              <w:t>Corporations</w:t>
            </w:r>
          </w:p>
        </w:tc>
      </w:tr>
      <w:tr w:rsidR="004E1781" w14:paraId="3421E361" w14:textId="77777777" w:rsidTr="00BF1894">
        <w:tc>
          <w:tcPr>
            <w:tcW w:w="3960" w:type="dxa"/>
            <w:hideMark/>
          </w:tcPr>
          <w:p w14:paraId="7C03F8F5" w14:textId="77777777" w:rsidR="004E1781" w:rsidRPr="000E6EDF" w:rsidRDefault="004E1781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  <w:color w:val="333333"/>
              </w:rPr>
              <w:t>Corporate income tax rate</w:t>
            </w:r>
          </w:p>
        </w:tc>
        <w:tc>
          <w:tcPr>
            <w:tcW w:w="9810" w:type="dxa"/>
            <w:gridSpan w:val="2"/>
            <w:hideMark/>
          </w:tcPr>
          <w:p w14:paraId="3F72D9FF" w14:textId="77777777" w:rsidR="004E1781" w:rsidRPr="000E6EDF" w:rsidRDefault="00090030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>R</w:t>
            </w:r>
            <w:r w:rsidR="004E1781" w:rsidRPr="000E6EDF">
              <w:rPr>
                <w:rFonts w:cs="Aptos"/>
              </w:rPr>
              <w:t xml:space="preserve">ate of </w:t>
            </w:r>
            <w:r w:rsidRPr="000E6EDF">
              <w:rPr>
                <w:rFonts w:cs="Aptos"/>
              </w:rPr>
              <w:t>1</w:t>
            </w:r>
            <w:r w:rsidR="004E1781" w:rsidRPr="000E6EDF">
              <w:rPr>
                <w:rFonts w:cs="Aptos"/>
              </w:rPr>
              <w:t>5%</w:t>
            </w:r>
            <w:r w:rsidRPr="000E6EDF">
              <w:rPr>
                <w:rFonts w:cs="Aptos"/>
              </w:rPr>
              <w:t xml:space="preserve"> plus a surtax of 10% on any taxable income exceeding R$20,000 per month or R$240,000 per year</w:t>
            </w:r>
            <w:r w:rsidR="00C97014">
              <w:rPr>
                <w:rFonts w:cs="Aptos"/>
              </w:rPr>
              <w:t xml:space="preserve">, plus </w:t>
            </w:r>
            <w:r w:rsidR="00DB7C87">
              <w:rPr>
                <w:rFonts w:cs="Aptos"/>
              </w:rPr>
              <w:t xml:space="preserve">a </w:t>
            </w:r>
            <w:r w:rsidR="00C97014">
              <w:rPr>
                <w:rFonts w:cs="Aptos"/>
              </w:rPr>
              <w:t>Social Contribution on Profits of 9% or 15%</w:t>
            </w:r>
            <w:r w:rsidR="00A20455" w:rsidRPr="000E6EDF">
              <w:rPr>
                <w:rFonts w:cs="Aptos"/>
              </w:rPr>
              <w:t xml:space="preserve">. </w:t>
            </w:r>
            <w:r w:rsidR="004E1781" w:rsidRPr="000E6EDF">
              <w:rPr>
                <w:rFonts w:cs="Aptos"/>
              </w:rPr>
              <w:t>(</w:t>
            </w:r>
            <w:hyperlink r:id="rId22" w:anchor="section(2)_0" w:history="1">
              <w:r w:rsidR="004E1781" w:rsidRPr="000E6EDF">
                <w:rPr>
                  <w:rStyle w:val="Hyperlink"/>
                  <w:rFonts w:cs="Aptos"/>
                </w:rPr>
                <w:t>Section V.</w:t>
              </w:r>
              <w:r w:rsidRPr="000E6EDF">
                <w:rPr>
                  <w:rStyle w:val="Hyperlink"/>
                  <w:rFonts w:cs="Aptos"/>
                </w:rPr>
                <w:t>C</w:t>
              </w:r>
              <w:r w:rsidRPr="000E6EDF">
                <w:rPr>
                  <w:rStyle w:val="Hyperlink"/>
                </w:rPr>
                <w:t>.2.</w:t>
              </w:r>
            </w:hyperlink>
            <w:r w:rsidR="004E1781" w:rsidRPr="000E6EDF">
              <w:rPr>
                <w:rFonts w:cs="Aptos"/>
              </w:rPr>
              <w:t>)</w:t>
            </w:r>
            <w:r w:rsidR="00C97014">
              <w:rPr>
                <w:rFonts w:cs="Aptos"/>
              </w:rPr>
              <w:t xml:space="preserve"> </w:t>
            </w:r>
          </w:p>
        </w:tc>
      </w:tr>
      <w:tr w:rsidR="004E1781" w14:paraId="47B28CFC" w14:textId="77777777" w:rsidTr="00BF1894">
        <w:tc>
          <w:tcPr>
            <w:tcW w:w="3960" w:type="dxa"/>
            <w:hideMark/>
          </w:tcPr>
          <w:p w14:paraId="131CCE9E" w14:textId="77777777" w:rsidR="004E1781" w:rsidRPr="000E6EDF" w:rsidRDefault="004E1781" w:rsidP="00BF1894">
            <w:pPr>
              <w:jc w:val="both"/>
              <w:rPr>
                <w:rFonts w:cs="Aptos"/>
              </w:rPr>
            </w:pPr>
            <w:proofErr w:type="gramStart"/>
            <w:r w:rsidRPr="000E6EDF">
              <w:rPr>
                <w:rFonts w:cs="Aptos"/>
                <w:color w:val="333333"/>
              </w:rPr>
              <w:t>General</w:t>
            </w:r>
            <w:proofErr w:type="gramEnd"/>
            <w:r w:rsidRPr="000E6EDF">
              <w:rPr>
                <w:rFonts w:cs="Aptos"/>
                <w:color w:val="333333"/>
              </w:rPr>
              <w:t xml:space="preserve"> withholding tax rates on payments to non-resident companies</w:t>
            </w:r>
          </w:p>
        </w:tc>
        <w:tc>
          <w:tcPr>
            <w:tcW w:w="9810" w:type="dxa"/>
            <w:gridSpan w:val="2"/>
            <w:hideMark/>
          </w:tcPr>
          <w:p w14:paraId="532F36B9" w14:textId="77777777" w:rsidR="004E1781" w:rsidRPr="000E6EDF" w:rsidRDefault="004E1781" w:rsidP="00BF1894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cs="Aptos"/>
              </w:rPr>
            </w:pPr>
            <w:r w:rsidRPr="000E6EDF">
              <w:rPr>
                <w:rFonts w:cs="Aptos"/>
                <w:u w:val="single"/>
              </w:rPr>
              <w:t>Dividends:</w:t>
            </w:r>
            <w:r w:rsidRPr="000E6EDF">
              <w:rPr>
                <w:rFonts w:cs="Aptos"/>
              </w:rPr>
              <w:t xml:space="preserve"> </w:t>
            </w:r>
            <w:r w:rsidR="00321C07" w:rsidRPr="000E6EDF">
              <w:rPr>
                <w:rFonts w:cs="Aptos"/>
              </w:rPr>
              <w:t xml:space="preserve">Dividends payable by a Brazilian company to a Brazilian or non-Brazilian shareholder are currently not subject to Brazilian Withholding Income Tax </w:t>
            </w:r>
            <w:r w:rsidRPr="000E6EDF">
              <w:rPr>
                <w:rFonts w:cs="Aptos"/>
              </w:rPr>
              <w:t>(</w:t>
            </w:r>
            <w:hyperlink r:id="rId23" w:anchor="section(2)_0" w:history="1">
              <w:r w:rsidR="00682E16" w:rsidRPr="000E6EDF">
                <w:rPr>
                  <w:rStyle w:val="Hyperlink"/>
                </w:rPr>
                <w:t>Section VI.A.2.</w:t>
              </w:r>
            </w:hyperlink>
            <w:r w:rsidRPr="000E6EDF">
              <w:rPr>
                <w:rFonts w:cs="Aptos"/>
              </w:rPr>
              <w:t>);</w:t>
            </w:r>
          </w:p>
          <w:p w14:paraId="5553414E" w14:textId="77777777" w:rsidR="004E1781" w:rsidRPr="000E6EDF" w:rsidRDefault="004E1781" w:rsidP="00BF1894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cs="Aptos"/>
              </w:rPr>
            </w:pPr>
            <w:r w:rsidRPr="000E6EDF">
              <w:rPr>
                <w:rFonts w:cs="Aptos"/>
                <w:u w:val="single"/>
              </w:rPr>
              <w:t>Interest:</w:t>
            </w:r>
            <w:r w:rsidRPr="000E6EDF">
              <w:rPr>
                <w:rFonts w:cs="Aptos"/>
              </w:rPr>
              <w:t xml:space="preserve"> </w:t>
            </w:r>
            <w:r w:rsidR="009A3024" w:rsidRPr="000E6EDF">
              <w:rPr>
                <w:rFonts w:cs="Aptos"/>
              </w:rPr>
              <w:t>15</w:t>
            </w:r>
            <w:r w:rsidRPr="000E6EDF">
              <w:rPr>
                <w:rFonts w:cs="Aptos"/>
              </w:rPr>
              <w:t>% (</w:t>
            </w:r>
            <w:hyperlink r:id="rId24" w:anchor="section(3)_0" w:history="1">
              <w:r w:rsidRPr="000E6EDF">
                <w:rPr>
                  <w:rStyle w:val="Hyperlink"/>
                  <w:rFonts w:cs="Aptos"/>
                </w:rPr>
                <w:t>Section V</w:t>
              </w:r>
              <w:r w:rsidR="00275F6A" w:rsidRPr="000E6EDF">
                <w:rPr>
                  <w:rStyle w:val="Hyperlink"/>
                  <w:rFonts w:cs="Aptos"/>
                </w:rPr>
                <w:t>I</w:t>
              </w:r>
              <w:r w:rsidR="00E22772" w:rsidRPr="000E6EDF">
                <w:rPr>
                  <w:rStyle w:val="Hyperlink"/>
                  <w:rFonts w:cs="Aptos"/>
                </w:rPr>
                <w:t>.A.3.</w:t>
              </w:r>
            </w:hyperlink>
            <w:r w:rsidRPr="000E6EDF">
              <w:rPr>
                <w:rFonts w:cs="Aptos"/>
              </w:rPr>
              <w:t>);</w:t>
            </w:r>
          </w:p>
          <w:p w14:paraId="75FD2EF7" w14:textId="77777777" w:rsidR="004E1781" w:rsidRPr="000E6EDF" w:rsidRDefault="004E1781" w:rsidP="00BF1894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cs="Aptos"/>
              </w:rPr>
            </w:pPr>
            <w:r w:rsidRPr="000E6EDF">
              <w:rPr>
                <w:rFonts w:cs="Aptos"/>
                <w:u w:val="single"/>
              </w:rPr>
              <w:t>Royalties:</w:t>
            </w:r>
            <w:r w:rsidRPr="000E6EDF">
              <w:rPr>
                <w:rFonts w:cs="Aptos"/>
              </w:rPr>
              <w:t xml:space="preserve"> </w:t>
            </w:r>
            <w:r w:rsidR="00A35353" w:rsidRPr="000E6EDF">
              <w:rPr>
                <w:rFonts w:cs="Aptos"/>
              </w:rPr>
              <w:t>15</w:t>
            </w:r>
            <w:r w:rsidRPr="000E6EDF">
              <w:rPr>
                <w:rFonts w:cs="Aptos"/>
              </w:rPr>
              <w:t>% (</w:t>
            </w:r>
            <w:hyperlink r:id="rId25" w:anchor="section(4)_0" w:history="1">
              <w:r w:rsidRPr="000E6EDF">
                <w:rPr>
                  <w:rStyle w:val="Hyperlink"/>
                  <w:rFonts w:cs="Aptos"/>
                </w:rPr>
                <w:t>Section V.</w:t>
              </w:r>
              <w:r w:rsidR="00A35353" w:rsidRPr="000E6EDF">
                <w:rPr>
                  <w:rStyle w:val="Hyperlink"/>
                  <w:rFonts w:cs="Aptos"/>
                </w:rPr>
                <w:t>A</w:t>
              </w:r>
              <w:r w:rsidR="00A35353" w:rsidRPr="000E6EDF">
                <w:rPr>
                  <w:rStyle w:val="Hyperlink"/>
                </w:rPr>
                <w:t>.4.</w:t>
              </w:r>
            </w:hyperlink>
            <w:r w:rsidRPr="000E6EDF">
              <w:rPr>
                <w:rFonts w:cs="Aptos"/>
              </w:rPr>
              <w:t>)</w:t>
            </w:r>
          </w:p>
          <w:p w14:paraId="0CFFAD93" w14:textId="77777777" w:rsidR="004E1781" w:rsidRPr="000E6EDF" w:rsidRDefault="00A07995" w:rsidP="00BF1894">
            <w:pPr>
              <w:jc w:val="both"/>
              <w:rPr>
                <w:rFonts w:cs="Aptos"/>
              </w:rPr>
            </w:pPr>
            <w:r>
              <w:lastRenderedPageBreak/>
              <w:t xml:space="preserve">For the rates of source country taxation applying under </w:t>
            </w:r>
            <w:r w:rsidR="00F85B99">
              <w:t>Brazil</w:t>
            </w:r>
            <w:r>
              <w:t>’s domestic law and tax treaties and the context for their application, see the </w:t>
            </w:r>
            <w:hyperlink r:id="rId26" w:tgtFrame="_blank" w:tooltip="https://www.bloomberglaw.com/product/tax/bbna/chart/3/10092" w:history="1">
              <w:r>
                <w:rPr>
                  <w:rStyle w:val="Hyperlink"/>
                </w:rPr>
                <w:t>Withholding Tax Chart</w:t>
              </w:r>
            </w:hyperlink>
            <w:r>
              <w:t>.</w:t>
            </w:r>
          </w:p>
        </w:tc>
      </w:tr>
      <w:tr w:rsidR="00524827" w14:paraId="25712A72" w14:textId="77777777" w:rsidTr="00BF1894">
        <w:tc>
          <w:tcPr>
            <w:tcW w:w="3960" w:type="dxa"/>
          </w:tcPr>
          <w:p w14:paraId="27D77C4F" w14:textId="77777777" w:rsidR="00524827" w:rsidRPr="000E6EDF" w:rsidRDefault="00524827" w:rsidP="00BF1894">
            <w:pPr>
              <w:jc w:val="both"/>
              <w:rPr>
                <w:rFonts w:cs="Aptos"/>
                <w:color w:val="333333"/>
              </w:rPr>
            </w:pPr>
            <w:r w:rsidRPr="000E6EDF">
              <w:rPr>
                <w:rFonts w:cs="Aptos"/>
                <w:color w:val="333333"/>
              </w:rPr>
              <w:lastRenderedPageBreak/>
              <w:t>Net operating losses carry back/ forward</w:t>
            </w:r>
          </w:p>
        </w:tc>
        <w:tc>
          <w:tcPr>
            <w:tcW w:w="9810" w:type="dxa"/>
            <w:gridSpan w:val="2"/>
          </w:tcPr>
          <w:p w14:paraId="10C8B799" w14:textId="77777777" w:rsidR="00524827" w:rsidRPr="000E6EDF" w:rsidRDefault="00524827" w:rsidP="00BF1894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cs="Aptos"/>
                <w:u w:val="single"/>
              </w:rPr>
            </w:pPr>
            <w:r w:rsidRPr="000E6EDF">
              <w:rPr>
                <w:rFonts w:cs="Aptos"/>
                <w:u w:val="single"/>
              </w:rPr>
              <w:t>Carryback</w:t>
            </w:r>
            <w:proofErr w:type="gramStart"/>
            <w:r w:rsidRPr="000E6EDF">
              <w:rPr>
                <w:rFonts w:cs="Aptos"/>
              </w:rPr>
              <w:t xml:space="preserve">: </w:t>
            </w:r>
            <w:r w:rsidR="006D302A" w:rsidRPr="000E6EDF">
              <w:rPr>
                <w:rFonts w:cs="Aptos"/>
              </w:rPr>
              <w:t xml:space="preserve"> No</w:t>
            </w:r>
            <w:proofErr w:type="gramEnd"/>
            <w:r w:rsidR="006D302A" w:rsidRPr="000E6EDF">
              <w:rPr>
                <w:rFonts w:cs="Aptos"/>
              </w:rPr>
              <w:t xml:space="preserve"> carryback is permitted.</w:t>
            </w:r>
            <w:r w:rsidRPr="000E6EDF">
              <w:rPr>
                <w:rFonts w:cs="Aptos"/>
              </w:rPr>
              <w:t xml:space="preserve"> </w:t>
            </w:r>
            <w:r w:rsidR="00620E4D" w:rsidRPr="000E6EDF">
              <w:rPr>
                <w:rFonts w:cs="Aptos"/>
              </w:rPr>
              <w:t>(</w:t>
            </w:r>
            <w:hyperlink r:id="rId27" w:anchor="section(3)(3)(a)(3)(a)(2)(3)(a)(2)(l)_0" w:history="1">
              <w:r w:rsidR="00620E4D" w:rsidRPr="000E6EDF">
                <w:rPr>
                  <w:rStyle w:val="Hyperlink"/>
                  <w:rFonts w:cs="Aptos"/>
                </w:rPr>
                <w:t>Section V.C.3.</w:t>
              </w:r>
              <w:r w:rsidR="00401256" w:rsidRPr="000E6EDF">
                <w:rPr>
                  <w:rStyle w:val="Hyperlink"/>
                  <w:rFonts w:cs="Aptos"/>
                </w:rPr>
                <w:t>a.(2).(l).</w:t>
              </w:r>
            </w:hyperlink>
            <w:r w:rsidRPr="000E6EDF">
              <w:rPr>
                <w:rFonts w:cs="Aptos"/>
              </w:rPr>
              <w:t>)</w:t>
            </w:r>
          </w:p>
          <w:p w14:paraId="7F381456" w14:textId="77777777" w:rsidR="00524827" w:rsidRPr="000E6EDF" w:rsidRDefault="00524827" w:rsidP="00BF1894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cs="Aptos"/>
              </w:rPr>
            </w:pPr>
            <w:r w:rsidRPr="000E6EDF">
              <w:rPr>
                <w:rFonts w:cs="Aptos"/>
                <w:u w:val="single"/>
              </w:rPr>
              <w:t>Carryforward</w:t>
            </w:r>
            <w:r w:rsidRPr="000E6EDF">
              <w:rPr>
                <w:rFonts w:cs="Aptos"/>
              </w:rPr>
              <w:t xml:space="preserve">: </w:t>
            </w:r>
            <w:r w:rsidR="00C40FA0" w:rsidRPr="000E6EDF">
              <w:rPr>
                <w:rFonts w:cs="Aptos"/>
              </w:rPr>
              <w:t>Tax losses incurred in one tax period may be set off against taxable profits realized in subsequent years but only to the extent of 30% of such taxable profits each year</w:t>
            </w:r>
            <w:r w:rsidR="00B50C40">
              <w:rPr>
                <w:rFonts w:cs="Aptos"/>
              </w:rPr>
              <w:t>. There is no statute of limitations for using tax losses</w:t>
            </w:r>
            <w:r w:rsidR="00C40FA0" w:rsidRPr="000E6EDF">
              <w:rPr>
                <w:rFonts w:cs="Aptos"/>
              </w:rPr>
              <w:t>.</w:t>
            </w:r>
            <w:r w:rsidRPr="000E6EDF">
              <w:rPr>
                <w:rFonts w:cs="Aptos"/>
              </w:rPr>
              <w:t xml:space="preserve"> (</w:t>
            </w:r>
            <w:hyperlink r:id="rId28" w:anchor="section(3)(3)(a)(3)(a)(2)(3)(a)(2)(l)_0" w:history="1">
              <w:r w:rsidR="00C40FA0" w:rsidRPr="000E6EDF">
                <w:rPr>
                  <w:rStyle w:val="Hyperlink"/>
                  <w:rFonts w:cs="Aptos"/>
                </w:rPr>
                <w:t>Section V.C.3.a.(2).(l).</w:t>
              </w:r>
            </w:hyperlink>
            <w:r w:rsidRPr="000E6EDF">
              <w:rPr>
                <w:rFonts w:cs="Aptos"/>
              </w:rPr>
              <w:t>)</w:t>
            </w:r>
          </w:p>
        </w:tc>
      </w:tr>
      <w:tr w:rsidR="00C910BC" w14:paraId="455D02D4" w14:textId="77777777" w:rsidTr="00BF1894">
        <w:tc>
          <w:tcPr>
            <w:tcW w:w="3960" w:type="dxa"/>
          </w:tcPr>
          <w:p w14:paraId="01760CFE" w14:textId="77777777" w:rsidR="00C910BC" w:rsidRPr="000E6EDF" w:rsidRDefault="00C910BC" w:rsidP="00C73F11">
            <w:pPr>
              <w:spacing w:line="259" w:lineRule="auto"/>
              <w:rPr>
                <w:rFonts w:cs="Aptos"/>
                <w:color w:val="333333"/>
              </w:rPr>
            </w:pPr>
            <w:r w:rsidRPr="000E6EDF">
              <w:rPr>
                <w:rFonts w:cs="Aptos"/>
                <w:color w:val="333333"/>
              </w:rPr>
              <w:t>Restrictions on deductibility of interest expenses</w:t>
            </w:r>
          </w:p>
        </w:tc>
        <w:tc>
          <w:tcPr>
            <w:tcW w:w="9810" w:type="dxa"/>
            <w:gridSpan w:val="2"/>
          </w:tcPr>
          <w:p w14:paraId="28DD1AE1" w14:textId="77777777" w:rsidR="001C2B22" w:rsidRPr="000E6EDF" w:rsidRDefault="000149A8" w:rsidP="00BF1894">
            <w:pPr>
              <w:jc w:val="both"/>
              <w:rPr>
                <w:rFonts w:cs="Aptos"/>
              </w:rPr>
            </w:pPr>
            <w:r>
              <w:rPr>
                <w:rFonts w:cs="Aptos"/>
              </w:rPr>
              <w:t>There are thin capitalization rules in place</w:t>
            </w:r>
            <w:r w:rsidR="00F675C8" w:rsidRPr="000E6EDF">
              <w:rPr>
                <w:rFonts w:cs="Aptos"/>
              </w:rPr>
              <w:t>.</w:t>
            </w:r>
            <w:r w:rsidR="00C910BC" w:rsidRPr="000E6EDF">
              <w:rPr>
                <w:rFonts w:cs="Aptos"/>
              </w:rPr>
              <w:t xml:space="preserve"> (</w:t>
            </w:r>
            <w:hyperlink r:id="rId29" w:anchor="section(3)(3)(a)(3)(a)(2)(3)(a)(2)(b)_0" w:history="1">
              <w:r w:rsidR="00C910BC" w:rsidRPr="000E6EDF">
                <w:rPr>
                  <w:rStyle w:val="Hyperlink"/>
                  <w:rFonts w:cs="Aptos"/>
                  <w:kern w:val="2"/>
                </w:rPr>
                <w:t>Section V.</w:t>
              </w:r>
              <w:r w:rsidR="009F01C6" w:rsidRPr="000E6EDF">
                <w:rPr>
                  <w:rStyle w:val="Hyperlink"/>
                  <w:rFonts w:cs="Aptos"/>
                </w:rPr>
                <w:t>C</w:t>
              </w:r>
              <w:r w:rsidR="009F01C6" w:rsidRPr="000E6EDF">
                <w:rPr>
                  <w:rStyle w:val="Hyperlink"/>
                </w:rPr>
                <w:t>.3.a.(2)</w:t>
              </w:r>
              <w:r w:rsidR="00A76D25" w:rsidRPr="000E6EDF">
                <w:rPr>
                  <w:rStyle w:val="Hyperlink"/>
                </w:rPr>
                <w:t>.(b).</w:t>
              </w:r>
            </w:hyperlink>
            <w:r w:rsidR="00FA379B" w:rsidRPr="000E6EDF">
              <w:rPr>
                <w:rFonts w:cs="Aptos"/>
              </w:rPr>
              <w:t>)</w:t>
            </w:r>
          </w:p>
        </w:tc>
      </w:tr>
      <w:tr w:rsidR="00C910BC" w14:paraId="3D01D9BF" w14:textId="77777777" w:rsidTr="00BF1894">
        <w:tc>
          <w:tcPr>
            <w:tcW w:w="3960" w:type="dxa"/>
          </w:tcPr>
          <w:p w14:paraId="1C42633C" w14:textId="77777777" w:rsidR="00C910BC" w:rsidRPr="000E6EDF" w:rsidRDefault="00C910BC" w:rsidP="00BF1894">
            <w:pPr>
              <w:jc w:val="both"/>
              <w:rPr>
                <w:rFonts w:cs="Aptos"/>
                <w:color w:val="333333"/>
              </w:rPr>
            </w:pPr>
            <w:r w:rsidRPr="000E6EDF">
              <w:rPr>
                <w:rFonts w:cs="Aptos"/>
                <w:color w:val="333333"/>
              </w:rPr>
              <w:t>Anti-Hybrid mismatch rules</w:t>
            </w:r>
          </w:p>
        </w:tc>
        <w:tc>
          <w:tcPr>
            <w:tcW w:w="9810" w:type="dxa"/>
            <w:gridSpan w:val="2"/>
          </w:tcPr>
          <w:p w14:paraId="39E5B948" w14:textId="77777777" w:rsidR="00C910BC" w:rsidRPr="000E6EDF" w:rsidRDefault="009D50DA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>No</w:t>
            </w:r>
            <w:r w:rsidR="00F50D83">
              <w:rPr>
                <w:rFonts w:cs="Aptos"/>
              </w:rPr>
              <w:t>.</w:t>
            </w:r>
          </w:p>
        </w:tc>
      </w:tr>
      <w:tr w:rsidR="00C876C1" w14:paraId="67E5D29B" w14:textId="77777777" w:rsidTr="00BF1894">
        <w:tc>
          <w:tcPr>
            <w:tcW w:w="3960" w:type="dxa"/>
          </w:tcPr>
          <w:p w14:paraId="0B0B3F05" w14:textId="77777777" w:rsidR="00C876C1" w:rsidRPr="000E6EDF" w:rsidRDefault="00C876C1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  <w:color w:val="333333"/>
              </w:rPr>
              <w:t>Incentives</w:t>
            </w:r>
            <w:r w:rsidR="00E32F70" w:rsidRPr="000E6EDF">
              <w:rPr>
                <w:rFonts w:cs="Aptos"/>
                <w:color w:val="333333"/>
              </w:rPr>
              <w:t xml:space="preserve"> (major incentives, R&amp;D)</w:t>
            </w:r>
          </w:p>
        </w:tc>
        <w:tc>
          <w:tcPr>
            <w:tcW w:w="9810" w:type="dxa"/>
            <w:gridSpan w:val="2"/>
          </w:tcPr>
          <w:p w14:paraId="497D52FF" w14:textId="77777777" w:rsidR="00C876C1" w:rsidRPr="000E6EDF" w:rsidRDefault="00C876C1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>Yes. (</w:t>
            </w:r>
            <w:hyperlink r:id="rId30" w:anchor="section(1)_0" w:history="1">
              <w:r w:rsidR="00400187" w:rsidRPr="000E6EDF">
                <w:rPr>
                  <w:rStyle w:val="Hyperlink"/>
                  <w:kern w:val="2"/>
                </w:rPr>
                <w:t xml:space="preserve">Section </w:t>
              </w:r>
              <w:r w:rsidR="00C7519C" w:rsidRPr="000E6EDF">
                <w:rPr>
                  <w:rStyle w:val="Hyperlink"/>
                </w:rPr>
                <w:t>V.B.1.</w:t>
              </w:r>
            </w:hyperlink>
            <w:r w:rsidRPr="000E6EDF">
              <w:rPr>
                <w:rFonts w:cs="Aptos"/>
              </w:rPr>
              <w:t>)</w:t>
            </w:r>
          </w:p>
        </w:tc>
      </w:tr>
      <w:tr w:rsidR="000A1AF5" w14:paraId="609AEAB1" w14:textId="77777777" w:rsidTr="00BF1894">
        <w:tc>
          <w:tcPr>
            <w:tcW w:w="3960" w:type="dxa"/>
          </w:tcPr>
          <w:p w14:paraId="76CD7991" w14:textId="77777777" w:rsidR="000A1AF5" w:rsidRPr="000E6EDF" w:rsidRDefault="00363E20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>Holding company regime</w:t>
            </w:r>
          </w:p>
        </w:tc>
        <w:tc>
          <w:tcPr>
            <w:tcW w:w="9810" w:type="dxa"/>
            <w:gridSpan w:val="2"/>
          </w:tcPr>
          <w:p w14:paraId="43BDBA25" w14:textId="77777777" w:rsidR="000A1AF5" w:rsidRPr="000E6EDF" w:rsidRDefault="00193C05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>No</w:t>
            </w:r>
            <w:r w:rsidR="00F50D83">
              <w:rPr>
                <w:rFonts w:cs="Aptos"/>
              </w:rPr>
              <w:t>.</w:t>
            </w:r>
          </w:p>
        </w:tc>
      </w:tr>
      <w:tr w:rsidR="00C876C1" w14:paraId="50A7ADF1" w14:textId="77777777" w:rsidTr="00BF1894">
        <w:tc>
          <w:tcPr>
            <w:tcW w:w="3960" w:type="dxa"/>
          </w:tcPr>
          <w:p w14:paraId="322A6C8E" w14:textId="77777777" w:rsidR="00C876C1" w:rsidRPr="000E6EDF" w:rsidRDefault="00B10E08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>Tax consolidation</w:t>
            </w:r>
          </w:p>
        </w:tc>
        <w:tc>
          <w:tcPr>
            <w:tcW w:w="9810" w:type="dxa"/>
            <w:gridSpan w:val="2"/>
          </w:tcPr>
          <w:p w14:paraId="20935EC7" w14:textId="77777777" w:rsidR="00C876C1" w:rsidRPr="000E6EDF" w:rsidRDefault="000D19DB" w:rsidP="000D19DB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>There is no consolidation of profits and losses of different foreign companies controlled by the same</w:t>
            </w:r>
            <w:r w:rsidR="002B69B6" w:rsidRPr="000E6EDF">
              <w:rPr>
                <w:rFonts w:cs="Aptos"/>
              </w:rPr>
              <w:t xml:space="preserve"> </w:t>
            </w:r>
            <w:r w:rsidRPr="000E6EDF">
              <w:rPr>
                <w:rFonts w:cs="Aptos"/>
              </w:rPr>
              <w:t>Brazilian shareholder</w:t>
            </w:r>
            <w:r w:rsidR="00F91263" w:rsidRPr="000E6EDF">
              <w:rPr>
                <w:rFonts w:cs="Aptos"/>
              </w:rPr>
              <w:t>. (</w:t>
            </w:r>
            <w:hyperlink r:id="rId31" w:anchor="section(3)(3)(a)(3)(a)(1)(3)(a)(1)(c)_0" w:history="1">
              <w:r w:rsidR="0019788A" w:rsidRPr="000E6EDF">
                <w:rPr>
                  <w:rStyle w:val="Hyperlink"/>
                  <w:kern w:val="2"/>
                </w:rPr>
                <w:t>Section V.C.3.a.</w:t>
              </w:r>
              <w:r w:rsidR="006F734F" w:rsidRPr="000E6EDF">
                <w:rPr>
                  <w:rStyle w:val="Hyperlink"/>
                </w:rPr>
                <w:t>(1).(c).</w:t>
              </w:r>
            </w:hyperlink>
            <w:r w:rsidR="00F91263" w:rsidRPr="000E6EDF">
              <w:rPr>
                <w:rFonts w:cs="Aptos"/>
              </w:rPr>
              <w:t>)</w:t>
            </w:r>
          </w:p>
        </w:tc>
      </w:tr>
      <w:tr w:rsidR="00091063" w14:paraId="16A99455" w14:textId="77777777" w:rsidTr="00BF1894">
        <w:tc>
          <w:tcPr>
            <w:tcW w:w="3960" w:type="dxa"/>
          </w:tcPr>
          <w:p w14:paraId="4BC8D27D" w14:textId="77777777" w:rsidR="00091063" w:rsidRPr="000E6EDF" w:rsidRDefault="00091063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>M&amp;A</w:t>
            </w:r>
            <w:r w:rsidR="00DB3942" w:rsidRPr="000E6EDF">
              <w:rPr>
                <w:rFonts w:cs="Aptos"/>
              </w:rPr>
              <w:t xml:space="preserve"> regime</w:t>
            </w:r>
          </w:p>
        </w:tc>
        <w:tc>
          <w:tcPr>
            <w:tcW w:w="9810" w:type="dxa"/>
            <w:gridSpan w:val="2"/>
          </w:tcPr>
          <w:p w14:paraId="723FDA60" w14:textId="77777777" w:rsidR="00D33926" w:rsidRPr="000E6EDF" w:rsidRDefault="00AD2B0E" w:rsidP="00367743">
            <w:pPr>
              <w:pStyle w:val="ListParagraph"/>
              <w:spacing w:line="240" w:lineRule="auto"/>
              <w:ind w:left="0"/>
              <w:jc w:val="both"/>
              <w:rPr>
                <w:rFonts w:cs="Aptos"/>
              </w:rPr>
            </w:pPr>
            <w:r>
              <w:rPr>
                <w:rFonts w:cs="Aptos"/>
              </w:rPr>
              <w:t xml:space="preserve">There are rules that restrict and prevent the use of carried forward losses </w:t>
            </w:r>
            <w:r w:rsidR="00D83487">
              <w:rPr>
                <w:rFonts w:cs="Aptos"/>
              </w:rPr>
              <w:t xml:space="preserve">in mergers and </w:t>
            </w:r>
            <w:proofErr w:type="gramStart"/>
            <w:r>
              <w:rPr>
                <w:rFonts w:cs="Aptos"/>
              </w:rPr>
              <w:t>spin offs</w:t>
            </w:r>
            <w:proofErr w:type="gramEnd"/>
            <w:r w:rsidR="00D83487">
              <w:rPr>
                <w:rFonts w:cs="Aptos"/>
              </w:rPr>
              <w:t xml:space="preserve"> (</w:t>
            </w:r>
            <w:r w:rsidR="00DB7C87">
              <w:rPr>
                <w:rFonts w:cs="Aptos"/>
              </w:rPr>
              <w:t xml:space="preserve">in </w:t>
            </w:r>
            <w:r w:rsidR="00D83487">
              <w:rPr>
                <w:rFonts w:cs="Aptos"/>
              </w:rPr>
              <w:t xml:space="preserve">proportion to the amount of net equity transferred to another entity </w:t>
            </w:r>
            <w:r w:rsidR="00DB7C87">
              <w:rPr>
                <w:rFonts w:cs="Aptos"/>
              </w:rPr>
              <w:t xml:space="preserve">in the </w:t>
            </w:r>
            <w:proofErr w:type="gramStart"/>
            <w:r w:rsidR="00DB7C87">
              <w:rPr>
                <w:rFonts w:cs="Aptos"/>
              </w:rPr>
              <w:t>case</w:t>
            </w:r>
            <w:proofErr w:type="gramEnd"/>
            <w:r w:rsidR="00DB7C87">
              <w:rPr>
                <w:rFonts w:cs="Aptos"/>
              </w:rPr>
              <w:t xml:space="preserve"> of a</w:t>
            </w:r>
            <w:r w:rsidR="00D83487">
              <w:rPr>
                <w:rFonts w:cs="Aptos"/>
              </w:rPr>
              <w:t xml:space="preserve"> spin-off)</w:t>
            </w:r>
            <w:r>
              <w:rPr>
                <w:rFonts w:cs="Aptos"/>
              </w:rPr>
              <w:t>.</w:t>
            </w:r>
            <w:r w:rsidR="00367743" w:rsidRPr="000E6EDF">
              <w:rPr>
                <w:rFonts w:cs="Aptos"/>
              </w:rPr>
              <w:t xml:space="preserve"> (</w:t>
            </w:r>
            <w:hyperlink r:id="rId32" w:anchor="section(2)_0" w:history="1">
              <w:r w:rsidR="00367743" w:rsidRPr="000E6EDF">
                <w:rPr>
                  <w:rStyle w:val="Hyperlink"/>
                  <w:rFonts w:cs="Aptos"/>
                </w:rPr>
                <w:t xml:space="preserve">Section </w:t>
              </w:r>
              <w:r w:rsidR="00A355DC" w:rsidRPr="000E6EDF">
                <w:rPr>
                  <w:rStyle w:val="Hyperlink"/>
                  <w:rFonts w:cs="Aptos"/>
                </w:rPr>
                <w:t>V.C.2.</w:t>
              </w:r>
            </w:hyperlink>
            <w:r w:rsidR="00A355DC" w:rsidRPr="000E6EDF">
              <w:rPr>
                <w:rFonts w:cs="Aptos"/>
              </w:rPr>
              <w:t>)</w:t>
            </w:r>
          </w:p>
        </w:tc>
      </w:tr>
      <w:tr w:rsidR="00B67584" w14:paraId="60BC0CDB" w14:textId="77777777" w:rsidTr="00BF1894">
        <w:tc>
          <w:tcPr>
            <w:tcW w:w="3960" w:type="dxa"/>
          </w:tcPr>
          <w:p w14:paraId="02AC334F" w14:textId="77777777" w:rsidR="00B67584" w:rsidRPr="000E6EDF" w:rsidRDefault="00E81D58" w:rsidP="00BF1894">
            <w:pPr>
              <w:jc w:val="both"/>
              <w:rPr>
                <w:rFonts w:cs="Aptos"/>
                <w:highlight w:val="yellow"/>
              </w:rPr>
            </w:pPr>
            <w:r>
              <w:rPr>
                <w:rFonts w:cs="Aptos"/>
              </w:rPr>
              <w:t xml:space="preserve">OECD </w:t>
            </w:r>
            <w:r w:rsidR="00B67584" w:rsidRPr="000E6EDF">
              <w:rPr>
                <w:rFonts w:cs="Aptos"/>
              </w:rPr>
              <w:t>Pillar</w:t>
            </w:r>
            <w:r w:rsidR="00D920FC" w:rsidRPr="000E6EDF">
              <w:rPr>
                <w:rFonts w:cs="Aptos"/>
              </w:rPr>
              <w:t xml:space="preserve"> One and Two</w:t>
            </w:r>
          </w:p>
        </w:tc>
        <w:tc>
          <w:tcPr>
            <w:tcW w:w="9810" w:type="dxa"/>
            <w:gridSpan w:val="2"/>
          </w:tcPr>
          <w:p w14:paraId="23391A8B" w14:textId="77777777" w:rsidR="00B67584" w:rsidRPr="009C08C1" w:rsidRDefault="009A3B38" w:rsidP="00BF1894">
            <w:pPr>
              <w:jc w:val="both"/>
              <w:rPr>
                <w:rFonts w:cs="Aptos"/>
              </w:rPr>
            </w:pPr>
            <w:r>
              <w:t xml:space="preserve">No </w:t>
            </w:r>
            <w:r w:rsidR="00711E1F">
              <w:t xml:space="preserve">legislation </w:t>
            </w:r>
            <w:r>
              <w:t>enacted implementing</w:t>
            </w:r>
            <w:r w:rsidR="00711E1F">
              <w:t xml:space="preserve"> Pillars One and Two</w:t>
            </w:r>
            <w:r>
              <w:t xml:space="preserve">. Legislation </w:t>
            </w:r>
            <w:proofErr w:type="gramStart"/>
            <w:r w:rsidR="00711E1F">
              <w:t>unlikely</w:t>
            </w:r>
            <w:proofErr w:type="gramEnd"/>
            <w:r w:rsidR="00711E1F">
              <w:t xml:space="preserve"> in the short to medium term</w:t>
            </w:r>
            <w:r w:rsidR="00AE0061" w:rsidRPr="009C08C1">
              <w:t>. (</w:t>
            </w:r>
            <w:hyperlink r:id="rId33" w:history="1">
              <w:r w:rsidR="00AE0061" w:rsidRPr="009C08C1">
                <w:rPr>
                  <w:rStyle w:val="Hyperlink"/>
                  <w:kern w:val="2"/>
                </w:rPr>
                <w:t>Section</w:t>
              </w:r>
              <w:r w:rsidR="00AE0061" w:rsidRPr="009C08C1">
                <w:rPr>
                  <w:rStyle w:val="Hyperlink"/>
                </w:rPr>
                <w:t xml:space="preserve"> IV.C.</w:t>
              </w:r>
            </w:hyperlink>
            <w:r w:rsidR="00AE0061" w:rsidRPr="009C08C1">
              <w:t>)</w:t>
            </w:r>
          </w:p>
        </w:tc>
      </w:tr>
      <w:tr w:rsidR="00A4765B" w14:paraId="46EE94FE" w14:textId="77777777" w:rsidTr="00BF1894">
        <w:tc>
          <w:tcPr>
            <w:tcW w:w="3960" w:type="dxa"/>
          </w:tcPr>
          <w:p w14:paraId="29460D8B" w14:textId="77777777" w:rsidR="00A4765B" w:rsidRPr="000E6EDF" w:rsidRDefault="00A4765B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  <w:color w:val="333333"/>
              </w:rPr>
              <w:t>Controlled foreign company regime</w:t>
            </w:r>
          </w:p>
        </w:tc>
        <w:tc>
          <w:tcPr>
            <w:tcW w:w="9810" w:type="dxa"/>
            <w:gridSpan w:val="2"/>
          </w:tcPr>
          <w:p w14:paraId="7F825B1E" w14:textId="77777777" w:rsidR="00A4765B" w:rsidRPr="000E6EDF" w:rsidRDefault="00A4765B" w:rsidP="00BF1894">
            <w:pPr>
              <w:jc w:val="both"/>
              <w:rPr>
                <w:rFonts w:cs="Aptos"/>
                <w:u w:val="single"/>
              </w:rPr>
            </w:pPr>
            <w:r w:rsidRPr="000E6EDF">
              <w:rPr>
                <w:rFonts w:cs="Aptos"/>
              </w:rPr>
              <w:t>Yes. (</w:t>
            </w:r>
            <w:hyperlink r:id="rId34" w:anchor="section(5)_0" w:history="1">
              <w:r w:rsidR="003229EB" w:rsidRPr="000E6EDF">
                <w:rPr>
                  <w:rStyle w:val="Hyperlink"/>
                  <w:kern w:val="2"/>
                </w:rPr>
                <w:t>Section XIII.B.5.</w:t>
              </w:r>
            </w:hyperlink>
            <w:r w:rsidRPr="000E6EDF">
              <w:rPr>
                <w:rFonts w:cs="Aptos"/>
              </w:rPr>
              <w:t>)</w:t>
            </w:r>
          </w:p>
        </w:tc>
      </w:tr>
      <w:tr w:rsidR="00FA379B" w14:paraId="739D7DD5" w14:textId="77777777" w:rsidTr="00BF1894">
        <w:tc>
          <w:tcPr>
            <w:tcW w:w="3960" w:type="dxa"/>
          </w:tcPr>
          <w:p w14:paraId="49D6C14B" w14:textId="77777777" w:rsidR="00FA379B" w:rsidRPr="000E6EDF" w:rsidRDefault="00FA379B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  <w:color w:val="333333"/>
              </w:rPr>
              <w:t>Transfer pricing regime</w:t>
            </w:r>
          </w:p>
        </w:tc>
        <w:tc>
          <w:tcPr>
            <w:tcW w:w="9810" w:type="dxa"/>
            <w:gridSpan w:val="2"/>
          </w:tcPr>
          <w:p w14:paraId="4EC23F19" w14:textId="77777777" w:rsidR="00FA379B" w:rsidRPr="000E6EDF" w:rsidRDefault="00FA379B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>Yes. (</w:t>
            </w:r>
            <w:hyperlink r:id="rId35" w:history="1">
              <w:r w:rsidRPr="000E6EDF">
                <w:rPr>
                  <w:rStyle w:val="Hyperlink"/>
                  <w:rFonts w:cs="Aptos"/>
                </w:rPr>
                <w:t>Section XII</w:t>
              </w:r>
              <w:r w:rsidR="00615775" w:rsidRPr="000E6EDF">
                <w:rPr>
                  <w:rStyle w:val="Hyperlink"/>
                  <w:rFonts w:cs="Aptos"/>
                </w:rPr>
                <w:t>.</w:t>
              </w:r>
            </w:hyperlink>
            <w:r w:rsidRPr="000E6EDF">
              <w:rPr>
                <w:rFonts w:cs="Aptos"/>
              </w:rPr>
              <w:t xml:space="preserve">) </w:t>
            </w:r>
          </w:p>
          <w:p w14:paraId="0CFB8EA8" w14:textId="77777777" w:rsidR="00FA379B" w:rsidRPr="000E6EDF" w:rsidRDefault="00FA379B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  <w:color w:val="333333"/>
              </w:rPr>
              <w:t xml:space="preserve">Country-by-country report: </w:t>
            </w:r>
            <w:r w:rsidRPr="000E6EDF">
              <w:rPr>
                <w:rFonts w:cs="Aptos"/>
              </w:rPr>
              <w:t>Yes. (</w:t>
            </w:r>
            <w:hyperlink r:id="rId36" w:history="1">
              <w:r w:rsidR="00F77727" w:rsidRPr="000E6EDF">
                <w:rPr>
                  <w:rStyle w:val="Hyperlink"/>
                  <w:rFonts w:cs="Aptos"/>
                  <w:kern w:val="2"/>
                </w:rPr>
                <w:t>Worksheet</w:t>
              </w:r>
              <w:r w:rsidR="00F77727" w:rsidRPr="000E6EDF">
                <w:rPr>
                  <w:rStyle w:val="Hyperlink"/>
                  <w:rFonts w:cs="Aptos"/>
                </w:rPr>
                <w:t xml:space="preserve"> 1</w:t>
              </w:r>
            </w:hyperlink>
            <w:r w:rsidRPr="000E6EDF">
              <w:rPr>
                <w:rFonts w:cs="Aptos"/>
              </w:rPr>
              <w:t xml:space="preserve">) </w:t>
            </w:r>
          </w:p>
          <w:p w14:paraId="299C7E14" w14:textId="77777777" w:rsidR="00FA379B" w:rsidRPr="000E6EDF" w:rsidRDefault="00FA379B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 xml:space="preserve">See also </w:t>
            </w:r>
            <w:hyperlink r:id="rId37" w:history="1">
              <w:r w:rsidRPr="000E6EDF">
                <w:rPr>
                  <w:rStyle w:val="Hyperlink"/>
                  <w:rFonts w:cs="Aptos"/>
                </w:rPr>
                <w:t xml:space="preserve">Chapter </w:t>
              </w:r>
              <w:r w:rsidR="0065421F" w:rsidRPr="000E6EDF">
                <w:rPr>
                  <w:rStyle w:val="Hyperlink"/>
                  <w:rFonts w:cs="Aptos"/>
                </w:rPr>
                <w:t>2</w:t>
              </w:r>
              <w:r w:rsidRPr="000E6EDF">
                <w:rPr>
                  <w:rStyle w:val="Hyperlink"/>
                  <w:rFonts w:cs="Aptos"/>
                </w:rPr>
                <w:t>5 of 69</w:t>
              </w:r>
              <w:r w:rsidR="0065421F" w:rsidRPr="000E6EDF">
                <w:rPr>
                  <w:rStyle w:val="Hyperlink"/>
                  <w:rFonts w:cs="Aptos"/>
                </w:rPr>
                <w:t>40</w:t>
              </w:r>
              <w:r w:rsidRPr="000E6EDF">
                <w:rPr>
                  <w:rStyle w:val="Hyperlink"/>
                  <w:rFonts w:cs="Aptos"/>
                </w:rPr>
                <w:t xml:space="preserve"> T.M., Transfer Pricing: Rules and Practice in Selected Countries (</w:t>
              </w:r>
              <w:r w:rsidR="003F23DC" w:rsidRPr="000E6EDF">
                <w:rPr>
                  <w:rStyle w:val="Hyperlink"/>
                  <w:rFonts w:cs="Aptos"/>
                </w:rPr>
                <w:t>A-B</w:t>
              </w:r>
              <w:r w:rsidRPr="000E6EDF">
                <w:rPr>
                  <w:rStyle w:val="Hyperlink"/>
                  <w:rFonts w:cs="Aptos"/>
                </w:rPr>
                <w:t>)</w:t>
              </w:r>
            </w:hyperlink>
            <w:r w:rsidRPr="000E6EDF">
              <w:rPr>
                <w:rFonts w:cs="Aptos"/>
              </w:rPr>
              <w:t xml:space="preserve">. </w:t>
            </w:r>
          </w:p>
        </w:tc>
      </w:tr>
      <w:tr w:rsidR="0043194D" w14:paraId="6B7A14EA" w14:textId="77777777" w:rsidTr="00BF1894">
        <w:tc>
          <w:tcPr>
            <w:tcW w:w="3960" w:type="dxa"/>
          </w:tcPr>
          <w:p w14:paraId="7BF159E6" w14:textId="77777777" w:rsidR="0043194D" w:rsidRPr="000E6EDF" w:rsidRDefault="0043194D" w:rsidP="00BF1894">
            <w:pPr>
              <w:jc w:val="both"/>
              <w:rPr>
                <w:rFonts w:cs="Aptos"/>
                <w:color w:val="333333"/>
              </w:rPr>
            </w:pPr>
            <w:r>
              <w:rPr>
                <w:rFonts w:cs="Aptos"/>
                <w:color w:val="333333"/>
              </w:rPr>
              <w:t>G</w:t>
            </w:r>
            <w:r w:rsidR="00972DBD">
              <w:rPr>
                <w:rFonts w:cs="Aptos"/>
                <w:color w:val="333333"/>
              </w:rPr>
              <w:t>eneral anti-avoidance rule (GAAR)</w:t>
            </w:r>
          </w:p>
        </w:tc>
        <w:tc>
          <w:tcPr>
            <w:tcW w:w="9810" w:type="dxa"/>
            <w:gridSpan w:val="2"/>
          </w:tcPr>
          <w:p w14:paraId="7512C0C4" w14:textId="77777777" w:rsidR="0043194D" w:rsidRPr="000E6EDF" w:rsidRDefault="00972DBD" w:rsidP="00BF1894">
            <w:pPr>
              <w:jc w:val="both"/>
            </w:pPr>
            <w:r>
              <w:t xml:space="preserve">No </w:t>
            </w:r>
            <w:r w:rsidR="00F50D83">
              <w:t xml:space="preserve">domestic law </w:t>
            </w:r>
            <w:r>
              <w:t>GAAR. (</w:t>
            </w:r>
            <w:hyperlink r:id="rId38" w:history="1">
              <w:r w:rsidRPr="00972DBD">
                <w:rPr>
                  <w:rStyle w:val="Hyperlink"/>
                </w:rPr>
                <w:t>Section IV.C.</w:t>
              </w:r>
            </w:hyperlink>
            <w:r>
              <w:t xml:space="preserve">) </w:t>
            </w:r>
          </w:p>
        </w:tc>
      </w:tr>
      <w:tr w:rsidR="00FA379B" w14:paraId="3B5E8602" w14:textId="77777777" w:rsidTr="00BF1894">
        <w:tc>
          <w:tcPr>
            <w:tcW w:w="3960" w:type="dxa"/>
          </w:tcPr>
          <w:p w14:paraId="45813CA2" w14:textId="77777777" w:rsidR="00FA379B" w:rsidRPr="000E6EDF" w:rsidRDefault="00FA379B" w:rsidP="00BF1894">
            <w:pPr>
              <w:jc w:val="both"/>
              <w:rPr>
                <w:rFonts w:cs="Aptos"/>
                <w:color w:val="333333"/>
              </w:rPr>
            </w:pPr>
            <w:r w:rsidRPr="000E6EDF">
              <w:rPr>
                <w:rFonts w:cs="Aptos"/>
                <w:color w:val="333333"/>
              </w:rPr>
              <w:t>Mandatory disclosure regime</w:t>
            </w:r>
          </w:p>
        </w:tc>
        <w:tc>
          <w:tcPr>
            <w:tcW w:w="9810" w:type="dxa"/>
            <w:gridSpan w:val="2"/>
          </w:tcPr>
          <w:p w14:paraId="09FFF4C9" w14:textId="77777777" w:rsidR="00FA379B" w:rsidRPr="000E6EDF" w:rsidRDefault="00D25591" w:rsidP="00BF1894">
            <w:pPr>
              <w:jc w:val="both"/>
              <w:rPr>
                <w:rFonts w:cs="Aptos"/>
              </w:rPr>
            </w:pPr>
            <w:r w:rsidRPr="000E6EDF">
              <w:t>No. (</w:t>
            </w:r>
            <w:hyperlink r:id="rId39" w:history="1">
              <w:r w:rsidRPr="000E6EDF">
                <w:rPr>
                  <w:rStyle w:val="Hyperlink"/>
                  <w:kern w:val="2"/>
                </w:rPr>
                <w:t>Section</w:t>
              </w:r>
              <w:r w:rsidRPr="000E6EDF">
                <w:rPr>
                  <w:rStyle w:val="Hyperlink"/>
                </w:rPr>
                <w:t xml:space="preserve"> IV.C.</w:t>
              </w:r>
            </w:hyperlink>
            <w:r w:rsidRPr="000E6EDF">
              <w:t xml:space="preserve">) </w:t>
            </w:r>
          </w:p>
        </w:tc>
      </w:tr>
      <w:tr w:rsidR="0037226A" w14:paraId="14FA9E0E" w14:textId="77777777" w:rsidTr="00BF1894">
        <w:tc>
          <w:tcPr>
            <w:tcW w:w="3960" w:type="dxa"/>
          </w:tcPr>
          <w:p w14:paraId="3447BD0A" w14:textId="77777777" w:rsidR="0037226A" w:rsidRPr="000E6EDF" w:rsidRDefault="0037226A" w:rsidP="00BF1894">
            <w:pPr>
              <w:jc w:val="both"/>
              <w:rPr>
                <w:rFonts w:cs="Aptos"/>
                <w:color w:val="333333"/>
              </w:rPr>
            </w:pPr>
            <w:r w:rsidRPr="000E6EDF">
              <w:rPr>
                <w:rFonts w:cs="Aptos"/>
                <w:color w:val="333333"/>
              </w:rPr>
              <w:t xml:space="preserve">Foreign tax relief </w:t>
            </w:r>
          </w:p>
        </w:tc>
        <w:tc>
          <w:tcPr>
            <w:tcW w:w="9810" w:type="dxa"/>
            <w:gridSpan w:val="2"/>
          </w:tcPr>
          <w:p w14:paraId="3F2BF8F5" w14:textId="77777777" w:rsidR="0037226A" w:rsidRPr="000E6EDF" w:rsidRDefault="0037226A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 xml:space="preserve">Relief may be granted by way of </w:t>
            </w:r>
            <w:proofErr w:type="gramStart"/>
            <w:r w:rsidRPr="000E6EDF">
              <w:rPr>
                <w:rFonts w:cs="Aptos"/>
              </w:rPr>
              <w:t>a credit</w:t>
            </w:r>
            <w:proofErr w:type="gramEnd"/>
            <w:r w:rsidRPr="000E6EDF">
              <w:rPr>
                <w:rFonts w:cs="Aptos"/>
              </w:rPr>
              <w:t xml:space="preserve"> under the terms of a tax treaty or unilaterally. (</w:t>
            </w:r>
            <w:hyperlink r:id="rId40" w:history="1">
              <w:r w:rsidR="00705B45" w:rsidRPr="000E6EDF">
                <w:rPr>
                  <w:rStyle w:val="Hyperlink"/>
                  <w:rFonts w:cs="Aptos"/>
                  <w:kern w:val="2"/>
                </w:rPr>
                <w:t>Section</w:t>
              </w:r>
              <w:r w:rsidR="00EF692D" w:rsidRPr="000E6EDF">
                <w:rPr>
                  <w:rStyle w:val="Hyperlink"/>
                  <w:rFonts w:cs="Aptos"/>
                </w:rPr>
                <w:t xml:space="preserve"> XIII.A.</w:t>
              </w:r>
            </w:hyperlink>
            <w:r w:rsidR="00EF692D" w:rsidRPr="000E6EDF">
              <w:rPr>
                <w:rFonts w:cs="Aptos"/>
              </w:rPr>
              <w:t>)</w:t>
            </w:r>
          </w:p>
        </w:tc>
      </w:tr>
      <w:tr w:rsidR="0037226A" w14:paraId="06D70637" w14:textId="77777777" w:rsidTr="00972C4F">
        <w:tc>
          <w:tcPr>
            <w:tcW w:w="13770" w:type="dxa"/>
            <w:gridSpan w:val="3"/>
            <w:shd w:val="clear" w:color="auto" w:fill="A6A6A6" w:themeFill="background1" w:themeFillShade="A6"/>
          </w:tcPr>
          <w:p w14:paraId="6D8E4AC3" w14:textId="77777777" w:rsidR="0037226A" w:rsidRPr="007E3F10" w:rsidRDefault="002D4A8E" w:rsidP="00BF1894">
            <w:pPr>
              <w:spacing w:before="120" w:after="120"/>
              <w:jc w:val="both"/>
              <w:rPr>
                <w:rFonts w:cs="Aptos"/>
                <w:color w:val="FFFFFF" w:themeColor="background1"/>
                <w:sz w:val="28"/>
                <w:szCs w:val="28"/>
              </w:rPr>
            </w:pPr>
            <w:r>
              <w:rPr>
                <w:rFonts w:cs="Aptos"/>
                <w:b/>
                <w:bCs/>
                <w:color w:val="FFFFFF" w:themeColor="background1"/>
                <w:sz w:val="28"/>
                <w:szCs w:val="28"/>
              </w:rPr>
              <w:t>Individuals</w:t>
            </w:r>
          </w:p>
        </w:tc>
      </w:tr>
      <w:tr w:rsidR="00A92894" w14:paraId="0000FB8F" w14:textId="77777777" w:rsidTr="00BF1894">
        <w:tc>
          <w:tcPr>
            <w:tcW w:w="3960" w:type="dxa"/>
          </w:tcPr>
          <w:p w14:paraId="02162AB3" w14:textId="77777777" w:rsidR="00A92894" w:rsidRPr="000E6EDF" w:rsidRDefault="00A92894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  <w:color w:val="333333"/>
              </w:rPr>
              <w:t xml:space="preserve"> Personal income tax rates </w:t>
            </w:r>
          </w:p>
        </w:tc>
        <w:tc>
          <w:tcPr>
            <w:tcW w:w="9810" w:type="dxa"/>
            <w:gridSpan w:val="2"/>
          </w:tcPr>
          <w:p w14:paraId="2770C9C7" w14:textId="77777777" w:rsidR="00A92894" w:rsidRPr="000E6EDF" w:rsidRDefault="000531A1" w:rsidP="00BF1894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 xml:space="preserve">R$2,212.01 </w:t>
            </w:r>
            <w:r w:rsidR="005815D3" w:rsidRPr="000E6EDF">
              <w:rPr>
                <w:rFonts w:cs="Aptos"/>
              </w:rPr>
              <w:t>—</w:t>
            </w:r>
            <w:r w:rsidRPr="000E6EDF">
              <w:rPr>
                <w:rFonts w:cs="Aptos"/>
              </w:rPr>
              <w:t xml:space="preserve"> 2,826.65</w:t>
            </w:r>
            <w:r w:rsidR="00A92894" w:rsidRPr="000E6EDF">
              <w:rPr>
                <w:rFonts w:cs="Aptos"/>
              </w:rPr>
              <w:t xml:space="preserve">: </w:t>
            </w:r>
            <w:r w:rsidR="005815D3" w:rsidRPr="000E6EDF">
              <w:rPr>
                <w:rFonts w:cs="Aptos"/>
              </w:rPr>
              <w:t>7.5%</w:t>
            </w:r>
            <w:r w:rsidR="00A92894" w:rsidRPr="000E6EDF">
              <w:rPr>
                <w:rFonts w:cs="Aptos"/>
              </w:rPr>
              <w:t>%</w:t>
            </w:r>
          </w:p>
          <w:p w14:paraId="2CF9AC57" w14:textId="77777777" w:rsidR="00A92894" w:rsidRPr="000E6EDF" w:rsidRDefault="000810B7" w:rsidP="00BF1894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>R$2,826.66 — 3,751.05</w:t>
            </w:r>
            <w:r w:rsidR="00A92894" w:rsidRPr="000E6EDF">
              <w:rPr>
                <w:rFonts w:cs="Aptos"/>
              </w:rPr>
              <w:t xml:space="preserve">: </w:t>
            </w:r>
            <w:r w:rsidRPr="000E6EDF">
              <w:rPr>
                <w:rFonts w:cs="Aptos"/>
              </w:rPr>
              <w:t>15</w:t>
            </w:r>
            <w:r w:rsidR="00A92894" w:rsidRPr="000E6EDF">
              <w:rPr>
                <w:rFonts w:cs="Aptos"/>
              </w:rPr>
              <w:t>%</w:t>
            </w:r>
          </w:p>
          <w:p w14:paraId="0155564F" w14:textId="77777777" w:rsidR="00A92894" w:rsidRPr="000E6EDF" w:rsidRDefault="000810B7" w:rsidP="00BF1894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>R$3,751.06 — 4,664.68</w:t>
            </w:r>
            <w:r w:rsidR="00A92894" w:rsidRPr="000E6EDF">
              <w:rPr>
                <w:rFonts w:cs="Aptos"/>
              </w:rPr>
              <w:t xml:space="preserve">: </w:t>
            </w:r>
            <w:r w:rsidRPr="000E6EDF">
              <w:rPr>
                <w:rFonts w:cs="Aptos"/>
              </w:rPr>
              <w:t>22.5</w:t>
            </w:r>
            <w:r w:rsidR="00A92894" w:rsidRPr="000E6EDF">
              <w:rPr>
                <w:rFonts w:cs="Aptos"/>
              </w:rPr>
              <w:t>%</w:t>
            </w:r>
          </w:p>
          <w:p w14:paraId="41DCB9DD" w14:textId="77777777" w:rsidR="00B00AFE" w:rsidRPr="000E6EDF" w:rsidRDefault="00B00AFE" w:rsidP="00BF1894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>Above R$4,664.68: 27.5%</w:t>
            </w:r>
          </w:p>
          <w:p w14:paraId="4BD330B9" w14:textId="77777777" w:rsidR="00A92894" w:rsidRPr="000E6EDF" w:rsidRDefault="00A92894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 xml:space="preserve">               (</w:t>
            </w:r>
            <w:hyperlink r:id="rId41" w:history="1">
              <w:r w:rsidR="005C158C" w:rsidRPr="000E6EDF">
                <w:rPr>
                  <w:rStyle w:val="Hyperlink"/>
                  <w:rFonts w:cs="Aptos"/>
                  <w:kern w:val="2"/>
                </w:rPr>
                <w:t xml:space="preserve">Section </w:t>
              </w:r>
              <w:r w:rsidR="005C158C" w:rsidRPr="000E6EDF">
                <w:rPr>
                  <w:rStyle w:val="Hyperlink"/>
                  <w:rFonts w:cs="Aptos"/>
                </w:rPr>
                <w:t>IX.</w:t>
              </w:r>
            </w:hyperlink>
            <w:r w:rsidRPr="000E6EDF">
              <w:rPr>
                <w:rFonts w:cs="Aptos"/>
              </w:rPr>
              <w:t>)</w:t>
            </w:r>
          </w:p>
        </w:tc>
      </w:tr>
      <w:tr w:rsidR="00A92894" w14:paraId="69A8646B" w14:textId="77777777" w:rsidTr="00BF1894">
        <w:tc>
          <w:tcPr>
            <w:tcW w:w="3960" w:type="dxa"/>
          </w:tcPr>
          <w:p w14:paraId="40BF41F7" w14:textId="77777777" w:rsidR="00A92894" w:rsidRPr="000E6EDF" w:rsidRDefault="00A92894" w:rsidP="00BF1894">
            <w:pPr>
              <w:jc w:val="both"/>
              <w:rPr>
                <w:rFonts w:cs="Aptos"/>
                <w:color w:val="333333"/>
              </w:rPr>
            </w:pPr>
            <w:r w:rsidRPr="000E6EDF">
              <w:rPr>
                <w:rFonts w:cs="Aptos"/>
              </w:rPr>
              <w:t>Equity incentives</w:t>
            </w:r>
          </w:p>
        </w:tc>
        <w:tc>
          <w:tcPr>
            <w:tcW w:w="9810" w:type="dxa"/>
            <w:gridSpan w:val="2"/>
          </w:tcPr>
          <w:p w14:paraId="0452703C" w14:textId="77777777" w:rsidR="00A92894" w:rsidRPr="000E6EDF" w:rsidRDefault="00DB7C87" w:rsidP="00BF1894">
            <w:pPr>
              <w:jc w:val="both"/>
            </w:pPr>
            <w:r>
              <w:t>There are n</w:t>
            </w:r>
            <w:r w:rsidR="00A341F1">
              <w:t>o incentives for individual</w:t>
            </w:r>
            <w:r>
              <w:t>s</w:t>
            </w:r>
            <w:r w:rsidR="00A341F1">
              <w:t xml:space="preserve"> to invest in</w:t>
            </w:r>
            <w:r w:rsidR="0028272B">
              <w:t xml:space="preserve"> stock</w:t>
            </w:r>
            <w:r w:rsidR="001328F5">
              <w:t>.</w:t>
            </w:r>
          </w:p>
        </w:tc>
      </w:tr>
      <w:tr w:rsidR="00A92894" w14:paraId="71ACFA8E" w14:textId="77777777" w:rsidTr="00BF1894">
        <w:tc>
          <w:tcPr>
            <w:tcW w:w="3960" w:type="dxa"/>
          </w:tcPr>
          <w:p w14:paraId="7C2146AB" w14:textId="77777777" w:rsidR="00A92894" w:rsidRPr="000E6EDF" w:rsidRDefault="00A92894" w:rsidP="00BF1894">
            <w:pPr>
              <w:jc w:val="both"/>
              <w:rPr>
                <w:rFonts w:cs="Aptos"/>
                <w:color w:val="333333"/>
              </w:rPr>
            </w:pPr>
            <w:r w:rsidRPr="000E6EDF">
              <w:rPr>
                <w:rFonts w:cs="Aptos"/>
              </w:rPr>
              <w:t>Foreign tax relief</w:t>
            </w:r>
          </w:p>
        </w:tc>
        <w:tc>
          <w:tcPr>
            <w:tcW w:w="9810" w:type="dxa"/>
            <w:gridSpan w:val="2"/>
          </w:tcPr>
          <w:p w14:paraId="23A0FA3F" w14:textId="77777777" w:rsidR="00A92894" w:rsidRPr="000E6EDF" w:rsidRDefault="00FE1D35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 xml:space="preserve">Brazilian law allows a foreign tax credit </w:t>
            </w:r>
            <w:r w:rsidR="001328F5">
              <w:rPr>
                <w:rFonts w:cs="Aptos"/>
              </w:rPr>
              <w:t xml:space="preserve">only </w:t>
            </w:r>
            <w:r w:rsidRPr="000E6EDF">
              <w:rPr>
                <w:rFonts w:cs="Aptos"/>
              </w:rPr>
              <w:t xml:space="preserve">if the relevant foreign country </w:t>
            </w:r>
            <w:r w:rsidR="001328F5">
              <w:rPr>
                <w:rFonts w:cs="Aptos"/>
              </w:rPr>
              <w:t>provide</w:t>
            </w:r>
            <w:r w:rsidRPr="000E6EDF">
              <w:rPr>
                <w:rFonts w:cs="Aptos"/>
              </w:rPr>
              <w:t>s for reciprocal treatment or if an applicable tax treaty so provides. (</w:t>
            </w:r>
            <w:hyperlink r:id="rId42" w:history="1">
              <w:r w:rsidRPr="000E6EDF">
                <w:rPr>
                  <w:rStyle w:val="Hyperlink"/>
                  <w:rFonts w:cs="Aptos"/>
                  <w:kern w:val="2"/>
                </w:rPr>
                <w:t>Section XIII.A.</w:t>
              </w:r>
            </w:hyperlink>
            <w:r w:rsidRPr="000E6EDF">
              <w:rPr>
                <w:rFonts w:cs="Aptos"/>
              </w:rPr>
              <w:t>)</w:t>
            </w:r>
          </w:p>
        </w:tc>
      </w:tr>
      <w:tr w:rsidR="00560A3C" w14:paraId="0F80F1E7" w14:textId="77777777" w:rsidTr="00BF1894">
        <w:tc>
          <w:tcPr>
            <w:tcW w:w="3960" w:type="dxa"/>
          </w:tcPr>
          <w:p w14:paraId="14151838" w14:textId="77777777" w:rsidR="00560A3C" w:rsidRPr="000E6EDF" w:rsidRDefault="00560A3C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  <w:color w:val="333333"/>
              </w:rPr>
              <w:t xml:space="preserve">Wealth tax </w:t>
            </w:r>
          </w:p>
          <w:p w14:paraId="084ECEED" w14:textId="77777777" w:rsidR="00560A3C" w:rsidRPr="000E6EDF" w:rsidRDefault="00560A3C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  <w:color w:val="333333"/>
              </w:rPr>
              <w:t xml:space="preserve">Inheritance tax </w:t>
            </w:r>
          </w:p>
          <w:p w14:paraId="5264FE83" w14:textId="77777777" w:rsidR="00560A3C" w:rsidRPr="000E6EDF" w:rsidRDefault="00560A3C" w:rsidP="00BF1894">
            <w:pPr>
              <w:jc w:val="both"/>
              <w:rPr>
                <w:rFonts w:cs="Aptos"/>
                <w:color w:val="333333"/>
              </w:rPr>
            </w:pPr>
            <w:r w:rsidRPr="000E6EDF">
              <w:rPr>
                <w:rFonts w:cs="Aptos"/>
                <w:color w:val="333333"/>
              </w:rPr>
              <w:t>Gift tax</w:t>
            </w:r>
          </w:p>
        </w:tc>
        <w:tc>
          <w:tcPr>
            <w:tcW w:w="9810" w:type="dxa"/>
            <w:gridSpan w:val="2"/>
          </w:tcPr>
          <w:p w14:paraId="0784CC13" w14:textId="77777777" w:rsidR="00560A3C" w:rsidRPr="000E6EDF" w:rsidRDefault="00560A3C" w:rsidP="00BF1894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>No wealth tax.</w:t>
            </w:r>
          </w:p>
          <w:p w14:paraId="0C959846" w14:textId="77777777" w:rsidR="00560A3C" w:rsidRPr="000E6EDF" w:rsidRDefault="00223FE9" w:rsidP="00855685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>Yes</w:t>
            </w:r>
            <w:r w:rsidR="0056541E" w:rsidRPr="000E6EDF">
              <w:rPr>
                <w:rFonts w:cs="Aptos"/>
              </w:rPr>
              <w:t xml:space="preserve"> (the rate depends on the State in which the donor or the beneficiary resides).</w:t>
            </w:r>
          </w:p>
          <w:p w14:paraId="61FF5EB7" w14:textId="77777777" w:rsidR="00560A3C" w:rsidRPr="000E6EDF" w:rsidRDefault="00223FE9" w:rsidP="0015661B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>Yes</w:t>
            </w:r>
            <w:r w:rsidR="0056541E" w:rsidRPr="000E6EDF">
              <w:rPr>
                <w:rFonts w:cs="Aptos"/>
              </w:rPr>
              <w:t xml:space="preserve"> (the rate depends on the State in which the donor or the beneficiary resides).</w:t>
            </w:r>
          </w:p>
          <w:p w14:paraId="1CE16F8B" w14:textId="77777777" w:rsidR="00560A3C" w:rsidRPr="000E6EDF" w:rsidRDefault="00560A3C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 xml:space="preserve">               (</w:t>
            </w:r>
            <w:hyperlink r:id="rId43" w:anchor="section(4)_0" w:history="1">
              <w:r w:rsidR="00D443E6" w:rsidRPr="000E6EDF">
                <w:rPr>
                  <w:rStyle w:val="Hyperlink"/>
                  <w:kern w:val="2"/>
                </w:rPr>
                <w:t>Section V.D.4.</w:t>
              </w:r>
              <w:r w:rsidRPr="000E6EDF">
                <w:rPr>
                  <w:rStyle w:val="Hyperlink"/>
                  <w:rFonts w:cs="Aptos"/>
                </w:rPr>
                <w:t>)</w:t>
              </w:r>
            </w:hyperlink>
          </w:p>
        </w:tc>
      </w:tr>
      <w:tr w:rsidR="001538F2" w14:paraId="6736E882" w14:textId="77777777" w:rsidTr="00BF1894">
        <w:tc>
          <w:tcPr>
            <w:tcW w:w="3960" w:type="dxa"/>
          </w:tcPr>
          <w:p w14:paraId="60CCEC8E" w14:textId="77777777" w:rsidR="001538F2" w:rsidRPr="000E6EDF" w:rsidRDefault="001538F2" w:rsidP="00BF1894">
            <w:pPr>
              <w:jc w:val="both"/>
              <w:rPr>
                <w:rFonts w:cs="Aptos"/>
                <w:color w:val="333333"/>
              </w:rPr>
            </w:pPr>
            <w:r w:rsidRPr="000E6EDF">
              <w:rPr>
                <w:rFonts w:cs="Aptos"/>
                <w:color w:val="333333"/>
              </w:rPr>
              <w:t>Exit taxes</w:t>
            </w:r>
          </w:p>
        </w:tc>
        <w:tc>
          <w:tcPr>
            <w:tcW w:w="9810" w:type="dxa"/>
            <w:gridSpan w:val="2"/>
          </w:tcPr>
          <w:p w14:paraId="309BE1EC" w14:textId="77777777" w:rsidR="001538F2" w:rsidRPr="000E6EDF" w:rsidRDefault="00A20455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>No</w:t>
            </w:r>
            <w:r w:rsidR="008437F3" w:rsidRPr="000E6EDF">
              <w:rPr>
                <w:rFonts w:cs="Aptos"/>
              </w:rPr>
              <w:t>.</w:t>
            </w:r>
          </w:p>
        </w:tc>
      </w:tr>
      <w:tr w:rsidR="00560A3C" w14:paraId="70EF82E4" w14:textId="77777777" w:rsidTr="00972C4F">
        <w:tc>
          <w:tcPr>
            <w:tcW w:w="13770" w:type="dxa"/>
            <w:gridSpan w:val="3"/>
            <w:shd w:val="clear" w:color="auto" w:fill="A6A6A6" w:themeFill="background1" w:themeFillShade="A6"/>
          </w:tcPr>
          <w:p w14:paraId="4082B1E5" w14:textId="77777777" w:rsidR="00560A3C" w:rsidRPr="00B94FFF" w:rsidRDefault="00560A3C" w:rsidP="00BF1894">
            <w:pPr>
              <w:spacing w:before="120" w:after="120"/>
              <w:jc w:val="both"/>
              <w:rPr>
                <w:rFonts w:cs="Aptos"/>
                <w:color w:val="FFFFFF" w:themeColor="background1"/>
                <w:sz w:val="28"/>
                <w:szCs w:val="28"/>
              </w:rPr>
            </w:pPr>
            <w:r>
              <w:rPr>
                <w:rFonts w:cs="Aptos"/>
                <w:b/>
                <w:bCs/>
                <w:color w:val="FFFFFF" w:themeColor="background1"/>
                <w:sz w:val="28"/>
                <w:szCs w:val="28"/>
              </w:rPr>
              <w:t>Other Taxes</w:t>
            </w:r>
          </w:p>
        </w:tc>
      </w:tr>
      <w:tr w:rsidR="006E3682" w14:paraId="69E1E9C9" w14:textId="77777777" w:rsidTr="00BF1894">
        <w:tc>
          <w:tcPr>
            <w:tcW w:w="3960" w:type="dxa"/>
          </w:tcPr>
          <w:p w14:paraId="2F7D69D4" w14:textId="77777777" w:rsidR="006E3682" w:rsidRPr="000E6EDF" w:rsidRDefault="00E73024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  <w:color w:val="333333"/>
              </w:rPr>
              <w:t>VAT/GST</w:t>
            </w:r>
            <w:r w:rsidR="009A4B2B" w:rsidRPr="000E6EDF">
              <w:rPr>
                <w:rFonts w:cs="Aptos"/>
                <w:color w:val="333333"/>
              </w:rPr>
              <w:t>/Sales tax</w:t>
            </w:r>
            <w:r w:rsidR="006E3682" w:rsidRPr="000E6EDF">
              <w:rPr>
                <w:rFonts w:cs="Aptos"/>
                <w:color w:val="333333"/>
              </w:rPr>
              <w:t xml:space="preserve"> </w:t>
            </w:r>
          </w:p>
        </w:tc>
        <w:tc>
          <w:tcPr>
            <w:tcW w:w="9810" w:type="dxa"/>
            <w:gridSpan w:val="2"/>
          </w:tcPr>
          <w:p w14:paraId="7951AD5F" w14:textId="77777777" w:rsidR="002161F7" w:rsidRDefault="00AD2B0E" w:rsidP="002161F7">
            <w:pPr>
              <w:jc w:val="both"/>
            </w:pPr>
            <w:r>
              <w:t>T</w:t>
            </w:r>
            <w:r w:rsidR="004905F1" w:rsidRPr="000E6EDF">
              <w:t xml:space="preserve">he Brazilian system comprises both a federal and a state tax that </w:t>
            </w:r>
            <w:r>
              <w:t>operate</w:t>
            </w:r>
            <w:r w:rsidRPr="000E6EDF">
              <w:t xml:space="preserve"> </w:t>
            </w:r>
            <w:r w:rsidR="004905F1" w:rsidRPr="000E6EDF">
              <w:t xml:space="preserve">like a VAT, known as the excise tax on manufactured products </w:t>
            </w:r>
            <w:r>
              <w:t>(IPI</w:t>
            </w:r>
            <w:r w:rsidR="00CB2DED">
              <w:t xml:space="preserve"> – </w:t>
            </w:r>
            <w:r w:rsidR="00A23155">
              <w:t>the</w:t>
            </w:r>
            <w:r w:rsidR="00CB2DED">
              <w:t xml:space="preserve"> rates </w:t>
            </w:r>
            <w:r w:rsidR="00A23155">
              <w:t xml:space="preserve">vary </w:t>
            </w:r>
            <w:r w:rsidR="00CB2DED">
              <w:t>depending on the type of product</w:t>
            </w:r>
            <w:r w:rsidR="00A23155">
              <w:t xml:space="preserve"> and how it is used</w:t>
            </w:r>
            <w:r w:rsidR="00CB2DED">
              <w:t xml:space="preserve"> and </w:t>
            </w:r>
            <w:r w:rsidR="00A23155">
              <w:t xml:space="preserve">the IPI </w:t>
            </w:r>
            <w:r w:rsidR="00CB2DED">
              <w:t xml:space="preserve">may </w:t>
            </w:r>
            <w:r w:rsidR="00A23155">
              <w:t xml:space="preserve">function </w:t>
            </w:r>
            <w:r w:rsidR="00CB2DED">
              <w:t xml:space="preserve">as </w:t>
            </w:r>
            <w:r w:rsidR="009D5269">
              <w:t xml:space="preserve">an </w:t>
            </w:r>
            <w:r w:rsidR="00CB2DED">
              <w:t>excise ta</w:t>
            </w:r>
            <w:r w:rsidR="007C766B">
              <w:t>x</w:t>
            </w:r>
            <w:r>
              <w:t>)</w:t>
            </w:r>
            <w:r w:rsidR="002A3FA9">
              <w:t>, social contributions on revenues (PIS/COFINS – combined rate of 9.25%)</w:t>
            </w:r>
            <w:r>
              <w:t xml:space="preserve"> </w:t>
            </w:r>
            <w:r w:rsidR="004905F1" w:rsidRPr="000E6EDF">
              <w:t xml:space="preserve">and state VAT </w:t>
            </w:r>
            <w:r>
              <w:t xml:space="preserve">(ICMS) </w:t>
            </w:r>
            <w:r w:rsidR="004905F1" w:rsidRPr="000E6EDF">
              <w:t>(</w:t>
            </w:r>
            <w:r w:rsidR="006B1E8B" w:rsidRPr="000E6EDF">
              <w:t xml:space="preserve">levied at </w:t>
            </w:r>
            <w:r w:rsidR="009D5269">
              <w:t xml:space="preserve">rates of </w:t>
            </w:r>
            <w:r w:rsidR="003069A4" w:rsidRPr="000E6EDF">
              <w:t>up to 35%</w:t>
            </w:r>
            <w:r w:rsidR="004905F1" w:rsidRPr="000E6EDF">
              <w:t>)</w:t>
            </w:r>
            <w:r w:rsidR="008616F0">
              <w:t xml:space="preserve">. </w:t>
            </w:r>
            <w:r w:rsidR="003069A4" w:rsidRPr="000E6EDF">
              <w:t>(</w:t>
            </w:r>
            <w:hyperlink r:id="rId44" w:history="1">
              <w:r w:rsidR="003069A4" w:rsidRPr="000E6EDF">
                <w:rPr>
                  <w:rStyle w:val="Hyperlink"/>
                  <w:kern w:val="2"/>
                </w:rPr>
                <w:t xml:space="preserve">Section </w:t>
              </w:r>
              <w:r w:rsidR="002E5871" w:rsidRPr="000E6EDF">
                <w:rPr>
                  <w:rStyle w:val="Hyperlink"/>
                </w:rPr>
                <w:t>V.B.</w:t>
              </w:r>
            </w:hyperlink>
            <w:r w:rsidR="002E5871" w:rsidRPr="000E6EDF">
              <w:t>)</w:t>
            </w:r>
            <w:r w:rsidR="002161F7">
              <w:t xml:space="preserve"> </w:t>
            </w:r>
          </w:p>
          <w:p w14:paraId="4D752107" w14:textId="77777777" w:rsidR="004905F1" w:rsidRPr="000E6EDF" w:rsidRDefault="002161F7" w:rsidP="002161F7">
            <w:pPr>
              <w:jc w:val="both"/>
            </w:pPr>
            <w:r>
              <w:t xml:space="preserve">Constitutional Amendment no. 132/2023 approved a tax reform to replace </w:t>
            </w:r>
            <w:r w:rsidR="009816CF">
              <w:t xml:space="preserve">these </w:t>
            </w:r>
            <w:r>
              <w:t xml:space="preserve">existing taxes </w:t>
            </w:r>
            <w:r w:rsidR="009D5269">
              <w:t>with</w:t>
            </w:r>
            <w:r>
              <w:t xml:space="preserve"> two VATs</w:t>
            </w:r>
            <w:r w:rsidR="009D5269">
              <w:t xml:space="preserve">, </w:t>
            </w:r>
            <w:r>
              <w:t>CBS (Contribution on Goods and Services, federal level) and IBS (Tax on Goods and Services – State/Municipal levels)</w:t>
            </w:r>
            <w:r w:rsidR="00AD728B">
              <w:t xml:space="preserve">, and one excise tax </w:t>
            </w:r>
            <w:r w:rsidR="0030171A">
              <w:t xml:space="preserve">(IS) levied on goods and services that can be harmful to health or </w:t>
            </w:r>
            <w:r w:rsidR="009D5269">
              <w:t xml:space="preserve">the </w:t>
            </w:r>
            <w:r w:rsidR="0030171A">
              <w:t>environment</w:t>
            </w:r>
            <w:r>
              <w:t xml:space="preserve">. The replacement </w:t>
            </w:r>
            <w:r w:rsidR="004F04D1">
              <w:t xml:space="preserve">process </w:t>
            </w:r>
            <w:r>
              <w:t xml:space="preserve">will start in 2026 and </w:t>
            </w:r>
            <w:r w:rsidR="004F04D1">
              <w:t>be complete</w:t>
            </w:r>
            <w:r w:rsidR="00282B27">
              <w:t>d</w:t>
            </w:r>
            <w:r>
              <w:t xml:space="preserve"> in 2032. The legislation that creat</w:t>
            </w:r>
            <w:r w:rsidR="0030171A">
              <w:t>es</w:t>
            </w:r>
            <w:r>
              <w:t xml:space="preserve"> these taxes is yet to be approved</w:t>
            </w:r>
            <w:r w:rsidR="006A35FC">
              <w:t xml:space="preserve">. </w:t>
            </w:r>
          </w:p>
          <w:p w14:paraId="2180EBC7" w14:textId="77777777" w:rsidR="006E3682" w:rsidRPr="000E6EDF" w:rsidRDefault="006E3682" w:rsidP="00BF1894">
            <w:pPr>
              <w:jc w:val="both"/>
              <w:rPr>
                <w:rFonts w:cs="Aptos"/>
              </w:rPr>
            </w:pPr>
            <w:r w:rsidRPr="000E6EDF">
              <w:t xml:space="preserve">For further research on </w:t>
            </w:r>
            <w:r w:rsidR="00291F20" w:rsidRPr="000E6EDF">
              <w:t>Brazil</w:t>
            </w:r>
            <w:r w:rsidRPr="000E6EDF">
              <w:t xml:space="preserve">’s VAT system, see also the </w:t>
            </w:r>
            <w:hyperlink r:id="rId45" w:history="1">
              <w:r w:rsidRPr="000E6EDF">
                <w:rPr>
                  <w:rStyle w:val="Hyperlink"/>
                </w:rPr>
                <w:t>VAT Navigator</w:t>
              </w:r>
            </w:hyperlink>
            <w:r w:rsidRPr="000E6EDF">
              <w:t>.</w:t>
            </w:r>
          </w:p>
        </w:tc>
      </w:tr>
      <w:tr w:rsidR="00754F54" w14:paraId="09A89909" w14:textId="77777777" w:rsidTr="00BF1894">
        <w:tc>
          <w:tcPr>
            <w:tcW w:w="3960" w:type="dxa"/>
          </w:tcPr>
          <w:p w14:paraId="1AD2C293" w14:textId="77777777" w:rsidR="00754F54" w:rsidRPr="000E6EDF" w:rsidRDefault="00754F54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  <w:color w:val="333333"/>
              </w:rPr>
              <w:t xml:space="preserve">Digital services tax </w:t>
            </w:r>
          </w:p>
        </w:tc>
        <w:tc>
          <w:tcPr>
            <w:tcW w:w="9810" w:type="dxa"/>
            <w:gridSpan w:val="2"/>
          </w:tcPr>
          <w:p w14:paraId="227F533A" w14:textId="77777777" w:rsidR="00754F54" w:rsidRPr="000E6EDF" w:rsidRDefault="004F04D1" w:rsidP="000C3D90">
            <w:pPr>
              <w:jc w:val="both"/>
              <w:rPr>
                <w:rFonts w:cs="Aptos"/>
              </w:rPr>
            </w:pPr>
            <w:r>
              <w:rPr>
                <w:rFonts w:cs="Aptos"/>
              </w:rPr>
              <w:t xml:space="preserve">Payments for </w:t>
            </w:r>
            <w:r w:rsidR="00776C7F">
              <w:rPr>
                <w:rFonts w:cs="Aptos"/>
              </w:rPr>
              <w:t>all</w:t>
            </w:r>
            <w:r w:rsidR="00EC37ED" w:rsidRPr="000E6EDF">
              <w:rPr>
                <w:rFonts w:cs="Aptos"/>
              </w:rPr>
              <w:t xml:space="preserve"> services, including digital </w:t>
            </w:r>
            <w:r w:rsidR="00776C7F">
              <w:rPr>
                <w:rFonts w:cs="Aptos"/>
              </w:rPr>
              <w:t>servic</w:t>
            </w:r>
            <w:r w:rsidR="00EC37ED" w:rsidRPr="000E6EDF">
              <w:rPr>
                <w:rFonts w:cs="Aptos"/>
              </w:rPr>
              <w:t xml:space="preserve">es, in Brazil are subject to </w:t>
            </w:r>
            <w:r>
              <w:rPr>
                <w:rFonts w:cs="Aptos"/>
              </w:rPr>
              <w:t xml:space="preserve">a </w:t>
            </w:r>
            <w:r w:rsidR="00EC37ED" w:rsidRPr="000E6EDF">
              <w:rPr>
                <w:rFonts w:cs="Aptos"/>
              </w:rPr>
              <w:t xml:space="preserve">15% withholding income tax and </w:t>
            </w:r>
            <w:r>
              <w:rPr>
                <w:rFonts w:cs="Aptos"/>
              </w:rPr>
              <w:t xml:space="preserve">a </w:t>
            </w:r>
            <w:r w:rsidR="0054680B">
              <w:rPr>
                <w:rFonts w:cs="Aptos"/>
              </w:rPr>
              <w:t xml:space="preserve">5% </w:t>
            </w:r>
            <w:r w:rsidR="00EC37ED" w:rsidRPr="000E6EDF">
              <w:rPr>
                <w:rFonts w:cs="Aptos"/>
              </w:rPr>
              <w:t>withholding</w:t>
            </w:r>
            <w:r w:rsidR="000C3D90" w:rsidRPr="000E6EDF">
              <w:rPr>
                <w:rFonts w:cs="Aptos"/>
              </w:rPr>
              <w:t xml:space="preserve"> </w:t>
            </w:r>
            <w:r w:rsidR="00EC37ED" w:rsidRPr="000E6EDF">
              <w:rPr>
                <w:rFonts w:cs="Aptos"/>
              </w:rPr>
              <w:t>service tax</w:t>
            </w:r>
            <w:r w:rsidR="0054680B">
              <w:rPr>
                <w:rFonts w:cs="Aptos"/>
              </w:rPr>
              <w:t xml:space="preserve"> when </w:t>
            </w:r>
            <w:r w:rsidR="00776C7F">
              <w:rPr>
                <w:rFonts w:cs="Aptos"/>
              </w:rPr>
              <w:t>made</w:t>
            </w:r>
            <w:r w:rsidR="0054680B">
              <w:rPr>
                <w:rFonts w:cs="Aptos"/>
              </w:rPr>
              <w:t xml:space="preserve"> to a nonresident beneficiary</w:t>
            </w:r>
            <w:r w:rsidR="00754F54" w:rsidRPr="000E6EDF">
              <w:rPr>
                <w:rFonts w:cs="Aptos"/>
              </w:rPr>
              <w:t>. (</w:t>
            </w:r>
            <w:hyperlink r:id="rId46" w:history="1">
              <w:r w:rsidR="00754F54" w:rsidRPr="000E6EDF">
                <w:rPr>
                  <w:rStyle w:val="Hyperlink"/>
                  <w:rFonts w:cs="Aptos"/>
                </w:rPr>
                <w:t>Section IV.</w:t>
              </w:r>
              <w:r w:rsidR="004F4D8A" w:rsidRPr="000E6EDF">
                <w:rPr>
                  <w:rStyle w:val="Hyperlink"/>
                  <w:rFonts w:cs="Aptos"/>
                </w:rPr>
                <w:t>C</w:t>
              </w:r>
              <w:r w:rsidR="00754F54" w:rsidRPr="000E6EDF">
                <w:rPr>
                  <w:rStyle w:val="Hyperlink"/>
                  <w:rFonts w:cs="Aptos"/>
                </w:rPr>
                <w:t>.</w:t>
              </w:r>
            </w:hyperlink>
            <w:r w:rsidR="00754F54" w:rsidRPr="000E6EDF">
              <w:rPr>
                <w:rFonts w:cs="Aptos"/>
              </w:rPr>
              <w:t>)</w:t>
            </w:r>
          </w:p>
        </w:tc>
      </w:tr>
      <w:tr w:rsidR="00995520" w14:paraId="1989B9D6" w14:textId="77777777" w:rsidTr="00BF1894">
        <w:tc>
          <w:tcPr>
            <w:tcW w:w="3960" w:type="dxa"/>
          </w:tcPr>
          <w:p w14:paraId="2403B441" w14:textId="77777777" w:rsidR="00995520" w:rsidRPr="000E6EDF" w:rsidRDefault="00995520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  <w:color w:val="333333"/>
              </w:rPr>
              <w:t xml:space="preserve">Local taxes </w:t>
            </w:r>
          </w:p>
        </w:tc>
        <w:tc>
          <w:tcPr>
            <w:tcW w:w="9810" w:type="dxa"/>
            <w:gridSpan w:val="2"/>
          </w:tcPr>
          <w:p w14:paraId="3D26EE1E" w14:textId="77777777" w:rsidR="00995520" w:rsidRPr="000E6EDF" w:rsidRDefault="000C3579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>S</w:t>
            </w:r>
            <w:r w:rsidRPr="000E6EDF">
              <w:t>everal state and municipal taxes apply</w:t>
            </w:r>
            <w:r w:rsidR="00995520" w:rsidRPr="000E6EDF">
              <w:rPr>
                <w:rFonts w:cs="Aptos"/>
              </w:rPr>
              <w:t>. (</w:t>
            </w:r>
            <w:hyperlink r:id="rId47" w:history="1">
              <w:r w:rsidR="00133D4E" w:rsidRPr="000E6EDF">
                <w:rPr>
                  <w:rStyle w:val="Hyperlink"/>
                  <w:kern w:val="2"/>
                </w:rPr>
                <w:t>Section I</w:t>
              </w:r>
              <w:r w:rsidR="00133D4E" w:rsidRPr="000E6EDF">
                <w:rPr>
                  <w:rStyle w:val="Hyperlink"/>
                </w:rPr>
                <w:t>V.B.</w:t>
              </w:r>
            </w:hyperlink>
            <w:r w:rsidR="00995520" w:rsidRPr="000E6EDF">
              <w:rPr>
                <w:rFonts w:cs="Aptos"/>
              </w:rPr>
              <w:t>)</w:t>
            </w:r>
          </w:p>
        </w:tc>
      </w:tr>
      <w:tr w:rsidR="00995520" w14:paraId="61EF00C6" w14:textId="77777777" w:rsidTr="00972C4F">
        <w:tc>
          <w:tcPr>
            <w:tcW w:w="13770" w:type="dxa"/>
            <w:gridSpan w:val="3"/>
            <w:shd w:val="clear" w:color="auto" w:fill="A6A6A6" w:themeFill="background1" w:themeFillShade="A6"/>
          </w:tcPr>
          <w:p w14:paraId="53AAFE6A" w14:textId="77777777" w:rsidR="00995520" w:rsidRPr="00186C64" w:rsidRDefault="00995520" w:rsidP="00BF1894">
            <w:pPr>
              <w:spacing w:before="120" w:after="120"/>
              <w:jc w:val="both"/>
              <w:rPr>
                <w:rFonts w:cs="Aptos"/>
                <w:b/>
                <w:bCs/>
                <w:sz w:val="21"/>
                <w:szCs w:val="21"/>
              </w:rPr>
            </w:pPr>
            <w:r w:rsidRPr="007C0543">
              <w:rPr>
                <w:rFonts w:cs="Aptos"/>
                <w:b/>
                <w:bCs/>
                <w:color w:val="FFFFFF" w:themeColor="background1"/>
                <w:sz w:val="28"/>
                <w:szCs w:val="28"/>
              </w:rPr>
              <w:t>Administrative</w:t>
            </w:r>
          </w:p>
        </w:tc>
      </w:tr>
      <w:tr w:rsidR="00236134" w14:paraId="4E75005D" w14:textId="77777777" w:rsidTr="00BF1894">
        <w:tc>
          <w:tcPr>
            <w:tcW w:w="3960" w:type="dxa"/>
            <w:hideMark/>
          </w:tcPr>
          <w:p w14:paraId="28FD84B9" w14:textId="77777777" w:rsidR="00236134" w:rsidRPr="000E6EDF" w:rsidRDefault="00236134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  <w:color w:val="333333"/>
              </w:rPr>
              <w:t xml:space="preserve">Standard tax return filing date </w:t>
            </w:r>
          </w:p>
        </w:tc>
        <w:tc>
          <w:tcPr>
            <w:tcW w:w="9810" w:type="dxa"/>
            <w:gridSpan w:val="2"/>
            <w:hideMark/>
          </w:tcPr>
          <w:p w14:paraId="20D96A0D" w14:textId="77777777" w:rsidR="00236134" w:rsidRPr="000E6EDF" w:rsidRDefault="00327F16" w:rsidP="00D760CF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 xml:space="preserve">Corporate Income Tax Return: </w:t>
            </w:r>
            <w:r w:rsidR="002E3E80" w:rsidRPr="000E6EDF">
              <w:rPr>
                <w:rFonts w:cs="Aptos"/>
              </w:rPr>
              <w:t>filed for each calendar year (January 1 to</w:t>
            </w:r>
            <w:r w:rsidR="00EE5932" w:rsidRPr="000E6EDF">
              <w:rPr>
                <w:rFonts w:cs="Aptos"/>
              </w:rPr>
              <w:t xml:space="preserve"> </w:t>
            </w:r>
            <w:r w:rsidR="002E3E80" w:rsidRPr="000E6EDF">
              <w:rPr>
                <w:rFonts w:cs="Aptos"/>
              </w:rPr>
              <w:t>December 31) by the last business day of July of the following year, even if the company concerned adopts a</w:t>
            </w:r>
            <w:r w:rsidR="00EE5932" w:rsidRPr="000E6EDF">
              <w:rPr>
                <w:rFonts w:cs="Aptos"/>
              </w:rPr>
              <w:t xml:space="preserve"> </w:t>
            </w:r>
            <w:r w:rsidR="002E3E80" w:rsidRPr="000E6EDF">
              <w:rPr>
                <w:rFonts w:cs="Aptos"/>
              </w:rPr>
              <w:t>different fiscal year for corporate purposes</w:t>
            </w:r>
            <w:r w:rsidR="00282B27">
              <w:rPr>
                <w:rFonts w:cs="Aptos"/>
              </w:rPr>
              <w:t>.</w:t>
            </w:r>
            <w:r w:rsidR="00EE5932" w:rsidRPr="000E6EDF">
              <w:rPr>
                <w:rFonts w:cs="Aptos"/>
              </w:rPr>
              <w:t xml:space="preserve"> (</w:t>
            </w:r>
            <w:hyperlink r:id="rId48" w:anchor="section(4)(4)(a)_0" w:history="1">
              <w:r w:rsidR="00EE5932" w:rsidRPr="000E6EDF">
                <w:rPr>
                  <w:rStyle w:val="Hyperlink"/>
                  <w:rFonts w:cs="Aptos"/>
                </w:rPr>
                <w:t xml:space="preserve">Section </w:t>
              </w:r>
              <w:r w:rsidR="008C02C0" w:rsidRPr="000E6EDF">
                <w:rPr>
                  <w:rStyle w:val="Hyperlink"/>
                  <w:rFonts w:cs="Aptos"/>
                </w:rPr>
                <w:t>V.F.4.a.</w:t>
              </w:r>
            </w:hyperlink>
            <w:hyperlink r:id="rId49" w:anchor="section(9)(9)(a)_0" w:history="1"/>
            <w:r w:rsidR="00236134" w:rsidRPr="000E6EDF">
              <w:rPr>
                <w:rFonts w:cs="Aptos"/>
              </w:rPr>
              <w:t>)</w:t>
            </w:r>
          </w:p>
          <w:p w14:paraId="4FC63B14" w14:textId="77777777" w:rsidR="00236134" w:rsidRPr="000E6EDF" w:rsidRDefault="00236134" w:rsidP="00BF189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>Individual Income Tax Return</w:t>
            </w:r>
            <w:r w:rsidR="00327F16" w:rsidRPr="000E6EDF">
              <w:rPr>
                <w:rFonts w:cs="Aptos"/>
              </w:rPr>
              <w:t xml:space="preserve">: </w:t>
            </w:r>
            <w:r w:rsidR="00F82856" w:rsidRPr="000E6EDF">
              <w:rPr>
                <w:rFonts w:cs="Aptos"/>
              </w:rPr>
              <w:t xml:space="preserve">Residents must file a tax return annually by the last business day of April of the following year. </w:t>
            </w:r>
            <w:r w:rsidR="00FE720F">
              <w:rPr>
                <w:rFonts w:cs="Aptos"/>
              </w:rPr>
              <w:t xml:space="preserve">In recent years, </w:t>
            </w:r>
            <w:r w:rsidR="00776C7F">
              <w:rPr>
                <w:rFonts w:cs="Aptos"/>
              </w:rPr>
              <w:t>because of</w:t>
            </w:r>
            <w:r w:rsidR="00FE720F">
              <w:rPr>
                <w:rFonts w:cs="Aptos"/>
              </w:rPr>
              <w:t xml:space="preserve"> the pandemic and other factors, the RFB </w:t>
            </w:r>
            <w:r w:rsidR="00C6189C">
              <w:rPr>
                <w:rFonts w:cs="Aptos"/>
              </w:rPr>
              <w:t>ha</w:t>
            </w:r>
            <w:r w:rsidR="00776C7F">
              <w:rPr>
                <w:rFonts w:cs="Aptos"/>
              </w:rPr>
              <w:t>s</w:t>
            </w:r>
            <w:r w:rsidR="00C6189C">
              <w:rPr>
                <w:rFonts w:cs="Aptos"/>
              </w:rPr>
              <w:t xml:space="preserve"> </w:t>
            </w:r>
            <w:r w:rsidR="00FE720F">
              <w:rPr>
                <w:rFonts w:cs="Aptos"/>
              </w:rPr>
              <w:t xml:space="preserve">postponed the filing </w:t>
            </w:r>
            <w:r w:rsidR="00776C7F">
              <w:rPr>
                <w:rFonts w:cs="Aptos"/>
              </w:rPr>
              <w:t xml:space="preserve">deadline </w:t>
            </w:r>
            <w:r w:rsidR="00FE720F">
              <w:rPr>
                <w:rFonts w:cs="Aptos"/>
              </w:rPr>
              <w:t xml:space="preserve">to </w:t>
            </w:r>
            <w:r w:rsidR="00776C7F">
              <w:rPr>
                <w:rFonts w:cs="Aptos"/>
              </w:rPr>
              <w:t xml:space="preserve">the </w:t>
            </w:r>
            <w:r w:rsidR="00FE720F">
              <w:rPr>
                <w:rFonts w:cs="Aptos"/>
              </w:rPr>
              <w:t>end of May</w:t>
            </w:r>
            <w:r w:rsidR="00C6189C">
              <w:rPr>
                <w:rFonts w:cs="Aptos"/>
              </w:rPr>
              <w:t xml:space="preserve">, but </w:t>
            </w:r>
            <w:r w:rsidR="00D85A3E">
              <w:rPr>
                <w:rFonts w:cs="Aptos"/>
              </w:rPr>
              <w:t>ha</w:t>
            </w:r>
            <w:r w:rsidR="00BD1697">
              <w:rPr>
                <w:rFonts w:cs="Aptos"/>
              </w:rPr>
              <w:t>s</w:t>
            </w:r>
            <w:r w:rsidR="00D85A3E">
              <w:rPr>
                <w:rFonts w:cs="Aptos"/>
              </w:rPr>
              <w:t xml:space="preserve"> offered </w:t>
            </w:r>
            <w:r w:rsidR="00C6189C">
              <w:rPr>
                <w:rFonts w:cs="Aptos"/>
              </w:rPr>
              <w:t xml:space="preserve">no assurance </w:t>
            </w:r>
            <w:r w:rsidR="00D85A3E">
              <w:rPr>
                <w:rFonts w:cs="Aptos"/>
              </w:rPr>
              <w:t xml:space="preserve">to the effect </w:t>
            </w:r>
            <w:r w:rsidR="00C6189C">
              <w:rPr>
                <w:rFonts w:cs="Aptos"/>
              </w:rPr>
              <w:t xml:space="preserve">that </w:t>
            </w:r>
            <w:r w:rsidR="00D85A3E">
              <w:rPr>
                <w:rFonts w:cs="Aptos"/>
              </w:rPr>
              <w:t>it</w:t>
            </w:r>
            <w:r w:rsidR="00C6189C">
              <w:rPr>
                <w:rFonts w:cs="Aptos"/>
              </w:rPr>
              <w:t xml:space="preserve"> will continue to do so in </w:t>
            </w:r>
            <w:r w:rsidR="00D85A3E">
              <w:rPr>
                <w:rFonts w:cs="Aptos"/>
              </w:rPr>
              <w:t>future</w:t>
            </w:r>
            <w:r w:rsidR="00C6189C">
              <w:rPr>
                <w:rFonts w:cs="Aptos"/>
              </w:rPr>
              <w:t xml:space="preserve"> years</w:t>
            </w:r>
            <w:r w:rsidR="00FE720F">
              <w:rPr>
                <w:rFonts w:cs="Aptos"/>
              </w:rPr>
              <w:t xml:space="preserve"> </w:t>
            </w:r>
            <w:r w:rsidR="00F82856" w:rsidRPr="000E6EDF">
              <w:rPr>
                <w:rFonts w:cs="Aptos"/>
              </w:rPr>
              <w:t>(</w:t>
            </w:r>
            <w:hyperlink r:id="rId50" w:history="1">
              <w:r w:rsidR="00F82856" w:rsidRPr="00AE5374">
                <w:rPr>
                  <w:rStyle w:val="Hyperlink"/>
                  <w:rFonts w:cs="Aptos"/>
                </w:rPr>
                <w:t xml:space="preserve">Section </w:t>
              </w:r>
              <w:r w:rsidR="00CE7BC9" w:rsidRPr="00AE5374">
                <w:rPr>
                  <w:rStyle w:val="Hyperlink"/>
                  <w:rFonts w:cs="Aptos"/>
                </w:rPr>
                <w:t>IX.</w:t>
              </w:r>
            </w:hyperlink>
            <w:r w:rsidR="00CE7BC9" w:rsidRPr="000E6EDF">
              <w:rPr>
                <w:rFonts w:cs="Aptos"/>
              </w:rPr>
              <w:t>)</w:t>
            </w:r>
          </w:p>
          <w:p w14:paraId="02D55D9D" w14:textId="77777777" w:rsidR="00236134" w:rsidRPr="000E6EDF" w:rsidRDefault="00236134" w:rsidP="00BF1894">
            <w:pPr>
              <w:jc w:val="both"/>
              <w:rPr>
                <w:rFonts w:cs="Aptos"/>
              </w:rPr>
            </w:pPr>
          </w:p>
        </w:tc>
      </w:tr>
      <w:tr w:rsidR="00236134" w14:paraId="64394853" w14:textId="77777777" w:rsidTr="00BF1894">
        <w:tc>
          <w:tcPr>
            <w:tcW w:w="3960" w:type="dxa"/>
            <w:hideMark/>
          </w:tcPr>
          <w:p w14:paraId="799BCFB1" w14:textId="77777777" w:rsidR="00236134" w:rsidRPr="000E6EDF" w:rsidRDefault="00236134" w:rsidP="00BF1894">
            <w:pPr>
              <w:jc w:val="both"/>
              <w:rPr>
                <w:rFonts w:cs="Aptos"/>
              </w:rPr>
            </w:pPr>
            <w:r w:rsidRPr="000E6EDF">
              <w:rPr>
                <w:rFonts w:cs="Aptos"/>
                <w:color w:val="333333"/>
              </w:rPr>
              <w:t>Limitation period for assessment</w:t>
            </w:r>
          </w:p>
        </w:tc>
        <w:tc>
          <w:tcPr>
            <w:tcW w:w="9810" w:type="dxa"/>
            <w:gridSpan w:val="2"/>
            <w:hideMark/>
          </w:tcPr>
          <w:p w14:paraId="697BBD52" w14:textId="77777777" w:rsidR="00236134" w:rsidRPr="000E6EDF" w:rsidRDefault="00635919" w:rsidP="00635919">
            <w:pPr>
              <w:pStyle w:val="ListParagraph"/>
              <w:spacing w:line="240" w:lineRule="auto"/>
              <w:ind w:left="0"/>
              <w:jc w:val="both"/>
              <w:rPr>
                <w:rFonts w:cs="Aptos"/>
              </w:rPr>
            </w:pPr>
            <w:r w:rsidRPr="000E6EDF">
              <w:rPr>
                <w:rFonts w:cs="Aptos"/>
              </w:rPr>
              <w:t>The tax authorities may issue tax assessments or supplemental assessments within a five-year period starting from the date on which the tax should have been paid and/or the date when the applicable tax return was filed.</w:t>
            </w:r>
            <w:r w:rsidR="00B3787C" w:rsidRPr="000E6EDF">
              <w:rPr>
                <w:rFonts w:cs="Aptos"/>
              </w:rPr>
              <w:t xml:space="preserve"> (</w:t>
            </w:r>
            <w:hyperlink r:id="rId51" w:history="1">
              <w:r w:rsidR="00B3787C" w:rsidRPr="000E6EDF">
                <w:rPr>
                  <w:rStyle w:val="Hyperlink"/>
                  <w:rFonts w:cs="Aptos"/>
                </w:rPr>
                <w:t>Section IV.D.</w:t>
              </w:r>
            </w:hyperlink>
            <w:r w:rsidR="00B3787C" w:rsidRPr="000E6EDF">
              <w:rPr>
                <w:rFonts w:cs="Aptos"/>
              </w:rPr>
              <w:t>)</w:t>
            </w:r>
          </w:p>
          <w:p w14:paraId="4B1AF517" w14:textId="77777777" w:rsidR="00236134" w:rsidRPr="000E6EDF" w:rsidRDefault="00236134" w:rsidP="00BF1894">
            <w:pPr>
              <w:pStyle w:val="ListParagraph"/>
              <w:spacing w:line="240" w:lineRule="auto"/>
              <w:jc w:val="both"/>
              <w:rPr>
                <w:rFonts w:cs="Aptos"/>
              </w:rPr>
            </w:pPr>
          </w:p>
        </w:tc>
      </w:tr>
      <w:tr w:rsidR="00236134" w:rsidRPr="00642620" w14:paraId="4194C389" w14:textId="77777777" w:rsidTr="00BF1894">
        <w:tc>
          <w:tcPr>
            <w:tcW w:w="3960" w:type="dxa"/>
          </w:tcPr>
          <w:p w14:paraId="0498713F" w14:textId="77777777" w:rsidR="00236134" w:rsidRPr="000E6EDF" w:rsidRDefault="00236134" w:rsidP="00BF1894">
            <w:pPr>
              <w:jc w:val="both"/>
              <w:rPr>
                <w:rFonts w:cs="Aptos"/>
                <w:color w:val="333333"/>
              </w:rPr>
            </w:pPr>
            <w:r w:rsidRPr="000E6EDF">
              <w:rPr>
                <w:rFonts w:cs="Aptos"/>
                <w:color w:val="333333"/>
              </w:rPr>
              <w:t>Advance tax rulings</w:t>
            </w:r>
            <w:r w:rsidR="00642620" w:rsidRPr="000E6EDF">
              <w:rPr>
                <w:rFonts w:cs="Aptos"/>
                <w:color w:val="333333"/>
              </w:rPr>
              <w:t xml:space="preserve">. </w:t>
            </w:r>
          </w:p>
        </w:tc>
        <w:tc>
          <w:tcPr>
            <w:tcW w:w="9810" w:type="dxa"/>
            <w:gridSpan w:val="2"/>
          </w:tcPr>
          <w:p w14:paraId="673D303D" w14:textId="77777777" w:rsidR="00236134" w:rsidRDefault="00FE720F" w:rsidP="00BF1894">
            <w:pPr>
              <w:jc w:val="both"/>
              <w:rPr>
                <w:rFonts w:cs="Aptos"/>
              </w:rPr>
            </w:pPr>
            <w:r>
              <w:rPr>
                <w:rFonts w:cs="Aptos"/>
              </w:rPr>
              <w:t xml:space="preserve">Brazil does not have a system of rulings, but </w:t>
            </w:r>
            <w:r w:rsidR="00E344AE">
              <w:rPr>
                <w:rFonts w:cs="Aptos"/>
              </w:rPr>
              <w:t xml:space="preserve">a </w:t>
            </w:r>
            <w:r>
              <w:rPr>
                <w:rFonts w:cs="Aptos"/>
              </w:rPr>
              <w:t xml:space="preserve">taxpayer </w:t>
            </w:r>
            <w:r w:rsidR="00E344AE">
              <w:rPr>
                <w:rFonts w:cs="Aptos"/>
              </w:rPr>
              <w:t xml:space="preserve">may </w:t>
            </w:r>
            <w:r>
              <w:rPr>
                <w:rFonts w:cs="Aptos"/>
              </w:rPr>
              <w:t>consult the tax authorities</w:t>
            </w:r>
            <w:r w:rsidR="00594A65">
              <w:rPr>
                <w:rFonts w:cs="Aptos"/>
              </w:rPr>
              <w:t>. The tax authorities’</w:t>
            </w:r>
            <w:r>
              <w:rPr>
                <w:rFonts w:cs="Aptos"/>
              </w:rPr>
              <w:t xml:space="preserve"> answer</w:t>
            </w:r>
            <w:r w:rsidR="009313D3">
              <w:rPr>
                <w:rFonts w:cs="Aptos"/>
              </w:rPr>
              <w:t xml:space="preserve"> (</w:t>
            </w:r>
            <w:r w:rsidR="009313D3" w:rsidRPr="00DE65F4">
              <w:rPr>
                <w:rFonts w:cs="Aptos"/>
                <w:i/>
                <w:iCs/>
              </w:rPr>
              <w:t>Solução de Consulta</w:t>
            </w:r>
            <w:r w:rsidR="009313D3">
              <w:rPr>
                <w:rFonts w:cs="Aptos"/>
              </w:rPr>
              <w:t>)</w:t>
            </w:r>
            <w:r w:rsidR="00594A65">
              <w:rPr>
                <w:rFonts w:cs="Aptos"/>
              </w:rPr>
              <w:t>,</w:t>
            </w:r>
            <w:r>
              <w:rPr>
                <w:rFonts w:cs="Aptos"/>
              </w:rPr>
              <w:t xml:space="preserve"> </w:t>
            </w:r>
            <w:r w:rsidR="009313D3">
              <w:rPr>
                <w:rFonts w:cs="Aptos"/>
              </w:rPr>
              <w:t>issued by COSIT (</w:t>
            </w:r>
            <w:r w:rsidR="00C6189C">
              <w:rPr>
                <w:rFonts w:cs="Aptos"/>
              </w:rPr>
              <w:t xml:space="preserve">RFB </w:t>
            </w:r>
            <w:r w:rsidR="009313D3">
              <w:rPr>
                <w:rFonts w:cs="Aptos"/>
              </w:rPr>
              <w:t xml:space="preserve">Coordination of </w:t>
            </w:r>
            <w:r w:rsidR="00594A65">
              <w:rPr>
                <w:rFonts w:cs="Aptos"/>
              </w:rPr>
              <w:t xml:space="preserve">the </w:t>
            </w:r>
            <w:r w:rsidR="00C6189C">
              <w:rPr>
                <w:rFonts w:cs="Aptos"/>
              </w:rPr>
              <w:t>Taxation System)</w:t>
            </w:r>
            <w:r w:rsidR="00594A65">
              <w:rPr>
                <w:rFonts w:cs="Aptos"/>
              </w:rPr>
              <w:t>,</w:t>
            </w:r>
            <w:r w:rsidR="00C6189C">
              <w:rPr>
                <w:rFonts w:cs="Aptos"/>
              </w:rPr>
              <w:t xml:space="preserve"> </w:t>
            </w:r>
            <w:r w:rsidR="00594A65">
              <w:rPr>
                <w:rFonts w:cs="Aptos"/>
              </w:rPr>
              <w:t>i</w:t>
            </w:r>
            <w:r>
              <w:rPr>
                <w:rFonts w:cs="Aptos"/>
              </w:rPr>
              <w:t xml:space="preserve">s binding </w:t>
            </w:r>
            <w:r w:rsidR="00594A65">
              <w:rPr>
                <w:rFonts w:cs="Aptos"/>
              </w:rPr>
              <w:t xml:space="preserve">on </w:t>
            </w:r>
            <w:proofErr w:type="gramStart"/>
            <w:r w:rsidR="00594A65">
              <w:rPr>
                <w:rFonts w:cs="Aptos"/>
              </w:rPr>
              <w:t xml:space="preserve">the </w:t>
            </w:r>
            <w:r w:rsidR="00140F0C">
              <w:rPr>
                <w:rFonts w:cs="Aptos"/>
              </w:rPr>
              <w:t xml:space="preserve"> taxpayer</w:t>
            </w:r>
            <w:proofErr w:type="gramEnd"/>
            <w:r w:rsidR="00140F0C">
              <w:rPr>
                <w:rFonts w:cs="Aptos"/>
              </w:rPr>
              <w:t xml:space="preserve"> </w:t>
            </w:r>
            <w:r w:rsidR="00594A65">
              <w:rPr>
                <w:rFonts w:cs="Aptos"/>
              </w:rPr>
              <w:t xml:space="preserve">concerned </w:t>
            </w:r>
            <w:r w:rsidR="00140F0C">
              <w:rPr>
                <w:rFonts w:cs="Aptos"/>
              </w:rPr>
              <w:t>and all other taxpayers in the same situation.</w:t>
            </w:r>
          </w:p>
          <w:p w14:paraId="31707066" w14:textId="77777777" w:rsidR="00332304" w:rsidRPr="000E6EDF" w:rsidRDefault="00332304" w:rsidP="00BF1894">
            <w:pPr>
              <w:jc w:val="both"/>
              <w:rPr>
                <w:rFonts w:cs="Aptos"/>
              </w:rPr>
            </w:pPr>
          </w:p>
        </w:tc>
      </w:tr>
    </w:tbl>
    <w:p w14:paraId="031E2761" w14:textId="77777777" w:rsidR="000A65A4" w:rsidRPr="00642620" w:rsidRDefault="00186D68" w:rsidP="00655FE3">
      <w:pPr>
        <w:rPr>
          <w:rFonts w:cs="Aptos"/>
          <w:b/>
          <w:bCs/>
          <w:sz w:val="32"/>
          <w:szCs w:val="32"/>
        </w:rPr>
      </w:pPr>
      <w:r w:rsidRPr="00642620">
        <w:rPr>
          <w:rFonts w:cs="Aptos"/>
          <w:b/>
          <w:bCs/>
          <w:sz w:val="32"/>
          <w:szCs w:val="32"/>
        </w:rPr>
        <w:t xml:space="preserve">      </w:t>
      </w:r>
    </w:p>
    <w:p w14:paraId="36D96817" w14:textId="77777777" w:rsidR="000A65A4" w:rsidRPr="00642620" w:rsidRDefault="000A65A4" w:rsidP="000A65A4">
      <w:pPr>
        <w:jc w:val="both"/>
        <w:rPr>
          <w:rFonts w:cs="Aptos"/>
          <w:sz w:val="21"/>
          <w:szCs w:val="21"/>
        </w:rPr>
      </w:pPr>
    </w:p>
    <w:p w14:paraId="4D7B0882" w14:textId="77777777" w:rsidR="00717CDF" w:rsidRPr="00642620" w:rsidRDefault="00717CDF"/>
    <w:sectPr w:rsidR="00717CDF" w:rsidRPr="00642620" w:rsidSect="00425924">
      <w:headerReference w:type="default" r:id="rId5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7C54F" w14:textId="77777777" w:rsidR="00C04259" w:rsidRDefault="00C04259" w:rsidP="00987B81">
      <w:pPr>
        <w:spacing w:after="0" w:line="240" w:lineRule="auto"/>
      </w:pPr>
      <w:r>
        <w:separator/>
      </w:r>
    </w:p>
  </w:endnote>
  <w:endnote w:type="continuationSeparator" w:id="0">
    <w:p w14:paraId="400EFECD" w14:textId="77777777" w:rsidR="00C04259" w:rsidRDefault="00C04259" w:rsidP="00987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437C" w14:textId="77777777" w:rsidR="00C04259" w:rsidRDefault="00C04259" w:rsidP="00987B81">
      <w:pPr>
        <w:spacing w:after="0" w:line="240" w:lineRule="auto"/>
      </w:pPr>
      <w:r>
        <w:separator/>
      </w:r>
    </w:p>
  </w:footnote>
  <w:footnote w:type="continuationSeparator" w:id="0">
    <w:p w14:paraId="20B0DA35" w14:textId="77777777" w:rsidR="00C04259" w:rsidRDefault="00C04259" w:rsidP="00987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0256" w14:textId="77777777" w:rsidR="00987B81" w:rsidRPr="00655FE3" w:rsidRDefault="008A0FCF" w:rsidP="00987B81">
    <w:pPr>
      <w:rPr>
        <w:rFonts w:cs="Aptos"/>
        <w:b/>
        <w:bCs/>
        <w:sz w:val="32"/>
        <w:szCs w:val="32"/>
      </w:rPr>
    </w:pPr>
    <w:r>
      <w:rPr>
        <w:rFonts w:cs="Aptos"/>
        <w:b/>
        <w:bCs/>
        <w:sz w:val="32"/>
        <w:szCs w:val="32"/>
      </w:rPr>
      <w:t>Brazil</w:t>
    </w:r>
    <w:r w:rsidR="00987B81" w:rsidRPr="00655FE3">
      <w:rPr>
        <w:rFonts w:cs="Aptos"/>
        <w:b/>
        <w:bCs/>
        <w:sz w:val="32"/>
        <w:szCs w:val="32"/>
      </w:rPr>
      <w:t xml:space="preserve"> – </w:t>
    </w:r>
    <w:r w:rsidR="00987B81" w:rsidRPr="00BF1894">
      <w:rPr>
        <w:rFonts w:cs="Aptos"/>
        <w:b/>
        <w:bCs/>
        <w:sz w:val="32"/>
        <w:szCs w:val="32"/>
      </w:rPr>
      <w:t>Tax System Overview</w:t>
    </w:r>
  </w:p>
  <w:p w14:paraId="05D483F9" w14:textId="77777777" w:rsidR="00987B81" w:rsidRDefault="0098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6B0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E4196"/>
    <w:multiLevelType w:val="hybridMultilevel"/>
    <w:tmpl w:val="FFFFFFFF"/>
    <w:lvl w:ilvl="0" w:tplc="C5A8505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B167E"/>
    <w:multiLevelType w:val="hybridMultilevel"/>
    <w:tmpl w:val="FFFFFFFF"/>
    <w:lvl w:ilvl="0" w:tplc="E7F41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2413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C7CA6"/>
    <w:multiLevelType w:val="hybridMultilevel"/>
    <w:tmpl w:val="FFFFFFFF"/>
    <w:lvl w:ilvl="0" w:tplc="93743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500D"/>
    <w:multiLevelType w:val="hybridMultilevel"/>
    <w:tmpl w:val="FFFFFFFF"/>
    <w:lvl w:ilvl="0" w:tplc="8F320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72776"/>
    <w:multiLevelType w:val="hybridMultilevel"/>
    <w:tmpl w:val="FFFFFFFF"/>
    <w:lvl w:ilvl="0" w:tplc="BAB42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700FA"/>
    <w:multiLevelType w:val="hybridMultilevel"/>
    <w:tmpl w:val="FFFFFFFF"/>
    <w:lvl w:ilvl="0" w:tplc="0F465E3E">
      <w:start w:val="1"/>
      <w:numFmt w:val="decimal"/>
      <w:lvlText w:val="%1."/>
      <w:lvlJc w:val="left"/>
      <w:pPr>
        <w:ind w:left="720" w:hanging="360"/>
      </w:pPr>
      <w:rPr>
        <w:rFonts w:eastAsia="Times New Roman" w:cs="Aptos"/>
        <w:color w:val="333333"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AC7F3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A5FA2"/>
    <w:multiLevelType w:val="hybridMultilevel"/>
    <w:tmpl w:val="FFFFFFFF"/>
    <w:lvl w:ilvl="0" w:tplc="D2B6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76A7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F36788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27DA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02B5E"/>
    <w:multiLevelType w:val="hybridMultilevel"/>
    <w:tmpl w:val="FFFFFFFF"/>
    <w:lvl w:ilvl="0" w:tplc="1F3EE67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06D3F"/>
    <w:multiLevelType w:val="hybridMultilevel"/>
    <w:tmpl w:val="FFFFFFFF"/>
    <w:lvl w:ilvl="0" w:tplc="262CF3C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00FE9"/>
    <w:multiLevelType w:val="hybridMultilevel"/>
    <w:tmpl w:val="FFFFFFFF"/>
    <w:lvl w:ilvl="0" w:tplc="AB1E2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8064A"/>
    <w:multiLevelType w:val="hybridMultilevel"/>
    <w:tmpl w:val="FFFFFFFF"/>
    <w:lvl w:ilvl="0" w:tplc="E098A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E2BAA"/>
    <w:multiLevelType w:val="hybridMultilevel"/>
    <w:tmpl w:val="FFFFFFFF"/>
    <w:lvl w:ilvl="0" w:tplc="3AD69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C03F3"/>
    <w:multiLevelType w:val="hybridMultilevel"/>
    <w:tmpl w:val="FFFFFFFF"/>
    <w:lvl w:ilvl="0" w:tplc="D4D8F8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02C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93313"/>
    <w:multiLevelType w:val="hybridMultilevel"/>
    <w:tmpl w:val="FFFFFFFF"/>
    <w:lvl w:ilvl="0" w:tplc="F7DA3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05B25"/>
    <w:multiLevelType w:val="hybridMultilevel"/>
    <w:tmpl w:val="FFFFFFFF"/>
    <w:lvl w:ilvl="0" w:tplc="202CB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A21C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026C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F26AF"/>
    <w:multiLevelType w:val="hybridMultilevel"/>
    <w:tmpl w:val="FFFFFFFF"/>
    <w:lvl w:ilvl="0" w:tplc="4704E9BC">
      <w:start w:val="1"/>
      <w:numFmt w:val="decimal"/>
      <w:lvlText w:val="%1."/>
      <w:lvlJc w:val="left"/>
      <w:pPr>
        <w:ind w:left="-289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43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15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7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9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1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3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75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71" w:hanging="180"/>
      </w:pPr>
      <w:rPr>
        <w:rFonts w:cs="Times New Roman"/>
      </w:rPr>
    </w:lvl>
  </w:abstractNum>
  <w:abstractNum w:abstractNumId="25" w15:restartNumberingAfterBreak="0">
    <w:nsid w:val="7FD3209C"/>
    <w:multiLevelType w:val="hybridMultilevel"/>
    <w:tmpl w:val="FFFFFFFF"/>
    <w:lvl w:ilvl="0" w:tplc="6622855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3284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6677124">
    <w:abstractNumId w:val="15"/>
  </w:num>
  <w:num w:numId="3" w16cid:durableId="2081555799">
    <w:abstractNumId w:val="11"/>
  </w:num>
  <w:num w:numId="4" w16cid:durableId="2013406608">
    <w:abstractNumId w:val="17"/>
  </w:num>
  <w:num w:numId="5" w16cid:durableId="777020293">
    <w:abstractNumId w:val="2"/>
  </w:num>
  <w:num w:numId="6" w16cid:durableId="727190175">
    <w:abstractNumId w:val="4"/>
  </w:num>
  <w:num w:numId="7" w16cid:durableId="600993731">
    <w:abstractNumId w:val="8"/>
  </w:num>
  <w:num w:numId="8" w16cid:durableId="1769546621">
    <w:abstractNumId w:val="2"/>
  </w:num>
  <w:num w:numId="9" w16cid:durableId="436220179">
    <w:abstractNumId w:val="24"/>
  </w:num>
  <w:num w:numId="10" w16cid:durableId="1683123779">
    <w:abstractNumId w:val="0"/>
  </w:num>
  <w:num w:numId="11" w16cid:durableId="1214196428">
    <w:abstractNumId w:val="12"/>
  </w:num>
  <w:num w:numId="12" w16cid:durableId="172191926">
    <w:abstractNumId w:val="16"/>
  </w:num>
  <w:num w:numId="13" w16cid:durableId="1203907450">
    <w:abstractNumId w:val="14"/>
  </w:num>
  <w:num w:numId="14" w16cid:durableId="626081329">
    <w:abstractNumId w:val="18"/>
  </w:num>
  <w:num w:numId="15" w16cid:durableId="730616312">
    <w:abstractNumId w:val="25"/>
  </w:num>
  <w:num w:numId="16" w16cid:durableId="1622027899">
    <w:abstractNumId w:val="1"/>
  </w:num>
  <w:num w:numId="17" w16cid:durableId="1716662497">
    <w:abstractNumId w:val="9"/>
  </w:num>
  <w:num w:numId="18" w16cid:durableId="1644892833">
    <w:abstractNumId w:val="5"/>
  </w:num>
  <w:num w:numId="19" w16cid:durableId="1519729953">
    <w:abstractNumId w:val="23"/>
  </w:num>
  <w:num w:numId="20" w16cid:durableId="1739085053">
    <w:abstractNumId w:val="6"/>
  </w:num>
  <w:num w:numId="21" w16cid:durableId="870994277">
    <w:abstractNumId w:val="21"/>
  </w:num>
  <w:num w:numId="22" w16cid:durableId="1732847818">
    <w:abstractNumId w:val="13"/>
  </w:num>
  <w:num w:numId="23" w16cid:durableId="426459908">
    <w:abstractNumId w:val="20"/>
  </w:num>
  <w:num w:numId="24" w16cid:durableId="8702639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3437621">
    <w:abstractNumId w:val="7"/>
  </w:num>
  <w:num w:numId="26" w16cid:durableId="1798065410">
    <w:abstractNumId w:val="3"/>
  </w:num>
  <w:num w:numId="27" w16cid:durableId="119342288">
    <w:abstractNumId w:val="10"/>
  </w:num>
  <w:num w:numId="28" w16cid:durableId="1571959837">
    <w:abstractNumId w:val="22"/>
  </w:num>
  <w:num w:numId="29" w16cid:durableId="338934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A65A4"/>
    <w:rsid w:val="0000379C"/>
    <w:rsid w:val="000149A8"/>
    <w:rsid w:val="00015A9A"/>
    <w:rsid w:val="00022D29"/>
    <w:rsid w:val="000243EE"/>
    <w:rsid w:val="00044700"/>
    <w:rsid w:val="0004786C"/>
    <w:rsid w:val="000531A1"/>
    <w:rsid w:val="00054751"/>
    <w:rsid w:val="000810B7"/>
    <w:rsid w:val="00086197"/>
    <w:rsid w:val="00090030"/>
    <w:rsid w:val="00091063"/>
    <w:rsid w:val="000977D2"/>
    <w:rsid w:val="000A1AF5"/>
    <w:rsid w:val="000A41B0"/>
    <w:rsid w:val="000A65A4"/>
    <w:rsid w:val="000C3579"/>
    <w:rsid w:val="000C3D90"/>
    <w:rsid w:val="000D19DB"/>
    <w:rsid w:val="000D5DF3"/>
    <w:rsid w:val="000E0D8B"/>
    <w:rsid w:val="000E6EDF"/>
    <w:rsid w:val="000F0263"/>
    <w:rsid w:val="000F4356"/>
    <w:rsid w:val="00104AA9"/>
    <w:rsid w:val="00112FE2"/>
    <w:rsid w:val="001328F5"/>
    <w:rsid w:val="001334D5"/>
    <w:rsid w:val="00133D4E"/>
    <w:rsid w:val="00134693"/>
    <w:rsid w:val="001355BD"/>
    <w:rsid w:val="00137DED"/>
    <w:rsid w:val="00140F0C"/>
    <w:rsid w:val="00143B40"/>
    <w:rsid w:val="00151787"/>
    <w:rsid w:val="0015320B"/>
    <w:rsid w:val="001538F2"/>
    <w:rsid w:val="0015661B"/>
    <w:rsid w:val="00172F60"/>
    <w:rsid w:val="00185F46"/>
    <w:rsid w:val="00185F9B"/>
    <w:rsid w:val="00186AA2"/>
    <w:rsid w:val="00186C64"/>
    <w:rsid w:val="00186D68"/>
    <w:rsid w:val="00191795"/>
    <w:rsid w:val="00193C05"/>
    <w:rsid w:val="0019788A"/>
    <w:rsid w:val="001A3255"/>
    <w:rsid w:val="001A3D76"/>
    <w:rsid w:val="001B3FC2"/>
    <w:rsid w:val="001B54BA"/>
    <w:rsid w:val="001B6AEA"/>
    <w:rsid w:val="001C2B22"/>
    <w:rsid w:val="001C2EBE"/>
    <w:rsid w:val="001D11AD"/>
    <w:rsid w:val="001D7747"/>
    <w:rsid w:val="001F1E0B"/>
    <w:rsid w:val="001F50FB"/>
    <w:rsid w:val="001F7F31"/>
    <w:rsid w:val="002161F7"/>
    <w:rsid w:val="00216894"/>
    <w:rsid w:val="00223FE9"/>
    <w:rsid w:val="00225D50"/>
    <w:rsid w:val="00236134"/>
    <w:rsid w:val="002420A6"/>
    <w:rsid w:val="00246F15"/>
    <w:rsid w:val="002503C3"/>
    <w:rsid w:val="00252639"/>
    <w:rsid w:val="0025592C"/>
    <w:rsid w:val="002570C9"/>
    <w:rsid w:val="00275EE6"/>
    <w:rsid w:val="00275F6A"/>
    <w:rsid w:val="0028272B"/>
    <w:rsid w:val="00282B27"/>
    <w:rsid w:val="002842D9"/>
    <w:rsid w:val="0028501A"/>
    <w:rsid w:val="00290555"/>
    <w:rsid w:val="00291F20"/>
    <w:rsid w:val="002A27D5"/>
    <w:rsid w:val="002A2FFA"/>
    <w:rsid w:val="002A3FA9"/>
    <w:rsid w:val="002A5094"/>
    <w:rsid w:val="002B682E"/>
    <w:rsid w:val="002B69B6"/>
    <w:rsid w:val="002D4A8E"/>
    <w:rsid w:val="002D7883"/>
    <w:rsid w:val="002E079D"/>
    <w:rsid w:val="002E3E80"/>
    <w:rsid w:val="002E4F3A"/>
    <w:rsid w:val="002E5871"/>
    <w:rsid w:val="002F1733"/>
    <w:rsid w:val="002F6F9E"/>
    <w:rsid w:val="00301262"/>
    <w:rsid w:val="0030171A"/>
    <w:rsid w:val="00302FBE"/>
    <w:rsid w:val="003069A4"/>
    <w:rsid w:val="0031295A"/>
    <w:rsid w:val="00313B85"/>
    <w:rsid w:val="003206DF"/>
    <w:rsid w:val="0032107D"/>
    <w:rsid w:val="00321C07"/>
    <w:rsid w:val="003229EB"/>
    <w:rsid w:val="00323663"/>
    <w:rsid w:val="00327F16"/>
    <w:rsid w:val="00332304"/>
    <w:rsid w:val="00363E20"/>
    <w:rsid w:val="00365F77"/>
    <w:rsid w:val="00367743"/>
    <w:rsid w:val="0037226A"/>
    <w:rsid w:val="003826F9"/>
    <w:rsid w:val="00395AF4"/>
    <w:rsid w:val="003A6F5D"/>
    <w:rsid w:val="003B349A"/>
    <w:rsid w:val="003D275E"/>
    <w:rsid w:val="003F23DC"/>
    <w:rsid w:val="00400187"/>
    <w:rsid w:val="00401256"/>
    <w:rsid w:val="004127C2"/>
    <w:rsid w:val="004134E6"/>
    <w:rsid w:val="00425924"/>
    <w:rsid w:val="00426F3F"/>
    <w:rsid w:val="0043194D"/>
    <w:rsid w:val="004372CD"/>
    <w:rsid w:val="00466804"/>
    <w:rsid w:val="00475D66"/>
    <w:rsid w:val="004905F1"/>
    <w:rsid w:val="004B2E21"/>
    <w:rsid w:val="004B5AD4"/>
    <w:rsid w:val="004B7330"/>
    <w:rsid w:val="004B77B1"/>
    <w:rsid w:val="004C7104"/>
    <w:rsid w:val="004D12E7"/>
    <w:rsid w:val="004D3B17"/>
    <w:rsid w:val="004E0D10"/>
    <w:rsid w:val="004E1781"/>
    <w:rsid w:val="004E4E6B"/>
    <w:rsid w:val="004E5DB6"/>
    <w:rsid w:val="004F04D1"/>
    <w:rsid w:val="004F4D8A"/>
    <w:rsid w:val="004F594A"/>
    <w:rsid w:val="0050011C"/>
    <w:rsid w:val="00505AF0"/>
    <w:rsid w:val="00515710"/>
    <w:rsid w:val="00524827"/>
    <w:rsid w:val="005276F8"/>
    <w:rsid w:val="005300D6"/>
    <w:rsid w:val="005346A2"/>
    <w:rsid w:val="00535A9D"/>
    <w:rsid w:val="005416F3"/>
    <w:rsid w:val="0054680B"/>
    <w:rsid w:val="005548BB"/>
    <w:rsid w:val="00560A3C"/>
    <w:rsid w:val="0056541E"/>
    <w:rsid w:val="005815D3"/>
    <w:rsid w:val="00590C1F"/>
    <w:rsid w:val="0059475F"/>
    <w:rsid w:val="00594A65"/>
    <w:rsid w:val="005A3195"/>
    <w:rsid w:val="005A7277"/>
    <w:rsid w:val="005B1DE9"/>
    <w:rsid w:val="005B7902"/>
    <w:rsid w:val="005C158C"/>
    <w:rsid w:val="005D4E16"/>
    <w:rsid w:val="005E0318"/>
    <w:rsid w:val="005F030B"/>
    <w:rsid w:val="005F2951"/>
    <w:rsid w:val="005F4884"/>
    <w:rsid w:val="005F5642"/>
    <w:rsid w:val="005F6A62"/>
    <w:rsid w:val="0060076C"/>
    <w:rsid w:val="00601C09"/>
    <w:rsid w:val="006131B3"/>
    <w:rsid w:val="00615775"/>
    <w:rsid w:val="00620E4D"/>
    <w:rsid w:val="006244A6"/>
    <w:rsid w:val="00633A1A"/>
    <w:rsid w:val="00635919"/>
    <w:rsid w:val="006362FA"/>
    <w:rsid w:val="00642620"/>
    <w:rsid w:val="0065421F"/>
    <w:rsid w:val="00655FE3"/>
    <w:rsid w:val="00663BAB"/>
    <w:rsid w:val="00682E16"/>
    <w:rsid w:val="00683EF9"/>
    <w:rsid w:val="006844BC"/>
    <w:rsid w:val="00684E5A"/>
    <w:rsid w:val="00694B3A"/>
    <w:rsid w:val="006A35FC"/>
    <w:rsid w:val="006B1E8B"/>
    <w:rsid w:val="006C0F88"/>
    <w:rsid w:val="006C1419"/>
    <w:rsid w:val="006C141D"/>
    <w:rsid w:val="006C5724"/>
    <w:rsid w:val="006D0AF1"/>
    <w:rsid w:val="006D302A"/>
    <w:rsid w:val="006D6112"/>
    <w:rsid w:val="006E3682"/>
    <w:rsid w:val="006F081C"/>
    <w:rsid w:val="006F6B3B"/>
    <w:rsid w:val="006F734F"/>
    <w:rsid w:val="00700071"/>
    <w:rsid w:val="00705B45"/>
    <w:rsid w:val="00711E1F"/>
    <w:rsid w:val="00711F28"/>
    <w:rsid w:val="00717CDF"/>
    <w:rsid w:val="007470A6"/>
    <w:rsid w:val="007478A7"/>
    <w:rsid w:val="007523FF"/>
    <w:rsid w:val="0075411D"/>
    <w:rsid w:val="00754F54"/>
    <w:rsid w:val="007723C7"/>
    <w:rsid w:val="00776C7F"/>
    <w:rsid w:val="00781A14"/>
    <w:rsid w:val="00783220"/>
    <w:rsid w:val="00784C94"/>
    <w:rsid w:val="00785737"/>
    <w:rsid w:val="00786452"/>
    <w:rsid w:val="00797E55"/>
    <w:rsid w:val="007A3DD0"/>
    <w:rsid w:val="007A4548"/>
    <w:rsid w:val="007A7193"/>
    <w:rsid w:val="007B430A"/>
    <w:rsid w:val="007C0543"/>
    <w:rsid w:val="007C691A"/>
    <w:rsid w:val="007C72CF"/>
    <w:rsid w:val="007C766B"/>
    <w:rsid w:val="007E3F10"/>
    <w:rsid w:val="00802063"/>
    <w:rsid w:val="00802C69"/>
    <w:rsid w:val="00817920"/>
    <w:rsid w:val="008325C5"/>
    <w:rsid w:val="00833D0A"/>
    <w:rsid w:val="008345A0"/>
    <w:rsid w:val="00834BC0"/>
    <w:rsid w:val="00840F6F"/>
    <w:rsid w:val="00843322"/>
    <w:rsid w:val="008437F3"/>
    <w:rsid w:val="0084686A"/>
    <w:rsid w:val="00855685"/>
    <w:rsid w:val="00860640"/>
    <w:rsid w:val="008616F0"/>
    <w:rsid w:val="0086481D"/>
    <w:rsid w:val="008860B5"/>
    <w:rsid w:val="008903F6"/>
    <w:rsid w:val="008A0FCF"/>
    <w:rsid w:val="008B1F4C"/>
    <w:rsid w:val="008B5DFA"/>
    <w:rsid w:val="008B67FA"/>
    <w:rsid w:val="008C02C0"/>
    <w:rsid w:val="008C2BF6"/>
    <w:rsid w:val="008C3760"/>
    <w:rsid w:val="008D0A43"/>
    <w:rsid w:val="008D45EE"/>
    <w:rsid w:val="008E5698"/>
    <w:rsid w:val="008E6435"/>
    <w:rsid w:val="008E697D"/>
    <w:rsid w:val="008E73DF"/>
    <w:rsid w:val="00900E5C"/>
    <w:rsid w:val="009313D3"/>
    <w:rsid w:val="00935568"/>
    <w:rsid w:val="00937EC1"/>
    <w:rsid w:val="00947BEB"/>
    <w:rsid w:val="0095203B"/>
    <w:rsid w:val="009523E3"/>
    <w:rsid w:val="00953A8C"/>
    <w:rsid w:val="00964741"/>
    <w:rsid w:val="00972C4F"/>
    <w:rsid w:val="00972DBD"/>
    <w:rsid w:val="0097442D"/>
    <w:rsid w:val="009744B6"/>
    <w:rsid w:val="009816CF"/>
    <w:rsid w:val="00983285"/>
    <w:rsid w:val="00987B81"/>
    <w:rsid w:val="00995520"/>
    <w:rsid w:val="009A3024"/>
    <w:rsid w:val="009A3B38"/>
    <w:rsid w:val="009A3E5C"/>
    <w:rsid w:val="009A4B2B"/>
    <w:rsid w:val="009B2E60"/>
    <w:rsid w:val="009C08C1"/>
    <w:rsid w:val="009D50DA"/>
    <w:rsid w:val="009D5269"/>
    <w:rsid w:val="009D55F2"/>
    <w:rsid w:val="009E16B5"/>
    <w:rsid w:val="009E5F9C"/>
    <w:rsid w:val="009F01C6"/>
    <w:rsid w:val="009F2A7A"/>
    <w:rsid w:val="009F46B5"/>
    <w:rsid w:val="00A0179B"/>
    <w:rsid w:val="00A01BDC"/>
    <w:rsid w:val="00A05C03"/>
    <w:rsid w:val="00A07242"/>
    <w:rsid w:val="00A07995"/>
    <w:rsid w:val="00A152A3"/>
    <w:rsid w:val="00A20113"/>
    <w:rsid w:val="00A20455"/>
    <w:rsid w:val="00A21133"/>
    <w:rsid w:val="00A23155"/>
    <w:rsid w:val="00A31485"/>
    <w:rsid w:val="00A341F1"/>
    <w:rsid w:val="00A35353"/>
    <w:rsid w:val="00A355DC"/>
    <w:rsid w:val="00A37B6B"/>
    <w:rsid w:val="00A40067"/>
    <w:rsid w:val="00A4203B"/>
    <w:rsid w:val="00A440EC"/>
    <w:rsid w:val="00A4765B"/>
    <w:rsid w:val="00A50509"/>
    <w:rsid w:val="00A709C5"/>
    <w:rsid w:val="00A7260D"/>
    <w:rsid w:val="00A72FD6"/>
    <w:rsid w:val="00A76D25"/>
    <w:rsid w:val="00A76E75"/>
    <w:rsid w:val="00A774ED"/>
    <w:rsid w:val="00A81F97"/>
    <w:rsid w:val="00A8588F"/>
    <w:rsid w:val="00A92894"/>
    <w:rsid w:val="00A93623"/>
    <w:rsid w:val="00AA06DD"/>
    <w:rsid w:val="00AD2B0E"/>
    <w:rsid w:val="00AD728B"/>
    <w:rsid w:val="00AE0061"/>
    <w:rsid w:val="00AE1167"/>
    <w:rsid w:val="00AE5374"/>
    <w:rsid w:val="00AE70CC"/>
    <w:rsid w:val="00B00AFE"/>
    <w:rsid w:val="00B10E08"/>
    <w:rsid w:val="00B3787C"/>
    <w:rsid w:val="00B50C40"/>
    <w:rsid w:val="00B56DC9"/>
    <w:rsid w:val="00B67509"/>
    <w:rsid w:val="00B67584"/>
    <w:rsid w:val="00B82155"/>
    <w:rsid w:val="00B85D94"/>
    <w:rsid w:val="00B9236B"/>
    <w:rsid w:val="00B9451E"/>
    <w:rsid w:val="00B94FFF"/>
    <w:rsid w:val="00B9590C"/>
    <w:rsid w:val="00BA5F12"/>
    <w:rsid w:val="00BA63BC"/>
    <w:rsid w:val="00BA7D23"/>
    <w:rsid w:val="00BD1697"/>
    <w:rsid w:val="00BD29A5"/>
    <w:rsid w:val="00BD2B4F"/>
    <w:rsid w:val="00BD5109"/>
    <w:rsid w:val="00BD6651"/>
    <w:rsid w:val="00BE38B1"/>
    <w:rsid w:val="00BF1894"/>
    <w:rsid w:val="00BF2BF2"/>
    <w:rsid w:val="00C01281"/>
    <w:rsid w:val="00C04259"/>
    <w:rsid w:val="00C076A0"/>
    <w:rsid w:val="00C1198C"/>
    <w:rsid w:val="00C138C7"/>
    <w:rsid w:val="00C17F94"/>
    <w:rsid w:val="00C26AEA"/>
    <w:rsid w:val="00C26C03"/>
    <w:rsid w:val="00C30D58"/>
    <w:rsid w:val="00C34185"/>
    <w:rsid w:val="00C343B0"/>
    <w:rsid w:val="00C40FA0"/>
    <w:rsid w:val="00C54AE9"/>
    <w:rsid w:val="00C576E7"/>
    <w:rsid w:val="00C6189C"/>
    <w:rsid w:val="00C717EC"/>
    <w:rsid w:val="00C73F11"/>
    <w:rsid w:val="00C7519C"/>
    <w:rsid w:val="00C77180"/>
    <w:rsid w:val="00C82577"/>
    <w:rsid w:val="00C876C1"/>
    <w:rsid w:val="00C910BC"/>
    <w:rsid w:val="00C97014"/>
    <w:rsid w:val="00CA389A"/>
    <w:rsid w:val="00CA6AA8"/>
    <w:rsid w:val="00CB2DED"/>
    <w:rsid w:val="00CD6E78"/>
    <w:rsid w:val="00CE5A95"/>
    <w:rsid w:val="00CE66EC"/>
    <w:rsid w:val="00CE7BC9"/>
    <w:rsid w:val="00CF2AAC"/>
    <w:rsid w:val="00D14918"/>
    <w:rsid w:val="00D15639"/>
    <w:rsid w:val="00D2375F"/>
    <w:rsid w:val="00D24576"/>
    <w:rsid w:val="00D25591"/>
    <w:rsid w:val="00D31EF2"/>
    <w:rsid w:val="00D3351B"/>
    <w:rsid w:val="00D33926"/>
    <w:rsid w:val="00D35986"/>
    <w:rsid w:val="00D443E6"/>
    <w:rsid w:val="00D55002"/>
    <w:rsid w:val="00D760CF"/>
    <w:rsid w:val="00D806DA"/>
    <w:rsid w:val="00D80B92"/>
    <w:rsid w:val="00D83487"/>
    <w:rsid w:val="00D85A3E"/>
    <w:rsid w:val="00D87D33"/>
    <w:rsid w:val="00D920FC"/>
    <w:rsid w:val="00D9477D"/>
    <w:rsid w:val="00D97242"/>
    <w:rsid w:val="00DA3D2D"/>
    <w:rsid w:val="00DA4FEE"/>
    <w:rsid w:val="00DB3942"/>
    <w:rsid w:val="00DB7C87"/>
    <w:rsid w:val="00DC6319"/>
    <w:rsid w:val="00DD2704"/>
    <w:rsid w:val="00DD40B8"/>
    <w:rsid w:val="00DE65F4"/>
    <w:rsid w:val="00DF460F"/>
    <w:rsid w:val="00E10E0B"/>
    <w:rsid w:val="00E22101"/>
    <w:rsid w:val="00E22541"/>
    <w:rsid w:val="00E22772"/>
    <w:rsid w:val="00E22BE7"/>
    <w:rsid w:val="00E32F70"/>
    <w:rsid w:val="00E33A8A"/>
    <w:rsid w:val="00E344AE"/>
    <w:rsid w:val="00E445D9"/>
    <w:rsid w:val="00E57EEA"/>
    <w:rsid w:val="00E63ABB"/>
    <w:rsid w:val="00E70B8E"/>
    <w:rsid w:val="00E73024"/>
    <w:rsid w:val="00E81D58"/>
    <w:rsid w:val="00EA4115"/>
    <w:rsid w:val="00EA6CB6"/>
    <w:rsid w:val="00EB79F0"/>
    <w:rsid w:val="00EC37ED"/>
    <w:rsid w:val="00ED2F2C"/>
    <w:rsid w:val="00ED3ACA"/>
    <w:rsid w:val="00ED441C"/>
    <w:rsid w:val="00ED5337"/>
    <w:rsid w:val="00EE5932"/>
    <w:rsid w:val="00EF692D"/>
    <w:rsid w:val="00F02C68"/>
    <w:rsid w:val="00F03087"/>
    <w:rsid w:val="00F03259"/>
    <w:rsid w:val="00F06D39"/>
    <w:rsid w:val="00F117D0"/>
    <w:rsid w:val="00F13589"/>
    <w:rsid w:val="00F1476E"/>
    <w:rsid w:val="00F15259"/>
    <w:rsid w:val="00F2333C"/>
    <w:rsid w:val="00F40B4A"/>
    <w:rsid w:val="00F450FB"/>
    <w:rsid w:val="00F45736"/>
    <w:rsid w:val="00F50D83"/>
    <w:rsid w:val="00F50F54"/>
    <w:rsid w:val="00F52030"/>
    <w:rsid w:val="00F675C8"/>
    <w:rsid w:val="00F71A5B"/>
    <w:rsid w:val="00F728A1"/>
    <w:rsid w:val="00F759E6"/>
    <w:rsid w:val="00F775CA"/>
    <w:rsid w:val="00F77727"/>
    <w:rsid w:val="00F80C64"/>
    <w:rsid w:val="00F82856"/>
    <w:rsid w:val="00F85B99"/>
    <w:rsid w:val="00F91263"/>
    <w:rsid w:val="00F91C6A"/>
    <w:rsid w:val="00F92E0C"/>
    <w:rsid w:val="00FA379B"/>
    <w:rsid w:val="00FA6CE8"/>
    <w:rsid w:val="00FB2FB0"/>
    <w:rsid w:val="00FB4B7C"/>
    <w:rsid w:val="00FC622A"/>
    <w:rsid w:val="00FE1D35"/>
    <w:rsid w:val="00FE720F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E3AD4F"/>
  <w14:defaultImageDpi w14:val="0"/>
  <w15:docId w15:val="{EFFB1783-764D-4355-AFCC-FC610F69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5A4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65A4"/>
    <w:pPr>
      <w:spacing w:line="256" w:lineRule="auto"/>
      <w:ind w:left="720"/>
      <w:contextualSpacing/>
    </w:pPr>
    <w:rPr>
      <w:kern w:val="0"/>
    </w:rPr>
  </w:style>
  <w:style w:type="table" w:styleId="TableGrid">
    <w:name w:val="Table Grid"/>
    <w:basedOn w:val="TableNormal"/>
    <w:uiPriority w:val="39"/>
    <w:rsid w:val="000A65A4"/>
    <w:pPr>
      <w:spacing w:after="0" w:line="240" w:lineRule="auto"/>
    </w:pPr>
    <w:rPr>
      <w:rFonts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F081C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7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B8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87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B81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C1419"/>
    <w:rPr>
      <w:rFonts w:cs="Times New Roman"/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20455"/>
    <w:pPr>
      <w:spacing w:after="0" w:line="240" w:lineRule="auto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C2EB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2E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2EB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E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EBE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70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loomberglaw.com/product/tax/document/27884068392" TargetMode="External"/><Relationship Id="rId18" Type="http://schemas.openxmlformats.org/officeDocument/2006/relationships/hyperlink" Target="https://www.bloomberglaw.com/product/tax/document/27885166120" TargetMode="External"/><Relationship Id="rId26" Type="http://schemas.openxmlformats.org/officeDocument/2006/relationships/hyperlink" Target="https://www.bloomberglaw.com/product/tax/bbna/chart/3/10092" TargetMode="External"/><Relationship Id="rId39" Type="http://schemas.openxmlformats.org/officeDocument/2006/relationships/hyperlink" Target="https://www.bloomberglaw.com/product/tax/document/27885163048" TargetMode="External"/><Relationship Id="rId21" Type="http://schemas.openxmlformats.org/officeDocument/2006/relationships/hyperlink" Target="https://www.bloomberglaw.com/product/tax/search/results/829ef8df02520c766a193fe4fc222f64?bc=W1siU2VhcmNoIFJlc3VsdHMiLCIvcHJvZHVjdC90YXgvc2VhcmNoL3Jlc3VsdHMvZjM0YTczNDc3ODljZmIxMTc1OTJhZWViYzI5YTY1MGM_Y3VyYXRlZD10cnVlIl1d--5485816f816b979eb4572e25f204009f7401cfca" TargetMode="External"/><Relationship Id="rId34" Type="http://schemas.openxmlformats.org/officeDocument/2006/relationships/hyperlink" Target="https://www.bloomberglaw.com/product/tax/document/XPV1BHH8" TargetMode="External"/><Relationship Id="rId42" Type="http://schemas.openxmlformats.org/officeDocument/2006/relationships/hyperlink" Target="https://www.bloomberglaw.com/product/tax/document/27885160488" TargetMode="External"/><Relationship Id="rId47" Type="http://schemas.openxmlformats.org/officeDocument/2006/relationships/hyperlink" Target="https://www.bloomberglaw.com/product/tax/document/27885163560" TargetMode="External"/><Relationship Id="rId50" Type="http://schemas.openxmlformats.org/officeDocument/2006/relationships/hyperlink" Target="https://www.bloomberglaw.com/product/tax/document/27884068392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loomberglaw.com/product/tax/document/27885167144" TargetMode="External"/><Relationship Id="rId29" Type="http://schemas.openxmlformats.org/officeDocument/2006/relationships/hyperlink" Target="https://www.bloomberglaw.com/product/tax/document/XPV1BOH8" TargetMode="External"/><Relationship Id="rId11" Type="http://schemas.openxmlformats.org/officeDocument/2006/relationships/hyperlink" Target="https://www.gov.br/receitafederal/pt-br" TargetMode="External"/><Relationship Id="rId24" Type="http://schemas.openxmlformats.org/officeDocument/2006/relationships/hyperlink" Target="https://www.bloomberglaw.com/product/tax/document/XPV1BM18" TargetMode="External"/><Relationship Id="rId32" Type="http://schemas.openxmlformats.org/officeDocument/2006/relationships/hyperlink" Target="https://www.bloomberglaw.com/product/tax/document/XPV1BOH8" TargetMode="External"/><Relationship Id="rId37" Type="http://schemas.openxmlformats.org/officeDocument/2006/relationships/hyperlink" Target="https://www.bloomberglaw.com/product/tax/document/27902585896" TargetMode="External"/><Relationship Id="rId40" Type="http://schemas.openxmlformats.org/officeDocument/2006/relationships/hyperlink" Target="https://www.bloomberglaw.com/product/tax/document/27885160488" TargetMode="External"/><Relationship Id="rId45" Type="http://schemas.openxmlformats.org/officeDocument/2006/relationships/hyperlink" Target="https://www.bloomberglaw.com/product/tax/document/25564579368" TargetMode="Externa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bloomberglaw.com/product/tax/document/XPV1BHH8" TargetMode="External"/><Relationship Id="rId31" Type="http://schemas.openxmlformats.org/officeDocument/2006/relationships/hyperlink" Target="https://www.bloomberglaw.com/product/tax/document/XPV1BOH8" TargetMode="External"/><Relationship Id="rId44" Type="http://schemas.openxmlformats.org/officeDocument/2006/relationships/hyperlink" Target="https://www.bloomberglaw.com/product/tax/document/27885166632" TargetMode="External"/><Relationship Id="rId52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loomberglaw.com/product/tax/document/27885164584" TargetMode="External"/><Relationship Id="rId22" Type="http://schemas.openxmlformats.org/officeDocument/2006/relationships/hyperlink" Target="https://www.bloomberglaw.com/product/tax/document/XPV1BOH8" TargetMode="External"/><Relationship Id="rId27" Type="http://schemas.openxmlformats.org/officeDocument/2006/relationships/hyperlink" Target="https://www.bloomberglaw.com/product/tax/document/XPV1BOH8" TargetMode="External"/><Relationship Id="rId30" Type="http://schemas.openxmlformats.org/officeDocument/2006/relationships/hyperlink" Target="https://www.bloomberglaw.com/product/tax/document/XPV1BO18" TargetMode="External"/><Relationship Id="rId35" Type="http://schemas.openxmlformats.org/officeDocument/2006/relationships/hyperlink" Target="https://www.bloomberglaw.com/product/tax/document/27885174824" TargetMode="External"/><Relationship Id="rId43" Type="http://schemas.openxmlformats.org/officeDocument/2006/relationships/hyperlink" Target="https://www.bloomberglaw.com/product/tax/document/XPV1BQ18" TargetMode="External"/><Relationship Id="rId48" Type="http://schemas.openxmlformats.org/officeDocument/2006/relationships/hyperlink" Target="https://www.bloomberglaw.com/product/tax/document/XPV1BPH8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bloomberglaw.com/product/tax/document/27885162536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bloomberglaw.com/product/tax/document/XPV1BOH8" TargetMode="External"/><Relationship Id="rId17" Type="http://schemas.openxmlformats.org/officeDocument/2006/relationships/hyperlink" Target="https://www.bloomberglaw.com/product/tax/document/27884070952" TargetMode="External"/><Relationship Id="rId25" Type="http://schemas.openxmlformats.org/officeDocument/2006/relationships/hyperlink" Target="https://www.bloomberglaw.com/product/tax/document/XPV1BM18" TargetMode="External"/><Relationship Id="rId33" Type="http://schemas.openxmlformats.org/officeDocument/2006/relationships/hyperlink" Target="https://www.bloomberglaw.com/product/tax/document/27885163048" TargetMode="External"/><Relationship Id="rId38" Type="http://schemas.openxmlformats.org/officeDocument/2006/relationships/hyperlink" Target="https://www.bloomberglaw.com/product/tax/document/27885163048" TargetMode="External"/><Relationship Id="rId46" Type="http://schemas.openxmlformats.org/officeDocument/2006/relationships/hyperlink" Target="https://www.bloomberglaw.com/product/tax/document/27885163048" TargetMode="External"/><Relationship Id="rId20" Type="http://schemas.openxmlformats.org/officeDocument/2006/relationships/hyperlink" Target="https://www.bloomberglaw.com/product/tax/document/XPV1BHH8" TargetMode="External"/><Relationship Id="rId41" Type="http://schemas.openxmlformats.org/officeDocument/2006/relationships/hyperlink" Target="https://www.bloomberglaw.com/product/tax/document/27884068392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bloomberglaw.com/product/tax/document/27884070952" TargetMode="External"/><Relationship Id="rId23" Type="http://schemas.openxmlformats.org/officeDocument/2006/relationships/hyperlink" Target="https://www.bloomberglaw.com/product/tax/document/XPV1BM18" TargetMode="External"/><Relationship Id="rId28" Type="http://schemas.openxmlformats.org/officeDocument/2006/relationships/hyperlink" Target="https://www.bloomberglaw.com/product/tax/document/XPV1BOH8" TargetMode="External"/><Relationship Id="rId36" Type="http://schemas.openxmlformats.org/officeDocument/2006/relationships/hyperlink" Target="https://www.bloomberglaw.com/product/tax/document/27884065320" TargetMode="External"/><Relationship Id="rId49" Type="http://schemas.openxmlformats.org/officeDocument/2006/relationships/hyperlink" Target="https://www.bloomberglaw.com/product/tax/document/XS908UH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1449d4f-8e51-4d4e-9219-a2af429b1568"/>
    <lcf76f155ced4ddcb4097134ff3c332f xmlns="c7bd160f-8f9f-4a57-9297-bc564d29ee4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45C6645180C49B5F3BF356B510BE9" ma:contentTypeVersion="17" ma:contentTypeDescription="Create a new document." ma:contentTypeScope="" ma:versionID="05ff6cb74b71971166389fff4eb75070">
  <xsd:schema xmlns:xsd="http://www.w3.org/2001/XMLSchema" xmlns:xs="http://www.w3.org/2001/XMLSchema" xmlns:p="http://schemas.microsoft.com/office/2006/metadata/properties" xmlns:ns1="http://schemas.microsoft.com/sharepoint/v3" xmlns:ns2="51449d4f-8e51-4d4e-9219-a2af429b1568" xmlns:ns3="c7bd160f-8f9f-4a57-9297-bc564d29ee4c" targetNamespace="http://schemas.microsoft.com/office/2006/metadata/properties" ma:root="true" ma:fieldsID="e6b6d1ecb7861ac7c05cb9e5f0120903" ns1:_="" ns2:_="" ns3:_="">
    <xsd:import namespace="http://schemas.microsoft.com/sharepoint/v3"/>
    <xsd:import namespace="51449d4f-8e51-4d4e-9219-a2af429b1568"/>
    <xsd:import namespace="c7bd160f-8f9f-4a57-9297-bc564d29ee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49d4f-8e51-4d4e-9219-a2af429b15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1f6d0e-4965-4b60-ae9c-964c369ac52e}" ma:internalName="TaxCatchAll" ma:showField="CatchAllData" ma:web="51449d4f-8e51-4d4e-9219-a2af429b1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d160f-8f9f-4a57-9297-bc564d29e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f3d206-2968-46ac-ad56-95a95c29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03CA75-09E6-4387-AE80-77E81D4606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449d4f-8e51-4d4e-9219-a2af429b1568"/>
    <ds:schemaRef ds:uri="c7bd160f-8f9f-4a57-9297-bc564d29ee4c"/>
  </ds:schemaRefs>
</ds:datastoreItem>
</file>

<file path=customXml/itemProps2.xml><?xml version="1.0" encoding="utf-8"?>
<ds:datastoreItem xmlns:ds="http://schemas.openxmlformats.org/officeDocument/2006/customXml" ds:itemID="{9D6C02A3-4492-4316-911D-6F8BD5368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591CBD-40CA-43AC-B69B-1E2565FF9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449d4f-8e51-4d4e-9219-a2af429b1568"/>
    <ds:schemaRef ds:uri="c7bd160f-8f9f-4a57-9297-bc564d29e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0F22CB-E1CF-46D4-A88F-FC27681252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1606</Words>
  <Characters>9155</Characters>
  <Application>Microsoft Office Word</Application>
  <DocSecurity>0</DocSecurity>
  <Lines>76</Lines>
  <Paragraphs>21</Paragraphs>
  <ScaleCrop>false</ScaleCrop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 Nicholas</dc:creator>
  <cp:keywords/>
  <dc:description/>
  <cp:lastModifiedBy>Cruz, Ricky</cp:lastModifiedBy>
  <cp:revision>2</cp:revision>
  <dcterms:created xsi:type="dcterms:W3CDTF">2025-09-17T21:05:00Z</dcterms:created>
  <dcterms:modified xsi:type="dcterms:W3CDTF">2025-09-17T21:05:00Z</dcterms:modified>
</cp:coreProperties>
</file>