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847" w:tblpY="1"/>
        <w:tblW w:w="13770" w:type="dxa"/>
        <w:tblInd w:w="0" w:type="dxa"/>
        <w:tblLook w:val="04A0" w:firstRow="1" w:lastRow="0" w:firstColumn="1" w:lastColumn="0" w:noHBand="0" w:noVBand="1"/>
      </w:tblPr>
      <w:tblGrid>
        <w:gridCol w:w="3960"/>
        <w:gridCol w:w="5850"/>
        <w:gridCol w:w="3960"/>
      </w:tblGrid>
      <w:tr w:rsidR="00A86873" w14:paraId="00E69436" w14:textId="77777777" w:rsidTr="733DC60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472C4" w:themeFill="accent1"/>
            <w:hideMark/>
          </w:tcPr>
          <w:p w14:paraId="163EB675" w14:textId="77777777" w:rsidR="00A86873" w:rsidRPr="00C576E7" w:rsidRDefault="00A86873" w:rsidP="00C640CB">
            <w:pPr>
              <w:spacing w:before="120" w:after="120"/>
              <w:rPr>
                <w:rFonts w:cstheme="minorHAnsi"/>
                <w:b/>
                <w:bCs/>
                <w:color w:val="FFFFFF" w:themeColor="background1"/>
              </w:rPr>
            </w:pPr>
            <w:r w:rsidRPr="00C576E7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Characteristics</w:t>
            </w:r>
          </w:p>
        </w:tc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472C4" w:themeFill="accent1"/>
          </w:tcPr>
          <w:p w14:paraId="7EEA630B" w14:textId="77777777" w:rsidR="00A86873" w:rsidRPr="00C576E7" w:rsidRDefault="00A86873" w:rsidP="00C640CB">
            <w:pPr>
              <w:spacing w:before="120" w:after="120"/>
              <w:rPr>
                <w:rFonts w:cstheme="minorHAnsi"/>
                <w:b/>
                <w:bCs/>
                <w:color w:val="FFFFFF" w:themeColor="background1"/>
              </w:rPr>
            </w:pPr>
            <w:r w:rsidRPr="00C576E7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Portfolio Content</w:t>
            </w:r>
          </w:p>
        </w:tc>
      </w:tr>
      <w:tr w:rsidR="00A86873" w14:paraId="6402DDE8" w14:textId="77777777" w:rsidTr="733DC60C">
        <w:tc>
          <w:tcPr>
            <w:tcW w:w="1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D08ECC" w14:textId="77777777" w:rsidR="00A86873" w:rsidRPr="00ED2F2C" w:rsidRDefault="00A86873" w:rsidP="00C640CB">
            <w:pPr>
              <w:spacing w:before="120" w:after="120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ED2F2C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  <w:t>General</w:t>
            </w:r>
          </w:p>
        </w:tc>
      </w:tr>
      <w:tr w:rsidR="00A86873" w14:paraId="0FE259F9" w14:textId="77777777" w:rsidTr="733DC60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02A8" w14:textId="77777777" w:rsidR="00A86873" w:rsidRPr="007E11CC" w:rsidRDefault="00A86873" w:rsidP="00C640CB">
            <w:pPr>
              <w:rPr>
                <w:rFonts w:eastAsia="Times New Roman" w:cstheme="minorHAnsi"/>
                <w:b/>
                <w:bCs/>
                <w:color w:val="333333"/>
              </w:rPr>
            </w:pPr>
            <w:r w:rsidRPr="007E11CC">
              <w:rPr>
                <w:rFonts w:eastAsia="Times New Roman" w:cstheme="minorHAnsi"/>
                <w:b/>
                <w:bCs/>
                <w:color w:val="333333"/>
              </w:rPr>
              <w:t>Revenue authority</w:t>
            </w:r>
          </w:p>
        </w:tc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C272" w14:textId="5ED2C89D" w:rsidR="00A86873" w:rsidRPr="00EB2F32" w:rsidRDefault="0068488C" w:rsidP="00C640CB">
            <w:pPr>
              <w:rPr>
                <w:rFonts w:cstheme="minorHAnsi"/>
              </w:rPr>
            </w:pPr>
            <w:hyperlink r:id="rId11" w:history="1">
              <w:r w:rsidRPr="00EB2F32">
                <w:rPr>
                  <w:rStyle w:val="Hyperlink"/>
                </w:rPr>
                <w:t>Feder</w:t>
              </w:r>
              <w:r w:rsidR="005D3D56" w:rsidRPr="00EB2F32">
                <w:rPr>
                  <w:rStyle w:val="Hyperlink"/>
                </w:rPr>
                <w:t>a</w:t>
              </w:r>
              <w:r w:rsidRPr="00EB2F32">
                <w:rPr>
                  <w:rStyle w:val="Hyperlink"/>
                </w:rPr>
                <w:t>l Tax</w:t>
              </w:r>
              <w:r w:rsidR="005D3D56" w:rsidRPr="00EB2F32">
                <w:rPr>
                  <w:rStyle w:val="Hyperlink"/>
                </w:rPr>
                <w:t xml:space="preserve"> A</w:t>
              </w:r>
              <w:r w:rsidR="00A86873" w:rsidRPr="00EB2F32">
                <w:rPr>
                  <w:rStyle w:val="Hyperlink"/>
                </w:rPr>
                <w:t>dministration</w:t>
              </w:r>
            </w:hyperlink>
            <w:r w:rsidR="00A86873" w:rsidRPr="00EB2F32">
              <w:rPr>
                <w:rFonts w:cstheme="minorHAnsi"/>
              </w:rPr>
              <w:t xml:space="preserve"> (</w:t>
            </w:r>
            <w:hyperlink r:id="rId12" w:history="1">
              <w:r w:rsidR="00A86873" w:rsidRPr="00EB2F32">
                <w:rPr>
                  <w:rStyle w:val="Hyperlink"/>
                  <w:rFonts w:cstheme="minorHAnsi"/>
                </w:rPr>
                <w:t>Section V.</w:t>
              </w:r>
              <w:r w:rsidR="00836833" w:rsidRPr="00EB2F32">
                <w:rPr>
                  <w:rStyle w:val="Hyperlink"/>
                  <w:rFonts w:cstheme="minorHAnsi"/>
                </w:rPr>
                <w:t>C</w:t>
              </w:r>
              <w:r w:rsidR="00A86873" w:rsidRPr="00EB2F32">
                <w:rPr>
                  <w:rStyle w:val="Hyperlink"/>
                  <w:rFonts w:cstheme="minorHAnsi"/>
                </w:rPr>
                <w:t>.</w:t>
              </w:r>
            </w:hyperlink>
            <w:r w:rsidR="00A86873" w:rsidRPr="00EB2F32">
              <w:rPr>
                <w:rFonts w:cstheme="minorHAnsi"/>
              </w:rPr>
              <w:t xml:space="preserve">) </w:t>
            </w:r>
            <w:r w:rsidR="00DA467D">
              <w:rPr>
                <w:rFonts w:cstheme="minorHAnsi"/>
              </w:rPr>
              <w:t xml:space="preserve">for </w:t>
            </w:r>
            <w:r w:rsidR="00E753DB">
              <w:rPr>
                <w:rFonts w:cstheme="minorHAnsi"/>
              </w:rPr>
              <w:t>federal withholding taxes (</w:t>
            </w:r>
            <w:r w:rsidR="00E753DB">
              <w:rPr>
                <w:rFonts w:cstheme="minorHAnsi"/>
                <w:i/>
                <w:iCs/>
              </w:rPr>
              <w:t>Verrechnungssteuern</w:t>
            </w:r>
            <w:r w:rsidR="00E753DB">
              <w:rPr>
                <w:rFonts w:cstheme="minorHAnsi"/>
              </w:rPr>
              <w:t xml:space="preserve">), federal stamp duties and VAT; supervisory authority for federal income tax. Federal income taxes and cantonal taxes are </w:t>
            </w:r>
            <w:r w:rsidR="00C609F2">
              <w:rPr>
                <w:rFonts w:cstheme="minorHAnsi"/>
              </w:rPr>
              <w:t xml:space="preserve">assessed </w:t>
            </w:r>
            <w:r w:rsidR="00E753DB">
              <w:rPr>
                <w:rFonts w:cstheme="minorHAnsi"/>
              </w:rPr>
              <w:t xml:space="preserve">by the cantonal tax authorities. </w:t>
            </w:r>
          </w:p>
        </w:tc>
      </w:tr>
      <w:tr w:rsidR="00A86873" w14:paraId="48FCA45C" w14:textId="77777777" w:rsidTr="733DC60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4EAA" w14:textId="77777777" w:rsidR="00A86873" w:rsidRPr="007E11CC" w:rsidRDefault="00A86873" w:rsidP="00C640CB">
            <w:pPr>
              <w:rPr>
                <w:rFonts w:cstheme="minorHAnsi"/>
                <w:b/>
                <w:bCs/>
              </w:rPr>
            </w:pPr>
            <w:r w:rsidRPr="007E11CC">
              <w:rPr>
                <w:rFonts w:eastAsia="Times New Roman" w:cstheme="minorHAnsi"/>
                <w:b/>
                <w:bCs/>
                <w:color w:val="333333"/>
              </w:rPr>
              <w:t xml:space="preserve">Type of tax system </w:t>
            </w:r>
          </w:p>
        </w:tc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CC36" w14:textId="19C046DD" w:rsidR="00A86873" w:rsidRPr="00C640CB" w:rsidRDefault="00A86873" w:rsidP="00C640CB">
            <w:pPr>
              <w:rPr>
                <w:rFonts w:eastAsiaTheme="minorEastAsia"/>
              </w:rPr>
            </w:pPr>
            <w:r w:rsidRPr="00C640CB">
              <w:rPr>
                <w:rFonts w:eastAsiaTheme="minorEastAsia"/>
                <w:u w:val="single"/>
              </w:rPr>
              <w:t>Residents</w:t>
            </w:r>
            <w:r w:rsidRPr="00C640CB">
              <w:rPr>
                <w:rFonts w:eastAsiaTheme="minorEastAsia"/>
              </w:rPr>
              <w:t xml:space="preserve">: </w:t>
            </w:r>
            <w:r w:rsidR="00523082" w:rsidRPr="00C640CB">
              <w:rPr>
                <w:rFonts w:eastAsiaTheme="minorEastAsia"/>
              </w:rPr>
              <w:t>Generally, w</w:t>
            </w:r>
            <w:r w:rsidRPr="00C640CB">
              <w:rPr>
                <w:rFonts w:eastAsiaTheme="minorEastAsia"/>
              </w:rPr>
              <w:t>orldwide system</w:t>
            </w:r>
            <w:r w:rsidR="00497805" w:rsidRPr="00C640CB">
              <w:rPr>
                <w:rFonts w:eastAsiaTheme="minorEastAsia"/>
              </w:rPr>
              <w:t xml:space="preserve">, </w:t>
            </w:r>
            <w:r w:rsidR="00EB3F4B" w:rsidRPr="00C640CB">
              <w:rPr>
                <w:rFonts w:eastAsiaTheme="minorEastAsia"/>
              </w:rPr>
              <w:t>other than</w:t>
            </w:r>
            <w:r w:rsidR="5A7A1996" w:rsidRPr="00C640CB">
              <w:rPr>
                <w:rFonts w:eastAsiaTheme="minorEastAsia"/>
              </w:rPr>
              <w:t xml:space="preserve"> </w:t>
            </w:r>
            <w:r w:rsidR="00DA6C22" w:rsidRPr="00C640CB">
              <w:rPr>
                <w:rFonts w:eastAsiaTheme="minorEastAsia"/>
              </w:rPr>
              <w:t xml:space="preserve">with respect to </w:t>
            </w:r>
            <w:r w:rsidR="7251245A" w:rsidRPr="00C640CB">
              <w:rPr>
                <w:rFonts w:eastAsiaTheme="minorEastAsia"/>
              </w:rPr>
              <w:t>the following income</w:t>
            </w:r>
            <w:r w:rsidR="03FF817F" w:rsidRPr="00C640CB">
              <w:rPr>
                <w:rFonts w:eastAsiaTheme="minorEastAsia"/>
              </w:rPr>
              <w:t>,</w:t>
            </w:r>
            <w:r w:rsidR="7251245A" w:rsidRPr="00C640CB">
              <w:rPr>
                <w:rFonts w:eastAsiaTheme="minorEastAsia"/>
              </w:rPr>
              <w:t xml:space="preserve"> which is exempt: </w:t>
            </w:r>
            <w:r w:rsidR="5A7A1996" w:rsidRPr="00C640CB">
              <w:rPr>
                <w:rFonts w:eastAsiaTheme="minorEastAsia"/>
              </w:rPr>
              <w:t xml:space="preserve">(a) in the case of </w:t>
            </w:r>
            <w:r w:rsidR="21BEC905" w:rsidRPr="00C640CB">
              <w:rPr>
                <w:rFonts w:eastAsiaTheme="minorEastAsia"/>
              </w:rPr>
              <w:t xml:space="preserve">a </w:t>
            </w:r>
            <w:r w:rsidR="5A7A1996" w:rsidRPr="00C640CB">
              <w:rPr>
                <w:rFonts w:eastAsiaTheme="minorEastAsia"/>
              </w:rPr>
              <w:t xml:space="preserve">corporation, </w:t>
            </w:r>
            <w:r w:rsidR="00497805" w:rsidRPr="00C640CB">
              <w:rPr>
                <w:rFonts w:eastAsiaTheme="minorEastAsia"/>
              </w:rPr>
              <w:t>income from</w:t>
            </w:r>
            <w:r w:rsidR="3D0FD0BB" w:rsidRPr="00C640CB">
              <w:rPr>
                <w:rFonts w:eastAsiaTheme="minorEastAsia"/>
              </w:rPr>
              <w:t xml:space="preserve"> a</w:t>
            </w:r>
            <w:r w:rsidR="00497805" w:rsidRPr="00C640CB">
              <w:rPr>
                <w:rFonts w:eastAsiaTheme="minorEastAsia"/>
              </w:rPr>
              <w:t xml:space="preserve"> foreign </w:t>
            </w:r>
            <w:r w:rsidR="00745D33" w:rsidRPr="00C640CB">
              <w:rPr>
                <w:rFonts w:eastAsiaTheme="minorEastAsia"/>
              </w:rPr>
              <w:t>permanent e</w:t>
            </w:r>
            <w:r w:rsidR="00497805" w:rsidRPr="00C640CB">
              <w:rPr>
                <w:rFonts w:eastAsiaTheme="minorEastAsia"/>
              </w:rPr>
              <w:t>s</w:t>
            </w:r>
            <w:r w:rsidR="00745D33" w:rsidRPr="00C640CB">
              <w:rPr>
                <w:rFonts w:eastAsiaTheme="minorEastAsia"/>
              </w:rPr>
              <w:t>tablishment (PE)</w:t>
            </w:r>
            <w:r w:rsidR="00497805" w:rsidRPr="00C640CB">
              <w:rPr>
                <w:rFonts w:eastAsiaTheme="minorEastAsia"/>
              </w:rPr>
              <w:t xml:space="preserve"> </w:t>
            </w:r>
            <w:r w:rsidR="505D5DE6" w:rsidRPr="00C640CB">
              <w:rPr>
                <w:rFonts w:eastAsiaTheme="minorEastAsia"/>
              </w:rPr>
              <w:t>or</w:t>
            </w:r>
            <w:r w:rsidR="00497805" w:rsidRPr="00C640CB">
              <w:rPr>
                <w:rFonts w:eastAsiaTheme="minorEastAsia"/>
              </w:rPr>
              <w:t xml:space="preserve"> </w:t>
            </w:r>
            <w:r w:rsidR="74C840F7" w:rsidRPr="00C640CB">
              <w:rPr>
                <w:rFonts w:eastAsiaTheme="minorEastAsia"/>
              </w:rPr>
              <w:t xml:space="preserve">from </w:t>
            </w:r>
            <w:r w:rsidR="035E9B84" w:rsidRPr="00C640CB">
              <w:rPr>
                <w:rFonts w:eastAsiaTheme="minorEastAsia"/>
              </w:rPr>
              <w:t xml:space="preserve">foreign </w:t>
            </w:r>
            <w:r w:rsidR="00497805" w:rsidRPr="00C640CB">
              <w:rPr>
                <w:rFonts w:eastAsiaTheme="minorEastAsia"/>
              </w:rPr>
              <w:t>rea</w:t>
            </w:r>
            <w:r w:rsidR="00745D33" w:rsidRPr="00C640CB">
              <w:rPr>
                <w:rFonts w:eastAsiaTheme="minorEastAsia"/>
              </w:rPr>
              <w:t>l</w:t>
            </w:r>
            <w:r w:rsidR="00497805" w:rsidRPr="00C640CB">
              <w:rPr>
                <w:rFonts w:eastAsiaTheme="minorEastAsia"/>
              </w:rPr>
              <w:t xml:space="preserve"> esta</w:t>
            </w:r>
            <w:r w:rsidR="00745D33" w:rsidRPr="00C640CB">
              <w:rPr>
                <w:rFonts w:eastAsiaTheme="minorEastAsia"/>
              </w:rPr>
              <w:t>t</w:t>
            </w:r>
            <w:r w:rsidR="00497805" w:rsidRPr="00C640CB">
              <w:rPr>
                <w:rFonts w:eastAsiaTheme="minorEastAsia"/>
              </w:rPr>
              <w:t>e</w:t>
            </w:r>
            <w:r w:rsidR="29CC012C" w:rsidRPr="00C640CB">
              <w:rPr>
                <w:rFonts w:eastAsiaTheme="minorEastAsia"/>
              </w:rPr>
              <w:t xml:space="preserve"> (</w:t>
            </w:r>
            <w:r w:rsidR="5F2A426A" w:rsidRPr="00C640CB">
              <w:rPr>
                <w:rFonts w:eastAsiaTheme="minorEastAsia"/>
              </w:rPr>
              <w:t>exempt</w:t>
            </w:r>
            <w:r w:rsidR="3B957A32" w:rsidRPr="00C640CB">
              <w:rPr>
                <w:rFonts w:eastAsiaTheme="minorEastAsia"/>
              </w:rPr>
              <w:t>ion</w:t>
            </w:r>
            <w:r w:rsidR="5F2A426A" w:rsidRPr="00C640CB">
              <w:rPr>
                <w:rFonts w:eastAsiaTheme="minorEastAsia"/>
              </w:rPr>
              <w:t xml:space="preserve"> with progression</w:t>
            </w:r>
            <w:r w:rsidR="084583AC" w:rsidRPr="00C640CB">
              <w:rPr>
                <w:rFonts w:eastAsiaTheme="minorEastAsia"/>
              </w:rPr>
              <w:t>)</w:t>
            </w:r>
            <w:r w:rsidR="3C05C008" w:rsidRPr="00C640CB">
              <w:rPr>
                <w:rFonts w:eastAsiaTheme="minorEastAsia"/>
              </w:rPr>
              <w:t xml:space="preserve">; and (b) in the case of </w:t>
            </w:r>
            <w:r w:rsidR="4CD75976" w:rsidRPr="00C640CB">
              <w:rPr>
                <w:rFonts w:eastAsiaTheme="minorEastAsia"/>
              </w:rPr>
              <w:t xml:space="preserve">an </w:t>
            </w:r>
            <w:r w:rsidR="3C05C008" w:rsidRPr="00C640CB">
              <w:rPr>
                <w:rFonts w:eastAsiaTheme="minorEastAsia"/>
              </w:rPr>
              <w:t xml:space="preserve">individual, </w:t>
            </w:r>
            <w:r w:rsidR="69807A37" w:rsidRPr="00C640CB">
              <w:rPr>
                <w:rFonts w:eastAsiaTheme="minorEastAsia"/>
              </w:rPr>
              <w:t>i</w:t>
            </w:r>
            <w:r w:rsidR="3C05C008" w:rsidRPr="00C640CB">
              <w:rPr>
                <w:rFonts w:eastAsiaTheme="minorEastAsia"/>
                <w:color w:val="000000" w:themeColor="text1"/>
                <w:sz w:val="21"/>
                <w:szCs w:val="21"/>
              </w:rPr>
              <w:t xml:space="preserve">ncome from </w:t>
            </w:r>
            <w:r w:rsidR="38A61E1B" w:rsidRPr="00C640CB">
              <w:rPr>
                <w:rFonts w:eastAsiaTheme="minorEastAsia"/>
                <w:color w:val="000000" w:themeColor="text1"/>
                <w:sz w:val="21"/>
                <w:szCs w:val="21"/>
              </w:rPr>
              <w:t xml:space="preserve">a </w:t>
            </w:r>
            <w:r w:rsidR="3C05C008" w:rsidRPr="00C640CB">
              <w:rPr>
                <w:rFonts w:eastAsiaTheme="minorEastAsia"/>
                <w:color w:val="000000" w:themeColor="text1"/>
                <w:sz w:val="21"/>
                <w:szCs w:val="21"/>
              </w:rPr>
              <w:t>foreign PE, from an active sole proprietorship or partnership with a fixed place of business abroad</w:t>
            </w:r>
            <w:r w:rsidR="24EAF7AA" w:rsidRPr="00C640CB">
              <w:rPr>
                <w:rFonts w:eastAsiaTheme="minorEastAsia"/>
                <w:color w:val="000000" w:themeColor="text1"/>
                <w:sz w:val="21"/>
                <w:szCs w:val="21"/>
              </w:rPr>
              <w:t>,</w:t>
            </w:r>
            <w:r w:rsidR="3C05C008" w:rsidRPr="00C640CB">
              <w:rPr>
                <w:rFonts w:eastAsiaTheme="minorEastAsia"/>
                <w:color w:val="000000" w:themeColor="text1"/>
                <w:sz w:val="21"/>
                <w:szCs w:val="21"/>
              </w:rPr>
              <w:t xml:space="preserve"> or from </w:t>
            </w:r>
            <w:r w:rsidR="1E846146" w:rsidRPr="00C640CB">
              <w:rPr>
                <w:rFonts w:eastAsiaTheme="minorEastAsia"/>
              </w:rPr>
              <w:t>foreign real estate</w:t>
            </w:r>
            <w:r w:rsidR="3C05C008" w:rsidRPr="00C640CB">
              <w:rPr>
                <w:rFonts w:eastAsiaTheme="minorEastAsia"/>
                <w:color w:val="000000" w:themeColor="text1"/>
                <w:sz w:val="21"/>
                <w:szCs w:val="21"/>
              </w:rPr>
              <w:t>.</w:t>
            </w:r>
            <w:r w:rsidRPr="00C640CB">
              <w:rPr>
                <w:rFonts w:eastAsiaTheme="minorEastAsia"/>
              </w:rPr>
              <w:t xml:space="preserve"> (</w:t>
            </w:r>
            <w:r w:rsidRPr="00C640CB">
              <w:rPr>
                <w:rFonts w:eastAsiaTheme="minorEastAsia"/>
                <w:u w:val="single"/>
              </w:rPr>
              <w:t>Corporations</w:t>
            </w:r>
            <w:r w:rsidRPr="00C640CB">
              <w:rPr>
                <w:rFonts w:eastAsiaTheme="minorEastAsia"/>
              </w:rPr>
              <w:t xml:space="preserve">: </w:t>
            </w:r>
            <w:hyperlink r:id="rId13" w:history="1">
              <w:r w:rsidRPr="71CB310B">
                <w:rPr>
                  <w:rStyle w:val="Hyperlink"/>
                </w:rPr>
                <w:t>Section V.</w:t>
              </w:r>
              <w:r w:rsidR="00BD28C6" w:rsidRPr="71CB310B">
                <w:rPr>
                  <w:rStyle w:val="Hyperlink"/>
                </w:rPr>
                <w:t>D.3.b.</w:t>
              </w:r>
              <w:r w:rsidR="4A951F07">
                <w:t xml:space="preserve"> </w:t>
              </w:r>
              <w:r w:rsidR="00F2055F">
                <w:t>a</w:t>
              </w:r>
              <w:r w:rsidR="4A951F07">
                <w:t xml:space="preserve">nd </w:t>
              </w:r>
              <w:r w:rsidR="00F2055F">
                <w:t>X.B.</w:t>
              </w:r>
              <w:r w:rsidR="4A951F07">
                <w:t>)</w:t>
              </w:r>
              <w:r w:rsidR="00EA7FA8">
                <w:t xml:space="preserve">; </w:t>
              </w:r>
            </w:hyperlink>
            <w:r w:rsidRPr="00C640CB">
              <w:rPr>
                <w:rFonts w:eastAsiaTheme="minorEastAsia"/>
                <w:u w:val="single"/>
              </w:rPr>
              <w:t>Individuals</w:t>
            </w:r>
            <w:r w:rsidRPr="00C640CB">
              <w:rPr>
                <w:rFonts w:eastAsiaTheme="minorEastAsia"/>
              </w:rPr>
              <w:t>:</w:t>
            </w:r>
            <w:r w:rsidR="00F2055F" w:rsidRPr="00C640CB">
              <w:rPr>
                <w:rFonts w:eastAsiaTheme="minorEastAsia"/>
              </w:rPr>
              <w:t xml:space="preserve"> </w:t>
            </w:r>
            <w:hyperlink r:id="rId14" w:anchor="section(1)">
              <w:r w:rsidR="0B3A3A47" w:rsidRPr="00C640CB">
                <w:rPr>
                  <w:rStyle w:val="Hyperlink"/>
                  <w:rFonts w:eastAsiaTheme="minorEastAsia"/>
                </w:rPr>
                <w:t>Section X</w:t>
              </w:r>
              <w:r w:rsidR="00F2055F" w:rsidRPr="00C640CB">
                <w:rPr>
                  <w:rStyle w:val="Hyperlink"/>
                  <w:rFonts w:eastAsiaTheme="minorEastAsia"/>
                </w:rPr>
                <w:t>II.C.1.</w:t>
              </w:r>
            </w:hyperlink>
            <w:r w:rsidRPr="00C640CB">
              <w:rPr>
                <w:rFonts w:eastAsiaTheme="minorEastAsia"/>
              </w:rPr>
              <w:t xml:space="preserve">)  </w:t>
            </w:r>
          </w:p>
          <w:p w14:paraId="1537FEF2" w14:textId="77777777" w:rsidR="00C640CB" w:rsidRDefault="00C640CB" w:rsidP="00C640CB">
            <w:pPr>
              <w:rPr>
                <w:rFonts w:eastAsiaTheme="minorEastAsia"/>
                <w:u w:val="single"/>
              </w:rPr>
            </w:pPr>
          </w:p>
          <w:p w14:paraId="33972895" w14:textId="2CC1787C" w:rsidR="00A86873" w:rsidRPr="00C640CB" w:rsidRDefault="00A86873" w:rsidP="00C640CB">
            <w:pPr>
              <w:rPr>
                <w:rFonts w:eastAsiaTheme="minorEastAsia"/>
              </w:rPr>
            </w:pPr>
            <w:r w:rsidRPr="00C640CB">
              <w:rPr>
                <w:rFonts w:eastAsiaTheme="minorEastAsia"/>
                <w:u w:val="single"/>
              </w:rPr>
              <w:t>Nonresidents</w:t>
            </w:r>
            <w:r w:rsidRPr="00C640CB">
              <w:rPr>
                <w:rFonts w:eastAsiaTheme="minorEastAsia"/>
              </w:rPr>
              <w:t xml:space="preserve">: </w:t>
            </w:r>
            <w:r w:rsidR="461FA9DD" w:rsidRPr="00C640CB">
              <w:rPr>
                <w:rFonts w:eastAsiaTheme="minorEastAsia"/>
              </w:rPr>
              <w:t xml:space="preserve">Certain kinds of </w:t>
            </w:r>
            <w:r w:rsidR="001C1364" w:rsidRPr="00C640CB">
              <w:rPr>
                <w:rFonts w:eastAsiaTheme="minorEastAsia"/>
              </w:rPr>
              <w:t>Swiss</w:t>
            </w:r>
            <w:r w:rsidRPr="00C640CB">
              <w:rPr>
                <w:rFonts w:eastAsiaTheme="minorEastAsia"/>
              </w:rPr>
              <w:t>-source income. (</w:t>
            </w:r>
            <w:r w:rsidRPr="00C640CB">
              <w:rPr>
                <w:rFonts w:eastAsiaTheme="minorEastAsia"/>
                <w:u w:val="single"/>
              </w:rPr>
              <w:t>Corporations</w:t>
            </w:r>
            <w:r w:rsidRPr="00C640CB">
              <w:rPr>
                <w:rFonts w:eastAsiaTheme="minorEastAsia"/>
              </w:rPr>
              <w:t xml:space="preserve">: </w:t>
            </w:r>
            <w:hyperlink r:id="rId15">
              <w:r w:rsidRPr="71CB310B">
                <w:rPr>
                  <w:rStyle w:val="Hyperlink"/>
                </w:rPr>
                <w:t>Section V</w:t>
              </w:r>
              <w:r w:rsidR="00B5223B" w:rsidRPr="71CB310B">
                <w:rPr>
                  <w:rStyle w:val="Hyperlink"/>
                </w:rPr>
                <w:t>I</w:t>
              </w:r>
              <w:r w:rsidRPr="71CB310B">
                <w:rPr>
                  <w:rStyle w:val="Hyperlink"/>
                </w:rPr>
                <w:t>I.</w:t>
              </w:r>
              <w:r w:rsidR="00D3056C" w:rsidRPr="71CB310B">
                <w:rPr>
                  <w:rStyle w:val="Hyperlink"/>
                </w:rPr>
                <w:t>D</w:t>
              </w:r>
              <w:r w:rsidRPr="71CB310B">
                <w:rPr>
                  <w:rStyle w:val="Hyperlink"/>
                </w:rPr>
                <w:t>.</w:t>
              </w:r>
            </w:hyperlink>
            <w:r w:rsidR="00021DAA" w:rsidRPr="00C640CB">
              <w:rPr>
                <w:rFonts w:eastAsiaTheme="minorEastAsia"/>
              </w:rPr>
              <w:t xml:space="preserve">; </w:t>
            </w:r>
            <w:r w:rsidRPr="00C640CB">
              <w:rPr>
                <w:rFonts w:eastAsiaTheme="minorEastAsia"/>
                <w:u w:val="single"/>
              </w:rPr>
              <w:t>Individuals</w:t>
            </w:r>
            <w:r w:rsidRPr="00C640CB">
              <w:rPr>
                <w:rFonts w:eastAsiaTheme="minorEastAsia"/>
              </w:rPr>
              <w:t xml:space="preserve">: </w:t>
            </w:r>
            <w:hyperlink r:id="rId16">
              <w:r w:rsidR="793B16AD" w:rsidRPr="00C640CB">
                <w:rPr>
                  <w:rStyle w:val="Hyperlink"/>
                  <w:rFonts w:eastAsiaTheme="minorEastAsia"/>
                </w:rPr>
                <w:t>Section X</w:t>
              </w:r>
              <w:r w:rsidRPr="00C640CB">
                <w:rPr>
                  <w:rStyle w:val="Hyperlink"/>
                  <w:rFonts w:eastAsiaTheme="minorEastAsia"/>
                </w:rPr>
                <w:t>I</w:t>
              </w:r>
              <w:r w:rsidR="00343DB7" w:rsidRPr="00C640CB">
                <w:rPr>
                  <w:rStyle w:val="Hyperlink"/>
                  <w:rFonts w:eastAsiaTheme="minorEastAsia"/>
                </w:rPr>
                <w:t>II</w:t>
              </w:r>
              <w:r w:rsidRPr="00C640CB">
                <w:rPr>
                  <w:rStyle w:val="Hyperlink"/>
                  <w:rFonts w:eastAsiaTheme="minorEastAsia"/>
                </w:rPr>
                <w:t>.A.</w:t>
              </w:r>
            </w:hyperlink>
            <w:r w:rsidRPr="00C640CB">
              <w:rPr>
                <w:rFonts w:eastAsiaTheme="minorEastAsia"/>
              </w:rPr>
              <w:t>))</w:t>
            </w:r>
          </w:p>
        </w:tc>
      </w:tr>
      <w:tr w:rsidR="00A86873" w14:paraId="7C7382E6" w14:textId="77777777" w:rsidTr="733DC60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3B29" w14:textId="77777777" w:rsidR="00A86873" w:rsidRPr="007E11CC" w:rsidRDefault="00A86873" w:rsidP="00C640CB">
            <w:pPr>
              <w:rPr>
                <w:rFonts w:eastAsia="Times New Roman" w:cstheme="minorHAnsi"/>
                <w:b/>
                <w:bCs/>
                <w:color w:val="333333"/>
              </w:rPr>
            </w:pPr>
            <w:r w:rsidRPr="007E11CC">
              <w:rPr>
                <w:rFonts w:eastAsia="Times New Roman" w:cstheme="minorHAnsi"/>
                <w:b/>
                <w:bCs/>
                <w:color w:val="333333"/>
              </w:rPr>
              <w:t xml:space="preserve">Residence </w:t>
            </w:r>
          </w:p>
        </w:tc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504A" w14:textId="45161DA9" w:rsidR="00A86873" w:rsidRPr="00EB2F32" w:rsidRDefault="00A86873" w:rsidP="00C640CB">
            <w:pPr>
              <w:rPr>
                <w:rFonts w:cstheme="minorHAnsi"/>
              </w:rPr>
            </w:pPr>
            <w:r w:rsidRPr="00EB2F32">
              <w:rPr>
                <w:rFonts w:cstheme="minorHAnsi"/>
              </w:rPr>
              <w:t xml:space="preserve">A company is tax resident in </w:t>
            </w:r>
            <w:r w:rsidR="000E6A66" w:rsidRPr="00EB2F32">
              <w:rPr>
                <w:rFonts w:cstheme="minorHAnsi"/>
              </w:rPr>
              <w:t xml:space="preserve">Switzerland </w:t>
            </w:r>
            <w:r w:rsidRPr="00EB2F32">
              <w:rPr>
                <w:rFonts w:cstheme="minorHAnsi"/>
              </w:rPr>
              <w:t>if:</w:t>
            </w:r>
          </w:p>
          <w:p w14:paraId="45A0E9CB" w14:textId="248E0B47" w:rsidR="00A86873" w:rsidRPr="00EB2F32" w:rsidRDefault="00A86873" w:rsidP="00C640CB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</w:rPr>
            </w:pPr>
            <w:r w:rsidRPr="00EB2F32">
              <w:rPr>
                <w:rFonts w:cstheme="minorHAnsi"/>
              </w:rPr>
              <w:t xml:space="preserve">It is incorporated in </w:t>
            </w:r>
            <w:r w:rsidR="00DB29E1" w:rsidRPr="00EB2F32">
              <w:rPr>
                <w:rFonts w:cstheme="minorHAnsi"/>
              </w:rPr>
              <w:t>Switzerland</w:t>
            </w:r>
            <w:r w:rsidRPr="00EB2F32">
              <w:rPr>
                <w:rFonts w:cstheme="minorHAnsi"/>
              </w:rPr>
              <w:t>; or</w:t>
            </w:r>
          </w:p>
          <w:p w14:paraId="4935F274" w14:textId="12F4A15D" w:rsidR="00A86873" w:rsidRPr="00EB2F32" w:rsidRDefault="00A86873" w:rsidP="00C640CB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</w:rPr>
            </w:pPr>
            <w:r w:rsidRPr="00EB2F32">
              <w:rPr>
                <w:rFonts w:cstheme="minorHAnsi"/>
              </w:rPr>
              <w:t xml:space="preserve">The place of effective management </w:t>
            </w:r>
            <w:r w:rsidR="002203CD" w:rsidRPr="00EB2F32">
              <w:rPr>
                <w:rFonts w:cstheme="minorHAnsi"/>
              </w:rPr>
              <w:t xml:space="preserve">and control </w:t>
            </w:r>
            <w:r w:rsidRPr="00EB2F32">
              <w:rPr>
                <w:rFonts w:cstheme="minorHAnsi"/>
              </w:rPr>
              <w:t>of its business is in</w:t>
            </w:r>
            <w:r w:rsidR="00DB29E1" w:rsidRPr="00EB2F32">
              <w:rPr>
                <w:rFonts w:cstheme="minorHAnsi"/>
              </w:rPr>
              <w:t xml:space="preserve"> Switzerland</w:t>
            </w:r>
            <w:r w:rsidRPr="00EB2F32">
              <w:rPr>
                <w:rFonts w:cstheme="minorHAnsi"/>
              </w:rPr>
              <w:t>. (</w:t>
            </w:r>
            <w:hyperlink r:id="rId17" w:history="1">
              <w:r w:rsidRPr="00EB2F32">
                <w:rPr>
                  <w:rStyle w:val="Hyperlink"/>
                  <w:rFonts w:cstheme="minorHAnsi"/>
                  <w:kern w:val="2"/>
                  <w14:ligatures w14:val="standardContextual"/>
                </w:rPr>
                <w:t xml:space="preserve">Section </w:t>
              </w:r>
              <w:r w:rsidRPr="00EB2F32">
                <w:rPr>
                  <w:rStyle w:val="Hyperlink"/>
                  <w:rFonts w:cstheme="minorHAnsi"/>
                </w:rPr>
                <w:t>V</w:t>
              </w:r>
              <w:r w:rsidR="000E6A66" w:rsidRPr="00EB2F32">
                <w:rPr>
                  <w:rStyle w:val="Hyperlink"/>
                  <w:rFonts w:cstheme="minorHAnsi"/>
                </w:rPr>
                <w:t>I</w:t>
              </w:r>
              <w:r w:rsidRPr="00EB2F32">
                <w:rPr>
                  <w:rStyle w:val="Hyperlink"/>
                  <w:rFonts w:cstheme="minorHAnsi"/>
                </w:rPr>
                <w:t>.A.</w:t>
              </w:r>
            </w:hyperlink>
            <w:r w:rsidRPr="00EB2F32">
              <w:rPr>
                <w:rFonts w:cstheme="minorHAnsi"/>
              </w:rPr>
              <w:t>)</w:t>
            </w:r>
          </w:p>
          <w:p w14:paraId="451CB3B2" w14:textId="77777777" w:rsidR="00C640CB" w:rsidRDefault="00C640CB" w:rsidP="00C640CB">
            <w:pPr>
              <w:rPr>
                <w:rFonts w:cstheme="minorHAnsi"/>
              </w:rPr>
            </w:pPr>
          </w:p>
          <w:p w14:paraId="35A32096" w14:textId="203C51D9" w:rsidR="00A86873" w:rsidRPr="00EB2F32" w:rsidRDefault="00A86873" w:rsidP="00C640CB">
            <w:pPr>
              <w:rPr>
                <w:rFonts w:cstheme="minorHAnsi"/>
              </w:rPr>
            </w:pPr>
            <w:r w:rsidRPr="00EB2F32">
              <w:rPr>
                <w:rFonts w:cstheme="minorHAnsi"/>
              </w:rPr>
              <w:t xml:space="preserve">An individual is tax resident in </w:t>
            </w:r>
            <w:r w:rsidR="00347B5F" w:rsidRPr="00EB2F32">
              <w:rPr>
                <w:rFonts w:cstheme="minorHAnsi"/>
              </w:rPr>
              <w:t xml:space="preserve">Switzerland </w:t>
            </w:r>
            <w:r w:rsidRPr="00EB2F32">
              <w:rPr>
                <w:rFonts w:cstheme="minorHAnsi"/>
              </w:rPr>
              <w:t>if:</w:t>
            </w:r>
          </w:p>
          <w:p w14:paraId="4E25E92B" w14:textId="4C106886" w:rsidR="00A86873" w:rsidRPr="00EB2F32" w:rsidRDefault="00A86873" w:rsidP="00C640CB">
            <w:pPr>
              <w:pStyle w:val="ListParagraph"/>
              <w:numPr>
                <w:ilvl w:val="0"/>
                <w:numId w:val="7"/>
              </w:numPr>
              <w:spacing w:line="240" w:lineRule="auto"/>
            </w:pPr>
            <w:r>
              <w:t>H</w:t>
            </w:r>
            <w:r w:rsidR="00AE1BC6">
              <w:t>e</w:t>
            </w:r>
            <w:r>
              <w:t xml:space="preserve"> or </w:t>
            </w:r>
            <w:r w:rsidR="00AE1BC6">
              <w:t>s</w:t>
            </w:r>
            <w:r w:rsidR="00841DEC">
              <w:t>h</w:t>
            </w:r>
            <w:r>
              <w:t>e</w:t>
            </w:r>
            <w:r w:rsidR="006A15AD">
              <w:t xml:space="preserve"> </w:t>
            </w:r>
            <w:r w:rsidR="00900DA3">
              <w:t>has</w:t>
            </w:r>
            <w:r w:rsidR="008E249E">
              <w:t xml:space="preserve"> his or her center of vital interests</w:t>
            </w:r>
            <w:r w:rsidR="00900DA3">
              <w:t xml:space="preserve"> in Switzerland</w:t>
            </w:r>
            <w:r>
              <w:t>; or</w:t>
            </w:r>
          </w:p>
          <w:p w14:paraId="1F6EE5D3" w14:textId="4A3F7985" w:rsidR="00A86873" w:rsidRPr="00EB2F32" w:rsidRDefault="000B343C" w:rsidP="00C640CB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00EB2F32">
              <w:t xml:space="preserve">He or she </w:t>
            </w:r>
            <w:r w:rsidR="006D46B0" w:rsidRPr="00EB2F32">
              <w:t xml:space="preserve">stays in Switzerland </w:t>
            </w:r>
            <w:r w:rsidR="00900DA3" w:rsidRPr="00EB2F32">
              <w:t>(ignoring brief absences)</w:t>
            </w:r>
            <w:r w:rsidR="00900DA3">
              <w:t xml:space="preserve"> </w:t>
            </w:r>
            <w:r w:rsidR="002D4B1E" w:rsidRPr="00EB2F32">
              <w:t xml:space="preserve">for </w:t>
            </w:r>
            <w:r w:rsidR="002C711F">
              <w:t xml:space="preserve">either </w:t>
            </w:r>
            <w:r w:rsidR="006D46B0" w:rsidRPr="00EB2F32">
              <w:t>30 days</w:t>
            </w:r>
            <w:r w:rsidR="39A8203D" w:rsidRPr="00EB2F32">
              <w:t>,</w:t>
            </w:r>
            <w:r w:rsidR="00E277D0" w:rsidRPr="00EB2F32">
              <w:t xml:space="preserve"> in order</w:t>
            </w:r>
            <w:r w:rsidR="001C3A8D" w:rsidRPr="00EB2F32">
              <w:t xml:space="preserve"> to pursue gainful activity</w:t>
            </w:r>
            <w:r w:rsidR="02804E74" w:rsidRPr="00EB2F32">
              <w:t>,</w:t>
            </w:r>
            <w:r w:rsidR="0005724F" w:rsidRPr="00EB2F32">
              <w:t xml:space="preserve"> or </w:t>
            </w:r>
            <w:r w:rsidR="3CF23CF9" w:rsidRPr="00EB2F32">
              <w:t xml:space="preserve">for </w:t>
            </w:r>
            <w:r w:rsidR="0077685E" w:rsidRPr="00EB2F32">
              <w:t>90 days</w:t>
            </w:r>
            <w:r w:rsidR="49EE47AC" w:rsidRPr="00EB2F32">
              <w:t>,</w:t>
            </w:r>
            <w:r w:rsidR="333397A7" w:rsidRPr="00EB2F32">
              <w:t xml:space="preserve"> if no gainful activity is pursued</w:t>
            </w:r>
            <w:r w:rsidR="00A86873" w:rsidRPr="00EB2F32">
              <w:t>. (</w:t>
            </w:r>
            <w:hyperlink r:id="rId18" w:history="1">
              <w:r w:rsidR="00B82E4C" w:rsidRPr="00EB2F32">
                <w:rPr>
                  <w:rStyle w:val="Hyperlink"/>
                  <w:kern w:val="2"/>
                  <w14:ligatures w14:val="standardContextual"/>
                </w:rPr>
                <w:t xml:space="preserve">Section </w:t>
              </w:r>
              <w:r w:rsidR="00B82E4C" w:rsidRPr="00EB2F32">
                <w:rPr>
                  <w:rStyle w:val="Hyperlink"/>
                </w:rPr>
                <w:t>X</w:t>
              </w:r>
              <w:r w:rsidR="00C44AFF" w:rsidRPr="00EB2F32">
                <w:rPr>
                  <w:rStyle w:val="Hyperlink"/>
                </w:rPr>
                <w:t>II</w:t>
              </w:r>
              <w:r w:rsidR="00B82E4C" w:rsidRPr="00EB2F32">
                <w:rPr>
                  <w:rStyle w:val="Hyperlink"/>
                </w:rPr>
                <w:t>.</w:t>
              </w:r>
              <w:r w:rsidR="00C44AFF" w:rsidRPr="00EB2F32">
                <w:rPr>
                  <w:rStyle w:val="Hyperlink"/>
                </w:rPr>
                <w:t>B</w:t>
              </w:r>
              <w:r w:rsidR="00B82E4C" w:rsidRPr="00EB2F32">
                <w:rPr>
                  <w:rStyle w:val="Hyperlink"/>
                </w:rPr>
                <w:t>.</w:t>
              </w:r>
            </w:hyperlink>
            <w:r w:rsidR="00A86873" w:rsidRPr="00EB2F32">
              <w:t>)</w:t>
            </w:r>
          </w:p>
        </w:tc>
      </w:tr>
      <w:tr w:rsidR="00A86873" w14:paraId="026687EF" w14:textId="77777777" w:rsidTr="733DC60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BB0C" w14:textId="77777777" w:rsidR="00A86873" w:rsidRPr="007E11CC" w:rsidRDefault="00A86873" w:rsidP="00C640CB">
            <w:pPr>
              <w:rPr>
                <w:rFonts w:eastAsia="Times New Roman" w:cstheme="minorHAnsi"/>
                <w:b/>
                <w:bCs/>
                <w:color w:val="333333"/>
              </w:rPr>
            </w:pPr>
            <w:r w:rsidRPr="007E11CC">
              <w:rPr>
                <w:rFonts w:eastAsia="Times New Roman" w:cstheme="minorHAnsi"/>
                <w:b/>
                <w:bCs/>
                <w:color w:val="333333"/>
              </w:rPr>
              <w:t xml:space="preserve">Basic domestic nexus rule for foreign corporations </w:t>
            </w:r>
          </w:p>
          <w:p w14:paraId="0421A131" w14:textId="77777777" w:rsidR="00A86873" w:rsidRPr="007E11CC" w:rsidRDefault="00A86873" w:rsidP="00C640C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674C" w14:textId="7926808A" w:rsidR="00A86873" w:rsidRPr="00EB2F32" w:rsidRDefault="009D4C9E" w:rsidP="00C640CB">
            <w:pPr>
              <w:spacing w:line="259" w:lineRule="auto"/>
            </w:pPr>
            <w:r w:rsidRPr="00EB2F32">
              <w:t xml:space="preserve">A company not resident in </w:t>
            </w:r>
            <w:r w:rsidR="00A6225B" w:rsidRPr="00EB2F32">
              <w:t xml:space="preserve">Switzerland </w:t>
            </w:r>
            <w:r w:rsidRPr="00EB2F32">
              <w:t xml:space="preserve">is subject to </w:t>
            </w:r>
            <w:r w:rsidR="00A6225B" w:rsidRPr="00EB2F32">
              <w:t>Swiss</w:t>
            </w:r>
            <w:r w:rsidRPr="00EB2F32">
              <w:t xml:space="preserve"> taxation on</w:t>
            </w:r>
            <w:r w:rsidR="002179B1">
              <w:t>:</w:t>
            </w:r>
            <w:r w:rsidR="002179B1" w:rsidRPr="002179B1">
              <w:rPr>
                <w:rFonts w:ascii="Segoe UI" w:hAnsi="Segoe UI" w:cs="Segoe UI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="002179B1" w:rsidRPr="002179B1">
              <w:t>(i) income derived through a Swiss PE</w:t>
            </w:r>
            <w:r w:rsidR="002179B1">
              <w:t>;</w:t>
            </w:r>
            <w:r w:rsidR="002179B1" w:rsidRPr="002179B1">
              <w:t xml:space="preserve"> (ii) income derived from a Swiss partnership</w:t>
            </w:r>
            <w:r w:rsidR="002179B1">
              <w:t>;</w:t>
            </w:r>
            <w:r w:rsidR="002179B1" w:rsidRPr="002179B1">
              <w:t xml:space="preserve"> (iii) income from Swiss real estate</w:t>
            </w:r>
            <w:r w:rsidR="002179B1">
              <w:t>;</w:t>
            </w:r>
            <w:r w:rsidR="002179B1" w:rsidRPr="002179B1">
              <w:t xml:space="preserve"> (iv) interest income </w:t>
            </w:r>
            <w:r w:rsidR="00A328E1">
              <w:t xml:space="preserve">on borrowing secured by </w:t>
            </w:r>
            <w:r w:rsidR="002179B1" w:rsidRPr="002179B1">
              <w:t xml:space="preserve">secured by Swiss real estate; and (v) income from trading </w:t>
            </w:r>
            <w:r w:rsidR="00A328E1">
              <w:t>in</w:t>
            </w:r>
            <w:r w:rsidR="002179B1" w:rsidRPr="002179B1">
              <w:t xml:space="preserve"> or intermediation </w:t>
            </w:r>
            <w:r w:rsidR="00A328E1">
              <w:t>with respect to</w:t>
            </w:r>
            <w:r w:rsidR="002179B1" w:rsidRPr="002179B1">
              <w:t xml:space="preserve"> Swiss real estate."</w:t>
            </w:r>
            <w:r w:rsidR="002179B1" w:rsidRPr="00EB2F32" w:rsidDel="002179B1">
              <w:t xml:space="preserve"> </w:t>
            </w:r>
            <w:hyperlink r:id="rId19" w:history="1">
              <w:r w:rsidR="002724F2" w:rsidRPr="00EB2F32">
                <w:rPr>
                  <w:rStyle w:val="Hyperlink"/>
                  <w:kern w:val="2"/>
                  <w14:ligatures w14:val="standardContextual"/>
                </w:rPr>
                <w:t xml:space="preserve">Section </w:t>
              </w:r>
              <w:r w:rsidRPr="00EB2F32">
                <w:rPr>
                  <w:rStyle w:val="Hyperlink"/>
                </w:rPr>
                <w:t>VI</w:t>
              </w:r>
              <w:r w:rsidR="00AB4B90" w:rsidRPr="00EB2F32">
                <w:rPr>
                  <w:rStyle w:val="Hyperlink"/>
                </w:rPr>
                <w:t>I</w:t>
              </w:r>
              <w:r w:rsidRPr="00EB2F32">
                <w:rPr>
                  <w:rStyle w:val="Hyperlink"/>
                </w:rPr>
                <w:t>.B.</w:t>
              </w:r>
            </w:hyperlink>
            <w:r w:rsidRPr="00EB2F32">
              <w:t>)</w:t>
            </w:r>
            <w:r w:rsidR="00A86873" w:rsidRPr="00EB2F32">
              <w:t xml:space="preserve"> </w:t>
            </w:r>
          </w:p>
        </w:tc>
      </w:tr>
      <w:tr w:rsidR="00A86873" w14:paraId="2C5ACA61" w14:textId="77777777" w:rsidTr="733DC60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8D94" w14:textId="77777777" w:rsidR="00A86873" w:rsidRPr="007E11CC" w:rsidRDefault="00A86873" w:rsidP="00C640CB">
            <w:pPr>
              <w:rPr>
                <w:rFonts w:cstheme="minorHAnsi"/>
                <w:b/>
                <w:bCs/>
              </w:rPr>
            </w:pPr>
            <w:r w:rsidRPr="007E11CC">
              <w:rPr>
                <w:rFonts w:eastAsia="Times New Roman" w:cstheme="minorHAnsi"/>
                <w:b/>
                <w:bCs/>
                <w:color w:val="333333"/>
              </w:rPr>
              <w:t>Treaty network</w:t>
            </w:r>
          </w:p>
        </w:tc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319E" w14:textId="0F3E1471" w:rsidR="00A86873" w:rsidRPr="00EB2F32" w:rsidRDefault="00C974A5" w:rsidP="00C640CB">
            <w:r w:rsidRPr="00EB2F32">
              <w:t>Switzerland</w:t>
            </w:r>
            <w:r w:rsidR="00A86873" w:rsidRPr="00EB2F32">
              <w:t xml:space="preserve"> has tax treaties with over 100 countries, including the United States, </w:t>
            </w:r>
            <w:r w:rsidR="004D0116">
              <w:t>that</w:t>
            </w:r>
            <w:r w:rsidR="00A86873" w:rsidRPr="00EB2F32">
              <w:t xml:space="preserve"> </w:t>
            </w:r>
            <w:r w:rsidR="005F4620" w:rsidRPr="00EB2F32">
              <w:t xml:space="preserve">largely follow the OECD </w:t>
            </w:r>
            <w:r w:rsidR="00A86873" w:rsidRPr="00EB2F32">
              <w:t>Model Convention.</w:t>
            </w:r>
            <w:r w:rsidR="005F4620" w:rsidRPr="00EB2F32">
              <w:t xml:space="preserve"> (</w:t>
            </w:r>
            <w:hyperlink r:id="rId20" w:history="1">
              <w:r w:rsidR="00E97368" w:rsidRPr="00EB2F32">
                <w:rPr>
                  <w:rStyle w:val="Hyperlink"/>
                  <w:kern w:val="2"/>
                  <w14:ligatures w14:val="standardContextual"/>
                </w:rPr>
                <w:t>Secti</w:t>
              </w:r>
              <w:r w:rsidR="00E97368" w:rsidRPr="00EB2F32">
                <w:rPr>
                  <w:rStyle w:val="Hyperlink"/>
                </w:rPr>
                <w:t>ons XVIII.A.</w:t>
              </w:r>
            </w:hyperlink>
            <w:r w:rsidR="00E97368" w:rsidRPr="00EB2F32">
              <w:t xml:space="preserve"> and </w:t>
            </w:r>
            <w:hyperlink r:id="rId21" w:history="1">
              <w:r w:rsidR="009E52F4" w:rsidRPr="00EB2F32">
                <w:rPr>
                  <w:rStyle w:val="Hyperlink"/>
                </w:rPr>
                <w:t>B</w:t>
              </w:r>
              <w:r w:rsidR="005F4620" w:rsidRPr="00EB2F32">
                <w:rPr>
                  <w:rStyle w:val="Hyperlink"/>
                </w:rPr>
                <w:t>.</w:t>
              </w:r>
            </w:hyperlink>
            <w:r w:rsidR="005F4620" w:rsidRPr="00EB2F32">
              <w:t>)</w:t>
            </w:r>
          </w:p>
          <w:p w14:paraId="218E2254" w14:textId="77777777" w:rsidR="00C640CB" w:rsidRDefault="00C640CB" w:rsidP="00C640CB"/>
          <w:p w14:paraId="39317CD9" w14:textId="7C0687A1" w:rsidR="00A86873" w:rsidRPr="00C640CB" w:rsidRDefault="00A86873" w:rsidP="00C640CB">
            <w:pPr>
              <w:rPr>
                <w:rFonts w:cstheme="minorHAnsi"/>
              </w:rPr>
            </w:pPr>
            <w:r w:rsidRPr="00EB2F32">
              <w:t xml:space="preserve">MLI signatory: Yes. </w:t>
            </w:r>
            <w:r w:rsidR="002436B9" w:rsidRPr="00EB2F32">
              <w:t>(</w:t>
            </w:r>
            <w:hyperlink r:id="rId22" w:anchor="section(4)(4)(b)_0" w:history="1">
              <w:r w:rsidR="002436B9" w:rsidRPr="00C640CB">
                <w:rPr>
                  <w:rStyle w:val="Hyperlink"/>
                  <w:rFonts w:cstheme="minorHAnsi"/>
                  <w:kern w:val="2"/>
                  <w14:ligatures w14:val="standardContextual"/>
                </w:rPr>
                <w:t>Section X</w:t>
              </w:r>
              <w:r w:rsidR="002436B9" w:rsidRPr="00C640CB">
                <w:rPr>
                  <w:rStyle w:val="Hyperlink"/>
                  <w:rFonts w:cstheme="minorHAnsi"/>
                </w:rPr>
                <w:t>V</w:t>
              </w:r>
              <w:r w:rsidR="00C74238" w:rsidRPr="00C640CB">
                <w:rPr>
                  <w:rStyle w:val="Hyperlink"/>
                  <w:rFonts w:cstheme="minorHAnsi"/>
                </w:rPr>
                <w:t>III</w:t>
              </w:r>
              <w:r w:rsidR="002436B9" w:rsidRPr="00C640CB">
                <w:rPr>
                  <w:rStyle w:val="Hyperlink"/>
                  <w:rFonts w:cstheme="minorHAnsi"/>
                </w:rPr>
                <w:t>.</w:t>
              </w:r>
              <w:r w:rsidR="00C74238" w:rsidRPr="00C640CB">
                <w:rPr>
                  <w:rStyle w:val="Hyperlink"/>
                  <w:rFonts w:cstheme="minorHAnsi"/>
                </w:rPr>
                <w:t>A</w:t>
              </w:r>
              <w:r w:rsidR="002436B9" w:rsidRPr="00C640CB">
                <w:rPr>
                  <w:rStyle w:val="Hyperlink"/>
                  <w:rFonts w:cstheme="minorHAnsi"/>
                </w:rPr>
                <w:t>.</w:t>
              </w:r>
              <w:r w:rsidR="00C74238" w:rsidRPr="00C640CB">
                <w:rPr>
                  <w:rStyle w:val="Hyperlink"/>
                  <w:rFonts w:cstheme="minorHAnsi"/>
                </w:rPr>
                <w:t>4</w:t>
              </w:r>
              <w:r w:rsidR="002436B9" w:rsidRPr="00C640CB">
                <w:rPr>
                  <w:rStyle w:val="Hyperlink"/>
                  <w:rFonts w:cstheme="minorHAnsi"/>
                </w:rPr>
                <w:t>.</w:t>
              </w:r>
              <w:r w:rsidR="00C74238" w:rsidRPr="00C640CB">
                <w:rPr>
                  <w:rStyle w:val="Hyperlink"/>
                  <w:rFonts w:cstheme="minorHAnsi"/>
                </w:rPr>
                <w:t>b</w:t>
              </w:r>
              <w:r w:rsidR="002436B9" w:rsidRPr="00C640CB">
                <w:rPr>
                  <w:rStyle w:val="Hyperlink"/>
                  <w:rFonts w:cstheme="minorHAnsi"/>
                </w:rPr>
                <w:t>.</w:t>
              </w:r>
            </w:hyperlink>
            <w:r w:rsidR="002436B9" w:rsidRPr="00EB2F32">
              <w:t>)</w:t>
            </w:r>
          </w:p>
          <w:p w14:paraId="60D2F449" w14:textId="77777777" w:rsidR="00C640CB" w:rsidRDefault="00C640CB" w:rsidP="00C640CB"/>
          <w:p w14:paraId="3A8F73D0" w14:textId="2F295C9E" w:rsidR="00A86873" w:rsidRPr="00C640CB" w:rsidRDefault="00A86873" w:rsidP="00C640CB">
            <w:pPr>
              <w:rPr>
                <w:rFonts w:cstheme="minorHAnsi"/>
              </w:rPr>
            </w:pPr>
            <w:r w:rsidRPr="00EB2F32">
              <w:t xml:space="preserve">For the texts and status of </w:t>
            </w:r>
            <w:r w:rsidR="00C74238" w:rsidRPr="00EB2F32">
              <w:t>Switzerland’s</w:t>
            </w:r>
            <w:r w:rsidRPr="00EB2F32">
              <w:t xml:space="preserve"> tax treaties, see </w:t>
            </w:r>
            <w:hyperlink r:id="rId23" w:history="1">
              <w:r w:rsidRPr="00EB2F32">
                <w:rPr>
                  <w:rStyle w:val="Hyperlink"/>
                </w:rPr>
                <w:t>International Tax Treaties</w:t>
              </w:r>
            </w:hyperlink>
            <w:r w:rsidRPr="00EB2F32">
              <w:t>.</w:t>
            </w:r>
          </w:p>
        </w:tc>
      </w:tr>
      <w:tr w:rsidR="00A86873" w:rsidRPr="00EB2F32" w14:paraId="1472E9B3" w14:textId="77777777" w:rsidTr="733DC60C">
        <w:trPr>
          <w:gridAfter w:val="1"/>
          <w:wAfter w:w="3960" w:type="dxa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C095" w14:textId="77777777" w:rsidR="00A86873" w:rsidRPr="00EB2F32" w:rsidRDefault="00A86873" w:rsidP="00C640CB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86873" w14:paraId="141BE8D4" w14:textId="77777777" w:rsidTr="733DC60C">
        <w:tc>
          <w:tcPr>
            <w:tcW w:w="1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77C3C24" w14:textId="77777777" w:rsidR="00A86873" w:rsidRPr="00EB2F32" w:rsidRDefault="00A86873" w:rsidP="00C640CB">
            <w:pPr>
              <w:spacing w:before="120" w:after="120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EB2F32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Corporations</w:t>
            </w:r>
          </w:p>
        </w:tc>
      </w:tr>
      <w:tr w:rsidR="00A86873" w14:paraId="7C4FBA21" w14:textId="77777777" w:rsidTr="733DC60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BFC5E4" w14:textId="77777777" w:rsidR="00A86873" w:rsidRPr="007E11CC" w:rsidRDefault="00A86873" w:rsidP="00C640CB">
            <w:pPr>
              <w:rPr>
                <w:rFonts w:eastAsia="Times New Roman" w:cstheme="minorHAnsi"/>
                <w:b/>
                <w:bCs/>
                <w:color w:val="333333"/>
              </w:rPr>
            </w:pPr>
            <w:r w:rsidRPr="007E11CC">
              <w:rPr>
                <w:rFonts w:eastAsia="Times New Roman" w:cstheme="minorHAnsi"/>
                <w:b/>
                <w:bCs/>
                <w:color w:val="333333"/>
              </w:rPr>
              <w:t>Corporate income tax rate</w:t>
            </w:r>
          </w:p>
          <w:p w14:paraId="11176A23" w14:textId="77777777" w:rsidR="00A86873" w:rsidRPr="007E11CC" w:rsidRDefault="00A86873" w:rsidP="00C640C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9EFCA9" w14:textId="154D2FEE" w:rsidR="00A86873" w:rsidRPr="00EB2F32" w:rsidRDefault="00A86873" w:rsidP="00C640CB">
            <w:pPr>
              <w:spacing w:line="259" w:lineRule="auto"/>
              <w:rPr>
                <w:rFonts w:cstheme="minorHAnsi"/>
              </w:rPr>
            </w:pPr>
            <w:r w:rsidRPr="21A52678">
              <w:t xml:space="preserve">The standard </w:t>
            </w:r>
            <w:r w:rsidR="003A0188" w:rsidRPr="21A52678">
              <w:t xml:space="preserve">federal </w:t>
            </w:r>
            <w:r w:rsidRPr="21A52678">
              <w:t>rate</w:t>
            </w:r>
            <w:r w:rsidR="003A0188" w:rsidRPr="21A52678">
              <w:t xml:space="preserve"> </w:t>
            </w:r>
            <w:r w:rsidR="00B167F3" w:rsidRPr="21A52678">
              <w:t xml:space="preserve">is </w:t>
            </w:r>
            <w:r w:rsidR="006E427B" w:rsidRPr="21A52678">
              <w:t xml:space="preserve">a flat </w:t>
            </w:r>
            <w:r w:rsidR="00CF7597">
              <w:t>8</w:t>
            </w:r>
            <w:r w:rsidR="00A50AD6">
              <w:t>.5</w:t>
            </w:r>
            <w:r w:rsidR="00CF7597">
              <w:t>%</w:t>
            </w:r>
            <w:r w:rsidR="00047F0C">
              <w:t xml:space="preserve">, </w:t>
            </w:r>
            <w:r w:rsidR="00AA0A95">
              <w:t xml:space="preserve">as </w:t>
            </w:r>
            <w:r w:rsidR="00FA37DD" w:rsidRPr="21A52678">
              <w:t>a</w:t>
            </w:r>
            <w:r w:rsidR="00D331BE" w:rsidRPr="21A52678">
              <w:t xml:space="preserve">ugmented by </w:t>
            </w:r>
            <w:r w:rsidR="00D208CA" w:rsidRPr="21A52678">
              <w:t xml:space="preserve">tax levied </w:t>
            </w:r>
            <w:r w:rsidR="005B3ACD" w:rsidRPr="21A52678">
              <w:t>by the</w:t>
            </w:r>
            <w:r w:rsidR="00D208CA" w:rsidRPr="21A52678">
              <w:t xml:space="preserve"> canton</w:t>
            </w:r>
            <w:r w:rsidR="005B3ACD" w:rsidRPr="21A52678">
              <w:t>s</w:t>
            </w:r>
            <w:r w:rsidR="00D208CA" w:rsidRPr="21A52678">
              <w:t xml:space="preserve"> </w:t>
            </w:r>
            <w:r w:rsidR="00641E8A" w:rsidRPr="21A52678">
              <w:t xml:space="preserve">and </w:t>
            </w:r>
            <w:r w:rsidR="005C76FC" w:rsidRPr="21A52678">
              <w:t>(</w:t>
            </w:r>
            <w:r w:rsidR="00641E8A" w:rsidRPr="21A52678">
              <w:t>in some cases</w:t>
            </w:r>
            <w:r w:rsidR="005C76FC" w:rsidRPr="21A52678">
              <w:t>)</w:t>
            </w:r>
            <w:r w:rsidR="00641E8A" w:rsidRPr="21A52678">
              <w:t xml:space="preserve"> municipal</w:t>
            </w:r>
            <w:r w:rsidR="005B3ACD" w:rsidRPr="21A52678">
              <w:t>ities</w:t>
            </w:r>
            <w:r w:rsidR="005C76FC" w:rsidRPr="21A52678">
              <w:t xml:space="preserve">, </w:t>
            </w:r>
            <w:r w:rsidR="005B3ACD" w:rsidRPr="21A52678">
              <w:t xml:space="preserve">the rates of </w:t>
            </w:r>
            <w:r w:rsidR="005C76FC" w:rsidRPr="21A52678">
              <w:t>which vary</w:t>
            </w:r>
            <w:r w:rsidRPr="21A52678">
              <w:t xml:space="preserve">. </w:t>
            </w:r>
            <w:r w:rsidR="00142421" w:rsidRPr="21A52678">
              <w:t xml:space="preserve">There </w:t>
            </w:r>
            <w:r w:rsidR="005B3ACD" w:rsidRPr="21A52678">
              <w:t>is</w:t>
            </w:r>
            <w:r w:rsidR="00142421" w:rsidRPr="21A52678">
              <w:t xml:space="preserve"> no </w:t>
            </w:r>
            <w:r w:rsidR="00CB4EDE" w:rsidRPr="21A52678">
              <w:t xml:space="preserve">federal </w:t>
            </w:r>
            <w:r w:rsidR="63A1CC75" w:rsidRPr="21A52678">
              <w:t xml:space="preserve">tax on </w:t>
            </w:r>
            <w:r w:rsidR="00142421" w:rsidRPr="21A52678">
              <w:t>capital</w:t>
            </w:r>
            <w:r w:rsidR="005B3ACD" w:rsidRPr="21A52678">
              <w:t>.</w:t>
            </w:r>
            <w:r w:rsidR="00142421" w:rsidRPr="21A52678">
              <w:t xml:space="preserve"> </w:t>
            </w:r>
            <w:r w:rsidRPr="21A52678">
              <w:t>(</w:t>
            </w:r>
            <w:hyperlink r:id="rId24" w:history="1">
              <w:r w:rsidR="00004E7E" w:rsidRPr="00C30ABB">
                <w:rPr>
                  <w:rStyle w:val="Hyperlink"/>
                  <w:kern w:val="2"/>
                  <w14:ligatures w14:val="standardContextual"/>
                </w:rPr>
                <w:t xml:space="preserve">Section </w:t>
              </w:r>
              <w:r w:rsidR="00C30ABB" w:rsidRPr="00C30ABB">
                <w:rPr>
                  <w:rStyle w:val="Hyperlink"/>
                </w:rPr>
                <w:t>VI.E.</w:t>
              </w:r>
            </w:hyperlink>
            <w:r w:rsidRPr="21A52678">
              <w:t xml:space="preserve">) </w:t>
            </w:r>
          </w:p>
        </w:tc>
      </w:tr>
      <w:tr w:rsidR="00A86873" w14:paraId="762C8437" w14:textId="77777777" w:rsidTr="733DC60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82EB" w14:textId="320F441A" w:rsidR="00A86873" w:rsidRPr="007E11CC" w:rsidRDefault="00C640CB" w:rsidP="00C640CB">
            <w:pPr>
              <w:rPr>
                <w:b/>
                <w:bCs/>
              </w:rPr>
            </w:pPr>
            <w:r w:rsidRPr="007E11CC">
              <w:rPr>
                <w:rFonts w:eastAsia="Times New Roman"/>
                <w:b/>
                <w:bCs/>
                <w:color w:val="333333"/>
              </w:rPr>
              <w:t>W</w:t>
            </w:r>
            <w:r w:rsidR="00A86873" w:rsidRPr="007E11CC">
              <w:rPr>
                <w:rFonts w:eastAsia="Times New Roman"/>
                <w:b/>
                <w:bCs/>
                <w:color w:val="333333"/>
              </w:rPr>
              <w:t>ithholding tax rates on payments to non-resident companies</w:t>
            </w:r>
            <w:r w:rsidR="00121CBF" w:rsidRPr="007E11CC">
              <w:rPr>
                <w:rFonts w:eastAsia="Times New Roman"/>
                <w:b/>
                <w:bCs/>
                <w:color w:val="333333"/>
              </w:rPr>
              <w:t xml:space="preserve"> </w:t>
            </w:r>
            <w:r w:rsidR="00121CBF" w:rsidRPr="007E11CC">
              <w:rPr>
                <w:rStyle w:val="normaltextrun"/>
                <w:rFonts w:ascii="Calibri" w:hAnsi="Calibri" w:cs="Calibri"/>
                <w:b/>
                <w:bCs/>
                <w:color w:val="333333"/>
              </w:rPr>
              <w:t>not connected with a source country PE (or the domestic equivalent).</w:t>
            </w:r>
          </w:p>
        </w:tc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3FD2" w14:textId="22B440F3" w:rsidR="00A86873" w:rsidRPr="00EB2F32" w:rsidRDefault="00A86873" w:rsidP="00C640CB">
            <w:r w:rsidRPr="00C640CB">
              <w:rPr>
                <w:u w:val="single"/>
              </w:rPr>
              <w:t>Dividends</w:t>
            </w:r>
            <w:r w:rsidR="00DD05D6">
              <w:t>:</w:t>
            </w:r>
            <w:r>
              <w:t xml:space="preserve"> </w:t>
            </w:r>
            <w:r w:rsidR="00930090">
              <w:t>3</w:t>
            </w:r>
            <w:r w:rsidR="00E13542">
              <w:t>5</w:t>
            </w:r>
            <w:r>
              <w:t>%</w:t>
            </w:r>
            <w:r w:rsidR="00EC57E5">
              <w:t>, subject to full or partial refund</w:t>
            </w:r>
            <w:r>
              <w:t xml:space="preserve"> </w:t>
            </w:r>
            <w:r w:rsidR="58BE528F">
              <w:t xml:space="preserve">where a tax treaty provides for a lower rate or exemption </w:t>
            </w:r>
            <w:r>
              <w:t>(</w:t>
            </w:r>
            <w:hyperlink r:id="rId25">
              <w:r w:rsidR="000D11BA" w:rsidRPr="71CB310B">
                <w:rPr>
                  <w:rStyle w:val="Hyperlink"/>
                </w:rPr>
                <w:t>Section</w:t>
              </w:r>
              <w:r w:rsidR="00F5677C" w:rsidRPr="71CB310B">
                <w:rPr>
                  <w:rStyle w:val="Hyperlink"/>
                </w:rPr>
                <w:t>s</w:t>
              </w:r>
              <w:r w:rsidR="000D11BA" w:rsidRPr="71CB310B">
                <w:rPr>
                  <w:rStyle w:val="Hyperlink"/>
                </w:rPr>
                <w:t xml:space="preserve"> VII.B.</w:t>
              </w:r>
            </w:hyperlink>
            <w:r w:rsidR="00F552A3">
              <w:t xml:space="preserve"> </w:t>
            </w:r>
            <w:r w:rsidR="4D20A112" w:rsidRPr="71CB310B">
              <w:t>–</w:t>
            </w:r>
            <w:r w:rsidR="4D20A112">
              <w:t xml:space="preserve"> </w:t>
            </w:r>
            <w:hyperlink r:id="rId26">
              <w:r w:rsidR="00F5677C" w:rsidRPr="71CB310B">
                <w:rPr>
                  <w:rStyle w:val="Hyperlink"/>
                </w:rPr>
                <w:t>C.</w:t>
              </w:r>
            </w:hyperlink>
            <w:r w:rsidR="533B80C4">
              <w:t xml:space="preserve"> </w:t>
            </w:r>
            <w:r w:rsidR="1A4A4CE8">
              <w:t xml:space="preserve">and </w:t>
            </w:r>
            <w:hyperlink r:id="rId27" w:anchor="section(5)(5)(c)_0">
              <w:r w:rsidR="00F552A3" w:rsidRPr="71CB310B">
                <w:rPr>
                  <w:rStyle w:val="Hyperlink"/>
                </w:rPr>
                <w:t>Section XVIII.B.5.c.</w:t>
              </w:r>
            </w:hyperlink>
            <w:r w:rsidR="00F552A3">
              <w:t>)</w:t>
            </w:r>
            <w:r w:rsidR="00E13542">
              <w:t xml:space="preserve"> </w:t>
            </w:r>
          </w:p>
          <w:p w14:paraId="19598FA4" w14:textId="77777777" w:rsidR="00C640CB" w:rsidRDefault="00C640CB" w:rsidP="00C640CB">
            <w:pPr>
              <w:rPr>
                <w:u w:val="single"/>
              </w:rPr>
            </w:pPr>
          </w:p>
          <w:p w14:paraId="30803BF3" w14:textId="49889F71" w:rsidR="00A86873" w:rsidRPr="00EB2F32" w:rsidRDefault="00A86873" w:rsidP="00C640CB">
            <w:r w:rsidRPr="00C640CB">
              <w:rPr>
                <w:u w:val="single"/>
              </w:rPr>
              <w:t>Interest</w:t>
            </w:r>
            <w:r w:rsidR="00DD05D6">
              <w:t>:</w:t>
            </w:r>
            <w:r>
              <w:t xml:space="preserve"> </w:t>
            </w:r>
            <w:r w:rsidR="00CE2065">
              <w:t xml:space="preserve">35% </w:t>
            </w:r>
            <w:r w:rsidR="003B18BF">
              <w:t xml:space="preserve">for interest on </w:t>
            </w:r>
            <w:r w:rsidR="00CE2065">
              <w:t>bank deposit</w:t>
            </w:r>
            <w:r w:rsidR="003B18BF">
              <w:t>s</w:t>
            </w:r>
            <w:r w:rsidR="00CE2065">
              <w:t xml:space="preserve"> and bo</w:t>
            </w:r>
            <w:r w:rsidR="001400D6">
              <w:t>n</w:t>
            </w:r>
            <w:r w:rsidR="00CE2065">
              <w:t>d</w:t>
            </w:r>
            <w:r w:rsidR="00FE7A2B">
              <w:t>s</w:t>
            </w:r>
            <w:r w:rsidR="002417E6">
              <w:t>, but 3%</w:t>
            </w:r>
            <w:r w:rsidR="003B3E6E">
              <w:t xml:space="preserve"> </w:t>
            </w:r>
            <w:r w:rsidR="006A3CA2">
              <w:t xml:space="preserve">plus cantonal taxes </w:t>
            </w:r>
            <w:r w:rsidR="1312F922">
              <w:t>for interest on a loan secured by a mortgage on Swiss-situs</w:t>
            </w:r>
            <w:r w:rsidR="00FE7A2B">
              <w:t xml:space="preserve"> </w:t>
            </w:r>
            <w:r w:rsidR="003B3E6E">
              <w:t>real property;</w:t>
            </w:r>
            <w:r w:rsidR="00315349">
              <w:t xml:space="preserve"> </w:t>
            </w:r>
            <w:r w:rsidR="003B3E6E">
              <w:t>interest on ordinary loans is exempt</w:t>
            </w:r>
            <w:r w:rsidR="006A3CA2">
              <w:t xml:space="preserve"> unless </w:t>
            </w:r>
            <w:r w:rsidR="00AE24C2">
              <w:t xml:space="preserve">the loans are </w:t>
            </w:r>
            <w:r w:rsidR="006A3CA2">
              <w:t>re-characterized as bond-like instruments</w:t>
            </w:r>
            <w:r w:rsidR="003B3E6E">
              <w:t>.</w:t>
            </w:r>
            <w:r w:rsidR="001400D6">
              <w:t xml:space="preserve"> </w:t>
            </w:r>
            <w:r>
              <w:t>(</w:t>
            </w:r>
            <w:hyperlink r:id="rId28">
              <w:r w:rsidR="007B44EB" w:rsidRPr="587124F0">
                <w:rPr>
                  <w:rStyle w:val="Hyperlink"/>
                </w:rPr>
                <w:t>Section V</w:t>
              </w:r>
              <w:r w:rsidR="00315349" w:rsidRPr="587124F0">
                <w:rPr>
                  <w:rStyle w:val="Hyperlink"/>
                </w:rPr>
                <w:t>I</w:t>
              </w:r>
              <w:r w:rsidR="007B44EB" w:rsidRPr="587124F0">
                <w:rPr>
                  <w:rStyle w:val="Hyperlink"/>
                </w:rPr>
                <w:t>I.B.</w:t>
              </w:r>
            </w:hyperlink>
            <w:r w:rsidR="007D1338">
              <w:t xml:space="preserve"> and </w:t>
            </w:r>
            <w:hyperlink r:id="rId29" w:anchor="section(5)(5)(d)_0">
              <w:r w:rsidR="007D1338" w:rsidRPr="587124F0">
                <w:rPr>
                  <w:rStyle w:val="Hyperlink"/>
                </w:rPr>
                <w:t>Section XVIII.B.5.</w:t>
              </w:r>
              <w:r w:rsidR="00BA3077" w:rsidRPr="587124F0">
                <w:rPr>
                  <w:rStyle w:val="Hyperlink"/>
                </w:rPr>
                <w:t>d</w:t>
              </w:r>
              <w:r w:rsidR="007D1338" w:rsidRPr="587124F0">
                <w:rPr>
                  <w:rStyle w:val="Hyperlink"/>
                </w:rPr>
                <w:t>.</w:t>
              </w:r>
            </w:hyperlink>
            <w:r w:rsidR="007D1338">
              <w:t>)</w:t>
            </w:r>
            <w:r w:rsidR="007B44EB">
              <w:t xml:space="preserve"> </w:t>
            </w:r>
            <w:r w:rsidR="00B56FC7" w:rsidRPr="00C640CB">
              <w:rPr>
                <w:color w:val="FF0000"/>
              </w:rPr>
              <w:t xml:space="preserve"> </w:t>
            </w:r>
          </w:p>
          <w:p w14:paraId="39591C4E" w14:textId="77777777" w:rsidR="00C640CB" w:rsidRDefault="00C640CB" w:rsidP="00C640CB">
            <w:pPr>
              <w:rPr>
                <w:rFonts w:cstheme="minorHAnsi"/>
                <w:u w:val="single"/>
                <w:lang w:val="fr-FR"/>
              </w:rPr>
            </w:pPr>
          </w:p>
          <w:p w14:paraId="428898E4" w14:textId="449593EF" w:rsidR="00A86873" w:rsidRPr="00C640CB" w:rsidRDefault="00A86873" w:rsidP="00C640CB">
            <w:pPr>
              <w:rPr>
                <w:rFonts w:cstheme="minorHAnsi"/>
                <w:lang w:val="fr-FR"/>
              </w:rPr>
            </w:pPr>
            <w:r w:rsidRPr="00C640CB">
              <w:rPr>
                <w:rFonts w:cstheme="minorHAnsi"/>
                <w:u w:val="single"/>
                <w:lang w:val="fr-FR"/>
              </w:rPr>
              <w:t>Royalties</w:t>
            </w:r>
            <w:r w:rsidR="00DD05D6" w:rsidRPr="00C640CB">
              <w:rPr>
                <w:rFonts w:cstheme="minorHAnsi"/>
                <w:lang w:val="fr-FR"/>
              </w:rPr>
              <w:t>:</w:t>
            </w:r>
            <w:r w:rsidRPr="00C640CB">
              <w:rPr>
                <w:rFonts w:cstheme="minorHAnsi"/>
                <w:lang w:val="fr-FR"/>
              </w:rPr>
              <w:t xml:space="preserve"> 0% (</w:t>
            </w:r>
            <w:hyperlink r:id="rId30" w:anchor="section(5)(5)(e)_0" w:history="1">
              <w:r w:rsidR="00B1211E" w:rsidRPr="00C640CB">
                <w:rPr>
                  <w:rStyle w:val="Hyperlink"/>
                  <w:rFonts w:cstheme="minorHAnsi"/>
                  <w:lang w:val="fr-FR"/>
                </w:rPr>
                <w:t>Section XVIII.B.5.e.</w:t>
              </w:r>
            </w:hyperlink>
            <w:r w:rsidR="007B44EB" w:rsidRPr="00C640CB">
              <w:rPr>
                <w:rFonts w:cstheme="minorHAnsi"/>
                <w:lang w:val="fr-FR"/>
              </w:rPr>
              <w:t>)</w:t>
            </w:r>
          </w:p>
          <w:p w14:paraId="49B2A9D3" w14:textId="77777777" w:rsidR="00C640CB" w:rsidRDefault="00C640CB" w:rsidP="00C640CB"/>
          <w:p w14:paraId="74838FB2" w14:textId="2A9FA611" w:rsidR="00A86873" w:rsidRPr="00EB2F32" w:rsidRDefault="00A86873" w:rsidP="00C640CB">
            <w:r w:rsidRPr="00EB2F32">
              <w:t xml:space="preserve">For the rates of source country taxation applying under </w:t>
            </w:r>
            <w:r w:rsidR="00662076" w:rsidRPr="00EB2F32">
              <w:t xml:space="preserve">Switzerland’s </w:t>
            </w:r>
            <w:r w:rsidRPr="00EB2F32">
              <w:t xml:space="preserve">domestic law and tax treaties and the context for their application, see the </w:t>
            </w:r>
            <w:hyperlink r:id="rId31">
              <w:r w:rsidRPr="00EB2F32">
                <w:rPr>
                  <w:rStyle w:val="Hyperlink"/>
                </w:rPr>
                <w:t>Withholding Tax Chart</w:t>
              </w:r>
            </w:hyperlink>
            <w:r w:rsidRPr="00EB2F32">
              <w:t>.</w:t>
            </w:r>
          </w:p>
        </w:tc>
      </w:tr>
      <w:tr w:rsidR="00A86873" w14:paraId="30DDC014" w14:textId="77777777" w:rsidTr="733DC60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92932" w14:textId="77777777" w:rsidR="00A86873" w:rsidRPr="007E11CC" w:rsidRDefault="00A86873" w:rsidP="00C640CB">
            <w:pPr>
              <w:rPr>
                <w:rFonts w:eastAsia="Times New Roman" w:cstheme="minorHAnsi"/>
                <w:b/>
                <w:bCs/>
                <w:color w:val="333333"/>
              </w:rPr>
            </w:pPr>
            <w:r w:rsidRPr="007E11CC">
              <w:rPr>
                <w:rFonts w:eastAsia="Times New Roman" w:cstheme="minorHAnsi"/>
                <w:b/>
                <w:bCs/>
                <w:color w:val="333333"/>
              </w:rPr>
              <w:t>Net operating losses carryback/forward</w:t>
            </w:r>
          </w:p>
        </w:tc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E1657" w14:textId="78672851" w:rsidR="00A86873" w:rsidRPr="00EB2F32" w:rsidRDefault="00A86873" w:rsidP="00CE4BAB">
            <w:r w:rsidRPr="00CE4BAB">
              <w:rPr>
                <w:u w:val="single"/>
              </w:rPr>
              <w:t>Carryback</w:t>
            </w:r>
            <w:r w:rsidR="001E6F22" w:rsidRPr="00EB2F32">
              <w:t xml:space="preserve">: </w:t>
            </w:r>
            <w:r w:rsidR="00265DC9" w:rsidRPr="00EB2F32">
              <w:t>None</w:t>
            </w:r>
            <w:r w:rsidRPr="00EB2F32">
              <w:t xml:space="preserve">. </w:t>
            </w:r>
          </w:p>
          <w:p w14:paraId="7B865647" w14:textId="77777777" w:rsidR="00CE4BAB" w:rsidRDefault="00CE4BAB" w:rsidP="00CE4BAB">
            <w:pPr>
              <w:rPr>
                <w:rFonts w:cstheme="minorHAnsi"/>
                <w:u w:val="single"/>
              </w:rPr>
            </w:pPr>
          </w:p>
          <w:p w14:paraId="497BE3C4" w14:textId="47A40CA8" w:rsidR="00A86873" w:rsidRPr="00CE4BAB" w:rsidRDefault="00A86873" w:rsidP="00CE4BAB">
            <w:pPr>
              <w:rPr>
                <w:rFonts w:cstheme="minorHAnsi"/>
              </w:rPr>
            </w:pPr>
            <w:r w:rsidRPr="00CE4BAB">
              <w:rPr>
                <w:rFonts w:cstheme="minorHAnsi"/>
                <w:u w:val="single"/>
              </w:rPr>
              <w:t>Carryforward</w:t>
            </w:r>
            <w:r w:rsidRPr="00CE4BAB">
              <w:rPr>
                <w:rFonts w:cstheme="minorHAnsi"/>
              </w:rPr>
              <w:t xml:space="preserve">: </w:t>
            </w:r>
            <w:r w:rsidR="007E429B" w:rsidRPr="00CE4BAB">
              <w:rPr>
                <w:rFonts w:cstheme="minorHAnsi"/>
              </w:rPr>
              <w:t>Up to s</w:t>
            </w:r>
            <w:r w:rsidR="00265DC9" w:rsidRPr="00CE4BAB">
              <w:rPr>
                <w:rFonts w:cstheme="minorHAnsi"/>
              </w:rPr>
              <w:t>even years</w:t>
            </w:r>
            <w:r w:rsidRPr="00CE4BAB">
              <w:rPr>
                <w:rFonts w:cstheme="minorHAnsi"/>
              </w:rPr>
              <w:t>. (</w:t>
            </w:r>
            <w:hyperlink r:id="rId32" w:anchor="section(15)_0" w:history="1">
              <w:r w:rsidRPr="00CE4BAB">
                <w:rPr>
                  <w:rStyle w:val="Hyperlink"/>
                  <w:rFonts w:cstheme="minorHAnsi"/>
                </w:rPr>
                <w:t>Section V</w:t>
              </w:r>
              <w:r w:rsidR="007E429B" w:rsidRPr="00CE4BAB">
                <w:rPr>
                  <w:rStyle w:val="Hyperlink"/>
                  <w:rFonts w:cstheme="minorHAnsi"/>
                </w:rPr>
                <w:t>I</w:t>
              </w:r>
              <w:r w:rsidRPr="00CE4BAB">
                <w:rPr>
                  <w:rStyle w:val="Hyperlink"/>
                  <w:rFonts w:cstheme="minorHAnsi"/>
                </w:rPr>
                <w:t>.</w:t>
              </w:r>
              <w:r w:rsidR="007E429B" w:rsidRPr="00CE4BAB">
                <w:rPr>
                  <w:rStyle w:val="Hyperlink"/>
                  <w:rFonts w:cstheme="minorHAnsi"/>
                </w:rPr>
                <w:t>D</w:t>
              </w:r>
              <w:r w:rsidRPr="00CE4BAB">
                <w:rPr>
                  <w:rStyle w:val="Hyperlink"/>
                  <w:rFonts w:cstheme="minorHAnsi"/>
                </w:rPr>
                <w:t>.</w:t>
              </w:r>
              <w:r w:rsidR="001E6F22" w:rsidRPr="00CE4BAB">
                <w:rPr>
                  <w:rStyle w:val="Hyperlink"/>
                  <w:rFonts w:cstheme="minorHAnsi"/>
                </w:rPr>
                <w:t>1</w:t>
              </w:r>
              <w:r w:rsidR="007E429B" w:rsidRPr="00CE4BAB">
                <w:rPr>
                  <w:rStyle w:val="Hyperlink"/>
                  <w:rFonts w:cstheme="minorHAnsi"/>
                </w:rPr>
                <w:t>5</w:t>
              </w:r>
              <w:r w:rsidRPr="00CE4BAB">
                <w:rPr>
                  <w:rStyle w:val="Hyperlink"/>
                  <w:rFonts w:cstheme="minorHAnsi"/>
                </w:rPr>
                <w:t>.</w:t>
              </w:r>
            </w:hyperlink>
            <w:r w:rsidRPr="00CE4BAB">
              <w:rPr>
                <w:rFonts w:cstheme="minorHAnsi"/>
              </w:rPr>
              <w:t>)</w:t>
            </w:r>
          </w:p>
        </w:tc>
      </w:tr>
      <w:tr w:rsidR="00A86873" w14:paraId="5AE64F35" w14:textId="77777777" w:rsidTr="733DC60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E8BFE" w14:textId="77777777" w:rsidR="00A86873" w:rsidRPr="007E11CC" w:rsidRDefault="00A86873" w:rsidP="00C640CB">
            <w:pPr>
              <w:spacing w:line="259" w:lineRule="auto"/>
              <w:rPr>
                <w:rFonts w:eastAsia="Times New Roman" w:cstheme="minorHAnsi"/>
                <w:b/>
                <w:bCs/>
                <w:color w:val="333333"/>
              </w:rPr>
            </w:pPr>
            <w:r w:rsidRPr="007E11CC">
              <w:rPr>
                <w:rFonts w:eastAsia="Times New Roman" w:cstheme="minorHAnsi"/>
                <w:b/>
                <w:bCs/>
                <w:color w:val="333333"/>
              </w:rPr>
              <w:t xml:space="preserve">Restrictions on deductibility of interest expenses </w:t>
            </w:r>
          </w:p>
        </w:tc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D691D" w14:textId="128F3E5A" w:rsidR="00A86873" w:rsidRPr="00EB2F32" w:rsidRDefault="00C637F0" w:rsidP="00C640CB">
            <w:r w:rsidRPr="00EB2F32">
              <w:t>T</w:t>
            </w:r>
            <w:r w:rsidR="00937329" w:rsidRPr="00EB2F32">
              <w:t>hin capitalization rul</w:t>
            </w:r>
            <w:r w:rsidR="00CE7438" w:rsidRPr="00EB2F32">
              <w:t xml:space="preserve">es </w:t>
            </w:r>
            <w:r w:rsidR="00377E51" w:rsidRPr="00EB2F32">
              <w:t>apply to related</w:t>
            </w:r>
            <w:r w:rsidR="0083337F" w:rsidRPr="00EB2F32">
              <w:t>-</w:t>
            </w:r>
            <w:r w:rsidR="00377E51" w:rsidRPr="00EB2F32">
              <w:t>party debt</w:t>
            </w:r>
            <w:r w:rsidR="00BC52D1" w:rsidRPr="00EB2F32">
              <w:t xml:space="preserve">, </w:t>
            </w:r>
            <w:r w:rsidR="007775D3" w:rsidRPr="00EB2F32">
              <w:t>subject to various safe harbor debt-to-equity ratios</w:t>
            </w:r>
            <w:r w:rsidR="0083337F" w:rsidRPr="00EB2F32">
              <w:t xml:space="preserve">, but </w:t>
            </w:r>
            <w:r w:rsidR="001F48E6" w:rsidRPr="00EB2F32">
              <w:t xml:space="preserve">generally </w:t>
            </w:r>
            <w:r w:rsidR="00D42D4E">
              <w:t xml:space="preserve">there are </w:t>
            </w:r>
            <w:r w:rsidR="0083337F" w:rsidRPr="00EB2F32">
              <w:t xml:space="preserve">no </w:t>
            </w:r>
            <w:r w:rsidR="00C9620A" w:rsidRPr="00EB2F32">
              <w:t>deductib</w:t>
            </w:r>
            <w:r w:rsidR="009659BF" w:rsidRPr="00EB2F32">
              <w:t>ility</w:t>
            </w:r>
            <w:r w:rsidR="00C9620A" w:rsidRPr="00EB2F32">
              <w:t xml:space="preserve"> </w:t>
            </w:r>
            <w:r w:rsidR="0083337F" w:rsidRPr="00EB2F32">
              <w:t xml:space="preserve">limitations </w:t>
            </w:r>
            <w:r w:rsidR="001F48E6" w:rsidRPr="00EB2F32">
              <w:t>on debt borrowed from independent third parties</w:t>
            </w:r>
            <w:r w:rsidR="00A86873" w:rsidRPr="00EB2F32">
              <w:t>. (</w:t>
            </w:r>
            <w:hyperlink r:id="rId33" w:anchor="section(6)_0">
              <w:r w:rsidR="00A86873" w:rsidRPr="00EB2F32">
                <w:rPr>
                  <w:rStyle w:val="Hyperlink"/>
                </w:rPr>
                <w:t>Section V</w:t>
              </w:r>
              <w:r w:rsidR="005C5B77" w:rsidRPr="00EB2F32">
                <w:rPr>
                  <w:rStyle w:val="Hyperlink"/>
                </w:rPr>
                <w:t>I</w:t>
              </w:r>
              <w:r w:rsidR="00A86873" w:rsidRPr="00EB2F32">
                <w:rPr>
                  <w:rStyle w:val="Hyperlink"/>
                </w:rPr>
                <w:t>.</w:t>
              </w:r>
              <w:r w:rsidR="005C5B77" w:rsidRPr="00EB2F32">
                <w:rPr>
                  <w:rStyle w:val="Hyperlink"/>
                </w:rPr>
                <w:t>D</w:t>
              </w:r>
              <w:r w:rsidR="00A86873" w:rsidRPr="00EB2F32">
                <w:rPr>
                  <w:rStyle w:val="Hyperlink"/>
                </w:rPr>
                <w:t>.</w:t>
              </w:r>
              <w:r w:rsidR="005C5B77" w:rsidRPr="00EB2F32">
                <w:rPr>
                  <w:rStyle w:val="Hyperlink"/>
                </w:rPr>
                <w:t>6</w:t>
              </w:r>
              <w:r w:rsidR="00A86873" w:rsidRPr="00EB2F32">
                <w:rPr>
                  <w:rStyle w:val="Hyperlink"/>
                </w:rPr>
                <w:t>.</w:t>
              </w:r>
            </w:hyperlink>
            <w:r w:rsidR="00CE7438" w:rsidRPr="00EB2F32">
              <w:t>)</w:t>
            </w:r>
          </w:p>
        </w:tc>
      </w:tr>
      <w:tr w:rsidR="00A86873" w14:paraId="2D91CA60" w14:textId="77777777" w:rsidTr="733DC60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97DA5" w14:textId="77777777" w:rsidR="00A86873" w:rsidRPr="007E11CC" w:rsidRDefault="00A86873" w:rsidP="00C640CB">
            <w:pPr>
              <w:rPr>
                <w:rFonts w:eastAsia="Times New Roman" w:cstheme="minorHAnsi"/>
                <w:b/>
                <w:bCs/>
                <w:color w:val="333333"/>
              </w:rPr>
            </w:pPr>
            <w:r w:rsidRPr="007E11CC">
              <w:rPr>
                <w:rFonts w:eastAsia="Times New Roman" w:cstheme="minorHAnsi"/>
                <w:b/>
                <w:bCs/>
                <w:color w:val="333333"/>
              </w:rPr>
              <w:t>Anti-hybrid mismatch rules</w:t>
            </w:r>
          </w:p>
        </w:tc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5F12A" w14:textId="5614A8A3" w:rsidR="00A86873" w:rsidRPr="00EB2F32" w:rsidRDefault="0008674D" w:rsidP="00C640CB">
            <w:pPr>
              <w:rPr>
                <w:rFonts w:cstheme="minorHAnsi"/>
              </w:rPr>
            </w:pPr>
            <w:r w:rsidRPr="00EB2F32">
              <w:t>No</w:t>
            </w:r>
            <w:r w:rsidR="00583A52" w:rsidRPr="00EB2F32">
              <w:t xml:space="preserve">, but the participation deduction </w:t>
            </w:r>
            <w:r w:rsidR="003D4C69" w:rsidRPr="00EB2F32">
              <w:t>will</w:t>
            </w:r>
            <w:r w:rsidR="00583A52" w:rsidRPr="00EB2F32">
              <w:t xml:space="preserve"> not apply </w:t>
            </w:r>
            <w:r w:rsidR="001651A7" w:rsidRPr="00EB2F32">
              <w:t>to</w:t>
            </w:r>
            <w:r w:rsidR="00730D9E" w:rsidRPr="00EB2F32">
              <w:t xml:space="preserve"> payments </w:t>
            </w:r>
            <w:r w:rsidR="001651A7" w:rsidRPr="00EB2F32">
              <w:t>under hybrid instruments or to</w:t>
            </w:r>
            <w:r w:rsidR="00730D9E" w:rsidRPr="00EB2F32">
              <w:t xml:space="preserve"> distributions from transparent entities</w:t>
            </w:r>
            <w:r w:rsidR="00A86873" w:rsidRPr="00EB2F32">
              <w:t xml:space="preserve">. </w:t>
            </w:r>
            <w:r w:rsidR="002A5C5C" w:rsidRPr="00EB2F32">
              <w:rPr>
                <w:rFonts w:cstheme="minorHAnsi"/>
              </w:rPr>
              <w:t>(</w:t>
            </w:r>
            <w:hyperlink r:id="rId34" w:anchor="section(5)(5)(b)_0" w:history="1">
              <w:r w:rsidR="002A5C5C" w:rsidRPr="00EB2F32">
                <w:rPr>
                  <w:rStyle w:val="Hyperlink"/>
                  <w:rFonts w:cstheme="minorHAnsi"/>
                  <w:kern w:val="2"/>
                  <w14:ligatures w14:val="standardContextual"/>
                </w:rPr>
                <w:t xml:space="preserve">Section </w:t>
              </w:r>
              <w:r w:rsidR="002A5C5C" w:rsidRPr="00EB2F32">
                <w:rPr>
                  <w:rStyle w:val="Hyperlink"/>
                  <w:rFonts w:cstheme="minorHAnsi"/>
                </w:rPr>
                <w:t>V</w:t>
              </w:r>
              <w:r w:rsidR="00732007" w:rsidRPr="00EB2F32">
                <w:rPr>
                  <w:rStyle w:val="Hyperlink"/>
                  <w:rFonts w:cstheme="minorHAnsi"/>
                </w:rPr>
                <w:t>I</w:t>
              </w:r>
              <w:r w:rsidR="002A5C5C" w:rsidRPr="00EB2F32">
                <w:rPr>
                  <w:rStyle w:val="Hyperlink"/>
                  <w:rFonts w:cstheme="minorHAnsi"/>
                  <w:kern w:val="2"/>
                  <w14:ligatures w14:val="standardContextual"/>
                </w:rPr>
                <w:t>.</w:t>
              </w:r>
              <w:r w:rsidR="00732007" w:rsidRPr="00EB2F32">
                <w:rPr>
                  <w:rStyle w:val="Hyperlink"/>
                  <w:rFonts w:cstheme="minorHAnsi"/>
                  <w:kern w:val="2"/>
                  <w14:ligatures w14:val="standardContextual"/>
                </w:rPr>
                <w:t>C</w:t>
              </w:r>
              <w:r w:rsidR="00732007" w:rsidRPr="00EB2F32">
                <w:rPr>
                  <w:rStyle w:val="Hyperlink"/>
                  <w:rFonts w:cstheme="minorHAnsi"/>
                </w:rPr>
                <w:t>.5.b.</w:t>
              </w:r>
            </w:hyperlink>
            <w:r w:rsidR="007D68CE" w:rsidRPr="00EB2F32">
              <w:rPr>
                <w:rFonts w:cstheme="minorHAnsi"/>
              </w:rPr>
              <w:t>)</w:t>
            </w:r>
          </w:p>
        </w:tc>
      </w:tr>
      <w:tr w:rsidR="00A86873" w14:paraId="3059BFC9" w14:textId="77777777" w:rsidTr="733DC60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90DA" w14:textId="45D5C6A8" w:rsidR="00A86873" w:rsidRPr="007E11CC" w:rsidRDefault="00A86873" w:rsidP="00C640CB">
            <w:pPr>
              <w:rPr>
                <w:rFonts w:cstheme="minorHAnsi"/>
                <w:b/>
                <w:bCs/>
              </w:rPr>
            </w:pPr>
            <w:r w:rsidRPr="007E11CC">
              <w:rPr>
                <w:rFonts w:eastAsia="Times New Roman" w:cstheme="minorHAnsi"/>
                <w:b/>
                <w:bCs/>
                <w:color w:val="333333"/>
              </w:rPr>
              <w:t>Incentives (major)</w:t>
            </w:r>
          </w:p>
        </w:tc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B028" w14:textId="6A3E12D0" w:rsidR="00182F5C" w:rsidRPr="003D4B8F" w:rsidRDefault="00182F5C" w:rsidP="003D4B8F">
            <w:pPr>
              <w:numPr>
                <w:ilvl w:val="0"/>
                <w:numId w:val="15"/>
              </w:numPr>
              <w:spacing w:line="256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3D4B8F">
              <w:rPr>
                <w:rFonts w:ascii="Calibri" w:eastAsia="Calibri" w:hAnsi="Calibri" w:cs="Calibri"/>
              </w:rPr>
              <w:t xml:space="preserve">R&amp;D: Yes. </w:t>
            </w:r>
            <w:r w:rsidR="00397A9F" w:rsidRPr="003D4B8F">
              <w:rPr>
                <w:rFonts w:ascii="Calibri" w:eastAsia="Calibri" w:hAnsi="Calibri" w:cs="Calibri"/>
              </w:rPr>
              <w:t>(</w:t>
            </w:r>
            <w:hyperlink r:id="rId35" w:history="1">
              <w:r w:rsidR="00397A9F" w:rsidRPr="003D4B8F">
                <w:rPr>
                  <w:rStyle w:val="Hyperlink"/>
                  <w:color w:val="auto"/>
                </w:rPr>
                <w:t>Section IX.C.</w:t>
              </w:r>
            </w:hyperlink>
            <w:r w:rsidR="00397A9F" w:rsidRPr="003D4B8F">
              <w:rPr>
                <w:rFonts w:ascii="Calibri" w:eastAsia="Calibri" w:hAnsi="Calibri" w:cs="Calibri"/>
              </w:rPr>
              <w:t>)</w:t>
            </w:r>
          </w:p>
          <w:p w14:paraId="58AFDF26" w14:textId="4FBED7C1" w:rsidR="00182F5C" w:rsidRPr="003D4B8F" w:rsidRDefault="00182F5C" w:rsidP="00182F5C">
            <w:pPr>
              <w:numPr>
                <w:ilvl w:val="0"/>
                <w:numId w:val="15"/>
              </w:numPr>
              <w:spacing w:line="256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3D4B8F">
              <w:rPr>
                <w:rFonts w:ascii="Calibri" w:eastAsia="Calibri" w:hAnsi="Calibri" w:cs="Calibri"/>
              </w:rPr>
              <w:t>Patent box:</w:t>
            </w:r>
            <w:r w:rsidR="00562D57" w:rsidRPr="003D4B8F">
              <w:rPr>
                <w:rFonts w:ascii="Calibri" w:eastAsia="Calibri" w:hAnsi="Calibri" w:cs="Calibri"/>
              </w:rPr>
              <w:t xml:space="preserve"> </w:t>
            </w:r>
            <w:r w:rsidR="00534E79" w:rsidRPr="003D4B8F">
              <w:rPr>
                <w:rFonts w:ascii="Calibri" w:eastAsia="Calibri" w:hAnsi="Calibri" w:cs="Calibri"/>
              </w:rPr>
              <w:t>Yes. (</w:t>
            </w:r>
            <w:hyperlink r:id="rId36" w:history="1">
              <w:r w:rsidR="00534E79" w:rsidRPr="003D4B8F">
                <w:rPr>
                  <w:rStyle w:val="Hyperlink"/>
                  <w:rFonts w:ascii="Calibri" w:eastAsia="Calibri" w:hAnsi="Calibri" w:cs="Calibri"/>
                  <w:color w:val="auto"/>
                  <w:kern w:val="2"/>
                  <w14:ligatures w14:val="standardContextual"/>
                </w:rPr>
                <w:t xml:space="preserve">Section </w:t>
              </w:r>
              <w:r w:rsidR="00534E79" w:rsidRPr="003D4B8F">
                <w:rPr>
                  <w:rStyle w:val="Hyperlink"/>
                  <w:rFonts w:ascii="Calibri" w:eastAsia="Calibri" w:hAnsi="Calibri" w:cs="Calibri"/>
                  <w:color w:val="auto"/>
                </w:rPr>
                <w:t>IX.C.</w:t>
              </w:r>
            </w:hyperlink>
            <w:r w:rsidR="00534E79" w:rsidRPr="003D4B8F">
              <w:rPr>
                <w:rFonts w:ascii="Calibri" w:eastAsia="Calibri" w:hAnsi="Calibri" w:cs="Calibri"/>
              </w:rPr>
              <w:t>)</w:t>
            </w:r>
            <w:r w:rsidR="00562D57" w:rsidRPr="003D4B8F">
              <w:rPr>
                <w:rFonts w:ascii="Calibri" w:eastAsia="Calibri" w:hAnsi="Calibri" w:cs="Calibri"/>
              </w:rPr>
              <w:t xml:space="preserve"> </w:t>
            </w:r>
          </w:p>
          <w:p w14:paraId="6E108EDE" w14:textId="26A28134" w:rsidR="00182F5C" w:rsidRPr="003D4B8F" w:rsidRDefault="00182F5C" w:rsidP="00182F5C">
            <w:pPr>
              <w:numPr>
                <w:ilvl w:val="0"/>
                <w:numId w:val="15"/>
              </w:numPr>
              <w:spacing w:line="256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3D4B8F">
              <w:rPr>
                <w:rFonts w:ascii="Calibri" w:eastAsia="Calibri" w:hAnsi="Calibri" w:cs="Calibri"/>
              </w:rPr>
              <w:t>Enhanced depreciation/capital allowance:</w:t>
            </w:r>
            <w:r w:rsidR="00562D57" w:rsidRPr="003D4B8F">
              <w:rPr>
                <w:rFonts w:ascii="Calibri" w:eastAsia="Calibri" w:hAnsi="Calibri" w:cs="Calibri"/>
              </w:rPr>
              <w:t xml:space="preserve"> </w:t>
            </w:r>
            <w:r w:rsidR="00A11C25" w:rsidRPr="003D4B8F">
              <w:rPr>
                <w:rFonts w:ascii="Calibri" w:eastAsia="Calibri" w:hAnsi="Calibri" w:cs="Calibri"/>
              </w:rPr>
              <w:t>Yes. (</w:t>
            </w:r>
            <w:hyperlink r:id="rId37" w:anchor="section(3)_0" w:history="1">
              <w:r w:rsidR="00A11C25" w:rsidRPr="003D4B8F">
                <w:rPr>
                  <w:rStyle w:val="Hyperlink"/>
                  <w:color w:val="auto"/>
                </w:rPr>
                <w:t>Section VI.D.3.</w:t>
              </w:r>
            </w:hyperlink>
            <w:r w:rsidR="00E718F0" w:rsidRPr="003D4B8F">
              <w:rPr>
                <w:rFonts w:ascii="Calibri" w:eastAsia="Calibri" w:hAnsi="Calibri" w:cs="Calibri"/>
              </w:rPr>
              <w:t>)</w:t>
            </w:r>
          </w:p>
          <w:p w14:paraId="0C45C13B" w14:textId="5853B0E9" w:rsidR="00182F5C" w:rsidRPr="003D4B8F" w:rsidRDefault="00182F5C" w:rsidP="00182F5C">
            <w:pPr>
              <w:numPr>
                <w:ilvl w:val="0"/>
                <w:numId w:val="15"/>
              </w:numPr>
              <w:spacing w:line="256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3D4B8F">
              <w:rPr>
                <w:rFonts w:ascii="Calibri" w:eastAsia="Calibri" w:hAnsi="Calibri" w:cs="Calibri"/>
              </w:rPr>
              <w:t>Environmental:</w:t>
            </w:r>
            <w:r w:rsidR="00562D57" w:rsidRPr="003D4B8F">
              <w:rPr>
                <w:rFonts w:ascii="Calibri" w:eastAsia="Calibri" w:hAnsi="Calibri" w:cs="Calibri"/>
              </w:rPr>
              <w:t xml:space="preserve"> </w:t>
            </w:r>
            <w:r w:rsidR="000E4AAE" w:rsidRPr="003D4B8F">
              <w:rPr>
                <w:rFonts w:ascii="Calibri" w:eastAsia="Calibri" w:hAnsi="Calibri" w:cs="Calibri"/>
              </w:rPr>
              <w:t>Yes. (</w:t>
            </w:r>
            <w:hyperlink r:id="rId38" w:anchor="section(2)(2)(f)_0" w:history="1">
              <w:r w:rsidR="000E4AAE" w:rsidRPr="003D4B8F">
                <w:rPr>
                  <w:rStyle w:val="Hyperlink"/>
                  <w:color w:val="auto"/>
                </w:rPr>
                <w:t>Section V.B.2.f.</w:t>
              </w:r>
            </w:hyperlink>
            <w:r w:rsidR="000E4AAE" w:rsidRPr="003D4B8F">
              <w:rPr>
                <w:rFonts w:ascii="Calibri" w:eastAsia="Calibri" w:hAnsi="Calibri" w:cs="Calibri"/>
              </w:rPr>
              <w:t>)</w:t>
            </w:r>
          </w:p>
          <w:p w14:paraId="1C7ADC15" w14:textId="62261696" w:rsidR="00A86873" w:rsidRPr="003D4B8F" w:rsidRDefault="00182F5C" w:rsidP="00C640CB">
            <w:pPr>
              <w:numPr>
                <w:ilvl w:val="0"/>
                <w:numId w:val="15"/>
              </w:numPr>
              <w:spacing w:line="256" w:lineRule="auto"/>
              <w:contextualSpacing/>
              <w:jc w:val="both"/>
              <w:rPr>
                <w:rFonts w:ascii="Calibri" w:eastAsia="Calibri" w:hAnsi="Calibri" w:cs="Calibri"/>
                <w:kern w:val="2"/>
                <w14:ligatures w14:val="standardContextual"/>
              </w:rPr>
            </w:pPr>
            <w:r w:rsidRPr="003D4B8F">
              <w:rPr>
                <w:rFonts w:ascii="Calibri" w:eastAsia="Calibri" w:hAnsi="Calibri" w:cs="Calibri"/>
                <w:kern w:val="2"/>
                <w14:ligatures w14:val="standardContextual"/>
              </w:rPr>
              <w:t>Other:</w:t>
            </w:r>
            <w:r w:rsidR="00820D41" w:rsidRPr="003D4B8F">
              <w:rPr>
                <w:rFonts w:ascii="Calibri" w:eastAsia="Calibri" w:hAnsi="Calibri" w:cs="Calibri"/>
                <w:kern w:val="2"/>
                <w14:ligatures w14:val="standardContextual"/>
              </w:rPr>
              <w:t xml:space="preserve"> Tax holidays for start-ups</w:t>
            </w:r>
            <w:r w:rsidR="00E330EB" w:rsidRPr="003D4B8F">
              <w:rPr>
                <w:rFonts w:ascii="Calibri" w:eastAsia="Calibri" w:hAnsi="Calibri" w:cs="Calibri"/>
              </w:rPr>
              <w:t>.</w:t>
            </w:r>
            <w:r w:rsidR="00820D41" w:rsidRPr="003D4B8F">
              <w:rPr>
                <w:rFonts w:ascii="Calibri" w:eastAsia="Calibri" w:hAnsi="Calibri" w:cs="Calibri"/>
                <w:kern w:val="2"/>
                <w14:ligatures w14:val="standardContextual"/>
              </w:rPr>
              <w:t xml:space="preserve"> (</w:t>
            </w:r>
            <w:hyperlink r:id="rId39" w:history="1">
              <w:r w:rsidR="00820D41" w:rsidRPr="003D4B8F">
                <w:rPr>
                  <w:rStyle w:val="Hyperlink"/>
                  <w:color w:val="auto"/>
                  <w:kern w:val="2"/>
                  <w14:ligatures w14:val="standardContextual"/>
                </w:rPr>
                <w:t>Section IX.B.</w:t>
              </w:r>
              <w:r w:rsidR="00820D41" w:rsidRPr="003D4B8F">
                <w:rPr>
                  <w:rStyle w:val="Hyperlink"/>
                  <w:rFonts w:ascii="Calibri" w:eastAsia="Calibri" w:hAnsi="Calibri" w:cs="Calibri"/>
                  <w:color w:val="auto"/>
                  <w:kern w:val="2"/>
                  <w14:ligatures w14:val="standardContextual"/>
                </w:rPr>
                <w:t>)</w:t>
              </w:r>
              <w:r w:rsidRPr="003D4B8F">
                <w:rPr>
                  <w:rStyle w:val="Hyperlink"/>
                  <w:color w:val="auto"/>
                  <w:kern w:val="2"/>
                  <w14:ligatures w14:val="standardContextual"/>
                </w:rPr>
                <w:t xml:space="preserve"> </w:t>
              </w:r>
            </w:hyperlink>
            <w:r w:rsidRPr="003D4B8F">
              <w:rPr>
                <w:rFonts w:ascii="Calibri" w:eastAsia="Calibri" w:hAnsi="Calibri" w:cs="Calibri"/>
                <w:kern w:val="2"/>
                <w14:ligatures w14:val="standardContextual"/>
              </w:rPr>
              <w:t xml:space="preserve"> </w:t>
            </w:r>
          </w:p>
        </w:tc>
      </w:tr>
      <w:tr w:rsidR="00A86873" w14:paraId="3901EEE2" w14:textId="77777777" w:rsidTr="733DC60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F57A9" w14:textId="02D703CD" w:rsidR="00A86873" w:rsidRPr="007E11CC" w:rsidRDefault="00A26184" w:rsidP="00C640C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</w:rPr>
              <w:t>Participation exempti</w:t>
            </w:r>
            <w:r w:rsidR="00D5353A">
              <w:rPr>
                <w:rFonts w:cstheme="minorHAnsi"/>
                <w:b/>
                <w:bCs/>
              </w:rPr>
              <w:t xml:space="preserve">on (or similar </w:t>
            </w:r>
            <w:r w:rsidR="00A86873" w:rsidRPr="007E11CC">
              <w:rPr>
                <w:rFonts w:cstheme="minorHAnsi"/>
                <w:b/>
                <w:bCs/>
              </w:rPr>
              <w:t>regime</w:t>
            </w:r>
            <w:r w:rsidR="00D5353A">
              <w:rPr>
                <w:rFonts w:cstheme="minorHAnsi"/>
                <w:b/>
                <w:bCs/>
              </w:rPr>
              <w:t>)</w:t>
            </w:r>
            <w:r w:rsidR="00E17156" w:rsidRPr="007E11CC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2DFD7" w14:textId="3B331D1C" w:rsidR="00A86873" w:rsidRPr="00EB2F32" w:rsidRDefault="004752A9" w:rsidP="00C640CB">
            <w:pPr>
              <w:rPr>
                <w:rFonts w:cstheme="minorHAnsi"/>
              </w:rPr>
            </w:pPr>
            <w:r>
              <w:rPr>
                <w:rFonts w:cstheme="minorHAnsi"/>
              </w:rPr>
              <w:t>Yes,</w:t>
            </w:r>
            <w:r w:rsidR="00E73A11" w:rsidRPr="00EB2F32">
              <w:rPr>
                <w:rFonts w:cstheme="minorHAnsi"/>
              </w:rPr>
              <w:t xml:space="preserve"> participation </w:t>
            </w:r>
            <w:r w:rsidR="006B127D" w:rsidRPr="00EB2F32">
              <w:rPr>
                <w:rFonts w:cstheme="minorHAnsi"/>
              </w:rPr>
              <w:t>relief for qualifying dividends</w:t>
            </w:r>
            <w:r w:rsidR="00013CE8" w:rsidRPr="00EB2F32">
              <w:rPr>
                <w:rFonts w:cstheme="minorHAnsi"/>
              </w:rPr>
              <w:t xml:space="preserve">. </w:t>
            </w:r>
            <w:r w:rsidR="0002302C" w:rsidRPr="00EB2F32">
              <w:rPr>
                <w:rFonts w:cstheme="minorHAnsi"/>
              </w:rPr>
              <w:t>(</w:t>
            </w:r>
            <w:hyperlink r:id="rId40" w:anchor="section(2)_0" w:history="1">
              <w:r w:rsidR="0002302C" w:rsidRPr="00EB2F32">
                <w:rPr>
                  <w:rStyle w:val="Hyperlink"/>
                  <w:rFonts w:cstheme="minorHAnsi"/>
                </w:rPr>
                <w:t xml:space="preserve">Section </w:t>
              </w:r>
              <w:r w:rsidR="00D87F1A" w:rsidRPr="00EB2F32">
                <w:rPr>
                  <w:rStyle w:val="Hyperlink"/>
                  <w:rFonts w:cstheme="minorHAnsi"/>
                </w:rPr>
                <w:t>I</w:t>
              </w:r>
              <w:r w:rsidR="00D87F1A" w:rsidRPr="00EB2F32">
                <w:rPr>
                  <w:rStyle w:val="Hyperlink"/>
                </w:rPr>
                <w:t>I</w:t>
              </w:r>
              <w:r w:rsidR="0002302C" w:rsidRPr="00EB2F32">
                <w:rPr>
                  <w:rStyle w:val="Hyperlink"/>
                  <w:rFonts w:cstheme="minorHAnsi"/>
                </w:rPr>
                <w:t>.</w:t>
              </w:r>
              <w:r w:rsidR="00D87F1A" w:rsidRPr="00EB2F32">
                <w:rPr>
                  <w:rStyle w:val="Hyperlink"/>
                  <w:rFonts w:cstheme="minorHAnsi"/>
                </w:rPr>
                <w:t>B</w:t>
              </w:r>
              <w:r w:rsidR="00D87F1A" w:rsidRPr="00EB2F32">
                <w:rPr>
                  <w:rStyle w:val="Hyperlink"/>
                </w:rPr>
                <w:t>.2</w:t>
              </w:r>
              <w:r w:rsidR="0002302C" w:rsidRPr="00EB2F32">
                <w:rPr>
                  <w:rStyle w:val="Hyperlink"/>
                  <w:rFonts w:cstheme="minorHAnsi"/>
                </w:rPr>
                <w:t>.</w:t>
              </w:r>
            </w:hyperlink>
            <w:r w:rsidR="00D87F1A" w:rsidRPr="00EB2F32">
              <w:rPr>
                <w:rFonts w:cstheme="minorHAnsi"/>
              </w:rPr>
              <w:t xml:space="preserve"> – general</w:t>
            </w:r>
            <w:r w:rsidR="00BB5B40" w:rsidRPr="00EB2F32">
              <w:rPr>
                <w:rFonts w:cstheme="minorHAnsi"/>
              </w:rPr>
              <w:t>,</w:t>
            </w:r>
            <w:r w:rsidR="00D87F1A" w:rsidRPr="00EB2F32">
              <w:rPr>
                <w:rFonts w:cstheme="minorHAnsi"/>
              </w:rPr>
              <w:t xml:space="preserve"> </w:t>
            </w:r>
            <w:hyperlink r:id="rId41" w:anchor="section(1)_0" w:history="1">
              <w:r w:rsidR="00D87F1A" w:rsidRPr="00EB2F32">
                <w:rPr>
                  <w:rStyle w:val="Hyperlink"/>
                  <w:rFonts w:cstheme="minorHAnsi"/>
                  <w:kern w:val="2"/>
                  <w14:ligatures w14:val="standardContextual"/>
                </w:rPr>
                <w:t>Section</w:t>
              </w:r>
              <w:r w:rsidR="001446FC" w:rsidRPr="00EB2F32">
                <w:rPr>
                  <w:rStyle w:val="Hyperlink"/>
                  <w:rFonts w:cstheme="minorHAnsi"/>
                </w:rPr>
                <w:t>s VIII.B.1.</w:t>
              </w:r>
            </w:hyperlink>
            <w:r w:rsidR="00D87F1A" w:rsidRPr="00EB2F32">
              <w:rPr>
                <w:rFonts w:cstheme="minorHAnsi"/>
              </w:rPr>
              <w:t xml:space="preserve"> </w:t>
            </w:r>
            <w:r w:rsidR="001446FC" w:rsidRPr="00EB2F32">
              <w:rPr>
                <w:rFonts w:cstheme="minorHAnsi"/>
              </w:rPr>
              <w:t xml:space="preserve">and </w:t>
            </w:r>
            <w:hyperlink r:id="rId42" w:anchor="section(2)_0" w:history="1">
              <w:r w:rsidR="001446FC" w:rsidRPr="00EB2F32">
                <w:rPr>
                  <w:rStyle w:val="Hyperlink"/>
                  <w:rFonts w:cstheme="minorHAnsi"/>
                  <w:kern w:val="2"/>
                  <w14:ligatures w14:val="standardContextual"/>
                </w:rPr>
                <w:t>2.</w:t>
              </w:r>
            </w:hyperlink>
            <w:r w:rsidR="00783791" w:rsidRPr="00EB2F32">
              <w:rPr>
                <w:rFonts w:cstheme="minorHAnsi"/>
              </w:rPr>
              <w:t xml:space="preserve"> – </w:t>
            </w:r>
            <w:r w:rsidR="003953B3" w:rsidRPr="00EB2F32">
              <w:rPr>
                <w:rFonts w:cstheme="minorHAnsi"/>
              </w:rPr>
              <w:t>conversions</w:t>
            </w:r>
            <w:r w:rsidR="00483E37" w:rsidRPr="00EB2F32">
              <w:rPr>
                <w:rFonts w:cstheme="minorHAnsi"/>
              </w:rPr>
              <w:t>/</w:t>
            </w:r>
            <w:r w:rsidR="003953B3" w:rsidRPr="00EB2F32">
              <w:rPr>
                <w:rFonts w:cstheme="minorHAnsi"/>
              </w:rPr>
              <w:t>insertion</w:t>
            </w:r>
            <w:r w:rsidR="00483E37" w:rsidRPr="00EB2F32">
              <w:rPr>
                <w:rFonts w:cstheme="minorHAnsi"/>
              </w:rPr>
              <w:t>s</w:t>
            </w:r>
            <w:r w:rsidR="003953B3" w:rsidRPr="00EB2F32">
              <w:rPr>
                <w:rFonts w:cstheme="minorHAnsi"/>
              </w:rPr>
              <w:t xml:space="preserve">, and </w:t>
            </w:r>
            <w:hyperlink r:id="rId43" w:anchor="section(5)(5)(b)_0" w:history="1">
              <w:r w:rsidR="003953B3" w:rsidRPr="00EB2F32">
                <w:rPr>
                  <w:rStyle w:val="Hyperlink"/>
                  <w:rFonts w:cstheme="minorHAnsi"/>
                  <w:kern w:val="2"/>
                  <w14:ligatures w14:val="standardContextual"/>
                </w:rPr>
                <w:t>Section</w:t>
              </w:r>
              <w:r w:rsidR="003953B3" w:rsidRPr="00EB2F32">
                <w:rPr>
                  <w:rStyle w:val="Hyperlink"/>
                  <w:rFonts w:cstheme="minorHAnsi"/>
                </w:rPr>
                <w:t xml:space="preserve"> </w:t>
              </w:r>
              <w:r w:rsidR="008F4950" w:rsidRPr="00EB2F32">
                <w:rPr>
                  <w:rStyle w:val="Hyperlink"/>
                  <w:rFonts w:cstheme="minorHAnsi"/>
                </w:rPr>
                <w:t>VI.C.5.b.</w:t>
              </w:r>
            </w:hyperlink>
            <w:r w:rsidR="008F4950" w:rsidRPr="00EB2F32">
              <w:rPr>
                <w:rFonts w:cstheme="minorHAnsi"/>
              </w:rPr>
              <w:t xml:space="preserve"> </w:t>
            </w:r>
            <w:r w:rsidR="00E73A11" w:rsidRPr="00EB2F32">
              <w:rPr>
                <w:rFonts w:cstheme="minorHAnsi"/>
              </w:rPr>
              <w:t xml:space="preserve">– </w:t>
            </w:r>
            <w:r w:rsidR="008F4950" w:rsidRPr="00EB2F32">
              <w:rPr>
                <w:rFonts w:cstheme="minorHAnsi"/>
              </w:rPr>
              <w:t>participation deduction.</w:t>
            </w:r>
            <w:r w:rsidR="00E73A11" w:rsidRPr="00EB2F32">
              <w:rPr>
                <w:rFonts w:cstheme="minorHAnsi"/>
              </w:rPr>
              <w:t>)</w:t>
            </w:r>
            <w:r w:rsidR="00783791" w:rsidRPr="00EB2F32">
              <w:rPr>
                <w:rFonts w:cstheme="minorHAnsi"/>
              </w:rPr>
              <w:t xml:space="preserve"> </w:t>
            </w:r>
            <w:r w:rsidR="00B258C3" w:rsidRPr="00EB2F32">
              <w:rPr>
                <w:rFonts w:cstheme="minorHAnsi"/>
              </w:rPr>
              <w:t xml:space="preserve"> </w:t>
            </w:r>
          </w:p>
        </w:tc>
      </w:tr>
      <w:tr w:rsidR="00A86873" w14:paraId="239B8D53" w14:textId="77777777" w:rsidTr="733DC60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61B49" w14:textId="77777777" w:rsidR="00A86873" w:rsidRPr="007E11CC" w:rsidRDefault="00A86873" w:rsidP="00C640CB">
            <w:pPr>
              <w:rPr>
                <w:rFonts w:cstheme="minorHAnsi"/>
                <w:b/>
                <w:bCs/>
              </w:rPr>
            </w:pPr>
            <w:r w:rsidRPr="007E11CC">
              <w:rPr>
                <w:rFonts w:cstheme="minorHAnsi"/>
                <w:b/>
                <w:bCs/>
              </w:rPr>
              <w:t>Tax consolidation</w:t>
            </w:r>
          </w:p>
        </w:tc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1886D" w14:textId="728ADC53" w:rsidR="00A86873" w:rsidRPr="00EB2F32" w:rsidRDefault="00B05914" w:rsidP="00C640CB">
            <w:pPr>
              <w:rPr>
                <w:rFonts w:cstheme="minorHAnsi"/>
              </w:rPr>
            </w:pPr>
            <w:r w:rsidRPr="00EB2F32">
              <w:rPr>
                <w:rFonts w:cstheme="minorHAnsi"/>
              </w:rPr>
              <w:t xml:space="preserve">No, except for </w:t>
            </w:r>
            <w:r w:rsidR="007C1727" w:rsidRPr="00EB2F32">
              <w:rPr>
                <w:rFonts w:cstheme="minorHAnsi"/>
              </w:rPr>
              <w:t>purposes of VAT</w:t>
            </w:r>
            <w:r w:rsidR="00FF76D8" w:rsidRPr="00EB2F32">
              <w:rPr>
                <w:rFonts w:cstheme="minorHAnsi"/>
              </w:rPr>
              <w:t>.</w:t>
            </w:r>
            <w:r w:rsidR="00A86873" w:rsidRPr="00EB2F32">
              <w:rPr>
                <w:rFonts w:cstheme="minorHAnsi"/>
              </w:rPr>
              <w:t xml:space="preserve"> (</w:t>
            </w:r>
            <w:hyperlink r:id="rId44" w:anchor="section(6)(6)(a)_0" w:history="1">
              <w:r w:rsidR="00A86873" w:rsidRPr="00EB2F32">
                <w:rPr>
                  <w:rStyle w:val="Hyperlink"/>
                  <w:rFonts w:cstheme="minorHAnsi"/>
                </w:rPr>
                <w:t xml:space="preserve">Section </w:t>
              </w:r>
              <w:r w:rsidR="007C1727" w:rsidRPr="00EB2F32">
                <w:rPr>
                  <w:rStyle w:val="Hyperlink"/>
                  <w:rFonts w:cstheme="minorHAnsi"/>
                </w:rPr>
                <w:t>I</w:t>
              </w:r>
              <w:r w:rsidR="00A86873" w:rsidRPr="00EB2F32">
                <w:rPr>
                  <w:rStyle w:val="Hyperlink"/>
                  <w:rFonts w:cstheme="minorHAnsi"/>
                </w:rPr>
                <w:t>V.</w:t>
              </w:r>
              <w:r w:rsidR="007C1727" w:rsidRPr="00EB2F32">
                <w:rPr>
                  <w:rStyle w:val="Hyperlink"/>
                  <w:rFonts w:cstheme="minorHAnsi"/>
                </w:rPr>
                <w:t>B.</w:t>
              </w:r>
              <w:r w:rsidR="007C1727" w:rsidRPr="00EB2F32">
                <w:rPr>
                  <w:rStyle w:val="Hyperlink"/>
                </w:rPr>
                <w:t>6.a</w:t>
              </w:r>
              <w:r w:rsidR="00A86873" w:rsidRPr="00EB2F32">
                <w:rPr>
                  <w:rStyle w:val="Hyperlink"/>
                  <w:rFonts w:cstheme="minorHAnsi"/>
                </w:rPr>
                <w:t>.</w:t>
              </w:r>
            </w:hyperlink>
            <w:r w:rsidR="00A86873" w:rsidRPr="00EB2F32">
              <w:rPr>
                <w:rFonts w:cstheme="minorHAnsi"/>
              </w:rPr>
              <w:t>)</w:t>
            </w:r>
          </w:p>
        </w:tc>
      </w:tr>
      <w:tr w:rsidR="00A86873" w14:paraId="6A986569" w14:textId="77777777" w:rsidTr="733DC60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966D2" w14:textId="77777777" w:rsidR="00A86873" w:rsidRPr="007E11CC" w:rsidRDefault="00A86873" w:rsidP="00C640CB">
            <w:pPr>
              <w:rPr>
                <w:rFonts w:cstheme="minorHAnsi"/>
                <w:b/>
                <w:bCs/>
              </w:rPr>
            </w:pPr>
            <w:r w:rsidRPr="007E11CC">
              <w:rPr>
                <w:rFonts w:cstheme="minorHAnsi"/>
                <w:b/>
                <w:bCs/>
              </w:rPr>
              <w:t>M&amp;A regime</w:t>
            </w:r>
          </w:p>
        </w:tc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EE03F" w14:textId="643E0019" w:rsidR="00FF494F" w:rsidRPr="003D4B8F" w:rsidRDefault="00FF494F" w:rsidP="003D4B8F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Theme="minorHAnsi" w:eastAsiaTheme="majorEastAsia" w:hAnsiTheme="minorHAnsi" w:cstheme="minorHAnsi"/>
              </w:rPr>
            </w:pPr>
            <w:r w:rsidRPr="003D4B8F">
              <w:rPr>
                <w:rFonts w:ascii="Calibri" w:eastAsia="Calibri" w:hAnsi="Calibri" w:cs="Calibri"/>
                <w:sz w:val="22"/>
                <w:szCs w:val="22"/>
              </w:rPr>
              <w:t xml:space="preserve">Tax-free or tax-privileged </w:t>
            </w:r>
            <w:r w:rsidRPr="003D4B8F">
              <w:rPr>
                <w:rFonts w:asciiTheme="minorHAnsi" w:eastAsia="Calibri" w:hAnsiTheme="minorHAnsi" w:cstheme="minorHAnsi"/>
                <w:sz w:val="22"/>
                <w:szCs w:val="22"/>
              </w:rPr>
              <w:t>transaction: Yes</w:t>
            </w:r>
            <w:r w:rsidR="00227130" w:rsidRPr="003D4B8F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3D4B8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</w:t>
            </w:r>
            <w:hyperlink r:id="rId45">
              <w:r w:rsidRPr="003D4B8F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Sections VIII.A.</w:t>
              </w:r>
            </w:hyperlink>
            <w:r w:rsidR="00225A46" w:rsidRPr="003D4B8F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hyperlink r:id="rId46" w:history="1">
              <w:r w:rsidR="00225A46" w:rsidRPr="003D4B8F">
                <w:rPr>
                  <w:rStyle w:val="Hyperlink"/>
                  <w:rFonts w:asciiTheme="minorHAnsi" w:hAnsiTheme="minorHAnsi" w:cstheme="minorHAnsi"/>
                  <w:color w:val="auto"/>
                  <w:kern w:val="2"/>
                  <w:sz w:val="22"/>
                  <w:szCs w:val="22"/>
                  <w14:ligatures w14:val="standardContextual"/>
                </w:rPr>
                <w:t>B.</w:t>
              </w:r>
            </w:hyperlink>
            <w:r w:rsidR="00225A46" w:rsidRPr="003D4B8F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3D4B8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7FEDA9C0" w14:textId="1FDA3A24" w:rsidR="00FF494F" w:rsidRPr="003D4B8F" w:rsidRDefault="00FF494F" w:rsidP="003D4B8F">
            <w:pPr>
              <w:numPr>
                <w:ilvl w:val="0"/>
                <w:numId w:val="16"/>
              </w:numPr>
              <w:spacing w:line="256" w:lineRule="auto"/>
              <w:contextualSpacing/>
              <w:jc w:val="both"/>
              <w:rPr>
                <w:rFonts w:eastAsia="Calibri" w:cstheme="minorHAnsi"/>
              </w:rPr>
            </w:pPr>
            <w:r w:rsidRPr="003D4B8F">
              <w:rPr>
                <w:rFonts w:eastAsia="Calibri" w:cstheme="minorHAnsi"/>
              </w:rPr>
              <w:lastRenderedPageBreak/>
              <w:t>Stamp duty/share transfer taxes:</w:t>
            </w:r>
            <w:r w:rsidR="00227130" w:rsidRPr="003D4B8F">
              <w:rPr>
                <w:rFonts w:eastAsia="Calibri" w:cstheme="minorHAnsi"/>
              </w:rPr>
              <w:t xml:space="preserve"> </w:t>
            </w:r>
            <w:r w:rsidR="00975A6B" w:rsidRPr="003D4B8F">
              <w:rPr>
                <w:rFonts w:eastAsia="Calibri" w:cstheme="minorHAnsi"/>
              </w:rPr>
              <w:t xml:space="preserve">Share deals involving </w:t>
            </w:r>
            <w:r w:rsidR="00853B34" w:rsidRPr="003D4B8F">
              <w:rPr>
                <w:rFonts w:eastAsia="Calibri" w:cstheme="minorHAnsi"/>
              </w:rPr>
              <w:t>Swiss securities dealers</w:t>
            </w:r>
            <w:r w:rsidR="00CC3A45" w:rsidRPr="003D4B8F">
              <w:rPr>
                <w:rFonts w:eastAsia="Calibri" w:cstheme="minorHAnsi"/>
              </w:rPr>
              <w:t xml:space="preserve"> attract</w:t>
            </w:r>
            <w:r w:rsidR="005837C7" w:rsidRPr="003D4B8F">
              <w:rPr>
                <w:rFonts w:eastAsia="Calibri" w:cstheme="minorHAnsi"/>
              </w:rPr>
              <w:t xml:space="preserve"> tax of </w:t>
            </w:r>
            <w:r w:rsidR="00AD23EB" w:rsidRPr="003D4B8F">
              <w:rPr>
                <w:rFonts w:eastAsia="Calibri" w:cstheme="minorHAnsi"/>
              </w:rPr>
              <w:t>0</w:t>
            </w:r>
            <w:r w:rsidR="005837C7" w:rsidRPr="003D4B8F">
              <w:rPr>
                <w:rFonts w:eastAsia="Calibri" w:cstheme="minorHAnsi"/>
              </w:rPr>
              <w:t>.</w:t>
            </w:r>
            <w:r w:rsidR="00AD23EB" w:rsidRPr="003D4B8F">
              <w:rPr>
                <w:rFonts w:eastAsia="Calibri" w:cstheme="minorHAnsi"/>
              </w:rPr>
              <w:t>15% (Swiss securities) and 0.30%</w:t>
            </w:r>
            <w:r w:rsidRPr="003D4B8F">
              <w:rPr>
                <w:rFonts w:eastAsia="Calibri" w:cstheme="minorHAnsi"/>
              </w:rPr>
              <w:t xml:space="preserve"> </w:t>
            </w:r>
            <w:r w:rsidR="00AD23EB" w:rsidRPr="003D4B8F">
              <w:rPr>
                <w:rFonts w:eastAsia="Calibri" w:cstheme="minorHAnsi"/>
              </w:rPr>
              <w:t>(foreign securities)</w:t>
            </w:r>
            <w:r w:rsidR="00087FDD" w:rsidRPr="003D4B8F">
              <w:rPr>
                <w:rFonts w:eastAsia="Calibri" w:cstheme="minorHAnsi"/>
              </w:rPr>
              <w:t>.</w:t>
            </w:r>
            <w:r w:rsidR="00AD23EB" w:rsidRPr="003D4B8F">
              <w:rPr>
                <w:rFonts w:eastAsia="Calibri" w:cstheme="minorHAnsi"/>
              </w:rPr>
              <w:t xml:space="preserve"> </w:t>
            </w:r>
            <w:r w:rsidR="00227130" w:rsidRPr="003D4B8F">
              <w:rPr>
                <w:rFonts w:eastAsia="Calibri" w:cstheme="minorHAnsi"/>
              </w:rPr>
              <w:t>(</w:t>
            </w:r>
            <w:hyperlink r:id="rId47" w:history="1">
              <w:r w:rsidR="00227130" w:rsidRPr="003D4B8F">
                <w:rPr>
                  <w:rStyle w:val="Hyperlink"/>
                  <w:rFonts w:eastAsia="Calibri" w:cstheme="minorHAnsi"/>
                  <w:color w:val="auto"/>
                  <w:kern w:val="2"/>
                  <w14:ligatures w14:val="standardContextual"/>
                </w:rPr>
                <w:t xml:space="preserve">Section </w:t>
              </w:r>
              <w:r w:rsidR="000004D0" w:rsidRPr="003D4B8F">
                <w:rPr>
                  <w:rStyle w:val="Hyperlink"/>
                  <w:rFonts w:eastAsia="Calibri" w:cstheme="minorHAnsi"/>
                  <w:color w:val="auto"/>
                  <w:kern w:val="2"/>
                  <w14:ligatures w14:val="standardContextual"/>
                </w:rPr>
                <w:t>X</w:t>
              </w:r>
              <w:r w:rsidR="00227130" w:rsidRPr="003D4B8F">
                <w:rPr>
                  <w:rStyle w:val="Hyperlink"/>
                  <w:rFonts w:eastAsia="Calibri" w:cstheme="minorHAnsi"/>
                  <w:color w:val="auto"/>
                  <w:kern w:val="2"/>
                  <w14:ligatures w14:val="standardContextual"/>
                </w:rPr>
                <w:t>V.</w:t>
              </w:r>
              <w:r w:rsidR="000004D0" w:rsidRPr="003D4B8F">
                <w:rPr>
                  <w:rStyle w:val="Hyperlink"/>
                  <w:rFonts w:eastAsia="Calibri" w:cstheme="minorHAnsi"/>
                  <w:color w:val="auto"/>
                  <w:kern w:val="2"/>
                  <w14:ligatures w14:val="standardContextual"/>
                </w:rPr>
                <w:t>A</w:t>
              </w:r>
              <w:r w:rsidR="00227130" w:rsidRPr="003D4B8F">
                <w:rPr>
                  <w:rStyle w:val="Hyperlink"/>
                  <w:rFonts w:eastAsia="Calibri" w:cstheme="minorHAnsi"/>
                  <w:color w:val="auto"/>
                  <w:kern w:val="2"/>
                  <w14:ligatures w14:val="standardContextual"/>
                </w:rPr>
                <w:t>.)</w:t>
              </w:r>
              <w:r w:rsidRPr="003D4B8F">
                <w:rPr>
                  <w:rStyle w:val="Hyperlink"/>
                  <w:rFonts w:cstheme="minorHAnsi"/>
                  <w:color w:val="auto"/>
                </w:rPr>
                <w:t xml:space="preserve"> </w:t>
              </w:r>
            </w:hyperlink>
            <w:r w:rsidRPr="003D4B8F">
              <w:rPr>
                <w:rFonts w:eastAsia="Calibri" w:cstheme="minorHAnsi"/>
              </w:rPr>
              <w:t xml:space="preserve"> </w:t>
            </w:r>
          </w:p>
          <w:p w14:paraId="4BDAD114" w14:textId="0C6EAB20" w:rsidR="00FF494F" w:rsidRPr="003D4B8F" w:rsidRDefault="00FF494F" w:rsidP="003D4B8F">
            <w:pPr>
              <w:pStyle w:val="paragraph"/>
              <w:numPr>
                <w:ilvl w:val="0"/>
                <w:numId w:val="17"/>
              </w:numPr>
              <w:spacing w:before="0" w:beforeAutospacing="0" w:afterAutospacing="0"/>
              <w:textAlignment w:val="baseline"/>
              <w:rPr>
                <w:rFonts w:ascii="Calibri" w:eastAsiaTheme="majorEastAsia" w:hAnsi="Calibri" w:cs="Calibri"/>
              </w:rPr>
            </w:pPr>
            <w:r w:rsidRPr="003D4B8F">
              <w:rPr>
                <w:rFonts w:ascii="Calibri" w:eastAsia="Calibri" w:hAnsi="Calibri" w:cs="Calibri"/>
                <w:sz w:val="22"/>
                <w:szCs w:val="22"/>
              </w:rPr>
              <w:t>Limitation on pre-deal NOL carryforwards:</w:t>
            </w:r>
            <w:r w:rsidR="00D160E3" w:rsidRPr="003D4B8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5917DE" w:rsidRPr="003D4B8F">
              <w:rPr>
                <w:rFonts w:ascii="Calibri" w:eastAsia="Calibri" w:hAnsi="Calibri" w:cs="Calibri"/>
                <w:sz w:val="22"/>
                <w:szCs w:val="22"/>
              </w:rPr>
              <w:t>No</w:t>
            </w:r>
            <w:r w:rsidR="00C902A1" w:rsidRPr="003D4B8F">
              <w:rPr>
                <w:rFonts w:ascii="Calibri" w:eastAsia="Calibri" w:hAnsi="Calibri" w:cs="Calibri"/>
                <w:sz w:val="22"/>
                <w:szCs w:val="22"/>
              </w:rPr>
              <w:t>. (</w:t>
            </w:r>
            <w:hyperlink r:id="rId48" w:anchor="section(15)_0" w:history="1">
              <w:r w:rsidR="00C902A1" w:rsidRPr="003D4B8F">
                <w:rPr>
                  <w:rStyle w:val="Hyperlink"/>
                  <w:rFonts w:ascii="Calibri" w:eastAsia="Calibri" w:hAnsi="Calibri" w:cs="Calibri"/>
                  <w:color w:val="auto"/>
                  <w:sz w:val="22"/>
                  <w:szCs w:val="22"/>
                </w:rPr>
                <w:t xml:space="preserve">Section </w:t>
              </w:r>
              <w:r w:rsidR="00013E47" w:rsidRPr="003D4B8F">
                <w:rPr>
                  <w:rStyle w:val="Hyperlink"/>
                  <w:rFonts w:ascii="Calibri" w:eastAsia="Calibri" w:hAnsi="Calibri" w:cs="Calibri"/>
                  <w:color w:val="auto"/>
                  <w:sz w:val="22"/>
                  <w:szCs w:val="22"/>
                </w:rPr>
                <w:t>VI.D.15.</w:t>
              </w:r>
            </w:hyperlink>
            <w:r w:rsidR="00013E47" w:rsidRPr="003D4B8F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2F3A4C93" w14:textId="6831107E" w:rsidR="00A86873" w:rsidRPr="003D4B8F" w:rsidRDefault="00A86873" w:rsidP="00C640CB"/>
        </w:tc>
      </w:tr>
      <w:tr w:rsidR="00A86873" w14:paraId="164E7D69" w14:textId="77777777" w:rsidTr="733DC60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76E51" w14:textId="77777777" w:rsidR="00A86873" w:rsidRPr="007E11CC" w:rsidRDefault="00A86873" w:rsidP="00C640CB">
            <w:pPr>
              <w:rPr>
                <w:rFonts w:cstheme="minorHAnsi"/>
                <w:b/>
                <w:bCs/>
              </w:rPr>
            </w:pPr>
            <w:r w:rsidRPr="007E11CC">
              <w:rPr>
                <w:rFonts w:cstheme="minorHAnsi"/>
                <w:b/>
                <w:bCs/>
              </w:rPr>
              <w:lastRenderedPageBreak/>
              <w:t>OECD Pillars One and Two</w:t>
            </w:r>
          </w:p>
        </w:tc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01F53" w14:textId="23FF097C" w:rsidR="00A86873" w:rsidRPr="00EB2F32" w:rsidRDefault="00120C82" w:rsidP="00C640CB">
            <w:pPr>
              <w:rPr>
                <w:color w:val="FF0000"/>
              </w:rPr>
            </w:pPr>
            <w:r>
              <w:t xml:space="preserve">Switzerland </w:t>
            </w:r>
            <w:r w:rsidR="20878364">
              <w:t xml:space="preserve">has </w:t>
            </w:r>
            <w:r w:rsidR="00A86873">
              <w:t>agreed to the Two Pillar Solution</w:t>
            </w:r>
            <w:r w:rsidR="005411FC">
              <w:t xml:space="preserve"> and has implemented </w:t>
            </w:r>
            <w:r w:rsidR="002E02B3">
              <w:t>a</w:t>
            </w:r>
            <w:r w:rsidR="005411FC">
              <w:t xml:space="preserve"> Pillar </w:t>
            </w:r>
            <w:r w:rsidR="684E6F36">
              <w:t>Two</w:t>
            </w:r>
            <w:r w:rsidR="005411FC">
              <w:t xml:space="preserve"> </w:t>
            </w:r>
            <w:r w:rsidR="00270856" w:rsidRPr="00270856">
              <w:t xml:space="preserve">qualified domestic </w:t>
            </w:r>
            <w:r w:rsidR="005411FC">
              <w:t xml:space="preserve">minimum </w:t>
            </w:r>
            <w:r w:rsidR="00DE1A64" w:rsidRPr="00270856">
              <w:t>top</w:t>
            </w:r>
            <w:r w:rsidR="00DE1A64">
              <w:t>-</w:t>
            </w:r>
            <w:r w:rsidR="00DE1A64" w:rsidRPr="00270856">
              <w:t xml:space="preserve">up </w:t>
            </w:r>
            <w:r w:rsidR="005411FC">
              <w:t>tax</w:t>
            </w:r>
            <w:r w:rsidR="00F448CF">
              <w:t xml:space="preserve">, effective </w:t>
            </w:r>
            <w:r w:rsidR="005F3773">
              <w:t xml:space="preserve">as of </w:t>
            </w:r>
            <w:r w:rsidR="00F448CF">
              <w:t>January 1, 2024</w:t>
            </w:r>
            <w:r w:rsidR="005411FC">
              <w:t>. (</w:t>
            </w:r>
            <w:hyperlink r:id="rId49">
              <w:r w:rsidR="005411FC" w:rsidRPr="54E9C868">
                <w:rPr>
                  <w:rStyle w:val="Hyperlink"/>
                </w:rPr>
                <w:t>Section XV</w:t>
              </w:r>
              <w:r w:rsidR="00C64A5B" w:rsidRPr="54E9C868">
                <w:rPr>
                  <w:rStyle w:val="Hyperlink"/>
                </w:rPr>
                <w:t>III</w:t>
              </w:r>
              <w:r w:rsidR="005411FC" w:rsidRPr="54E9C868">
                <w:rPr>
                  <w:rStyle w:val="Hyperlink"/>
                </w:rPr>
                <w:t>.</w:t>
              </w:r>
              <w:r w:rsidR="00C64A5B" w:rsidRPr="54E9C868">
                <w:rPr>
                  <w:rStyle w:val="Hyperlink"/>
                </w:rPr>
                <w:t>C</w:t>
              </w:r>
              <w:r w:rsidR="005411FC" w:rsidRPr="54E9C868">
                <w:rPr>
                  <w:rStyle w:val="Hyperlink"/>
                </w:rPr>
                <w:t>.</w:t>
              </w:r>
            </w:hyperlink>
            <w:r w:rsidR="005411FC">
              <w:t>)</w:t>
            </w:r>
          </w:p>
        </w:tc>
      </w:tr>
      <w:tr w:rsidR="00A86873" w14:paraId="13354264" w14:textId="77777777" w:rsidTr="733DC60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DD8D8" w14:textId="77777777" w:rsidR="00A86873" w:rsidRPr="007E11CC" w:rsidRDefault="00A86873" w:rsidP="00C640CB">
            <w:pPr>
              <w:rPr>
                <w:rFonts w:cstheme="minorHAnsi"/>
                <w:b/>
                <w:bCs/>
              </w:rPr>
            </w:pPr>
            <w:r w:rsidRPr="007E11CC">
              <w:rPr>
                <w:rFonts w:eastAsia="Times New Roman" w:cstheme="minorHAnsi"/>
                <w:b/>
                <w:bCs/>
                <w:color w:val="333333"/>
              </w:rPr>
              <w:t>Controlled foreign company regime</w:t>
            </w:r>
          </w:p>
        </w:tc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4BD0B" w14:textId="116BE6CE" w:rsidR="00A86873" w:rsidRPr="00EB2F32" w:rsidRDefault="00AF7795" w:rsidP="00C640CB">
            <w:pPr>
              <w:rPr>
                <w:rFonts w:cstheme="minorHAnsi"/>
                <w:u w:val="single"/>
              </w:rPr>
            </w:pPr>
            <w:r w:rsidRPr="00EB2F32">
              <w:rPr>
                <w:rFonts w:cstheme="minorHAnsi"/>
              </w:rPr>
              <w:t>No</w:t>
            </w:r>
            <w:r w:rsidR="00A86873" w:rsidRPr="00EB2F32">
              <w:rPr>
                <w:rFonts w:cstheme="minorHAnsi"/>
              </w:rPr>
              <w:t>.</w:t>
            </w:r>
          </w:p>
        </w:tc>
      </w:tr>
      <w:tr w:rsidR="00A86873" w14:paraId="13C7DE01" w14:textId="77777777" w:rsidTr="733DC60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09F4F" w14:textId="77777777" w:rsidR="00A86873" w:rsidRPr="007E11CC" w:rsidRDefault="00A86873" w:rsidP="00C640CB">
            <w:pPr>
              <w:rPr>
                <w:rFonts w:cstheme="minorHAnsi"/>
                <w:b/>
                <w:bCs/>
              </w:rPr>
            </w:pPr>
            <w:r w:rsidRPr="007E11CC">
              <w:rPr>
                <w:rFonts w:eastAsia="Times New Roman" w:cstheme="minorHAnsi"/>
                <w:b/>
                <w:bCs/>
                <w:color w:val="333333"/>
              </w:rPr>
              <w:t>Transfer pricing regime</w:t>
            </w:r>
          </w:p>
        </w:tc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CA79D" w14:textId="19F80498" w:rsidR="00A86873" w:rsidRPr="00EB2F32" w:rsidRDefault="00A86873" w:rsidP="00C640CB">
            <w:pPr>
              <w:rPr>
                <w:rFonts w:cstheme="minorHAnsi"/>
              </w:rPr>
            </w:pPr>
            <w:r w:rsidRPr="00EB2F32">
              <w:rPr>
                <w:rFonts w:cstheme="minorHAnsi"/>
              </w:rPr>
              <w:t>Yes. (</w:t>
            </w:r>
            <w:hyperlink r:id="rId50" w:anchor="section(4)(4)(d)_0" w:history="1">
              <w:r w:rsidRPr="00EB2F32">
                <w:rPr>
                  <w:rStyle w:val="Hyperlink"/>
                  <w:rFonts w:cstheme="minorHAnsi"/>
                </w:rPr>
                <w:t>Section X</w:t>
              </w:r>
              <w:r w:rsidR="00CD76D9" w:rsidRPr="00EB2F32">
                <w:rPr>
                  <w:rStyle w:val="Hyperlink"/>
                  <w:rFonts w:cstheme="minorHAnsi"/>
                </w:rPr>
                <w:t>V</w:t>
              </w:r>
              <w:r w:rsidRPr="00EB2F32">
                <w:rPr>
                  <w:rStyle w:val="Hyperlink"/>
                  <w:rFonts w:cstheme="minorHAnsi"/>
                </w:rPr>
                <w:t>I</w:t>
              </w:r>
              <w:r w:rsidR="00601C96" w:rsidRPr="00EB2F32">
                <w:rPr>
                  <w:rStyle w:val="Hyperlink"/>
                  <w:rFonts w:cstheme="minorHAnsi"/>
                </w:rPr>
                <w:t>II</w:t>
              </w:r>
              <w:r w:rsidR="00CD76D9" w:rsidRPr="00EB2F32">
                <w:rPr>
                  <w:rStyle w:val="Hyperlink"/>
                  <w:rFonts w:cstheme="minorHAnsi"/>
                </w:rPr>
                <w:t>.B.4.d</w:t>
              </w:r>
              <w:r w:rsidRPr="00EB2F32">
                <w:rPr>
                  <w:rStyle w:val="Hyperlink"/>
                  <w:rFonts w:cstheme="minorHAnsi"/>
                </w:rPr>
                <w:t>.</w:t>
              </w:r>
            </w:hyperlink>
            <w:r w:rsidRPr="00EB2F32">
              <w:rPr>
                <w:rFonts w:cstheme="minorHAnsi"/>
              </w:rPr>
              <w:t xml:space="preserve">) </w:t>
            </w:r>
          </w:p>
          <w:p w14:paraId="5157AFCF" w14:textId="77777777" w:rsidR="00CE4BAB" w:rsidRDefault="00CE4BAB" w:rsidP="00CE4BAB">
            <w:pPr>
              <w:rPr>
                <w:rFonts w:eastAsia="Times New Roman" w:cstheme="minorHAnsi"/>
                <w:color w:val="333333"/>
              </w:rPr>
            </w:pPr>
          </w:p>
          <w:p w14:paraId="53270D12" w14:textId="76205487" w:rsidR="00A86873" w:rsidRPr="00CE4BAB" w:rsidRDefault="00A86873" w:rsidP="00CE4BAB">
            <w:pPr>
              <w:rPr>
                <w:rFonts w:cstheme="minorHAnsi"/>
              </w:rPr>
            </w:pPr>
            <w:r w:rsidRPr="00CE4BAB">
              <w:rPr>
                <w:rFonts w:eastAsia="Times New Roman" w:cstheme="minorHAnsi"/>
                <w:color w:val="333333"/>
              </w:rPr>
              <w:t xml:space="preserve">Country-by-country report: </w:t>
            </w:r>
            <w:r w:rsidRPr="00CE4BAB">
              <w:rPr>
                <w:rFonts w:cstheme="minorHAnsi"/>
              </w:rPr>
              <w:t>Yes. (</w:t>
            </w:r>
            <w:hyperlink r:id="rId51" w:anchor="section(10)(10)(d)_0" w:history="1">
              <w:r w:rsidRPr="00CE4BAB">
                <w:rPr>
                  <w:rStyle w:val="Hyperlink"/>
                  <w:rFonts w:cstheme="minorHAnsi"/>
                </w:rPr>
                <w:t>Section X</w:t>
              </w:r>
              <w:r w:rsidR="00A63B31" w:rsidRPr="00CE4BAB">
                <w:rPr>
                  <w:rStyle w:val="Hyperlink"/>
                  <w:rFonts w:cstheme="minorHAnsi"/>
                </w:rPr>
                <w:t>V</w:t>
              </w:r>
              <w:r w:rsidRPr="00CE4BAB">
                <w:rPr>
                  <w:rStyle w:val="Hyperlink"/>
                  <w:rFonts w:cstheme="minorHAnsi"/>
                </w:rPr>
                <w:t>I</w:t>
              </w:r>
              <w:r w:rsidR="00A845EE" w:rsidRPr="00CE4BAB">
                <w:rPr>
                  <w:rStyle w:val="Hyperlink"/>
                  <w:rFonts w:cstheme="minorHAnsi"/>
                </w:rPr>
                <w:t>II</w:t>
              </w:r>
              <w:r w:rsidRPr="00CE4BAB">
                <w:rPr>
                  <w:rStyle w:val="Hyperlink"/>
                  <w:rFonts w:cstheme="minorHAnsi"/>
                </w:rPr>
                <w:t>.</w:t>
              </w:r>
              <w:r w:rsidR="00A63B31" w:rsidRPr="00CE4BAB">
                <w:rPr>
                  <w:rStyle w:val="Hyperlink"/>
                  <w:rFonts w:cstheme="minorHAnsi"/>
                </w:rPr>
                <w:t>B.10.d</w:t>
              </w:r>
              <w:r w:rsidRPr="00EB2F32">
                <w:rPr>
                  <w:rStyle w:val="Hyperlink"/>
                </w:rPr>
                <w:t>.</w:t>
              </w:r>
            </w:hyperlink>
            <w:r w:rsidRPr="00CE4BAB">
              <w:rPr>
                <w:rFonts w:cstheme="minorHAnsi"/>
              </w:rPr>
              <w:t xml:space="preserve">) </w:t>
            </w:r>
          </w:p>
          <w:p w14:paraId="1183E117" w14:textId="77777777" w:rsidR="00CE4BAB" w:rsidRDefault="00CE4BAB" w:rsidP="00CE4BAB">
            <w:pPr>
              <w:rPr>
                <w:rFonts w:cstheme="minorHAnsi"/>
              </w:rPr>
            </w:pPr>
          </w:p>
          <w:p w14:paraId="1C2D5FFB" w14:textId="39BC8D42" w:rsidR="00A86873" w:rsidRPr="00CE4BAB" w:rsidRDefault="00A86873" w:rsidP="00CE4BAB">
            <w:pPr>
              <w:rPr>
                <w:rFonts w:cstheme="minorHAnsi"/>
              </w:rPr>
            </w:pPr>
            <w:r w:rsidRPr="00CE4BAB">
              <w:rPr>
                <w:rFonts w:cstheme="minorHAnsi"/>
              </w:rPr>
              <w:t xml:space="preserve">See also </w:t>
            </w:r>
            <w:hyperlink r:id="rId52" w:history="1">
              <w:r w:rsidRPr="00CE4BAB">
                <w:rPr>
                  <w:rStyle w:val="Hyperlink"/>
                  <w:rFonts w:cstheme="minorHAnsi"/>
                </w:rPr>
                <w:t xml:space="preserve">Chapter </w:t>
              </w:r>
              <w:r w:rsidR="00D52268" w:rsidRPr="00CE4BAB">
                <w:rPr>
                  <w:rStyle w:val="Hyperlink"/>
                  <w:rFonts w:cstheme="minorHAnsi"/>
                </w:rPr>
                <w:t>1</w:t>
              </w:r>
              <w:r w:rsidR="006E252C" w:rsidRPr="00CE4BAB">
                <w:rPr>
                  <w:rStyle w:val="Hyperlink"/>
                  <w:rFonts w:cstheme="minorHAnsi"/>
                </w:rPr>
                <w:t>60</w:t>
              </w:r>
              <w:r w:rsidRPr="00CE4BAB">
                <w:rPr>
                  <w:rStyle w:val="Hyperlink"/>
                  <w:rFonts w:cstheme="minorHAnsi"/>
                </w:rPr>
                <w:t xml:space="preserve"> of 69</w:t>
              </w:r>
              <w:r w:rsidR="006E252C" w:rsidRPr="00CE4BAB">
                <w:rPr>
                  <w:rStyle w:val="Hyperlink"/>
                  <w:rFonts w:cstheme="minorHAnsi"/>
                </w:rPr>
                <w:t>70</w:t>
              </w:r>
              <w:r w:rsidRPr="00CE4BAB">
                <w:rPr>
                  <w:rStyle w:val="Hyperlink"/>
                  <w:rFonts w:cstheme="minorHAnsi"/>
                </w:rPr>
                <w:t xml:space="preserve"> T.M., Transfer Pricing: Rules and Practice in Selected Countries (</w:t>
              </w:r>
              <w:r w:rsidR="00A35324" w:rsidRPr="00CE4BAB">
                <w:rPr>
                  <w:rStyle w:val="Hyperlink"/>
                  <w:rFonts w:cstheme="minorHAnsi"/>
                </w:rPr>
                <w:t>Q</w:t>
              </w:r>
              <w:r w:rsidRPr="00CE4BAB">
                <w:rPr>
                  <w:rStyle w:val="Hyperlink"/>
                  <w:rFonts w:cstheme="minorHAnsi"/>
                </w:rPr>
                <w:t>–</w:t>
              </w:r>
              <w:r w:rsidR="00A35324" w:rsidRPr="00CE4BAB">
                <w:rPr>
                  <w:rStyle w:val="Hyperlink"/>
                  <w:rFonts w:cstheme="minorHAnsi"/>
                </w:rPr>
                <w:t>S</w:t>
              </w:r>
              <w:r w:rsidRPr="00CE4BAB">
                <w:rPr>
                  <w:rStyle w:val="Hyperlink"/>
                  <w:rFonts w:cstheme="minorHAnsi"/>
                </w:rPr>
                <w:t>)</w:t>
              </w:r>
            </w:hyperlink>
            <w:r w:rsidRPr="00CE4BAB">
              <w:rPr>
                <w:rFonts w:cstheme="minorHAnsi"/>
              </w:rPr>
              <w:t xml:space="preserve">. </w:t>
            </w:r>
          </w:p>
        </w:tc>
      </w:tr>
      <w:tr w:rsidR="00A86873" w14:paraId="7DDEA1F4" w14:textId="77777777" w:rsidTr="733DC60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C7A37" w14:textId="77777777" w:rsidR="00A86873" w:rsidRPr="007E11CC" w:rsidRDefault="00A86873" w:rsidP="00C640CB">
            <w:pPr>
              <w:rPr>
                <w:rFonts w:eastAsia="Times New Roman" w:cstheme="minorHAnsi"/>
                <w:b/>
                <w:bCs/>
                <w:color w:val="333333"/>
              </w:rPr>
            </w:pPr>
            <w:r w:rsidRPr="007E11CC">
              <w:rPr>
                <w:rFonts w:eastAsia="Times New Roman" w:cstheme="minorHAnsi"/>
                <w:b/>
                <w:bCs/>
                <w:color w:val="333333"/>
              </w:rPr>
              <w:t>General anti-avoidance rule</w:t>
            </w:r>
          </w:p>
        </w:tc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9967B" w14:textId="65D6D863" w:rsidR="00A86873" w:rsidRPr="00EB2F32" w:rsidRDefault="00A86873" w:rsidP="00C640CB">
            <w:pPr>
              <w:rPr>
                <w:rFonts w:cstheme="minorHAnsi"/>
              </w:rPr>
            </w:pPr>
            <w:r w:rsidRPr="00EB2F32">
              <w:rPr>
                <w:rFonts w:cstheme="minorHAnsi"/>
              </w:rPr>
              <w:t>Yes</w:t>
            </w:r>
            <w:r w:rsidR="00BF7704" w:rsidRPr="00EB2F32">
              <w:rPr>
                <w:rFonts w:cstheme="minorHAnsi"/>
              </w:rPr>
              <w:t>, but no GAAR as such</w:t>
            </w:r>
            <w:r w:rsidRPr="00EB2F32">
              <w:rPr>
                <w:rFonts w:cstheme="minorHAnsi"/>
              </w:rPr>
              <w:t>.</w:t>
            </w:r>
            <w:r w:rsidR="00BF7704" w:rsidRPr="00EB2F32">
              <w:rPr>
                <w:rFonts w:cstheme="minorHAnsi"/>
              </w:rPr>
              <w:t xml:space="preserve"> Switzerland applies </w:t>
            </w:r>
            <w:r w:rsidR="00365FF2" w:rsidRPr="00EB2F32">
              <w:rPr>
                <w:rFonts w:cstheme="minorHAnsi"/>
              </w:rPr>
              <w:t xml:space="preserve">a general </w:t>
            </w:r>
            <w:r w:rsidR="001B5A4A" w:rsidRPr="00EB2F32">
              <w:rPr>
                <w:rFonts w:cstheme="minorHAnsi"/>
              </w:rPr>
              <w:t xml:space="preserve">anti-abuse </w:t>
            </w:r>
            <w:r w:rsidR="00D17C75" w:rsidRPr="00EB2F32">
              <w:rPr>
                <w:rFonts w:cstheme="minorHAnsi"/>
              </w:rPr>
              <w:t xml:space="preserve">of law </w:t>
            </w:r>
            <w:r w:rsidR="001B5A4A" w:rsidRPr="00EB2F32">
              <w:rPr>
                <w:rFonts w:cstheme="minorHAnsi"/>
              </w:rPr>
              <w:t>rule</w:t>
            </w:r>
            <w:r w:rsidRPr="00EB2F32">
              <w:rPr>
                <w:rFonts w:cstheme="minorHAnsi"/>
              </w:rPr>
              <w:t xml:space="preserve"> </w:t>
            </w:r>
            <w:r w:rsidR="001B5A4A" w:rsidRPr="00EB2F32">
              <w:rPr>
                <w:rFonts w:cstheme="minorHAnsi"/>
              </w:rPr>
              <w:t>unilaterally</w:t>
            </w:r>
            <w:r w:rsidR="00936631" w:rsidRPr="00EB2F32">
              <w:rPr>
                <w:rFonts w:cstheme="minorHAnsi"/>
              </w:rPr>
              <w:t>, including</w:t>
            </w:r>
            <w:r w:rsidR="001B5A4A" w:rsidRPr="00EB2F32">
              <w:rPr>
                <w:rFonts w:cstheme="minorHAnsi"/>
              </w:rPr>
              <w:t xml:space="preserve"> </w:t>
            </w:r>
            <w:r w:rsidR="00F00CEE" w:rsidRPr="00EB2F32">
              <w:rPr>
                <w:rFonts w:cstheme="minorHAnsi"/>
              </w:rPr>
              <w:t>with respect to treaty law</w:t>
            </w:r>
            <w:r w:rsidR="00365FF2" w:rsidRPr="00EB2F32">
              <w:rPr>
                <w:rFonts w:cstheme="minorHAnsi"/>
              </w:rPr>
              <w:t>,</w:t>
            </w:r>
            <w:r w:rsidR="005850A1" w:rsidRPr="00EB2F32">
              <w:rPr>
                <w:rFonts w:cstheme="minorHAnsi"/>
              </w:rPr>
              <w:t xml:space="preserve"> </w:t>
            </w:r>
            <w:r w:rsidR="00E82054" w:rsidRPr="00EB2F32">
              <w:rPr>
                <w:rFonts w:cstheme="minorHAnsi"/>
              </w:rPr>
              <w:t xml:space="preserve">as </w:t>
            </w:r>
            <w:r w:rsidR="005850A1" w:rsidRPr="00EB2F32">
              <w:rPr>
                <w:rFonts w:cstheme="minorHAnsi"/>
              </w:rPr>
              <w:t>supported by</w:t>
            </w:r>
            <w:r w:rsidR="00365FF2" w:rsidRPr="00EB2F32">
              <w:rPr>
                <w:rFonts w:cstheme="minorHAnsi"/>
              </w:rPr>
              <w:t xml:space="preserve"> case law</w:t>
            </w:r>
            <w:r w:rsidR="00F00CEE" w:rsidRPr="00EB2F32">
              <w:rPr>
                <w:rFonts w:cstheme="minorHAnsi"/>
              </w:rPr>
              <w:t xml:space="preserve">. </w:t>
            </w:r>
            <w:r w:rsidRPr="00EB2F32">
              <w:rPr>
                <w:rFonts w:cstheme="minorHAnsi"/>
              </w:rPr>
              <w:t>(</w:t>
            </w:r>
            <w:hyperlink r:id="rId53" w:anchor="section(9)_0" w:history="1">
              <w:r w:rsidRPr="00EB2F32">
                <w:rPr>
                  <w:rStyle w:val="Hyperlink"/>
                  <w:rFonts w:cstheme="minorHAnsi"/>
                </w:rPr>
                <w:t xml:space="preserve">Section </w:t>
              </w:r>
              <w:r w:rsidR="003B7ABE" w:rsidRPr="00EB2F32">
                <w:rPr>
                  <w:rStyle w:val="Hyperlink"/>
                  <w:rFonts w:cstheme="minorHAnsi"/>
                </w:rPr>
                <w:t>X</w:t>
              </w:r>
              <w:r w:rsidRPr="00EB2F32">
                <w:rPr>
                  <w:rStyle w:val="Hyperlink"/>
                  <w:rFonts w:cstheme="minorHAnsi"/>
                </w:rPr>
                <w:t>V</w:t>
              </w:r>
              <w:r w:rsidR="003B7ABE" w:rsidRPr="00EB2F32">
                <w:rPr>
                  <w:rStyle w:val="Hyperlink"/>
                  <w:rFonts w:cstheme="minorHAnsi"/>
                </w:rPr>
                <w:t>I</w:t>
              </w:r>
              <w:r w:rsidR="003B7ABE" w:rsidRPr="00EB2F32">
                <w:rPr>
                  <w:rStyle w:val="Hyperlink"/>
                </w:rPr>
                <w:t>I</w:t>
              </w:r>
              <w:r w:rsidR="00256AE2" w:rsidRPr="00EB2F32">
                <w:rPr>
                  <w:rStyle w:val="Hyperlink"/>
                </w:rPr>
                <w:t>I</w:t>
              </w:r>
              <w:r w:rsidRPr="00EB2F32">
                <w:rPr>
                  <w:rStyle w:val="Hyperlink"/>
                </w:rPr>
                <w:t>.</w:t>
              </w:r>
              <w:r w:rsidR="003B7ABE" w:rsidRPr="00EB2F32">
                <w:rPr>
                  <w:rStyle w:val="Hyperlink"/>
                </w:rPr>
                <w:t>B</w:t>
              </w:r>
              <w:r w:rsidRPr="00EB2F32">
                <w:rPr>
                  <w:rStyle w:val="Hyperlink"/>
                  <w:rFonts w:cstheme="minorHAnsi"/>
                </w:rPr>
                <w:t>.</w:t>
              </w:r>
            </w:hyperlink>
            <w:r w:rsidR="003B7ABE" w:rsidRPr="00EB2F32">
              <w:rPr>
                <w:rStyle w:val="Hyperlink"/>
                <w:rFonts w:cstheme="minorHAnsi"/>
              </w:rPr>
              <w:t>9</w:t>
            </w:r>
            <w:r w:rsidR="00010DD3" w:rsidRPr="00EB2F32">
              <w:rPr>
                <w:rStyle w:val="Hyperlink"/>
                <w:rFonts w:cstheme="minorHAnsi"/>
              </w:rPr>
              <w:t>.</w:t>
            </w:r>
            <w:r w:rsidR="00C9304E" w:rsidRPr="00EB2F32">
              <w:rPr>
                <w:rFonts w:cstheme="minorHAnsi"/>
              </w:rPr>
              <w:t>)</w:t>
            </w:r>
          </w:p>
        </w:tc>
      </w:tr>
      <w:tr w:rsidR="00A86873" w14:paraId="759EA901" w14:textId="77777777" w:rsidTr="733DC60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81376" w14:textId="48075D90" w:rsidR="00A86873" w:rsidRPr="007E11CC" w:rsidRDefault="00A86873" w:rsidP="00C640CB">
            <w:pPr>
              <w:rPr>
                <w:rFonts w:eastAsia="Times New Roman" w:cstheme="minorHAnsi"/>
                <w:b/>
                <w:bCs/>
                <w:color w:val="333333"/>
              </w:rPr>
            </w:pPr>
            <w:r w:rsidRPr="007E11CC">
              <w:rPr>
                <w:rFonts w:eastAsia="Times New Roman" w:cstheme="minorHAnsi"/>
                <w:b/>
                <w:bCs/>
                <w:color w:val="333333"/>
              </w:rPr>
              <w:t>Mandatory disclosure reg</w:t>
            </w:r>
            <w:r w:rsidR="00094C41" w:rsidRPr="007E11CC">
              <w:rPr>
                <w:rFonts w:eastAsia="Times New Roman" w:cstheme="minorHAnsi"/>
                <w:b/>
                <w:bCs/>
                <w:color w:val="333333"/>
              </w:rPr>
              <w:t>im</w:t>
            </w:r>
            <w:r w:rsidRPr="007E11CC">
              <w:rPr>
                <w:rFonts w:eastAsia="Times New Roman" w:cstheme="minorHAnsi"/>
                <w:b/>
                <w:bCs/>
                <w:color w:val="333333"/>
              </w:rPr>
              <w:t>e</w:t>
            </w:r>
          </w:p>
        </w:tc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F7F98" w14:textId="13745361" w:rsidR="00A86873" w:rsidRPr="00EB2F32" w:rsidRDefault="002B725F" w:rsidP="00C640CB">
            <w:pPr>
              <w:spacing w:line="259" w:lineRule="auto"/>
              <w:rPr>
                <w:color w:val="FF0000"/>
              </w:rPr>
            </w:pPr>
            <w:r w:rsidRPr="240BFC3D">
              <w:t>N</w:t>
            </w:r>
            <w:r>
              <w:t xml:space="preserve">o, </w:t>
            </w:r>
            <w:r w:rsidR="5B24C536">
              <w:t xml:space="preserve">and </w:t>
            </w:r>
            <w:r>
              <w:t xml:space="preserve">nor does </w:t>
            </w:r>
            <w:r w:rsidR="002F6557">
              <w:t>the EU</w:t>
            </w:r>
            <w:r w:rsidR="00A54421">
              <w:t>’s</w:t>
            </w:r>
            <w:r w:rsidR="002F6557">
              <w:t xml:space="preserve"> DAC6 apply </w:t>
            </w:r>
            <w:r w:rsidR="00405229">
              <w:t xml:space="preserve">directly </w:t>
            </w:r>
            <w:r w:rsidR="002F6557">
              <w:t>in Swi</w:t>
            </w:r>
            <w:r w:rsidR="00203F24">
              <w:t>t</w:t>
            </w:r>
            <w:r w:rsidR="002F6557">
              <w:t>zerland</w:t>
            </w:r>
            <w:r w:rsidR="00F57757">
              <w:t xml:space="preserve">, but </w:t>
            </w:r>
            <w:r w:rsidR="00584A63">
              <w:t xml:space="preserve">it </w:t>
            </w:r>
            <w:r w:rsidR="00F57757">
              <w:t xml:space="preserve">may </w:t>
            </w:r>
            <w:r w:rsidR="00584A63">
              <w:t>apply indirectly via Sw</w:t>
            </w:r>
            <w:r w:rsidR="00317F88">
              <w:t>i</w:t>
            </w:r>
            <w:r w:rsidR="00584A63">
              <w:t>ss</w:t>
            </w:r>
            <w:r w:rsidR="3FB47BF4">
              <w:t xml:space="preserve"> </w:t>
            </w:r>
            <w:r w:rsidR="00317F88">
              <w:t>intermediaries with operations</w:t>
            </w:r>
            <w:r w:rsidR="00223E1A">
              <w:t>,</w:t>
            </w:r>
            <w:r w:rsidR="00420638">
              <w:t xml:space="preserve"> or </w:t>
            </w:r>
            <w:r w:rsidR="48F4D4C3" w:rsidRPr="240BFC3D">
              <w:t xml:space="preserve">that </w:t>
            </w:r>
            <w:r w:rsidR="00420638">
              <w:t>otherwise serve clients</w:t>
            </w:r>
            <w:r w:rsidR="00223E1A">
              <w:t>,</w:t>
            </w:r>
            <w:r w:rsidR="00317F88">
              <w:t xml:space="preserve"> in the EU</w:t>
            </w:r>
            <w:r w:rsidR="00A86873" w:rsidRPr="240BFC3D">
              <w:t>.</w:t>
            </w:r>
            <w:r w:rsidR="00A86873" w:rsidRPr="240BFC3D">
              <w:rPr>
                <w:color w:val="FF0000"/>
              </w:rPr>
              <w:t xml:space="preserve"> </w:t>
            </w:r>
            <w:r w:rsidR="00DC4E40" w:rsidRPr="240BFC3D">
              <w:t>(</w:t>
            </w:r>
            <w:hyperlink r:id="rId54" w:anchor="section(2)_0" w:history="1">
              <w:r w:rsidR="008137B3" w:rsidRPr="007E1C8D">
                <w:rPr>
                  <w:rStyle w:val="Hyperlink"/>
                  <w:kern w:val="2"/>
                  <w14:ligatures w14:val="standardContextual"/>
                </w:rPr>
                <w:t xml:space="preserve">Section </w:t>
              </w:r>
              <w:r w:rsidR="00910E8D" w:rsidRPr="007E1C8D">
                <w:rPr>
                  <w:rStyle w:val="Hyperlink"/>
                </w:rPr>
                <w:t>XIX.A.2.</w:t>
              </w:r>
            </w:hyperlink>
            <w:r w:rsidR="00910E8D">
              <w:t>)</w:t>
            </w:r>
          </w:p>
        </w:tc>
      </w:tr>
      <w:tr w:rsidR="00A86873" w14:paraId="51358E90" w14:textId="77777777" w:rsidTr="733DC60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693CE" w14:textId="77777777" w:rsidR="00A86873" w:rsidRPr="007E11CC" w:rsidRDefault="00A86873" w:rsidP="00C640CB">
            <w:pPr>
              <w:rPr>
                <w:rFonts w:eastAsia="Times New Roman" w:cstheme="minorHAnsi"/>
                <w:b/>
                <w:bCs/>
                <w:color w:val="333333"/>
              </w:rPr>
            </w:pPr>
            <w:r w:rsidRPr="007E11CC">
              <w:rPr>
                <w:rFonts w:eastAsia="Times New Roman" w:cstheme="minorHAnsi"/>
                <w:b/>
                <w:bCs/>
                <w:color w:val="333333"/>
              </w:rPr>
              <w:t xml:space="preserve">Foreign tax relief </w:t>
            </w:r>
          </w:p>
        </w:tc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13D32" w14:textId="09093804" w:rsidR="00A86873" w:rsidRPr="00EB2F32" w:rsidRDefault="00A86873" w:rsidP="00C640CB">
            <w:r w:rsidRPr="71CB310B">
              <w:t>Relief may be granted unilaterally</w:t>
            </w:r>
            <w:r w:rsidR="001A10F9" w:rsidRPr="71CB310B">
              <w:t>:</w:t>
            </w:r>
            <w:r w:rsidR="00753437" w:rsidRPr="71CB310B">
              <w:t xml:space="preserve"> </w:t>
            </w:r>
            <w:r w:rsidR="006D60F0" w:rsidRPr="71CB310B">
              <w:t xml:space="preserve">typically </w:t>
            </w:r>
            <w:r w:rsidR="003362D4" w:rsidRPr="71CB310B">
              <w:t xml:space="preserve">based </w:t>
            </w:r>
            <w:r w:rsidR="00993F64" w:rsidRPr="71CB310B">
              <w:t xml:space="preserve">on the exemption </w:t>
            </w:r>
            <w:r w:rsidR="00364A97" w:rsidRPr="71CB310B">
              <w:t>with progression</w:t>
            </w:r>
            <w:r w:rsidR="001C1949" w:rsidRPr="71CB310B">
              <w:t xml:space="preserve"> </w:t>
            </w:r>
            <w:r w:rsidR="006D60F0" w:rsidRPr="71CB310B">
              <w:t xml:space="preserve">method </w:t>
            </w:r>
            <w:r w:rsidR="00E326D3" w:rsidRPr="71CB310B">
              <w:t>or by w</w:t>
            </w:r>
            <w:r w:rsidR="003362D4" w:rsidRPr="71CB310B">
              <w:t>ay of d</w:t>
            </w:r>
            <w:r w:rsidR="000E15D6" w:rsidRPr="71CB310B">
              <w:t>eduction</w:t>
            </w:r>
            <w:r w:rsidR="00753437" w:rsidRPr="71CB310B">
              <w:t>;</w:t>
            </w:r>
            <w:r w:rsidR="00624D45" w:rsidRPr="71CB310B">
              <w:t xml:space="preserve"> </w:t>
            </w:r>
            <w:r w:rsidRPr="71CB310B">
              <w:t>or under the terms of a tax treaty</w:t>
            </w:r>
            <w:r w:rsidR="008C19EB" w:rsidRPr="71CB310B">
              <w:t>:</w:t>
            </w:r>
            <w:r w:rsidRPr="71CB310B">
              <w:t xml:space="preserve"> by way of a credit</w:t>
            </w:r>
            <w:r w:rsidR="008C19EB" w:rsidRPr="71CB310B">
              <w:t>. A</w:t>
            </w:r>
            <w:r w:rsidRPr="71CB310B">
              <w:t xml:space="preserve"> tax-sparing credit may also be available. (</w:t>
            </w:r>
            <w:hyperlink r:id="rId55" w:history="1">
              <w:r w:rsidR="00C32C30" w:rsidRPr="71CB310B">
                <w:rPr>
                  <w:rStyle w:val="Hyperlink"/>
                </w:rPr>
                <w:t>Section</w:t>
              </w:r>
              <w:r w:rsidR="00094C41" w:rsidRPr="71CB310B">
                <w:rPr>
                  <w:rStyle w:val="Hyperlink"/>
                </w:rPr>
                <w:t>s</w:t>
              </w:r>
              <w:r w:rsidR="00C32C30" w:rsidRPr="71CB310B">
                <w:rPr>
                  <w:rStyle w:val="Hyperlink"/>
                </w:rPr>
                <w:t xml:space="preserve"> </w:t>
              </w:r>
              <w:r w:rsidR="00035D03" w:rsidRPr="71CB310B">
                <w:rPr>
                  <w:rStyle w:val="Hyperlink"/>
                </w:rPr>
                <w:t>X</w:t>
              </w:r>
              <w:r w:rsidR="00C32C30" w:rsidRPr="71CB310B">
                <w:rPr>
                  <w:rStyle w:val="Hyperlink"/>
                </w:rPr>
                <w:t>.</w:t>
              </w:r>
              <w:r w:rsidR="00035D03" w:rsidRPr="71CB310B">
                <w:rPr>
                  <w:rStyle w:val="Hyperlink"/>
                </w:rPr>
                <w:t>A</w:t>
              </w:r>
              <w:r w:rsidR="00C32C30" w:rsidRPr="71CB310B">
                <w:rPr>
                  <w:rStyle w:val="Hyperlink"/>
                </w:rPr>
                <w:t>.</w:t>
              </w:r>
            </w:hyperlink>
            <w:r w:rsidR="00C32C30" w:rsidRPr="71CB310B">
              <w:t xml:space="preserve"> </w:t>
            </w:r>
            <w:r w:rsidR="003F266F" w:rsidRPr="71CB310B">
              <w:t>–</w:t>
            </w:r>
            <w:r w:rsidR="003F266F" w:rsidRPr="00EB2F32">
              <w:t xml:space="preserve"> general,</w:t>
            </w:r>
            <w:r w:rsidR="00C32C30" w:rsidRPr="00EB2F32">
              <w:t xml:space="preserve"> </w:t>
            </w:r>
            <w:hyperlink r:id="rId56" w:history="1">
              <w:r w:rsidRPr="71CB310B">
                <w:rPr>
                  <w:rStyle w:val="Hyperlink"/>
                </w:rPr>
                <w:t>B.</w:t>
              </w:r>
            </w:hyperlink>
            <w:r w:rsidR="00B24BAF" w:rsidRPr="71CB310B">
              <w:t xml:space="preserve"> </w:t>
            </w:r>
            <w:r w:rsidR="00094C41" w:rsidRPr="71CB310B">
              <w:t>–</w:t>
            </w:r>
            <w:r w:rsidR="00094C41" w:rsidRPr="00EB2F32">
              <w:t xml:space="preserve"> exemption, </w:t>
            </w:r>
            <w:hyperlink r:id="rId57" w:history="1">
              <w:r w:rsidR="00094C41" w:rsidRPr="00EB2F32">
                <w:rPr>
                  <w:rStyle w:val="Hyperlink"/>
                  <w:kern w:val="2"/>
                  <w14:ligatures w14:val="standardContextual"/>
                </w:rPr>
                <w:t>C.</w:t>
              </w:r>
            </w:hyperlink>
            <w:r w:rsidR="00094C41" w:rsidRPr="00EB2F32">
              <w:t xml:space="preserve"> – </w:t>
            </w:r>
            <w:r w:rsidR="00805C30" w:rsidRPr="00EB2F32">
              <w:t>credit</w:t>
            </w:r>
            <w:r w:rsidR="00015F64" w:rsidRPr="00EB2F32">
              <w:t>,</w:t>
            </w:r>
            <w:r w:rsidR="274C57F0" w:rsidRPr="00EB2F32">
              <w:t xml:space="preserve"> and</w:t>
            </w:r>
            <w:r w:rsidR="00015F64" w:rsidRPr="00EB2F32">
              <w:t xml:space="preserve"> </w:t>
            </w:r>
            <w:hyperlink r:id="rId58" w:history="1">
              <w:r w:rsidR="00015F64" w:rsidRPr="00EB2F32">
                <w:rPr>
                  <w:rStyle w:val="Hyperlink"/>
                  <w:kern w:val="2"/>
                  <w14:ligatures w14:val="standardContextual"/>
                </w:rPr>
                <w:t>D.</w:t>
              </w:r>
            </w:hyperlink>
            <w:r w:rsidR="00015F64" w:rsidRPr="00EB2F32">
              <w:t xml:space="preserve"> – deduction</w:t>
            </w:r>
            <w:r w:rsidR="00094C41" w:rsidRPr="00EB2F32">
              <w:t xml:space="preserve">; </w:t>
            </w:r>
            <w:hyperlink r:id="rId59" w:anchor="section(1)_0" w:history="1">
              <w:r w:rsidR="00B24BAF" w:rsidRPr="71CB310B">
                <w:rPr>
                  <w:rStyle w:val="Hyperlink"/>
                </w:rPr>
                <w:t>Section XVIII.A.1.</w:t>
              </w:r>
            </w:hyperlink>
            <w:r w:rsidR="00B24BAF" w:rsidRPr="71CB310B">
              <w:t xml:space="preserve"> – tax sparing</w:t>
            </w:r>
            <w:r w:rsidR="00AE6B2C" w:rsidRPr="71CB310B">
              <w:t>.</w:t>
            </w:r>
            <w:r w:rsidR="00B24BAF" w:rsidRPr="71CB310B">
              <w:t xml:space="preserve">) </w:t>
            </w:r>
          </w:p>
        </w:tc>
      </w:tr>
      <w:tr w:rsidR="00A86873" w14:paraId="559C71DE" w14:textId="77777777" w:rsidTr="733DC60C">
        <w:tc>
          <w:tcPr>
            <w:tcW w:w="1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EAB1DA1" w14:textId="77777777" w:rsidR="00A86873" w:rsidRPr="007E3F10" w:rsidRDefault="00A86873" w:rsidP="00C640CB">
            <w:pPr>
              <w:spacing w:before="120" w:after="120"/>
              <w:rPr>
                <w:rFonts w:cstheme="minorHAnsi"/>
                <w:color w:val="FFFFFF" w:themeColor="background1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  <w:t>Individuals</w:t>
            </w:r>
          </w:p>
        </w:tc>
      </w:tr>
      <w:tr w:rsidR="00A86873" w14:paraId="736E67AC" w14:textId="77777777" w:rsidTr="733DC60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3D51" w14:textId="1ABC832D" w:rsidR="00A86873" w:rsidRPr="007E11CC" w:rsidRDefault="00A86873" w:rsidP="00C640CB">
            <w:pPr>
              <w:rPr>
                <w:rFonts w:cstheme="minorHAnsi"/>
                <w:b/>
                <w:bCs/>
              </w:rPr>
            </w:pPr>
            <w:r w:rsidRPr="007E11CC">
              <w:rPr>
                <w:rFonts w:eastAsia="Times New Roman" w:cstheme="minorHAnsi"/>
                <w:b/>
                <w:bCs/>
                <w:color w:val="333333"/>
              </w:rPr>
              <w:t xml:space="preserve">Personal income tax rates </w:t>
            </w:r>
          </w:p>
        </w:tc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E8A9" w14:textId="4E67CDEF" w:rsidR="00A86873" w:rsidRPr="00EB2F32" w:rsidRDefault="0071723C" w:rsidP="00C640CB">
            <w:pPr>
              <w:spacing w:line="259" w:lineRule="auto"/>
            </w:pPr>
            <w:r w:rsidRPr="240BFC3D">
              <w:t xml:space="preserve">Federal income tax is levied at </w:t>
            </w:r>
            <w:r w:rsidR="00914D09" w:rsidRPr="240BFC3D">
              <w:t xml:space="preserve">graduated, </w:t>
            </w:r>
            <w:r w:rsidRPr="240BFC3D">
              <w:t>progressive rates</w:t>
            </w:r>
            <w:r w:rsidR="0028365C" w:rsidRPr="240BFC3D">
              <w:t xml:space="preserve">, </w:t>
            </w:r>
            <w:r w:rsidR="0026237A" w:rsidRPr="240BFC3D">
              <w:t>as augmented</w:t>
            </w:r>
            <w:r w:rsidR="0028365C" w:rsidRPr="240BFC3D">
              <w:t xml:space="preserve"> </w:t>
            </w:r>
            <w:r w:rsidR="0026237A" w:rsidRPr="240BFC3D">
              <w:t xml:space="preserve">by </w:t>
            </w:r>
            <w:r w:rsidR="00E25C17" w:rsidRPr="240BFC3D">
              <w:t>taxes</w:t>
            </w:r>
            <w:r w:rsidR="00AD0D36" w:rsidRPr="240BFC3D">
              <w:t xml:space="preserve"> </w:t>
            </w:r>
            <w:r w:rsidR="00E25C17" w:rsidRPr="240BFC3D">
              <w:t>at</w:t>
            </w:r>
            <w:r w:rsidR="0026237A" w:rsidRPr="240BFC3D">
              <w:t xml:space="preserve"> the </w:t>
            </w:r>
            <w:r w:rsidR="0028365C" w:rsidRPr="240BFC3D">
              <w:t xml:space="preserve">cantonal and municipal </w:t>
            </w:r>
            <w:r w:rsidR="0026237A" w:rsidRPr="240BFC3D">
              <w:t>levels</w:t>
            </w:r>
            <w:r w:rsidR="00AD0D36" w:rsidRPr="240BFC3D">
              <w:t xml:space="preserve">, </w:t>
            </w:r>
            <w:r w:rsidR="00C93E08">
              <w:t xml:space="preserve">the rates for </w:t>
            </w:r>
            <w:r w:rsidR="00AD0D36" w:rsidRPr="240BFC3D">
              <w:t xml:space="preserve">which </w:t>
            </w:r>
            <w:r w:rsidR="00C93E08">
              <w:t xml:space="preserve">also </w:t>
            </w:r>
            <w:r w:rsidR="00AD0D36" w:rsidRPr="240BFC3D">
              <w:t>vary</w:t>
            </w:r>
            <w:r w:rsidR="0026237A" w:rsidRPr="240BFC3D">
              <w:t xml:space="preserve">. The </w:t>
            </w:r>
            <w:r w:rsidR="00572D90" w:rsidRPr="240BFC3D">
              <w:t xml:space="preserve">maximum </w:t>
            </w:r>
            <w:r w:rsidR="0026237A" w:rsidRPr="240BFC3D">
              <w:t xml:space="preserve">federal </w:t>
            </w:r>
            <w:r w:rsidR="000B764B">
              <w:t xml:space="preserve">tax rate </w:t>
            </w:r>
            <w:r w:rsidR="00211150">
              <w:t xml:space="preserve">is 11.5% </w:t>
            </w:r>
            <w:r w:rsidR="00A8792C" w:rsidRPr="240BFC3D">
              <w:t xml:space="preserve">on </w:t>
            </w:r>
            <w:r w:rsidR="00577C59">
              <w:t xml:space="preserve">single </w:t>
            </w:r>
            <w:r w:rsidR="00A8792C" w:rsidRPr="240BFC3D">
              <w:t>individuals</w:t>
            </w:r>
            <w:r w:rsidR="006952A8">
              <w:t xml:space="preserve"> </w:t>
            </w:r>
            <w:r w:rsidR="00F375AC">
              <w:t xml:space="preserve">with net </w:t>
            </w:r>
            <w:r w:rsidR="00F375AC" w:rsidRPr="240BFC3D">
              <w:t xml:space="preserve">income </w:t>
            </w:r>
            <w:r w:rsidR="00F375AC">
              <w:t>over</w:t>
            </w:r>
            <w:r w:rsidR="00F375AC" w:rsidRPr="240BFC3D">
              <w:t xml:space="preserve"> CHF 7</w:t>
            </w:r>
            <w:r w:rsidR="00F375AC">
              <w:t>93</w:t>
            </w:r>
            <w:r w:rsidR="00F375AC" w:rsidRPr="240BFC3D">
              <w:t>,</w:t>
            </w:r>
            <w:r w:rsidR="00F375AC">
              <w:t>4</w:t>
            </w:r>
            <w:r w:rsidR="00F375AC" w:rsidRPr="240BFC3D">
              <w:t>00</w:t>
            </w:r>
            <w:r w:rsidR="00F375AC">
              <w:t xml:space="preserve"> and </w:t>
            </w:r>
            <w:r w:rsidR="0084246F">
              <w:t>married couples with net income over CHF 940,900.</w:t>
            </w:r>
            <w:r w:rsidRPr="240BFC3D">
              <w:t xml:space="preserve"> </w:t>
            </w:r>
            <w:r w:rsidR="00A86873" w:rsidRPr="240BFC3D">
              <w:t>(</w:t>
            </w:r>
            <w:hyperlink r:id="rId60" w:anchor="section(3)_0" w:history="1">
              <w:r w:rsidR="0039539A" w:rsidRPr="00206914">
                <w:rPr>
                  <w:rStyle w:val="Hyperlink"/>
                  <w:kern w:val="2"/>
                  <w14:ligatures w14:val="standardContextual"/>
                </w:rPr>
                <w:t xml:space="preserve">Sections </w:t>
              </w:r>
              <w:r w:rsidR="00507C47" w:rsidRPr="00206914">
                <w:rPr>
                  <w:rStyle w:val="Hyperlink"/>
                </w:rPr>
                <w:t>XII.C.3.</w:t>
              </w:r>
            </w:hyperlink>
            <w:r w:rsidR="00507C47">
              <w:t xml:space="preserve"> </w:t>
            </w:r>
            <w:r w:rsidR="00146BA2">
              <w:t xml:space="preserve">and </w:t>
            </w:r>
            <w:hyperlink r:id="rId61" w:history="1">
              <w:r w:rsidR="00146BA2" w:rsidRPr="00146BA2">
                <w:rPr>
                  <w:rStyle w:val="Hyperlink"/>
                  <w:kern w:val="2"/>
                  <w14:ligatures w14:val="standardContextual"/>
                </w:rPr>
                <w:t>XI</w:t>
              </w:r>
              <w:r w:rsidR="0035226A">
                <w:rPr>
                  <w:rStyle w:val="Hyperlink"/>
                  <w:kern w:val="2"/>
                  <w14:ligatures w14:val="standardContextual"/>
                </w:rPr>
                <w:t>I</w:t>
              </w:r>
              <w:r w:rsidR="00146BA2" w:rsidRPr="00146BA2">
                <w:rPr>
                  <w:rStyle w:val="Hyperlink"/>
                  <w:kern w:val="2"/>
                  <w14:ligatures w14:val="standardContextual"/>
                </w:rPr>
                <w:t>I.B.</w:t>
              </w:r>
            </w:hyperlink>
            <w:r w:rsidR="00146BA2">
              <w:t>)</w:t>
            </w:r>
          </w:p>
        </w:tc>
      </w:tr>
      <w:tr w:rsidR="00A86873" w14:paraId="3CDCAD95" w14:textId="77777777" w:rsidTr="733DC60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1EE1" w14:textId="77777777" w:rsidR="00A86873" w:rsidRPr="007E11CC" w:rsidRDefault="00A86873" w:rsidP="00C640CB">
            <w:pPr>
              <w:rPr>
                <w:rFonts w:eastAsia="Times New Roman" w:cstheme="minorHAnsi"/>
                <w:b/>
                <w:bCs/>
                <w:color w:val="333333"/>
              </w:rPr>
            </w:pPr>
            <w:r w:rsidRPr="007E11CC">
              <w:rPr>
                <w:rFonts w:cstheme="minorHAnsi"/>
                <w:b/>
                <w:bCs/>
              </w:rPr>
              <w:t>Equity incentives</w:t>
            </w:r>
          </w:p>
        </w:tc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7F12" w14:textId="3D3F01FD" w:rsidR="00A86873" w:rsidRPr="00EB2F32" w:rsidRDefault="00D87C60" w:rsidP="00C640CB">
            <w:r w:rsidRPr="00EB2F32">
              <w:t xml:space="preserve">Yes. </w:t>
            </w:r>
            <w:r w:rsidRPr="240BFC3D">
              <w:t>(</w:t>
            </w:r>
            <w:hyperlink r:id="rId62" w:anchor="section(1)(1)(c)" w:history="1">
              <w:r w:rsidR="004B3B8A" w:rsidRPr="007B0CBB">
                <w:rPr>
                  <w:rStyle w:val="Hyperlink"/>
                  <w:kern w:val="2"/>
                  <w14:ligatures w14:val="standardContextual"/>
                </w:rPr>
                <w:t>Section XII</w:t>
              </w:r>
              <w:r w:rsidR="007B0CBB" w:rsidRPr="007B0CBB">
                <w:rPr>
                  <w:rStyle w:val="Hyperlink"/>
                </w:rPr>
                <w:t>.C.1.c.</w:t>
              </w:r>
            </w:hyperlink>
            <w:r w:rsidR="007B0CBB">
              <w:t>)</w:t>
            </w:r>
          </w:p>
        </w:tc>
      </w:tr>
      <w:tr w:rsidR="00A86873" w14:paraId="394BEBB4" w14:textId="77777777" w:rsidTr="733DC60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F103" w14:textId="77777777" w:rsidR="00A86873" w:rsidRPr="007E11CC" w:rsidRDefault="00A86873" w:rsidP="00C640CB">
            <w:pPr>
              <w:rPr>
                <w:rFonts w:eastAsia="Times New Roman" w:cstheme="minorHAnsi"/>
                <w:b/>
                <w:bCs/>
                <w:color w:val="333333"/>
              </w:rPr>
            </w:pPr>
            <w:r w:rsidRPr="007E11CC">
              <w:rPr>
                <w:rFonts w:cstheme="minorHAnsi"/>
                <w:b/>
                <w:bCs/>
              </w:rPr>
              <w:t>Foreign tax relief</w:t>
            </w:r>
          </w:p>
        </w:tc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EFA8" w14:textId="0EE045A4" w:rsidR="00A86873" w:rsidRPr="00126120" w:rsidRDefault="00A86873" w:rsidP="00C640CB">
            <w:r>
              <w:t>Yes. (</w:t>
            </w:r>
            <w:hyperlink r:id="rId63" w:anchor="section(4)_0">
              <w:r w:rsidR="00093DDE" w:rsidRPr="587124F0">
                <w:rPr>
                  <w:rStyle w:val="Hyperlink"/>
                </w:rPr>
                <w:t>Section</w:t>
              </w:r>
              <w:r w:rsidR="009A577A" w:rsidRPr="587124F0">
                <w:rPr>
                  <w:rStyle w:val="Hyperlink"/>
                </w:rPr>
                <w:t>s</w:t>
              </w:r>
              <w:r w:rsidR="00093DDE" w:rsidRPr="587124F0">
                <w:rPr>
                  <w:rStyle w:val="Hyperlink"/>
                </w:rPr>
                <w:t xml:space="preserve"> X</w:t>
              </w:r>
              <w:r w:rsidR="00824951" w:rsidRPr="587124F0">
                <w:rPr>
                  <w:rStyle w:val="Hyperlink"/>
                </w:rPr>
                <w:t>II.A.4</w:t>
              </w:r>
              <w:r w:rsidR="00093DDE" w:rsidRPr="587124F0">
                <w:rPr>
                  <w:rStyle w:val="Hyperlink"/>
                </w:rPr>
                <w:t>.</w:t>
              </w:r>
            </w:hyperlink>
            <w:r w:rsidR="006C5833">
              <w:t xml:space="preserve">) </w:t>
            </w:r>
            <w:r>
              <w:t xml:space="preserve"> </w:t>
            </w:r>
          </w:p>
        </w:tc>
      </w:tr>
      <w:tr w:rsidR="00A86873" w14:paraId="5F8C618D" w14:textId="77777777" w:rsidTr="733DC60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4AF1B" w14:textId="065AC846" w:rsidR="00A86873" w:rsidRPr="007E11CC" w:rsidRDefault="00A86873" w:rsidP="007E11CC">
            <w:pPr>
              <w:rPr>
                <w:rFonts w:cstheme="minorHAnsi"/>
                <w:b/>
                <w:bCs/>
              </w:rPr>
            </w:pPr>
            <w:r w:rsidRPr="007E11CC">
              <w:rPr>
                <w:rFonts w:eastAsia="Times New Roman" w:cstheme="minorHAnsi"/>
                <w:b/>
                <w:bCs/>
                <w:color w:val="333333"/>
              </w:rPr>
              <w:t>Wealth tax</w:t>
            </w:r>
            <w:r w:rsidR="007E11CC" w:rsidRPr="007E11CC">
              <w:rPr>
                <w:rFonts w:eastAsia="Times New Roman" w:cstheme="minorHAnsi"/>
                <w:b/>
                <w:bCs/>
                <w:color w:val="333333"/>
              </w:rPr>
              <w:t>/e</w:t>
            </w:r>
            <w:r w:rsidRPr="007E11CC">
              <w:rPr>
                <w:rFonts w:eastAsia="Times New Roman" w:cstheme="minorHAnsi"/>
                <w:b/>
                <w:bCs/>
                <w:color w:val="333333"/>
              </w:rPr>
              <w:t>state</w:t>
            </w:r>
            <w:r w:rsidR="007E11CC" w:rsidRPr="007E11CC">
              <w:rPr>
                <w:rFonts w:eastAsia="Times New Roman" w:cstheme="minorHAnsi"/>
                <w:b/>
                <w:bCs/>
                <w:color w:val="333333"/>
              </w:rPr>
              <w:t xml:space="preserve"> or </w:t>
            </w:r>
            <w:r w:rsidRPr="007E11CC">
              <w:rPr>
                <w:rFonts w:eastAsia="Times New Roman" w:cstheme="minorHAnsi"/>
                <w:b/>
                <w:bCs/>
                <w:color w:val="333333"/>
              </w:rPr>
              <w:t>inheritance taxes</w:t>
            </w:r>
            <w:r w:rsidR="007E11CC" w:rsidRPr="007E11CC">
              <w:rPr>
                <w:rFonts w:eastAsia="Times New Roman" w:cstheme="minorHAnsi"/>
                <w:b/>
                <w:bCs/>
                <w:color w:val="333333"/>
              </w:rPr>
              <w:t>/g</w:t>
            </w:r>
            <w:r w:rsidRPr="007E11CC">
              <w:rPr>
                <w:rFonts w:eastAsia="Times New Roman" w:cstheme="minorHAnsi"/>
                <w:b/>
                <w:bCs/>
                <w:color w:val="333333"/>
              </w:rPr>
              <w:t>ift tax</w:t>
            </w:r>
          </w:p>
        </w:tc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70C8" w14:textId="1D70ECA0" w:rsidR="00A86873" w:rsidRPr="00EB2F32" w:rsidRDefault="008F46FF" w:rsidP="00C640CB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Wealth tax </w:t>
            </w:r>
            <w:r w:rsidR="00F904FA" w:rsidRPr="00EB2F32">
              <w:rPr>
                <w:rFonts w:cstheme="minorHAnsi"/>
              </w:rPr>
              <w:t>at the cantonal/communal levels</w:t>
            </w:r>
            <w:r w:rsidR="00A86873" w:rsidRPr="00EB2F32">
              <w:rPr>
                <w:rFonts w:cstheme="minorHAnsi"/>
              </w:rPr>
              <w:t>. (</w:t>
            </w:r>
            <w:hyperlink r:id="rId64" w:history="1">
              <w:r w:rsidR="00A86873" w:rsidRPr="00EB2F32">
                <w:rPr>
                  <w:rStyle w:val="Hyperlink"/>
                  <w:rFonts w:cstheme="minorHAnsi"/>
                  <w:shd w:val="clear" w:color="auto" w:fill="FFFFFF" w:themeFill="background1"/>
                </w:rPr>
                <w:t xml:space="preserve">Section </w:t>
              </w:r>
              <w:r w:rsidR="00A91FC6" w:rsidRPr="00EB2F32">
                <w:rPr>
                  <w:rStyle w:val="Hyperlink"/>
                  <w:rFonts w:cstheme="minorHAnsi"/>
                  <w:shd w:val="clear" w:color="auto" w:fill="FFFFFF" w:themeFill="background1"/>
                </w:rPr>
                <w:t>XI</w:t>
              </w:r>
              <w:r w:rsidR="00A86873" w:rsidRPr="00EB2F32">
                <w:rPr>
                  <w:rStyle w:val="Hyperlink"/>
                  <w:rFonts w:cstheme="minorHAnsi"/>
                  <w:shd w:val="clear" w:color="auto" w:fill="FFFFFF" w:themeFill="background1"/>
                </w:rPr>
                <w:t>I.</w:t>
              </w:r>
              <w:r w:rsidR="00A91FC6" w:rsidRPr="00EB2F32">
                <w:rPr>
                  <w:rStyle w:val="Hyperlink"/>
                  <w:rFonts w:cstheme="minorHAnsi"/>
                  <w:shd w:val="clear" w:color="auto" w:fill="FFFFFF" w:themeFill="background1"/>
                </w:rPr>
                <w:t>D</w:t>
              </w:r>
              <w:r w:rsidR="00FF76D8" w:rsidRPr="00EB2F32">
                <w:rPr>
                  <w:rStyle w:val="Hyperlink"/>
                  <w:shd w:val="clear" w:color="auto" w:fill="FFFFFF" w:themeFill="background1"/>
                </w:rPr>
                <w:t>.</w:t>
              </w:r>
            </w:hyperlink>
            <w:r w:rsidR="00A86873" w:rsidRPr="00EB2F32">
              <w:rPr>
                <w:rFonts w:cstheme="minorHAnsi"/>
              </w:rPr>
              <w:t>)</w:t>
            </w:r>
          </w:p>
          <w:p w14:paraId="26D9778F" w14:textId="0CFEC198" w:rsidR="00A86873" w:rsidRPr="00EB2F32" w:rsidRDefault="007E11CC" w:rsidP="00C640CB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Inheritance tax </w:t>
            </w:r>
            <w:r w:rsidR="00F10CD9" w:rsidRPr="00EB2F32">
              <w:t>at the cantonal/communal levels</w:t>
            </w:r>
            <w:r w:rsidR="00FF76D8" w:rsidRPr="00EB2F32">
              <w:t>.</w:t>
            </w:r>
            <w:r w:rsidR="00A86873" w:rsidRPr="00EB2F32">
              <w:rPr>
                <w:rFonts w:cstheme="minorHAnsi"/>
              </w:rPr>
              <w:t xml:space="preserve"> (</w:t>
            </w:r>
            <w:hyperlink r:id="rId65" w:history="1">
              <w:r w:rsidR="00A86873" w:rsidRPr="00EB2F32">
                <w:rPr>
                  <w:rStyle w:val="Hyperlink"/>
                  <w:rFonts w:cstheme="minorHAnsi"/>
                  <w:shd w:val="clear" w:color="auto" w:fill="FFFFFF" w:themeFill="background1"/>
                </w:rPr>
                <w:t>Section XI</w:t>
              </w:r>
              <w:r w:rsidR="00707444" w:rsidRPr="00EB2F32">
                <w:rPr>
                  <w:rStyle w:val="Hyperlink"/>
                  <w:rFonts w:cstheme="minorHAnsi"/>
                  <w:shd w:val="clear" w:color="auto" w:fill="FFFFFF" w:themeFill="background1"/>
                </w:rPr>
                <w:t>V</w:t>
              </w:r>
              <w:r w:rsidR="00A86873" w:rsidRPr="00EB2F32">
                <w:rPr>
                  <w:rStyle w:val="Hyperlink"/>
                  <w:rFonts w:cstheme="minorHAnsi"/>
                  <w:shd w:val="clear" w:color="auto" w:fill="FFFFFF" w:themeFill="background1"/>
                </w:rPr>
                <w:t>.</w:t>
              </w:r>
              <w:r w:rsidR="00707444" w:rsidRPr="00EB2F32">
                <w:rPr>
                  <w:rStyle w:val="Hyperlink"/>
                  <w:rFonts w:cstheme="minorHAnsi"/>
                  <w:shd w:val="clear" w:color="auto" w:fill="FFFFFF" w:themeFill="background1"/>
                </w:rPr>
                <w:t>A</w:t>
              </w:r>
              <w:r w:rsidR="00A86873" w:rsidRPr="00EB2F32">
                <w:rPr>
                  <w:rStyle w:val="Hyperlink"/>
                </w:rPr>
                <w:t>.</w:t>
              </w:r>
            </w:hyperlink>
            <w:r w:rsidR="00A86873" w:rsidRPr="00EB2F32">
              <w:rPr>
                <w:rFonts w:cstheme="minorHAnsi"/>
              </w:rPr>
              <w:t>)</w:t>
            </w:r>
          </w:p>
          <w:p w14:paraId="7FCC66B0" w14:textId="628767F7" w:rsidR="00A86873" w:rsidRPr="00EB2F32" w:rsidRDefault="007E11CC" w:rsidP="00C640CB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shd w:val="clear" w:color="auto" w:fill="FFFFFF" w:themeFill="background1"/>
              </w:rPr>
              <w:t xml:space="preserve">Gift tax </w:t>
            </w:r>
            <w:r w:rsidR="00125059" w:rsidRPr="00EB2F32">
              <w:t>at the cantonal/communal levels</w:t>
            </w:r>
            <w:r w:rsidR="00A86873" w:rsidRPr="00EB2F32">
              <w:rPr>
                <w:rFonts w:cstheme="minorHAnsi"/>
                <w:shd w:val="clear" w:color="auto" w:fill="FFFFFF" w:themeFill="background1"/>
              </w:rPr>
              <w:t>. (</w:t>
            </w:r>
            <w:hyperlink r:id="rId66" w:history="1">
              <w:r w:rsidR="00A86873" w:rsidRPr="00EB2F32">
                <w:rPr>
                  <w:rStyle w:val="Hyperlink"/>
                  <w:rFonts w:cstheme="minorHAnsi"/>
                  <w:shd w:val="clear" w:color="auto" w:fill="FFFFFF" w:themeFill="background1"/>
                </w:rPr>
                <w:t>Section XI</w:t>
              </w:r>
              <w:r w:rsidR="00E33989" w:rsidRPr="00EB2F32">
                <w:rPr>
                  <w:rStyle w:val="Hyperlink"/>
                  <w:rFonts w:cstheme="minorHAnsi"/>
                  <w:shd w:val="clear" w:color="auto" w:fill="FFFFFF" w:themeFill="background1"/>
                </w:rPr>
                <w:t>V</w:t>
              </w:r>
              <w:r w:rsidR="00A86873" w:rsidRPr="00EB2F32">
                <w:rPr>
                  <w:rStyle w:val="Hyperlink"/>
                  <w:rFonts w:cstheme="minorHAnsi"/>
                  <w:shd w:val="clear" w:color="auto" w:fill="FFFFFF" w:themeFill="background1"/>
                </w:rPr>
                <w:t>.</w:t>
              </w:r>
              <w:r w:rsidR="00E33989" w:rsidRPr="00EB2F32">
                <w:rPr>
                  <w:rStyle w:val="Hyperlink"/>
                  <w:rFonts w:cstheme="minorHAnsi"/>
                  <w:shd w:val="clear" w:color="auto" w:fill="FFFFFF" w:themeFill="background1"/>
                </w:rPr>
                <w:t>C</w:t>
              </w:r>
              <w:r w:rsidR="00A86873" w:rsidRPr="00EB2F32">
                <w:rPr>
                  <w:rStyle w:val="Hyperlink"/>
                </w:rPr>
                <w:t>.</w:t>
              </w:r>
            </w:hyperlink>
            <w:r w:rsidR="00A86873" w:rsidRPr="00EB2F32">
              <w:rPr>
                <w:rFonts w:cstheme="minorHAnsi"/>
                <w:shd w:val="clear" w:color="auto" w:fill="FFFFFF" w:themeFill="background1"/>
              </w:rPr>
              <w:t>)</w:t>
            </w:r>
          </w:p>
        </w:tc>
      </w:tr>
      <w:tr w:rsidR="00A86873" w14:paraId="25D54A22" w14:textId="77777777" w:rsidTr="733DC60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428E" w14:textId="77777777" w:rsidR="00A86873" w:rsidRPr="007E11CC" w:rsidRDefault="00A86873" w:rsidP="00C640CB">
            <w:pPr>
              <w:rPr>
                <w:rFonts w:eastAsia="Times New Roman" w:cstheme="minorHAnsi"/>
                <w:b/>
                <w:bCs/>
                <w:color w:val="333333"/>
              </w:rPr>
            </w:pPr>
            <w:r w:rsidRPr="007E11CC">
              <w:rPr>
                <w:rFonts w:eastAsia="Times New Roman" w:cstheme="minorHAnsi"/>
                <w:b/>
                <w:bCs/>
                <w:color w:val="333333"/>
              </w:rPr>
              <w:t>Exit tax</w:t>
            </w:r>
          </w:p>
        </w:tc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FD62" w14:textId="77777777" w:rsidR="00A86873" w:rsidRPr="00EB2F32" w:rsidRDefault="00A86873" w:rsidP="00C640CB">
            <w:pPr>
              <w:rPr>
                <w:rFonts w:cstheme="minorHAnsi"/>
              </w:rPr>
            </w:pPr>
            <w:r w:rsidRPr="00EB2F32">
              <w:rPr>
                <w:rFonts w:cstheme="minorHAnsi"/>
              </w:rPr>
              <w:t xml:space="preserve">No. </w:t>
            </w:r>
          </w:p>
        </w:tc>
      </w:tr>
      <w:tr w:rsidR="00A86873" w14:paraId="773D4B6B" w14:textId="77777777" w:rsidTr="733DC60C">
        <w:tc>
          <w:tcPr>
            <w:tcW w:w="1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289B04E" w14:textId="77777777" w:rsidR="00A86873" w:rsidRPr="00EB2F32" w:rsidRDefault="00A86873" w:rsidP="00C640CB">
            <w:pPr>
              <w:spacing w:before="120" w:after="120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EB2F32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Other Taxes</w:t>
            </w:r>
          </w:p>
        </w:tc>
      </w:tr>
      <w:tr w:rsidR="00A86873" w14:paraId="5D228592" w14:textId="77777777" w:rsidTr="733DC60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32BA" w14:textId="77777777" w:rsidR="00A86873" w:rsidRPr="007E11CC" w:rsidRDefault="00A86873" w:rsidP="00C640CB">
            <w:pPr>
              <w:rPr>
                <w:rFonts w:cstheme="minorHAnsi"/>
                <w:b/>
                <w:bCs/>
              </w:rPr>
            </w:pPr>
            <w:r w:rsidRPr="007E11CC">
              <w:rPr>
                <w:rFonts w:eastAsia="Times New Roman" w:cstheme="minorHAnsi"/>
                <w:b/>
                <w:bCs/>
                <w:color w:val="333333"/>
              </w:rPr>
              <w:t>VAT/GST/Sales tax</w:t>
            </w:r>
          </w:p>
        </w:tc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AE83" w14:textId="3049A15A" w:rsidR="00A86873" w:rsidRPr="00EB2F32" w:rsidRDefault="00D5448D" w:rsidP="00C640CB">
            <w:r>
              <w:t xml:space="preserve">The standard </w:t>
            </w:r>
            <w:r w:rsidR="00A86873">
              <w:t xml:space="preserve">VAT </w:t>
            </w:r>
            <w:r>
              <w:t xml:space="preserve">rate </w:t>
            </w:r>
            <w:r w:rsidR="00A86873">
              <w:t xml:space="preserve">is </w:t>
            </w:r>
            <w:r w:rsidR="00C960A1">
              <w:t>8.</w:t>
            </w:r>
            <w:r w:rsidR="00CB4F7E">
              <w:t>1</w:t>
            </w:r>
            <w:r w:rsidR="00A86873">
              <w:t>%</w:t>
            </w:r>
            <w:r w:rsidR="00D86061">
              <w:t>,</w:t>
            </w:r>
            <w:r w:rsidR="002F4C2A">
              <w:t xml:space="preserve"> </w:t>
            </w:r>
            <w:r w:rsidR="00D86061">
              <w:t xml:space="preserve">but </w:t>
            </w:r>
            <w:r w:rsidR="250096E8">
              <w:t xml:space="preserve">a </w:t>
            </w:r>
            <w:r w:rsidR="00DC3B9E">
              <w:t>2.6</w:t>
            </w:r>
            <w:r w:rsidR="00CB4F7E">
              <w:t xml:space="preserve">% rate applies to </w:t>
            </w:r>
            <w:r w:rsidR="7FFD89E7">
              <w:t xml:space="preserve"> </w:t>
            </w:r>
            <w:r w:rsidR="00CB4F7E">
              <w:t>necessities</w:t>
            </w:r>
            <w:r w:rsidR="00DE1A64">
              <w:t>,</w:t>
            </w:r>
            <w:r w:rsidR="00195518">
              <w:t xml:space="preserve"> and a special 3.8% rate to</w:t>
            </w:r>
            <w:r w:rsidR="00453A84">
              <w:t xml:space="preserve"> accommodation services</w:t>
            </w:r>
            <w:r w:rsidR="00A86873">
              <w:t>. (</w:t>
            </w:r>
            <w:hyperlink r:id="rId67">
              <w:r w:rsidR="00A86873" w:rsidRPr="065F61AC">
                <w:rPr>
                  <w:rStyle w:val="Hyperlink"/>
                </w:rPr>
                <w:t xml:space="preserve">Section </w:t>
              </w:r>
              <w:r w:rsidR="00DC3B9E" w:rsidRPr="065F61AC">
                <w:rPr>
                  <w:rStyle w:val="Hyperlink"/>
                </w:rPr>
                <w:t>X</w:t>
              </w:r>
              <w:r w:rsidR="00A86873" w:rsidRPr="065F61AC">
                <w:rPr>
                  <w:rStyle w:val="Hyperlink"/>
                </w:rPr>
                <w:t>V</w:t>
              </w:r>
              <w:r w:rsidR="00DC3B9E" w:rsidRPr="065F61AC">
                <w:rPr>
                  <w:rStyle w:val="Hyperlink"/>
                </w:rPr>
                <w:t>I</w:t>
              </w:r>
              <w:r w:rsidR="00A86873" w:rsidRPr="065F61AC">
                <w:rPr>
                  <w:rStyle w:val="Hyperlink"/>
                </w:rPr>
                <w:t>.</w:t>
              </w:r>
              <w:r w:rsidR="00DC3B9E" w:rsidRPr="065F61AC">
                <w:rPr>
                  <w:rStyle w:val="Hyperlink"/>
                </w:rPr>
                <w:t>A</w:t>
              </w:r>
              <w:r w:rsidR="00CB4F7E" w:rsidRPr="065F61AC">
                <w:rPr>
                  <w:rStyle w:val="Hyperlink"/>
                </w:rPr>
                <w:t>.</w:t>
              </w:r>
            </w:hyperlink>
            <w:r w:rsidR="00A86873">
              <w:t>)</w:t>
            </w:r>
          </w:p>
          <w:p w14:paraId="3CF467DA" w14:textId="77777777" w:rsidR="007E11CC" w:rsidRDefault="007E11CC" w:rsidP="007E11CC">
            <w:pPr>
              <w:rPr>
                <w:rFonts w:eastAsia="Times New Roman"/>
                <w:color w:val="333333"/>
                <w:u w:val="single"/>
              </w:rPr>
            </w:pPr>
          </w:p>
          <w:p w14:paraId="7A5CA01E" w14:textId="058AE809" w:rsidR="00A86873" w:rsidRPr="007E11CC" w:rsidRDefault="00A86873" w:rsidP="007E11CC">
            <w:pPr>
              <w:rPr>
                <w:b/>
                <w:bCs/>
              </w:rPr>
            </w:pPr>
            <w:r w:rsidRPr="007E11CC">
              <w:rPr>
                <w:rFonts w:eastAsia="Times New Roman"/>
                <w:color w:val="333333"/>
                <w:u w:val="single"/>
              </w:rPr>
              <w:t>Registration threshold</w:t>
            </w:r>
            <w:r w:rsidRPr="007E11CC">
              <w:rPr>
                <w:rFonts w:eastAsia="Times New Roman"/>
                <w:color w:val="333333"/>
              </w:rPr>
              <w:t xml:space="preserve">: </w:t>
            </w:r>
            <w:r w:rsidR="00984CDA" w:rsidRPr="007E11CC">
              <w:rPr>
                <w:rFonts w:eastAsia="Times New Roman"/>
                <w:color w:val="333333"/>
              </w:rPr>
              <w:t xml:space="preserve">generally, </w:t>
            </w:r>
            <w:r w:rsidR="007067EA" w:rsidRPr="007E11CC">
              <w:rPr>
                <w:rFonts w:eastAsia="Times New Roman"/>
                <w:color w:val="333333"/>
              </w:rPr>
              <w:t xml:space="preserve">all </w:t>
            </w:r>
            <w:r w:rsidR="00453A84" w:rsidRPr="007E11CC">
              <w:rPr>
                <w:rFonts w:eastAsia="Times New Roman"/>
                <w:color w:val="333333"/>
              </w:rPr>
              <w:t>Swiss resident</w:t>
            </w:r>
            <w:r w:rsidR="00E674F5" w:rsidRPr="007E11CC">
              <w:rPr>
                <w:rFonts w:eastAsia="Times New Roman"/>
                <w:color w:val="333333"/>
              </w:rPr>
              <w:t>s</w:t>
            </w:r>
            <w:r w:rsidR="00453A84" w:rsidRPr="007E11CC">
              <w:rPr>
                <w:rFonts w:eastAsia="Times New Roman"/>
                <w:color w:val="333333"/>
              </w:rPr>
              <w:t xml:space="preserve"> </w:t>
            </w:r>
            <w:r w:rsidR="00E674F5" w:rsidRPr="007E11CC">
              <w:rPr>
                <w:rFonts w:eastAsia="Times New Roman"/>
                <w:color w:val="333333"/>
              </w:rPr>
              <w:t xml:space="preserve">and </w:t>
            </w:r>
            <w:r w:rsidR="007E7A53" w:rsidRPr="007E11CC">
              <w:rPr>
                <w:rFonts w:eastAsia="Times New Roman"/>
                <w:color w:val="333333"/>
              </w:rPr>
              <w:t>nonresidents</w:t>
            </w:r>
            <w:r w:rsidR="004A39A4" w:rsidRPr="007E11CC">
              <w:rPr>
                <w:rFonts w:eastAsia="Times New Roman"/>
                <w:color w:val="333333"/>
              </w:rPr>
              <w:t xml:space="preserve"> must register if </w:t>
            </w:r>
            <w:r w:rsidR="00861C38" w:rsidRPr="007E11CC">
              <w:rPr>
                <w:rFonts w:eastAsia="Times New Roman"/>
                <w:color w:val="333333"/>
              </w:rPr>
              <w:t xml:space="preserve">carrying on an activity subject to VAT in </w:t>
            </w:r>
            <w:r w:rsidR="00134875" w:rsidRPr="007E11CC">
              <w:rPr>
                <w:rFonts w:eastAsia="Times New Roman"/>
                <w:color w:val="333333"/>
              </w:rPr>
              <w:t xml:space="preserve">Switzerland </w:t>
            </w:r>
            <w:r w:rsidR="048CE95B" w:rsidRPr="007E11CC">
              <w:rPr>
                <w:rFonts w:eastAsia="Times New Roman"/>
                <w:color w:val="333333"/>
              </w:rPr>
              <w:t xml:space="preserve">and </w:t>
            </w:r>
            <w:r w:rsidR="00E70D74" w:rsidRPr="007E11CC">
              <w:rPr>
                <w:rFonts w:eastAsia="Times New Roman"/>
                <w:color w:val="333333"/>
              </w:rPr>
              <w:t>generat</w:t>
            </w:r>
            <w:r w:rsidR="5AFC16C1" w:rsidRPr="007E11CC">
              <w:rPr>
                <w:rFonts w:eastAsia="Times New Roman"/>
                <w:color w:val="333333"/>
              </w:rPr>
              <w:t>ing</w:t>
            </w:r>
            <w:r w:rsidR="00E70D74" w:rsidRPr="007E11CC">
              <w:rPr>
                <w:rFonts w:eastAsia="Times New Roman"/>
                <w:color w:val="333333"/>
              </w:rPr>
              <w:t xml:space="preserve"> </w:t>
            </w:r>
            <w:r w:rsidR="00AC3BDE" w:rsidRPr="007E11CC">
              <w:rPr>
                <w:rFonts w:eastAsia="Times New Roman"/>
                <w:color w:val="333333"/>
              </w:rPr>
              <w:t xml:space="preserve">at least </w:t>
            </w:r>
            <w:r w:rsidR="00E70D74" w:rsidRPr="007E11CC">
              <w:rPr>
                <w:rFonts w:eastAsia="Times New Roman"/>
                <w:color w:val="333333"/>
              </w:rPr>
              <w:t>CHF 100,000 in global turnover annually</w:t>
            </w:r>
            <w:r w:rsidR="007B3084" w:rsidRPr="007E11CC">
              <w:rPr>
                <w:rFonts w:eastAsia="Times New Roman"/>
                <w:color w:val="333333"/>
              </w:rPr>
              <w:t>.</w:t>
            </w:r>
            <w:r w:rsidR="005963EA" w:rsidRPr="007E11CC">
              <w:rPr>
                <w:rFonts w:eastAsia="Times New Roman"/>
                <w:color w:val="333333"/>
              </w:rPr>
              <w:t xml:space="preserve"> </w:t>
            </w:r>
            <w:r w:rsidR="00540198" w:rsidRPr="007E11CC">
              <w:rPr>
                <w:rFonts w:eastAsia="Times New Roman"/>
                <w:color w:val="333333"/>
              </w:rPr>
              <w:t>(</w:t>
            </w:r>
            <w:hyperlink r:id="rId68" w:anchor="section(1)_0">
              <w:r w:rsidR="000F424A" w:rsidRPr="007E11CC">
                <w:rPr>
                  <w:rStyle w:val="Hyperlink"/>
                  <w:rFonts w:eastAsia="Times New Roman"/>
                </w:rPr>
                <w:t>Section XVI.E.1.</w:t>
              </w:r>
            </w:hyperlink>
            <w:r w:rsidR="00540198" w:rsidRPr="007E11CC">
              <w:rPr>
                <w:rFonts w:eastAsia="Times New Roman"/>
              </w:rPr>
              <w:t>)</w:t>
            </w:r>
          </w:p>
          <w:p w14:paraId="3A028F1C" w14:textId="77777777" w:rsidR="007E11CC" w:rsidRDefault="007E11CC" w:rsidP="007E11CC"/>
          <w:p w14:paraId="4E779882" w14:textId="358492DA" w:rsidR="00A86873" w:rsidRPr="007E11CC" w:rsidRDefault="00A86873" w:rsidP="007E11CC">
            <w:pPr>
              <w:rPr>
                <w:rFonts w:cstheme="minorHAnsi"/>
              </w:rPr>
            </w:pPr>
            <w:r w:rsidRPr="00EB2F32">
              <w:t xml:space="preserve">For further research, see also the </w:t>
            </w:r>
            <w:hyperlink r:id="rId69" w:history="1">
              <w:r w:rsidRPr="00EB2F32">
                <w:rPr>
                  <w:rStyle w:val="Hyperlink"/>
                </w:rPr>
                <w:t>VAT Navigator</w:t>
              </w:r>
            </w:hyperlink>
            <w:r w:rsidRPr="00EB2F32">
              <w:t>.</w:t>
            </w:r>
          </w:p>
        </w:tc>
      </w:tr>
      <w:tr w:rsidR="00A86873" w14:paraId="6D42F0A7" w14:textId="77777777" w:rsidTr="733DC60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23C9" w14:textId="77777777" w:rsidR="00A86873" w:rsidRPr="007E11CC" w:rsidRDefault="00A86873" w:rsidP="00C640CB">
            <w:pPr>
              <w:rPr>
                <w:rFonts w:cstheme="minorHAnsi"/>
                <w:b/>
                <w:bCs/>
              </w:rPr>
            </w:pPr>
            <w:r w:rsidRPr="007E11CC">
              <w:rPr>
                <w:rFonts w:eastAsia="Times New Roman" w:cstheme="minorHAnsi"/>
                <w:b/>
                <w:bCs/>
                <w:color w:val="333333"/>
              </w:rPr>
              <w:t xml:space="preserve">Digital services tax </w:t>
            </w:r>
          </w:p>
        </w:tc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7F27" w14:textId="3CE47154" w:rsidR="00A86873" w:rsidRPr="00EB2F32" w:rsidRDefault="00A86873" w:rsidP="00C640CB">
            <w:pPr>
              <w:rPr>
                <w:rFonts w:cstheme="minorHAnsi"/>
              </w:rPr>
            </w:pPr>
            <w:r w:rsidRPr="00EB2F32">
              <w:rPr>
                <w:rFonts w:cstheme="minorHAnsi"/>
              </w:rPr>
              <w:t>No</w:t>
            </w:r>
            <w:r w:rsidR="008809B0" w:rsidRPr="00EB2F32">
              <w:rPr>
                <w:rFonts w:cstheme="minorHAnsi"/>
              </w:rPr>
              <w:t>, but VAT applies</w:t>
            </w:r>
            <w:r w:rsidR="00CB327B" w:rsidRPr="00EB2F32">
              <w:rPr>
                <w:rFonts w:cstheme="minorHAnsi"/>
              </w:rPr>
              <w:t xml:space="preserve"> to the sale of digital products/services </w:t>
            </w:r>
            <w:r w:rsidR="0027193C">
              <w:rPr>
                <w:rFonts w:cstheme="minorHAnsi"/>
              </w:rPr>
              <w:t xml:space="preserve">in </w:t>
            </w:r>
            <w:r w:rsidR="00CB327B" w:rsidRPr="00EB2F32">
              <w:rPr>
                <w:rFonts w:cstheme="minorHAnsi"/>
              </w:rPr>
              <w:t>Swi</w:t>
            </w:r>
            <w:r w:rsidR="0027193C">
              <w:rPr>
                <w:rFonts w:cstheme="minorHAnsi"/>
              </w:rPr>
              <w:t>tzerland</w:t>
            </w:r>
            <w:r w:rsidRPr="00EB2F32">
              <w:rPr>
                <w:rFonts w:cstheme="minorHAnsi"/>
              </w:rPr>
              <w:t xml:space="preserve">. </w:t>
            </w:r>
          </w:p>
        </w:tc>
      </w:tr>
      <w:tr w:rsidR="00A86873" w14:paraId="188D6F55" w14:textId="77777777" w:rsidTr="733DC60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2FAD" w14:textId="77777777" w:rsidR="00A86873" w:rsidRPr="007E11CC" w:rsidRDefault="00A86873" w:rsidP="00C640CB">
            <w:pPr>
              <w:rPr>
                <w:rFonts w:cstheme="minorHAnsi"/>
                <w:b/>
                <w:bCs/>
              </w:rPr>
            </w:pPr>
            <w:r w:rsidRPr="007E11CC">
              <w:rPr>
                <w:rFonts w:eastAsia="Times New Roman" w:cstheme="minorHAnsi"/>
                <w:b/>
                <w:bCs/>
                <w:color w:val="333333"/>
              </w:rPr>
              <w:t xml:space="preserve">Local taxes </w:t>
            </w:r>
          </w:p>
        </w:tc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E72C" w14:textId="3847C556" w:rsidR="00A86873" w:rsidRPr="00EB2F32" w:rsidRDefault="00E27641" w:rsidP="00C640CB">
            <w:r w:rsidRPr="240BFC3D">
              <w:t xml:space="preserve">Corporate capital tax </w:t>
            </w:r>
            <w:r w:rsidR="00495307" w:rsidRPr="240BFC3D">
              <w:t>and p</w:t>
            </w:r>
            <w:r w:rsidR="00770506" w:rsidRPr="240BFC3D">
              <w:t>roperty</w:t>
            </w:r>
            <w:r w:rsidRPr="240BFC3D">
              <w:t xml:space="preserve">-related </w:t>
            </w:r>
            <w:r w:rsidR="00B06E92" w:rsidRPr="240BFC3D">
              <w:t>tax</w:t>
            </w:r>
            <w:r w:rsidR="00AC3536" w:rsidRPr="240BFC3D">
              <w:t>es</w:t>
            </w:r>
            <w:r w:rsidR="00A86873" w:rsidRPr="240BFC3D">
              <w:t>. (</w:t>
            </w:r>
            <w:hyperlink r:id="rId70" w:history="1">
              <w:r w:rsidR="00495307" w:rsidRPr="240BFC3D">
                <w:rPr>
                  <w:rStyle w:val="Hyperlink"/>
                  <w:kern w:val="2"/>
                  <w14:ligatures w14:val="standardContextual"/>
                </w:rPr>
                <w:t>Section VI.F.</w:t>
              </w:r>
            </w:hyperlink>
            <w:r w:rsidR="00495307" w:rsidRPr="240BFC3D">
              <w:t xml:space="preserve"> – capital tax; </w:t>
            </w:r>
            <w:hyperlink r:id="rId71" w:history="1">
              <w:r w:rsidR="00A86873" w:rsidRPr="240BFC3D">
                <w:rPr>
                  <w:rStyle w:val="Hyperlink"/>
                </w:rPr>
                <w:t>Section</w:t>
              </w:r>
              <w:r w:rsidR="00995B7F" w:rsidRPr="240BFC3D">
                <w:rPr>
                  <w:rStyle w:val="Hyperlink"/>
                </w:rPr>
                <w:t>s</w:t>
              </w:r>
              <w:r w:rsidR="00A86873" w:rsidRPr="240BFC3D">
                <w:rPr>
                  <w:rStyle w:val="Hyperlink"/>
                </w:rPr>
                <w:t xml:space="preserve"> </w:t>
              </w:r>
              <w:r w:rsidR="00995B7F" w:rsidRPr="240BFC3D">
                <w:rPr>
                  <w:rStyle w:val="Hyperlink"/>
                </w:rPr>
                <w:t>X</w:t>
              </w:r>
              <w:r w:rsidR="00995B7F" w:rsidRPr="00EB2F32">
                <w:rPr>
                  <w:rStyle w:val="Hyperlink"/>
                </w:rPr>
                <w:t>VII</w:t>
              </w:r>
              <w:r w:rsidR="00A86873" w:rsidRPr="240BFC3D">
                <w:rPr>
                  <w:rStyle w:val="Hyperlink"/>
                </w:rPr>
                <w:t>.</w:t>
              </w:r>
              <w:r w:rsidR="00995B7F" w:rsidRPr="240BFC3D">
                <w:rPr>
                  <w:rStyle w:val="Hyperlink"/>
                </w:rPr>
                <w:t>A</w:t>
              </w:r>
              <w:r w:rsidR="00B06E92" w:rsidRPr="00EB2F32">
                <w:rPr>
                  <w:rStyle w:val="Hyperlink"/>
                </w:rPr>
                <w:t>.</w:t>
              </w:r>
            </w:hyperlink>
            <w:r w:rsidR="00995B7F" w:rsidRPr="240BFC3D">
              <w:t xml:space="preserve"> </w:t>
            </w:r>
            <w:r w:rsidR="00AC3536" w:rsidRPr="240BFC3D">
              <w:t>–</w:t>
            </w:r>
            <w:r w:rsidR="003E6A27" w:rsidRPr="240BFC3D">
              <w:t xml:space="preserve"> property tax,</w:t>
            </w:r>
            <w:r w:rsidR="00AC3536" w:rsidRPr="00EB2F32">
              <w:t xml:space="preserve"> </w:t>
            </w:r>
            <w:hyperlink r:id="rId72" w:history="1">
              <w:r w:rsidR="00995B7F" w:rsidRPr="240BFC3D">
                <w:rPr>
                  <w:rStyle w:val="Hyperlink"/>
                  <w:kern w:val="2"/>
                  <w14:ligatures w14:val="standardContextual"/>
                </w:rPr>
                <w:t>B.</w:t>
              </w:r>
            </w:hyperlink>
            <w:r w:rsidR="00995B7F" w:rsidRPr="240BFC3D">
              <w:t xml:space="preserve"> </w:t>
            </w:r>
            <w:r w:rsidR="005205B9" w:rsidRPr="240BFC3D">
              <w:t xml:space="preserve">– </w:t>
            </w:r>
            <w:r w:rsidR="12763596" w:rsidRPr="240BFC3D">
              <w:t xml:space="preserve">real estate </w:t>
            </w:r>
            <w:r w:rsidR="005205B9" w:rsidRPr="240BFC3D">
              <w:t>transfer tax</w:t>
            </w:r>
            <w:r w:rsidR="00450F4D">
              <w:t>,</w:t>
            </w:r>
            <w:r w:rsidR="005205B9" w:rsidRPr="240BFC3D">
              <w:t xml:space="preserve"> </w:t>
            </w:r>
            <w:r w:rsidR="00995B7F" w:rsidRPr="240BFC3D">
              <w:t xml:space="preserve">and </w:t>
            </w:r>
            <w:hyperlink r:id="rId73" w:history="1">
              <w:r w:rsidR="00995B7F" w:rsidRPr="240BFC3D">
                <w:rPr>
                  <w:rStyle w:val="Hyperlink"/>
                  <w:kern w:val="2"/>
                  <w14:ligatures w14:val="standardContextual"/>
                </w:rPr>
                <w:t>C.</w:t>
              </w:r>
            </w:hyperlink>
            <w:r w:rsidR="00DF3142" w:rsidRPr="240BFC3D">
              <w:t xml:space="preserve">– </w:t>
            </w:r>
            <w:r w:rsidR="598C030A" w:rsidRPr="240BFC3D">
              <w:t xml:space="preserve">real estate </w:t>
            </w:r>
            <w:r w:rsidR="00DF3142" w:rsidRPr="240BFC3D">
              <w:t>capital gains</w:t>
            </w:r>
            <w:r w:rsidR="00B1319F" w:rsidRPr="240BFC3D">
              <w:t>.</w:t>
            </w:r>
            <w:r w:rsidR="00DF3142" w:rsidRPr="240BFC3D">
              <w:t>)</w:t>
            </w:r>
          </w:p>
        </w:tc>
      </w:tr>
      <w:tr w:rsidR="00A86873" w14:paraId="40B76089" w14:textId="77777777" w:rsidTr="733DC60C">
        <w:tc>
          <w:tcPr>
            <w:tcW w:w="1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4F4DC62" w14:textId="77777777" w:rsidR="00A86873" w:rsidRPr="00805ACF" w:rsidRDefault="00A86873" w:rsidP="00C640CB">
            <w:pPr>
              <w:spacing w:before="120" w:after="120"/>
              <w:rPr>
                <w:rFonts w:cstheme="minorHAnsi"/>
                <w:b/>
                <w:bCs/>
                <w:sz w:val="21"/>
                <w:szCs w:val="21"/>
              </w:rPr>
            </w:pPr>
            <w:r w:rsidRPr="00805ACF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  <w:t>Administrative</w:t>
            </w:r>
          </w:p>
        </w:tc>
      </w:tr>
      <w:tr w:rsidR="00A86873" w14:paraId="1DCDBFB9" w14:textId="77777777" w:rsidTr="733DC60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45CE" w14:textId="77777777" w:rsidR="00A86873" w:rsidRPr="007E11CC" w:rsidRDefault="00A86873" w:rsidP="00C640CB">
            <w:pPr>
              <w:rPr>
                <w:rFonts w:cstheme="minorHAnsi"/>
                <w:b/>
                <w:bCs/>
              </w:rPr>
            </w:pPr>
            <w:r w:rsidRPr="007E11CC">
              <w:rPr>
                <w:rFonts w:eastAsia="Times New Roman" w:cstheme="minorHAnsi"/>
                <w:b/>
                <w:bCs/>
                <w:color w:val="333333"/>
              </w:rPr>
              <w:t xml:space="preserve">Standard tax return filing dates </w:t>
            </w:r>
          </w:p>
        </w:tc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C81A" w14:textId="628BB862" w:rsidR="00A86873" w:rsidRPr="007E11CC" w:rsidRDefault="00A86873" w:rsidP="007E11CC">
            <w:pPr>
              <w:rPr>
                <w:rFonts w:cstheme="minorHAnsi"/>
              </w:rPr>
            </w:pPr>
            <w:r w:rsidRPr="007E11CC">
              <w:rPr>
                <w:rFonts w:cstheme="minorHAnsi"/>
                <w:u w:val="single"/>
              </w:rPr>
              <w:t>Corporations</w:t>
            </w:r>
            <w:r w:rsidRPr="007E11CC">
              <w:rPr>
                <w:rFonts w:cstheme="minorHAnsi"/>
              </w:rPr>
              <w:t>:</w:t>
            </w:r>
            <w:r w:rsidR="001B33AF" w:rsidRPr="007E11CC">
              <w:rPr>
                <w:rFonts w:cstheme="minorHAnsi"/>
              </w:rPr>
              <w:t xml:space="preserve"> </w:t>
            </w:r>
            <w:r w:rsidR="004B5200" w:rsidRPr="007E11CC">
              <w:rPr>
                <w:rFonts w:cstheme="minorHAnsi"/>
              </w:rPr>
              <w:t>usu</w:t>
            </w:r>
            <w:r w:rsidR="001B33AF" w:rsidRPr="007E11CC">
              <w:rPr>
                <w:rFonts w:cstheme="minorHAnsi"/>
              </w:rPr>
              <w:t xml:space="preserve">ally, </w:t>
            </w:r>
            <w:r w:rsidR="00911709" w:rsidRPr="007E11CC">
              <w:rPr>
                <w:rFonts w:cstheme="minorHAnsi"/>
              </w:rPr>
              <w:t xml:space="preserve">within six to nine </w:t>
            </w:r>
            <w:r w:rsidR="00A8296D" w:rsidRPr="007E11CC">
              <w:rPr>
                <w:rFonts w:cstheme="minorHAnsi"/>
              </w:rPr>
              <w:t>months after the end of the</w:t>
            </w:r>
            <w:r w:rsidR="00894450" w:rsidRPr="007E11CC">
              <w:rPr>
                <w:rFonts w:cstheme="minorHAnsi"/>
              </w:rPr>
              <w:t xml:space="preserve"> calendar</w:t>
            </w:r>
            <w:r w:rsidR="00A8296D" w:rsidRPr="007E11CC">
              <w:rPr>
                <w:rFonts w:cstheme="minorHAnsi"/>
              </w:rPr>
              <w:t xml:space="preserve"> year</w:t>
            </w:r>
            <w:r w:rsidR="00894450" w:rsidRPr="007E11CC">
              <w:rPr>
                <w:rFonts w:cstheme="minorHAnsi"/>
              </w:rPr>
              <w:t xml:space="preserve"> (extensions until eleven months after or longer generally possible)</w:t>
            </w:r>
            <w:r w:rsidR="00A8296D" w:rsidRPr="007E11CC">
              <w:rPr>
                <w:rFonts w:cstheme="minorHAnsi"/>
              </w:rPr>
              <w:t>.</w:t>
            </w:r>
          </w:p>
          <w:p w14:paraId="24D88364" w14:textId="77777777" w:rsidR="007E11CC" w:rsidRDefault="007E11CC" w:rsidP="007E11CC">
            <w:pPr>
              <w:rPr>
                <w:rFonts w:cstheme="minorHAnsi"/>
                <w:u w:val="single"/>
              </w:rPr>
            </w:pPr>
          </w:p>
          <w:p w14:paraId="121A3500" w14:textId="1EA7C25F" w:rsidR="002469C5" w:rsidRPr="007E11CC" w:rsidRDefault="00A86873" w:rsidP="007E11CC">
            <w:pPr>
              <w:rPr>
                <w:rFonts w:cstheme="minorHAnsi"/>
              </w:rPr>
            </w:pPr>
            <w:r w:rsidRPr="007E11CC">
              <w:rPr>
                <w:rFonts w:cstheme="minorHAnsi"/>
                <w:u w:val="single"/>
              </w:rPr>
              <w:t>Individuals</w:t>
            </w:r>
            <w:r w:rsidRPr="007E11CC">
              <w:rPr>
                <w:rFonts w:cstheme="minorHAnsi"/>
              </w:rPr>
              <w:t xml:space="preserve">: </w:t>
            </w:r>
            <w:r w:rsidR="004B5200" w:rsidRPr="007E11CC">
              <w:rPr>
                <w:rFonts w:cstheme="minorHAnsi"/>
              </w:rPr>
              <w:t>usu</w:t>
            </w:r>
            <w:r w:rsidR="009C60A5" w:rsidRPr="007E11CC">
              <w:rPr>
                <w:rFonts w:cstheme="minorHAnsi"/>
              </w:rPr>
              <w:t xml:space="preserve">ally, by March 31 </w:t>
            </w:r>
            <w:r w:rsidRPr="007E11CC">
              <w:rPr>
                <w:rFonts w:cstheme="minorHAnsi"/>
              </w:rPr>
              <w:t xml:space="preserve">after the end of the </w:t>
            </w:r>
            <w:r w:rsidR="00894450" w:rsidRPr="007E11CC">
              <w:rPr>
                <w:rFonts w:cstheme="minorHAnsi"/>
              </w:rPr>
              <w:t>calendar</w:t>
            </w:r>
            <w:r w:rsidRPr="007E11CC">
              <w:rPr>
                <w:rFonts w:cstheme="minorHAnsi"/>
              </w:rPr>
              <w:t xml:space="preserve"> year</w:t>
            </w:r>
            <w:r w:rsidR="004B5200" w:rsidRPr="007E11CC">
              <w:rPr>
                <w:rFonts w:cstheme="minorHAnsi"/>
              </w:rPr>
              <w:t xml:space="preserve"> (extensions until end of November or longer generally possible)</w:t>
            </w:r>
            <w:r w:rsidRPr="007E11CC">
              <w:rPr>
                <w:rFonts w:cstheme="minorHAnsi"/>
              </w:rPr>
              <w:t xml:space="preserve">. </w:t>
            </w:r>
          </w:p>
          <w:p w14:paraId="0BB0EF01" w14:textId="13CA437A" w:rsidR="00A86873" w:rsidRPr="00EB2F32" w:rsidRDefault="00A86873" w:rsidP="007E11CC">
            <w:r w:rsidRPr="065F61AC">
              <w:t>(</w:t>
            </w:r>
            <w:hyperlink r:id="rId74" w:anchor="section(2)(2)(a)_0">
              <w:r w:rsidRPr="065F61AC">
                <w:rPr>
                  <w:rStyle w:val="Hyperlink"/>
                </w:rPr>
                <w:t xml:space="preserve">Section </w:t>
              </w:r>
              <w:r w:rsidR="001B24B1" w:rsidRPr="065F61AC">
                <w:rPr>
                  <w:rStyle w:val="Hyperlink"/>
                </w:rPr>
                <w:t>V</w:t>
              </w:r>
              <w:r w:rsidRPr="065F61AC">
                <w:rPr>
                  <w:rStyle w:val="Hyperlink"/>
                </w:rPr>
                <w:t>.</w:t>
              </w:r>
              <w:r w:rsidR="001B24B1" w:rsidRPr="065F61AC">
                <w:rPr>
                  <w:rStyle w:val="Hyperlink"/>
                </w:rPr>
                <w:t>C</w:t>
              </w:r>
              <w:r w:rsidRPr="065F61AC">
                <w:rPr>
                  <w:rStyle w:val="Hyperlink"/>
                </w:rPr>
                <w:t>.</w:t>
              </w:r>
            </w:hyperlink>
            <w:r w:rsidR="001B24B1" w:rsidRPr="065F61AC">
              <w:rPr>
                <w:rStyle w:val="Hyperlink"/>
              </w:rPr>
              <w:t>2.a</w:t>
            </w:r>
            <w:r w:rsidRPr="065F61AC">
              <w:rPr>
                <w:rStyle w:val="Hyperlink"/>
              </w:rPr>
              <w:t>.</w:t>
            </w:r>
            <w:r w:rsidRPr="065F61AC">
              <w:t>)</w:t>
            </w:r>
          </w:p>
        </w:tc>
      </w:tr>
      <w:tr w:rsidR="00A86873" w14:paraId="08B4C40A" w14:textId="77777777" w:rsidTr="733DC60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E52F" w14:textId="77777777" w:rsidR="00A86873" w:rsidRPr="007E11CC" w:rsidRDefault="00A86873" w:rsidP="00C640CB">
            <w:pPr>
              <w:rPr>
                <w:rFonts w:cstheme="minorHAnsi"/>
                <w:b/>
                <w:bCs/>
              </w:rPr>
            </w:pPr>
            <w:r w:rsidRPr="007E11CC">
              <w:rPr>
                <w:rFonts w:eastAsia="Times New Roman" w:cstheme="minorHAnsi"/>
                <w:b/>
                <w:bCs/>
                <w:color w:val="333333"/>
              </w:rPr>
              <w:t>Limitations period for assessment</w:t>
            </w:r>
          </w:p>
        </w:tc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CF23" w14:textId="1696026C" w:rsidR="00C84986" w:rsidRPr="00EB2F32" w:rsidRDefault="00117F6E" w:rsidP="00C640CB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  <w:r w:rsidRPr="00EB2F32">
              <w:t xml:space="preserve">Up to </w:t>
            </w:r>
            <w:r w:rsidR="6E4A9773" w:rsidRPr="00EB2F32">
              <w:t>five</w:t>
            </w:r>
            <w:r w:rsidR="00A86873" w:rsidRPr="00EB2F32">
              <w:t xml:space="preserve"> years from the end of the tax period</w:t>
            </w:r>
            <w:r w:rsidR="00A87F3F" w:rsidRPr="00EB2F32">
              <w:t xml:space="preserve">, subject to </w:t>
            </w:r>
            <w:r w:rsidR="00075E53">
              <w:t>interruption/</w:t>
            </w:r>
            <w:r w:rsidR="00A87F3F" w:rsidRPr="00EB2F32">
              <w:t>extension</w:t>
            </w:r>
            <w:r w:rsidR="002D7CB7" w:rsidRPr="00EB2F32">
              <w:t>,</w:t>
            </w:r>
            <w:r w:rsidR="00A87F3F" w:rsidRPr="00EB2F32">
              <w:t xml:space="preserve"> but restricted to a maximum </w:t>
            </w:r>
            <w:r w:rsidR="00F13579" w:rsidRPr="00EB2F32">
              <w:t>period of 15 years;</w:t>
            </w:r>
          </w:p>
          <w:p w14:paraId="628D86F8" w14:textId="2BBF1B03" w:rsidR="00A86873" w:rsidRPr="00EB2F32" w:rsidRDefault="00A86873" w:rsidP="00C640C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theme="minorHAnsi"/>
              </w:rPr>
            </w:pPr>
            <w:r w:rsidRPr="00EB2F32">
              <w:rPr>
                <w:rFonts w:cstheme="minorHAnsi"/>
              </w:rPr>
              <w:t>U</w:t>
            </w:r>
            <w:r w:rsidRPr="00EB2F32">
              <w:t xml:space="preserve">p to </w:t>
            </w:r>
            <w:r w:rsidR="00117F6E" w:rsidRPr="00EB2F32">
              <w:t>1</w:t>
            </w:r>
            <w:r w:rsidR="00F13579" w:rsidRPr="00EB2F32">
              <w:t>0</w:t>
            </w:r>
            <w:r w:rsidRPr="00EB2F32">
              <w:t xml:space="preserve"> years </w:t>
            </w:r>
            <w:r w:rsidR="00117F6E" w:rsidRPr="00EB2F32">
              <w:t xml:space="preserve">where </w:t>
            </w:r>
            <w:r w:rsidR="00F13579" w:rsidRPr="00EB2F32">
              <w:t>tax fraud or evasion is</w:t>
            </w:r>
            <w:r w:rsidR="00117F6E" w:rsidRPr="00EB2F32">
              <w:t xml:space="preserve"> involved</w:t>
            </w:r>
            <w:r w:rsidR="00953F6A" w:rsidRPr="00EB2F32">
              <w:t>.</w:t>
            </w:r>
            <w:r w:rsidRPr="00EB2F32">
              <w:rPr>
                <w:rFonts w:cstheme="minorHAnsi"/>
              </w:rPr>
              <w:t xml:space="preserve"> </w:t>
            </w:r>
          </w:p>
          <w:p w14:paraId="7CC4105D" w14:textId="06C49518" w:rsidR="00A86873" w:rsidRPr="00EB2F32" w:rsidRDefault="00A86873" w:rsidP="00C640CB">
            <w:pPr>
              <w:ind w:left="360"/>
            </w:pPr>
            <w:r>
              <w:t>(</w:t>
            </w:r>
            <w:hyperlink r:id="rId75" w:anchor="section(3)_0" w:history="1">
              <w:r w:rsidRPr="587124F0">
                <w:rPr>
                  <w:rStyle w:val="Hyperlink"/>
                </w:rPr>
                <w:t>Section V.</w:t>
              </w:r>
              <w:r w:rsidR="00F56E58" w:rsidRPr="587124F0">
                <w:rPr>
                  <w:rStyle w:val="Hyperlink"/>
                </w:rPr>
                <w:t>C.3</w:t>
              </w:r>
              <w:r w:rsidRPr="587124F0">
                <w:rPr>
                  <w:rStyle w:val="Hyperlink"/>
                </w:rPr>
                <w:t>.</w:t>
              </w:r>
            </w:hyperlink>
            <w:r>
              <w:t>)</w:t>
            </w:r>
          </w:p>
        </w:tc>
      </w:tr>
      <w:tr w:rsidR="00A86873" w:rsidRPr="00642620" w14:paraId="7198F861" w14:textId="77777777" w:rsidTr="733DC60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57AD" w14:textId="77777777" w:rsidR="00A86873" w:rsidRPr="007E11CC" w:rsidRDefault="00A86873" w:rsidP="00C640CB">
            <w:pPr>
              <w:rPr>
                <w:rFonts w:eastAsia="Times New Roman" w:cstheme="minorHAnsi"/>
                <w:b/>
                <w:bCs/>
                <w:color w:val="333333"/>
              </w:rPr>
            </w:pPr>
            <w:r w:rsidRPr="007E11CC">
              <w:rPr>
                <w:rFonts w:eastAsia="Times New Roman" w:cstheme="minorHAnsi"/>
                <w:b/>
                <w:bCs/>
                <w:color w:val="333333"/>
              </w:rPr>
              <w:t xml:space="preserve">Advance tax rulings </w:t>
            </w:r>
          </w:p>
        </w:tc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497D" w14:textId="29C6517E" w:rsidR="00A86873" w:rsidRPr="00EB2F32" w:rsidRDefault="002A5C5C" w:rsidP="00C640CB">
            <w:pPr>
              <w:rPr>
                <w:rFonts w:cstheme="minorHAnsi"/>
              </w:rPr>
            </w:pPr>
            <w:r w:rsidRPr="00EB2F32">
              <w:t xml:space="preserve">Yes. </w:t>
            </w:r>
            <w:r w:rsidRPr="00EB2F32">
              <w:rPr>
                <w:rFonts w:cstheme="minorHAnsi"/>
              </w:rPr>
              <w:t>(</w:t>
            </w:r>
            <w:hyperlink r:id="rId76" w:anchor="section(4)_0" w:history="1">
              <w:r w:rsidRPr="00EB2F32">
                <w:rPr>
                  <w:rStyle w:val="Hyperlink"/>
                  <w:rFonts w:cstheme="minorHAnsi"/>
                  <w:kern w:val="2"/>
                  <w14:ligatures w14:val="standardContextual"/>
                </w:rPr>
                <w:t xml:space="preserve">Section </w:t>
              </w:r>
              <w:r w:rsidRPr="00EB2F32">
                <w:rPr>
                  <w:rStyle w:val="Hyperlink"/>
                  <w:rFonts w:cstheme="minorHAnsi"/>
                </w:rPr>
                <w:t>V</w:t>
              </w:r>
              <w:r w:rsidRPr="00EB2F32">
                <w:rPr>
                  <w:rStyle w:val="Hyperlink"/>
                  <w:rFonts w:cstheme="minorHAnsi"/>
                  <w:kern w:val="2"/>
                  <w14:ligatures w14:val="standardContextual"/>
                </w:rPr>
                <w:t>.</w:t>
              </w:r>
              <w:r w:rsidR="00873D8E" w:rsidRPr="00EB2F32">
                <w:rPr>
                  <w:rStyle w:val="Hyperlink"/>
                  <w:rFonts w:cstheme="minorHAnsi"/>
                  <w:kern w:val="2"/>
                  <w14:ligatures w14:val="standardContextual"/>
                </w:rPr>
                <w:t>B.4.</w:t>
              </w:r>
            </w:hyperlink>
            <w:r w:rsidRPr="00EB2F32">
              <w:rPr>
                <w:rFonts w:cstheme="minorHAnsi"/>
              </w:rPr>
              <w:t>)</w:t>
            </w:r>
          </w:p>
        </w:tc>
      </w:tr>
    </w:tbl>
    <w:p w14:paraId="5F7A345F" w14:textId="20996D9C" w:rsidR="00717CDF" w:rsidRPr="00EB2F32" w:rsidRDefault="00A86873" w:rsidP="00C640CB">
      <w:pPr>
        <w:rPr>
          <w:rFonts w:cstheme="minorHAnsi"/>
          <w:b/>
          <w:bCs/>
          <w:sz w:val="32"/>
          <w:szCs w:val="32"/>
        </w:rPr>
      </w:pPr>
      <w:r w:rsidRPr="00642620">
        <w:rPr>
          <w:rFonts w:cstheme="minorHAnsi"/>
          <w:b/>
          <w:bCs/>
          <w:sz w:val="32"/>
          <w:szCs w:val="32"/>
        </w:rPr>
        <w:t xml:space="preserve">      </w:t>
      </w:r>
    </w:p>
    <w:sectPr w:rsidR="00717CDF" w:rsidRPr="00EB2F32" w:rsidSect="00E22637">
      <w:headerReference w:type="even" r:id="rId77"/>
      <w:headerReference w:type="default" r:id="rId78"/>
      <w:footerReference w:type="even" r:id="rId79"/>
      <w:footerReference w:type="default" r:id="rId80"/>
      <w:headerReference w:type="first" r:id="rId81"/>
      <w:footerReference w:type="first" r:id="rId8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A09CD" w14:textId="77777777" w:rsidR="00E00BF1" w:rsidRDefault="00E00BF1" w:rsidP="00A86873">
      <w:pPr>
        <w:spacing w:after="0" w:line="240" w:lineRule="auto"/>
      </w:pPr>
      <w:r>
        <w:separator/>
      </w:r>
    </w:p>
  </w:endnote>
  <w:endnote w:type="continuationSeparator" w:id="0">
    <w:p w14:paraId="378C0E1E" w14:textId="77777777" w:rsidR="00E00BF1" w:rsidRDefault="00E00BF1" w:rsidP="00A86873">
      <w:pPr>
        <w:spacing w:after="0" w:line="240" w:lineRule="auto"/>
      </w:pPr>
      <w:r>
        <w:continuationSeparator/>
      </w:r>
    </w:p>
  </w:endnote>
  <w:endnote w:type="continuationNotice" w:id="1">
    <w:p w14:paraId="75C25DA3" w14:textId="77777777" w:rsidR="00E00BF1" w:rsidRDefault="00E00B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725C" w14:textId="77777777" w:rsidR="00C81E83" w:rsidRDefault="00C81E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1D50A79" w14:paraId="052D9522" w14:textId="77777777" w:rsidTr="01D50A79">
      <w:trPr>
        <w:trHeight w:val="300"/>
      </w:trPr>
      <w:tc>
        <w:tcPr>
          <w:tcW w:w="4320" w:type="dxa"/>
        </w:tcPr>
        <w:p w14:paraId="645476E0" w14:textId="56A98143" w:rsidR="01D50A79" w:rsidRDefault="01D50A79" w:rsidP="01D50A79">
          <w:pPr>
            <w:pStyle w:val="Header"/>
            <w:ind w:left="-115"/>
          </w:pPr>
        </w:p>
      </w:tc>
      <w:tc>
        <w:tcPr>
          <w:tcW w:w="4320" w:type="dxa"/>
        </w:tcPr>
        <w:p w14:paraId="2C2B6483" w14:textId="5CAE1AC4" w:rsidR="01D50A79" w:rsidRDefault="01D50A79" w:rsidP="01D50A79">
          <w:pPr>
            <w:pStyle w:val="Header"/>
            <w:jc w:val="center"/>
          </w:pPr>
        </w:p>
      </w:tc>
      <w:tc>
        <w:tcPr>
          <w:tcW w:w="4320" w:type="dxa"/>
        </w:tcPr>
        <w:p w14:paraId="2F532D53" w14:textId="59BCA80B" w:rsidR="01D50A79" w:rsidRDefault="01D50A79" w:rsidP="01D50A79">
          <w:pPr>
            <w:pStyle w:val="Header"/>
            <w:ind w:right="-115"/>
            <w:jc w:val="right"/>
          </w:pPr>
        </w:p>
      </w:tc>
    </w:tr>
  </w:tbl>
  <w:p w14:paraId="0F19F224" w14:textId="5A40E8DB" w:rsidR="01D50A79" w:rsidRDefault="01D50A79" w:rsidP="01D50A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CB61" w14:textId="77777777" w:rsidR="00C81E83" w:rsidRDefault="00C81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93B08" w14:textId="77777777" w:rsidR="00E00BF1" w:rsidRDefault="00E00BF1" w:rsidP="00A86873">
      <w:pPr>
        <w:spacing w:after="0" w:line="240" w:lineRule="auto"/>
      </w:pPr>
      <w:r>
        <w:separator/>
      </w:r>
    </w:p>
  </w:footnote>
  <w:footnote w:type="continuationSeparator" w:id="0">
    <w:p w14:paraId="01E31AF2" w14:textId="77777777" w:rsidR="00E00BF1" w:rsidRDefault="00E00BF1" w:rsidP="00A86873">
      <w:pPr>
        <w:spacing w:after="0" w:line="240" w:lineRule="auto"/>
      </w:pPr>
      <w:r>
        <w:continuationSeparator/>
      </w:r>
    </w:p>
  </w:footnote>
  <w:footnote w:type="continuationNotice" w:id="1">
    <w:p w14:paraId="4CF9C887" w14:textId="77777777" w:rsidR="00E00BF1" w:rsidRDefault="00E00B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FFE03" w14:textId="77777777" w:rsidR="00C81E83" w:rsidRDefault="00C81E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30DF2" w14:textId="771A8AB9" w:rsidR="00CB0E94" w:rsidRPr="00A86873" w:rsidRDefault="009300DA" w:rsidP="0FF4FDC4">
    <w:pPr>
      <w:rPr>
        <w:b/>
        <w:bCs/>
        <w:sz w:val="32"/>
        <w:szCs w:val="32"/>
      </w:rPr>
    </w:pPr>
    <w:r>
      <w:rPr>
        <w:b/>
        <w:bCs/>
        <w:sz w:val="32"/>
        <w:szCs w:val="32"/>
      </w:rPr>
      <w:t>Switzerland</w:t>
    </w:r>
    <w:r w:rsidR="00E63D8E">
      <w:rPr>
        <w:b/>
        <w:bCs/>
        <w:sz w:val="32"/>
        <w:szCs w:val="32"/>
      </w:rPr>
      <w:t xml:space="preserve"> </w:t>
    </w:r>
    <w:r w:rsidR="0FF4FDC4" w:rsidRPr="0FF4FDC4">
      <w:rPr>
        <w:b/>
        <w:bCs/>
        <w:sz w:val="32"/>
        <w:szCs w:val="32"/>
      </w:rPr>
      <w:t>– Tax System Overview</w:t>
    </w:r>
  </w:p>
  <w:p w14:paraId="40EAC106" w14:textId="77777777" w:rsidR="00CB0E94" w:rsidRDefault="00CB0E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E4FA" w14:textId="77777777" w:rsidR="00C81E83" w:rsidRDefault="00C81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24EA"/>
    <w:multiLevelType w:val="hybridMultilevel"/>
    <w:tmpl w:val="AC7A7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167E"/>
    <w:multiLevelType w:val="hybridMultilevel"/>
    <w:tmpl w:val="C42C55D2"/>
    <w:lvl w:ilvl="0" w:tplc="E7F41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1334D"/>
    <w:multiLevelType w:val="hybridMultilevel"/>
    <w:tmpl w:val="8EBEA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C7CA6"/>
    <w:multiLevelType w:val="hybridMultilevel"/>
    <w:tmpl w:val="F118AEF6"/>
    <w:lvl w:ilvl="0" w:tplc="93743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7F30"/>
    <w:multiLevelType w:val="hybridMultilevel"/>
    <w:tmpl w:val="42E4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76A73"/>
    <w:multiLevelType w:val="hybridMultilevel"/>
    <w:tmpl w:val="221E28A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F36788A"/>
    <w:multiLevelType w:val="hybridMultilevel"/>
    <w:tmpl w:val="3EDA8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00FE9"/>
    <w:multiLevelType w:val="hybridMultilevel"/>
    <w:tmpl w:val="BBFA1E9C"/>
    <w:lvl w:ilvl="0" w:tplc="AB1E2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E2BAA"/>
    <w:multiLevelType w:val="hybridMultilevel"/>
    <w:tmpl w:val="33882FF8"/>
    <w:lvl w:ilvl="0" w:tplc="3AD69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11C89"/>
    <w:multiLevelType w:val="hybridMultilevel"/>
    <w:tmpl w:val="EB3AA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41E74"/>
    <w:multiLevelType w:val="hybridMultilevel"/>
    <w:tmpl w:val="EAF2FDEA"/>
    <w:lvl w:ilvl="0" w:tplc="9DBA8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D29BE"/>
    <w:multiLevelType w:val="hybridMultilevel"/>
    <w:tmpl w:val="7A8E1E0E"/>
    <w:lvl w:ilvl="0" w:tplc="54AE0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8E8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F41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481A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87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26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ED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0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0A6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A21C9"/>
    <w:multiLevelType w:val="hybridMultilevel"/>
    <w:tmpl w:val="A1CED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52FB2"/>
    <w:multiLevelType w:val="hybridMultilevel"/>
    <w:tmpl w:val="A40AC64E"/>
    <w:lvl w:ilvl="0" w:tplc="1F4894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CAB1F"/>
    <w:multiLevelType w:val="hybridMultilevel"/>
    <w:tmpl w:val="37ECAEFA"/>
    <w:lvl w:ilvl="0" w:tplc="3C12C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DC9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4A7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22C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8D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A8A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9CB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84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E2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E42B6"/>
    <w:multiLevelType w:val="hybridMultilevel"/>
    <w:tmpl w:val="01A4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512A1"/>
    <w:multiLevelType w:val="hybridMultilevel"/>
    <w:tmpl w:val="9800B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665018">
    <w:abstractNumId w:val="7"/>
  </w:num>
  <w:num w:numId="2" w16cid:durableId="981160219">
    <w:abstractNumId w:val="6"/>
  </w:num>
  <w:num w:numId="3" w16cid:durableId="1901279923">
    <w:abstractNumId w:val="8"/>
  </w:num>
  <w:num w:numId="4" w16cid:durableId="2007586773">
    <w:abstractNumId w:val="1"/>
  </w:num>
  <w:num w:numId="5" w16cid:durableId="2119829072">
    <w:abstractNumId w:val="3"/>
  </w:num>
  <w:num w:numId="6" w16cid:durableId="291323367">
    <w:abstractNumId w:val="4"/>
  </w:num>
  <w:num w:numId="7" w16cid:durableId="1836801848">
    <w:abstractNumId w:val="5"/>
  </w:num>
  <w:num w:numId="8" w16cid:durableId="2132311827">
    <w:abstractNumId w:val="12"/>
  </w:num>
  <w:num w:numId="9" w16cid:durableId="1033463099">
    <w:abstractNumId w:val="9"/>
  </w:num>
  <w:num w:numId="10" w16cid:durableId="1857310642">
    <w:abstractNumId w:val="16"/>
  </w:num>
  <w:num w:numId="11" w16cid:durableId="280261801">
    <w:abstractNumId w:val="0"/>
  </w:num>
  <w:num w:numId="12" w16cid:durableId="940181486">
    <w:abstractNumId w:val="13"/>
  </w:num>
  <w:num w:numId="13" w16cid:durableId="1399783998">
    <w:abstractNumId w:val="10"/>
  </w:num>
  <w:num w:numId="14" w16cid:durableId="834609453">
    <w:abstractNumId w:val="15"/>
  </w:num>
  <w:num w:numId="15" w16cid:durableId="1743062281">
    <w:abstractNumId w:val="14"/>
  </w:num>
  <w:num w:numId="16" w16cid:durableId="2069958213">
    <w:abstractNumId w:val="11"/>
  </w:num>
  <w:num w:numId="17" w16cid:durableId="333726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73"/>
    <w:rsid w:val="000004D0"/>
    <w:rsid w:val="00004E7E"/>
    <w:rsid w:val="0001086D"/>
    <w:rsid w:val="00010DD3"/>
    <w:rsid w:val="00013CE8"/>
    <w:rsid w:val="00013E47"/>
    <w:rsid w:val="00014B83"/>
    <w:rsid w:val="00015F64"/>
    <w:rsid w:val="00021DAA"/>
    <w:rsid w:val="0002302C"/>
    <w:rsid w:val="00023A99"/>
    <w:rsid w:val="000253D9"/>
    <w:rsid w:val="00027A69"/>
    <w:rsid w:val="00030E68"/>
    <w:rsid w:val="00032977"/>
    <w:rsid w:val="00035D03"/>
    <w:rsid w:val="000402DF"/>
    <w:rsid w:val="00047377"/>
    <w:rsid w:val="00047F0C"/>
    <w:rsid w:val="00050084"/>
    <w:rsid w:val="00056B5A"/>
    <w:rsid w:val="0005724F"/>
    <w:rsid w:val="00065DF7"/>
    <w:rsid w:val="000701EE"/>
    <w:rsid w:val="00075E53"/>
    <w:rsid w:val="000827B2"/>
    <w:rsid w:val="000835B9"/>
    <w:rsid w:val="0008674D"/>
    <w:rsid w:val="0008692F"/>
    <w:rsid w:val="00087FDD"/>
    <w:rsid w:val="00093DDE"/>
    <w:rsid w:val="00094663"/>
    <w:rsid w:val="00094C41"/>
    <w:rsid w:val="000B343C"/>
    <w:rsid w:val="000B667A"/>
    <w:rsid w:val="000B764B"/>
    <w:rsid w:val="000C33AE"/>
    <w:rsid w:val="000C69F7"/>
    <w:rsid w:val="000D11BA"/>
    <w:rsid w:val="000D6528"/>
    <w:rsid w:val="000D6EB3"/>
    <w:rsid w:val="000E0BFC"/>
    <w:rsid w:val="000E0F07"/>
    <w:rsid w:val="000E15D6"/>
    <w:rsid w:val="000E4AAE"/>
    <w:rsid w:val="000E6A66"/>
    <w:rsid w:val="000E7980"/>
    <w:rsid w:val="000F424A"/>
    <w:rsid w:val="00100127"/>
    <w:rsid w:val="00101353"/>
    <w:rsid w:val="001149FC"/>
    <w:rsid w:val="00117F6E"/>
    <w:rsid w:val="00120C82"/>
    <w:rsid w:val="00121CBF"/>
    <w:rsid w:val="00125024"/>
    <w:rsid w:val="00125059"/>
    <w:rsid w:val="00126120"/>
    <w:rsid w:val="001345E3"/>
    <w:rsid w:val="00134875"/>
    <w:rsid w:val="00135A70"/>
    <w:rsid w:val="00136CC9"/>
    <w:rsid w:val="001400D6"/>
    <w:rsid w:val="00142421"/>
    <w:rsid w:val="001446FC"/>
    <w:rsid w:val="00146BA2"/>
    <w:rsid w:val="001651A7"/>
    <w:rsid w:val="0016693E"/>
    <w:rsid w:val="0017468C"/>
    <w:rsid w:val="00177AC5"/>
    <w:rsid w:val="00182F5C"/>
    <w:rsid w:val="00183576"/>
    <w:rsid w:val="001879FD"/>
    <w:rsid w:val="00195518"/>
    <w:rsid w:val="00195C48"/>
    <w:rsid w:val="001A0375"/>
    <w:rsid w:val="001A10F9"/>
    <w:rsid w:val="001B0718"/>
    <w:rsid w:val="001B24B1"/>
    <w:rsid w:val="001B33AF"/>
    <w:rsid w:val="001B46B6"/>
    <w:rsid w:val="001B5A4A"/>
    <w:rsid w:val="001C1364"/>
    <w:rsid w:val="001C1949"/>
    <w:rsid w:val="001C3A8D"/>
    <w:rsid w:val="001C63A6"/>
    <w:rsid w:val="001C6C3A"/>
    <w:rsid w:val="001D4AD2"/>
    <w:rsid w:val="001D4EBB"/>
    <w:rsid w:val="001D65D0"/>
    <w:rsid w:val="001E26FC"/>
    <w:rsid w:val="001E6F22"/>
    <w:rsid w:val="001E7C8C"/>
    <w:rsid w:val="001F48E6"/>
    <w:rsid w:val="00201A02"/>
    <w:rsid w:val="00201EE8"/>
    <w:rsid w:val="00203F24"/>
    <w:rsid w:val="00206914"/>
    <w:rsid w:val="0020790C"/>
    <w:rsid w:val="00211150"/>
    <w:rsid w:val="002179B1"/>
    <w:rsid w:val="002203CD"/>
    <w:rsid w:val="00223978"/>
    <w:rsid w:val="00223E1A"/>
    <w:rsid w:val="00225A46"/>
    <w:rsid w:val="00227130"/>
    <w:rsid w:val="00230D35"/>
    <w:rsid w:val="002417E6"/>
    <w:rsid w:val="002436B9"/>
    <w:rsid w:val="002469C5"/>
    <w:rsid w:val="00256AE2"/>
    <w:rsid w:val="0026237A"/>
    <w:rsid w:val="002636C4"/>
    <w:rsid w:val="00265DC9"/>
    <w:rsid w:val="00270856"/>
    <w:rsid w:val="0027193C"/>
    <w:rsid w:val="00272122"/>
    <w:rsid w:val="002724F2"/>
    <w:rsid w:val="00273647"/>
    <w:rsid w:val="0028365C"/>
    <w:rsid w:val="0028401D"/>
    <w:rsid w:val="002A5C5C"/>
    <w:rsid w:val="002B4963"/>
    <w:rsid w:val="002B64A6"/>
    <w:rsid w:val="002B725F"/>
    <w:rsid w:val="002C2747"/>
    <w:rsid w:val="002C711F"/>
    <w:rsid w:val="002D0A56"/>
    <w:rsid w:val="002D4B1E"/>
    <w:rsid w:val="002D7CB7"/>
    <w:rsid w:val="002E02B3"/>
    <w:rsid w:val="002F1CDB"/>
    <w:rsid w:val="002F4C2A"/>
    <w:rsid w:val="002F6557"/>
    <w:rsid w:val="00315349"/>
    <w:rsid w:val="00317F88"/>
    <w:rsid w:val="00322478"/>
    <w:rsid w:val="003362D4"/>
    <w:rsid w:val="0034134C"/>
    <w:rsid w:val="00343DB7"/>
    <w:rsid w:val="003450A8"/>
    <w:rsid w:val="00346319"/>
    <w:rsid w:val="00347A9D"/>
    <w:rsid w:val="00347B5F"/>
    <w:rsid w:val="0035226A"/>
    <w:rsid w:val="00364A97"/>
    <w:rsid w:val="00365FF2"/>
    <w:rsid w:val="0037677F"/>
    <w:rsid w:val="00377E51"/>
    <w:rsid w:val="00381379"/>
    <w:rsid w:val="003910EE"/>
    <w:rsid w:val="0039539A"/>
    <w:rsid w:val="003953B3"/>
    <w:rsid w:val="00397A9F"/>
    <w:rsid w:val="003A0188"/>
    <w:rsid w:val="003A2AD6"/>
    <w:rsid w:val="003A403A"/>
    <w:rsid w:val="003B18BF"/>
    <w:rsid w:val="003B3E6E"/>
    <w:rsid w:val="003B7ABE"/>
    <w:rsid w:val="003D4B8F"/>
    <w:rsid w:val="003D4C69"/>
    <w:rsid w:val="003E3B6A"/>
    <w:rsid w:val="003E6A27"/>
    <w:rsid w:val="003E757B"/>
    <w:rsid w:val="003F266F"/>
    <w:rsid w:val="00403C6F"/>
    <w:rsid w:val="00405229"/>
    <w:rsid w:val="004103DD"/>
    <w:rsid w:val="004103F9"/>
    <w:rsid w:val="00415386"/>
    <w:rsid w:val="00417FB6"/>
    <w:rsid w:val="00420638"/>
    <w:rsid w:val="0042394B"/>
    <w:rsid w:val="0042593E"/>
    <w:rsid w:val="00427E54"/>
    <w:rsid w:val="00433C77"/>
    <w:rsid w:val="00433E46"/>
    <w:rsid w:val="00444806"/>
    <w:rsid w:val="00445990"/>
    <w:rsid w:val="004508E2"/>
    <w:rsid w:val="00450F4D"/>
    <w:rsid w:val="00453A84"/>
    <w:rsid w:val="00462CB4"/>
    <w:rsid w:val="0047340E"/>
    <w:rsid w:val="00474D5D"/>
    <w:rsid w:val="004752A9"/>
    <w:rsid w:val="0047600C"/>
    <w:rsid w:val="00483E37"/>
    <w:rsid w:val="004864CD"/>
    <w:rsid w:val="00495307"/>
    <w:rsid w:val="004961F9"/>
    <w:rsid w:val="00497805"/>
    <w:rsid w:val="004A39A4"/>
    <w:rsid w:val="004A4800"/>
    <w:rsid w:val="004A5519"/>
    <w:rsid w:val="004B2218"/>
    <w:rsid w:val="004B2370"/>
    <w:rsid w:val="004B3B8A"/>
    <w:rsid w:val="004B5200"/>
    <w:rsid w:val="004C229C"/>
    <w:rsid w:val="004D0116"/>
    <w:rsid w:val="004E341C"/>
    <w:rsid w:val="004F3033"/>
    <w:rsid w:val="004F43D0"/>
    <w:rsid w:val="004F7299"/>
    <w:rsid w:val="005013EC"/>
    <w:rsid w:val="005054E8"/>
    <w:rsid w:val="00505DB7"/>
    <w:rsid w:val="00506F46"/>
    <w:rsid w:val="00507C47"/>
    <w:rsid w:val="00516427"/>
    <w:rsid w:val="005205B9"/>
    <w:rsid w:val="00522216"/>
    <w:rsid w:val="00523082"/>
    <w:rsid w:val="005245F9"/>
    <w:rsid w:val="0052520F"/>
    <w:rsid w:val="00534E79"/>
    <w:rsid w:val="00540198"/>
    <w:rsid w:val="005411FC"/>
    <w:rsid w:val="00546E34"/>
    <w:rsid w:val="00560BFD"/>
    <w:rsid w:val="00562185"/>
    <w:rsid w:val="00562D57"/>
    <w:rsid w:val="005635C4"/>
    <w:rsid w:val="00565308"/>
    <w:rsid w:val="00565B69"/>
    <w:rsid w:val="00565D24"/>
    <w:rsid w:val="005721DE"/>
    <w:rsid w:val="00572D90"/>
    <w:rsid w:val="005741F4"/>
    <w:rsid w:val="00577C59"/>
    <w:rsid w:val="0058375A"/>
    <w:rsid w:val="005837C7"/>
    <w:rsid w:val="00583A52"/>
    <w:rsid w:val="00583AA1"/>
    <w:rsid w:val="00584A63"/>
    <w:rsid w:val="005850A1"/>
    <w:rsid w:val="00587FB4"/>
    <w:rsid w:val="005917DE"/>
    <w:rsid w:val="005949AB"/>
    <w:rsid w:val="005963EA"/>
    <w:rsid w:val="00597E7B"/>
    <w:rsid w:val="005B3ACD"/>
    <w:rsid w:val="005C3DCE"/>
    <w:rsid w:val="005C5B77"/>
    <w:rsid w:val="005C76FC"/>
    <w:rsid w:val="005D002A"/>
    <w:rsid w:val="005D216C"/>
    <w:rsid w:val="005D3B54"/>
    <w:rsid w:val="005D3D56"/>
    <w:rsid w:val="005E1389"/>
    <w:rsid w:val="005E6F2B"/>
    <w:rsid w:val="005F05D7"/>
    <w:rsid w:val="005F3773"/>
    <w:rsid w:val="005F4620"/>
    <w:rsid w:val="00601C96"/>
    <w:rsid w:val="00611FFF"/>
    <w:rsid w:val="0061570A"/>
    <w:rsid w:val="0062228E"/>
    <w:rsid w:val="00624D45"/>
    <w:rsid w:val="00632450"/>
    <w:rsid w:val="00635718"/>
    <w:rsid w:val="006362FA"/>
    <w:rsid w:val="0064076D"/>
    <w:rsid w:val="00641E8A"/>
    <w:rsid w:val="00643AC1"/>
    <w:rsid w:val="006440B1"/>
    <w:rsid w:val="00645E0A"/>
    <w:rsid w:val="00652E3D"/>
    <w:rsid w:val="00656488"/>
    <w:rsid w:val="00662076"/>
    <w:rsid w:val="0066269E"/>
    <w:rsid w:val="00682600"/>
    <w:rsid w:val="00682E8E"/>
    <w:rsid w:val="0068488C"/>
    <w:rsid w:val="00690391"/>
    <w:rsid w:val="00692956"/>
    <w:rsid w:val="006937F9"/>
    <w:rsid w:val="00695244"/>
    <w:rsid w:val="006952A8"/>
    <w:rsid w:val="006A15AD"/>
    <w:rsid w:val="006A1964"/>
    <w:rsid w:val="006A2F68"/>
    <w:rsid w:val="006A3CA2"/>
    <w:rsid w:val="006B127D"/>
    <w:rsid w:val="006C5833"/>
    <w:rsid w:val="006D46B0"/>
    <w:rsid w:val="006D580B"/>
    <w:rsid w:val="006D60F0"/>
    <w:rsid w:val="006D7C0A"/>
    <w:rsid w:val="006E252C"/>
    <w:rsid w:val="006E427B"/>
    <w:rsid w:val="006E7A41"/>
    <w:rsid w:val="006F1151"/>
    <w:rsid w:val="006F59DB"/>
    <w:rsid w:val="006F5F11"/>
    <w:rsid w:val="007067EA"/>
    <w:rsid w:val="00707444"/>
    <w:rsid w:val="00714746"/>
    <w:rsid w:val="0071723C"/>
    <w:rsid w:val="00717505"/>
    <w:rsid w:val="00717CDF"/>
    <w:rsid w:val="00717EBF"/>
    <w:rsid w:val="00717FB5"/>
    <w:rsid w:val="00724EC8"/>
    <w:rsid w:val="00730D9E"/>
    <w:rsid w:val="00732007"/>
    <w:rsid w:val="007446D0"/>
    <w:rsid w:val="00745D33"/>
    <w:rsid w:val="00745EAD"/>
    <w:rsid w:val="00753437"/>
    <w:rsid w:val="0076135A"/>
    <w:rsid w:val="00762D49"/>
    <w:rsid w:val="00764260"/>
    <w:rsid w:val="00770506"/>
    <w:rsid w:val="0077685E"/>
    <w:rsid w:val="007775D3"/>
    <w:rsid w:val="00783791"/>
    <w:rsid w:val="00791366"/>
    <w:rsid w:val="007932BA"/>
    <w:rsid w:val="00794430"/>
    <w:rsid w:val="0079775C"/>
    <w:rsid w:val="007B0CBB"/>
    <w:rsid w:val="007B3084"/>
    <w:rsid w:val="007B44EB"/>
    <w:rsid w:val="007B5A4A"/>
    <w:rsid w:val="007B6859"/>
    <w:rsid w:val="007C1727"/>
    <w:rsid w:val="007C218A"/>
    <w:rsid w:val="007C224A"/>
    <w:rsid w:val="007C24AC"/>
    <w:rsid w:val="007D1338"/>
    <w:rsid w:val="007D2656"/>
    <w:rsid w:val="007D2E45"/>
    <w:rsid w:val="007D48B9"/>
    <w:rsid w:val="007D68CE"/>
    <w:rsid w:val="007E0D39"/>
    <w:rsid w:val="007E11CC"/>
    <w:rsid w:val="007E1C8D"/>
    <w:rsid w:val="007E429B"/>
    <w:rsid w:val="007E646B"/>
    <w:rsid w:val="007E7A53"/>
    <w:rsid w:val="007F2476"/>
    <w:rsid w:val="007F5AA8"/>
    <w:rsid w:val="00801524"/>
    <w:rsid w:val="00805C30"/>
    <w:rsid w:val="008060C7"/>
    <w:rsid w:val="00806961"/>
    <w:rsid w:val="008137B3"/>
    <w:rsid w:val="00820D41"/>
    <w:rsid w:val="00821722"/>
    <w:rsid w:val="00822AB5"/>
    <w:rsid w:val="008237F0"/>
    <w:rsid w:val="00824951"/>
    <w:rsid w:val="008322CD"/>
    <w:rsid w:val="0083337F"/>
    <w:rsid w:val="0083647F"/>
    <w:rsid w:val="00836833"/>
    <w:rsid w:val="00840C1D"/>
    <w:rsid w:val="00841DEC"/>
    <w:rsid w:val="0084246F"/>
    <w:rsid w:val="00853B34"/>
    <w:rsid w:val="00861C38"/>
    <w:rsid w:val="00867472"/>
    <w:rsid w:val="00872F23"/>
    <w:rsid w:val="00873D8E"/>
    <w:rsid w:val="0087514B"/>
    <w:rsid w:val="008809B0"/>
    <w:rsid w:val="0088590C"/>
    <w:rsid w:val="0089287E"/>
    <w:rsid w:val="00894450"/>
    <w:rsid w:val="008A563F"/>
    <w:rsid w:val="008B4116"/>
    <w:rsid w:val="008B5ECD"/>
    <w:rsid w:val="008C19EB"/>
    <w:rsid w:val="008E249E"/>
    <w:rsid w:val="008F2F7A"/>
    <w:rsid w:val="008F46FF"/>
    <w:rsid w:val="008F4950"/>
    <w:rsid w:val="008F51EA"/>
    <w:rsid w:val="00900DA3"/>
    <w:rsid w:val="00910E8D"/>
    <w:rsid w:val="00911709"/>
    <w:rsid w:val="00912DB4"/>
    <w:rsid w:val="00914687"/>
    <w:rsid w:val="00914D09"/>
    <w:rsid w:val="00930090"/>
    <w:rsid w:val="009300DA"/>
    <w:rsid w:val="0093303A"/>
    <w:rsid w:val="00933ABF"/>
    <w:rsid w:val="00936631"/>
    <w:rsid w:val="00937329"/>
    <w:rsid w:val="009400D4"/>
    <w:rsid w:val="009418E1"/>
    <w:rsid w:val="00946C92"/>
    <w:rsid w:val="009511BD"/>
    <w:rsid w:val="009532B3"/>
    <w:rsid w:val="00953F6A"/>
    <w:rsid w:val="009626D1"/>
    <w:rsid w:val="00963032"/>
    <w:rsid w:val="0096354C"/>
    <w:rsid w:val="009659BF"/>
    <w:rsid w:val="00975A6B"/>
    <w:rsid w:val="0097745A"/>
    <w:rsid w:val="00977633"/>
    <w:rsid w:val="00984CDA"/>
    <w:rsid w:val="009851A8"/>
    <w:rsid w:val="00992B4C"/>
    <w:rsid w:val="00993F64"/>
    <w:rsid w:val="00995B7F"/>
    <w:rsid w:val="00996DF0"/>
    <w:rsid w:val="00997151"/>
    <w:rsid w:val="009A0131"/>
    <w:rsid w:val="009A365B"/>
    <w:rsid w:val="009A577A"/>
    <w:rsid w:val="009B7313"/>
    <w:rsid w:val="009C2B11"/>
    <w:rsid w:val="009C60A5"/>
    <w:rsid w:val="009D42D5"/>
    <w:rsid w:val="009D4C9E"/>
    <w:rsid w:val="009D7E59"/>
    <w:rsid w:val="009E52F4"/>
    <w:rsid w:val="009E6C7D"/>
    <w:rsid w:val="009F45D4"/>
    <w:rsid w:val="009F4E18"/>
    <w:rsid w:val="009F59F0"/>
    <w:rsid w:val="00A01CCC"/>
    <w:rsid w:val="00A0386C"/>
    <w:rsid w:val="00A04BAF"/>
    <w:rsid w:val="00A11C25"/>
    <w:rsid w:val="00A20883"/>
    <w:rsid w:val="00A21133"/>
    <w:rsid w:val="00A2345B"/>
    <w:rsid w:val="00A2514B"/>
    <w:rsid w:val="00A26184"/>
    <w:rsid w:val="00A328E1"/>
    <w:rsid w:val="00A35324"/>
    <w:rsid w:val="00A400A5"/>
    <w:rsid w:val="00A50AD6"/>
    <w:rsid w:val="00A54421"/>
    <w:rsid w:val="00A6225B"/>
    <w:rsid w:val="00A62DFC"/>
    <w:rsid w:val="00A63B31"/>
    <w:rsid w:val="00A64107"/>
    <w:rsid w:val="00A653C1"/>
    <w:rsid w:val="00A81D76"/>
    <w:rsid w:val="00A8296D"/>
    <w:rsid w:val="00A845EE"/>
    <w:rsid w:val="00A8582E"/>
    <w:rsid w:val="00A86328"/>
    <w:rsid w:val="00A86873"/>
    <w:rsid w:val="00A8792C"/>
    <w:rsid w:val="00A87F3F"/>
    <w:rsid w:val="00A91FC6"/>
    <w:rsid w:val="00AA0A95"/>
    <w:rsid w:val="00AA5466"/>
    <w:rsid w:val="00AA75E5"/>
    <w:rsid w:val="00AA78BD"/>
    <w:rsid w:val="00AB2A27"/>
    <w:rsid w:val="00AB4B90"/>
    <w:rsid w:val="00AB5F81"/>
    <w:rsid w:val="00AB75E5"/>
    <w:rsid w:val="00AC3536"/>
    <w:rsid w:val="00AC3BDE"/>
    <w:rsid w:val="00AD0D36"/>
    <w:rsid w:val="00AD23EB"/>
    <w:rsid w:val="00AD26AC"/>
    <w:rsid w:val="00AD46EF"/>
    <w:rsid w:val="00AE1840"/>
    <w:rsid w:val="00AE1BC6"/>
    <w:rsid w:val="00AE24C2"/>
    <w:rsid w:val="00AE5ACB"/>
    <w:rsid w:val="00AE5F79"/>
    <w:rsid w:val="00AE6B2C"/>
    <w:rsid w:val="00AF6684"/>
    <w:rsid w:val="00AF7795"/>
    <w:rsid w:val="00B05914"/>
    <w:rsid w:val="00B06E92"/>
    <w:rsid w:val="00B1211E"/>
    <w:rsid w:val="00B1319F"/>
    <w:rsid w:val="00B14A1A"/>
    <w:rsid w:val="00B167F3"/>
    <w:rsid w:val="00B24425"/>
    <w:rsid w:val="00B24BAF"/>
    <w:rsid w:val="00B258C3"/>
    <w:rsid w:val="00B36174"/>
    <w:rsid w:val="00B36B35"/>
    <w:rsid w:val="00B41FF8"/>
    <w:rsid w:val="00B44F73"/>
    <w:rsid w:val="00B50CC3"/>
    <w:rsid w:val="00B51474"/>
    <w:rsid w:val="00B5223B"/>
    <w:rsid w:val="00B56FC7"/>
    <w:rsid w:val="00B570D5"/>
    <w:rsid w:val="00B57100"/>
    <w:rsid w:val="00B702AE"/>
    <w:rsid w:val="00B726A9"/>
    <w:rsid w:val="00B81AC9"/>
    <w:rsid w:val="00B82E4C"/>
    <w:rsid w:val="00B87868"/>
    <w:rsid w:val="00B87F4E"/>
    <w:rsid w:val="00BA0038"/>
    <w:rsid w:val="00BA3077"/>
    <w:rsid w:val="00BB5B40"/>
    <w:rsid w:val="00BC27BE"/>
    <w:rsid w:val="00BC52D1"/>
    <w:rsid w:val="00BC59BB"/>
    <w:rsid w:val="00BD28C6"/>
    <w:rsid w:val="00BD5109"/>
    <w:rsid w:val="00BD6EFD"/>
    <w:rsid w:val="00BD7087"/>
    <w:rsid w:val="00BE6A34"/>
    <w:rsid w:val="00BF02BF"/>
    <w:rsid w:val="00BF5763"/>
    <w:rsid w:val="00BF7704"/>
    <w:rsid w:val="00C00274"/>
    <w:rsid w:val="00C0695C"/>
    <w:rsid w:val="00C1087C"/>
    <w:rsid w:val="00C30ABB"/>
    <w:rsid w:val="00C32BAB"/>
    <w:rsid w:val="00C32C30"/>
    <w:rsid w:val="00C44AFF"/>
    <w:rsid w:val="00C4693D"/>
    <w:rsid w:val="00C51BE9"/>
    <w:rsid w:val="00C609F2"/>
    <w:rsid w:val="00C637F0"/>
    <w:rsid w:val="00C640CB"/>
    <w:rsid w:val="00C64A5B"/>
    <w:rsid w:val="00C74238"/>
    <w:rsid w:val="00C81E83"/>
    <w:rsid w:val="00C84986"/>
    <w:rsid w:val="00C902A1"/>
    <w:rsid w:val="00C9304E"/>
    <w:rsid w:val="00C93E08"/>
    <w:rsid w:val="00C9588A"/>
    <w:rsid w:val="00C960A1"/>
    <w:rsid w:val="00C9620A"/>
    <w:rsid w:val="00C974A5"/>
    <w:rsid w:val="00CB0E94"/>
    <w:rsid w:val="00CB1A8A"/>
    <w:rsid w:val="00CB327B"/>
    <w:rsid w:val="00CB4EDE"/>
    <w:rsid w:val="00CB4F7E"/>
    <w:rsid w:val="00CC3A45"/>
    <w:rsid w:val="00CC3E85"/>
    <w:rsid w:val="00CC58DD"/>
    <w:rsid w:val="00CC776B"/>
    <w:rsid w:val="00CD4ACF"/>
    <w:rsid w:val="00CD76D9"/>
    <w:rsid w:val="00CE2065"/>
    <w:rsid w:val="00CE4BAB"/>
    <w:rsid w:val="00CE7438"/>
    <w:rsid w:val="00CF7597"/>
    <w:rsid w:val="00D0504A"/>
    <w:rsid w:val="00D1020A"/>
    <w:rsid w:val="00D160E3"/>
    <w:rsid w:val="00D17C75"/>
    <w:rsid w:val="00D2075B"/>
    <w:rsid w:val="00D208CA"/>
    <w:rsid w:val="00D3056C"/>
    <w:rsid w:val="00D31D06"/>
    <w:rsid w:val="00D327F9"/>
    <w:rsid w:val="00D331BE"/>
    <w:rsid w:val="00D34227"/>
    <w:rsid w:val="00D35B02"/>
    <w:rsid w:val="00D36626"/>
    <w:rsid w:val="00D369AB"/>
    <w:rsid w:val="00D42D4E"/>
    <w:rsid w:val="00D52268"/>
    <w:rsid w:val="00D5353A"/>
    <w:rsid w:val="00D5448D"/>
    <w:rsid w:val="00D550C1"/>
    <w:rsid w:val="00D61FCE"/>
    <w:rsid w:val="00D83435"/>
    <w:rsid w:val="00D86061"/>
    <w:rsid w:val="00D87713"/>
    <w:rsid w:val="00D87C60"/>
    <w:rsid w:val="00D87F1A"/>
    <w:rsid w:val="00D9098C"/>
    <w:rsid w:val="00D97F2E"/>
    <w:rsid w:val="00DA4061"/>
    <w:rsid w:val="00DA467D"/>
    <w:rsid w:val="00DA5F7B"/>
    <w:rsid w:val="00DA6C22"/>
    <w:rsid w:val="00DB29E1"/>
    <w:rsid w:val="00DB3A54"/>
    <w:rsid w:val="00DC25AF"/>
    <w:rsid w:val="00DC3B9E"/>
    <w:rsid w:val="00DC4E40"/>
    <w:rsid w:val="00DC514B"/>
    <w:rsid w:val="00DD05D6"/>
    <w:rsid w:val="00DD3AC2"/>
    <w:rsid w:val="00DE1A64"/>
    <w:rsid w:val="00DE2E3C"/>
    <w:rsid w:val="00DF3142"/>
    <w:rsid w:val="00DF3EE7"/>
    <w:rsid w:val="00DF47D2"/>
    <w:rsid w:val="00E00BF1"/>
    <w:rsid w:val="00E0488F"/>
    <w:rsid w:val="00E13542"/>
    <w:rsid w:val="00E17156"/>
    <w:rsid w:val="00E22637"/>
    <w:rsid w:val="00E25C17"/>
    <w:rsid w:val="00E27641"/>
    <w:rsid w:val="00E277D0"/>
    <w:rsid w:val="00E3093C"/>
    <w:rsid w:val="00E326D3"/>
    <w:rsid w:val="00E330EB"/>
    <w:rsid w:val="00E33989"/>
    <w:rsid w:val="00E44B81"/>
    <w:rsid w:val="00E4762D"/>
    <w:rsid w:val="00E50135"/>
    <w:rsid w:val="00E62A4D"/>
    <w:rsid w:val="00E62E48"/>
    <w:rsid w:val="00E63D8E"/>
    <w:rsid w:val="00E674F5"/>
    <w:rsid w:val="00E70D74"/>
    <w:rsid w:val="00E718F0"/>
    <w:rsid w:val="00E73A11"/>
    <w:rsid w:val="00E74B6F"/>
    <w:rsid w:val="00E753DB"/>
    <w:rsid w:val="00E82054"/>
    <w:rsid w:val="00E83B05"/>
    <w:rsid w:val="00E96E0C"/>
    <w:rsid w:val="00E97368"/>
    <w:rsid w:val="00EA126C"/>
    <w:rsid w:val="00EA7E94"/>
    <w:rsid w:val="00EA7FA8"/>
    <w:rsid w:val="00EB2F32"/>
    <w:rsid w:val="00EB3F4B"/>
    <w:rsid w:val="00EB5B76"/>
    <w:rsid w:val="00EC57E5"/>
    <w:rsid w:val="00ED208B"/>
    <w:rsid w:val="00EE1F6A"/>
    <w:rsid w:val="00EE4FD9"/>
    <w:rsid w:val="00EF3361"/>
    <w:rsid w:val="00F00CEE"/>
    <w:rsid w:val="00F10CD9"/>
    <w:rsid w:val="00F13579"/>
    <w:rsid w:val="00F13D93"/>
    <w:rsid w:val="00F2055F"/>
    <w:rsid w:val="00F2087F"/>
    <w:rsid w:val="00F36F22"/>
    <w:rsid w:val="00F375AC"/>
    <w:rsid w:val="00F448CF"/>
    <w:rsid w:val="00F472D5"/>
    <w:rsid w:val="00F52894"/>
    <w:rsid w:val="00F53F0F"/>
    <w:rsid w:val="00F552A3"/>
    <w:rsid w:val="00F5677C"/>
    <w:rsid w:val="00F56E58"/>
    <w:rsid w:val="00F57757"/>
    <w:rsid w:val="00F5797B"/>
    <w:rsid w:val="00F839B0"/>
    <w:rsid w:val="00F85E49"/>
    <w:rsid w:val="00F904FA"/>
    <w:rsid w:val="00F95FA1"/>
    <w:rsid w:val="00F96201"/>
    <w:rsid w:val="00FA19BF"/>
    <w:rsid w:val="00FA37DD"/>
    <w:rsid w:val="00FA6D87"/>
    <w:rsid w:val="00FB02D5"/>
    <w:rsid w:val="00FB688A"/>
    <w:rsid w:val="00FC6ECC"/>
    <w:rsid w:val="00FD32FA"/>
    <w:rsid w:val="00FD4EFC"/>
    <w:rsid w:val="00FE3356"/>
    <w:rsid w:val="00FE7A2B"/>
    <w:rsid w:val="00FF0BD5"/>
    <w:rsid w:val="00FF494F"/>
    <w:rsid w:val="00FF76D8"/>
    <w:rsid w:val="01D50A79"/>
    <w:rsid w:val="0210C95E"/>
    <w:rsid w:val="02804E74"/>
    <w:rsid w:val="035E9B84"/>
    <w:rsid w:val="03FF817F"/>
    <w:rsid w:val="044599C5"/>
    <w:rsid w:val="048CE95B"/>
    <w:rsid w:val="065F61AC"/>
    <w:rsid w:val="084583AC"/>
    <w:rsid w:val="0AAE08B2"/>
    <w:rsid w:val="0B3A3A47"/>
    <w:rsid w:val="0CB28C92"/>
    <w:rsid w:val="0EC7F990"/>
    <w:rsid w:val="0FF4FDC4"/>
    <w:rsid w:val="1023A674"/>
    <w:rsid w:val="10439E7A"/>
    <w:rsid w:val="12763596"/>
    <w:rsid w:val="12FC272D"/>
    <w:rsid w:val="1312F922"/>
    <w:rsid w:val="1356BFC5"/>
    <w:rsid w:val="13A52028"/>
    <w:rsid w:val="1537002D"/>
    <w:rsid w:val="175D930F"/>
    <w:rsid w:val="177AEA2B"/>
    <w:rsid w:val="188A151E"/>
    <w:rsid w:val="19A4B90B"/>
    <w:rsid w:val="1A4A4CE8"/>
    <w:rsid w:val="1A55E96C"/>
    <w:rsid w:val="1A8B31A5"/>
    <w:rsid w:val="1BF1B9CD"/>
    <w:rsid w:val="1CD80395"/>
    <w:rsid w:val="1D1486D3"/>
    <w:rsid w:val="1DF20D06"/>
    <w:rsid w:val="1E846146"/>
    <w:rsid w:val="1FDBCE12"/>
    <w:rsid w:val="20878364"/>
    <w:rsid w:val="21A52678"/>
    <w:rsid w:val="21BEC905"/>
    <w:rsid w:val="239A030E"/>
    <w:rsid w:val="240BFC3D"/>
    <w:rsid w:val="246BFD9C"/>
    <w:rsid w:val="24EAF7AA"/>
    <w:rsid w:val="250096E8"/>
    <w:rsid w:val="251D7D9D"/>
    <w:rsid w:val="252176EA"/>
    <w:rsid w:val="274C57F0"/>
    <w:rsid w:val="2878C420"/>
    <w:rsid w:val="29A431A3"/>
    <w:rsid w:val="29CC012C"/>
    <w:rsid w:val="2B46C2CA"/>
    <w:rsid w:val="2CBFF3F9"/>
    <w:rsid w:val="2D1FAB71"/>
    <w:rsid w:val="2F71D510"/>
    <w:rsid w:val="2FAC4150"/>
    <w:rsid w:val="2FB78CE2"/>
    <w:rsid w:val="30805021"/>
    <w:rsid w:val="308C7DF0"/>
    <w:rsid w:val="333397A7"/>
    <w:rsid w:val="34BD8625"/>
    <w:rsid w:val="36895A73"/>
    <w:rsid w:val="36A73052"/>
    <w:rsid w:val="36ABE923"/>
    <w:rsid w:val="379B03AA"/>
    <w:rsid w:val="3882648F"/>
    <w:rsid w:val="38A61E1B"/>
    <w:rsid w:val="39A8203D"/>
    <w:rsid w:val="3A4AED06"/>
    <w:rsid w:val="3B2AC474"/>
    <w:rsid w:val="3B957A32"/>
    <w:rsid w:val="3B97C990"/>
    <w:rsid w:val="3BAFF4AF"/>
    <w:rsid w:val="3C05C008"/>
    <w:rsid w:val="3CCCBAB1"/>
    <w:rsid w:val="3CF23CF9"/>
    <w:rsid w:val="3D0FD0BB"/>
    <w:rsid w:val="3D491AF6"/>
    <w:rsid w:val="3E4B400E"/>
    <w:rsid w:val="3EA2E9A9"/>
    <w:rsid w:val="3EF8EF30"/>
    <w:rsid w:val="3F039E42"/>
    <w:rsid w:val="3F096C11"/>
    <w:rsid w:val="3F619FE4"/>
    <w:rsid w:val="3FB47BF4"/>
    <w:rsid w:val="3FD940AA"/>
    <w:rsid w:val="4025ADE1"/>
    <w:rsid w:val="402FF8D5"/>
    <w:rsid w:val="424E6BD8"/>
    <w:rsid w:val="42B1279B"/>
    <w:rsid w:val="42E4D256"/>
    <w:rsid w:val="43B337F6"/>
    <w:rsid w:val="442D3018"/>
    <w:rsid w:val="444079DB"/>
    <w:rsid w:val="445EDEF8"/>
    <w:rsid w:val="45B653C4"/>
    <w:rsid w:val="461FA9DD"/>
    <w:rsid w:val="482ED3CF"/>
    <w:rsid w:val="48324989"/>
    <w:rsid w:val="48F4D4C3"/>
    <w:rsid w:val="49EE47AC"/>
    <w:rsid w:val="4A52BDC4"/>
    <w:rsid w:val="4A951F07"/>
    <w:rsid w:val="4BFA3C9B"/>
    <w:rsid w:val="4CD75976"/>
    <w:rsid w:val="4D20A112"/>
    <w:rsid w:val="4E014DCC"/>
    <w:rsid w:val="4ED395B2"/>
    <w:rsid w:val="4EFC2BA1"/>
    <w:rsid w:val="4F7FFCDC"/>
    <w:rsid w:val="505D5DE6"/>
    <w:rsid w:val="52030694"/>
    <w:rsid w:val="525ADC75"/>
    <w:rsid w:val="52C92B61"/>
    <w:rsid w:val="533B80C4"/>
    <w:rsid w:val="537D96A6"/>
    <w:rsid w:val="54DE97C9"/>
    <w:rsid w:val="54E9C868"/>
    <w:rsid w:val="56405359"/>
    <w:rsid w:val="581C9D8B"/>
    <w:rsid w:val="582C8DC7"/>
    <w:rsid w:val="587124F0"/>
    <w:rsid w:val="58BE528F"/>
    <w:rsid w:val="598C030A"/>
    <w:rsid w:val="5A7A1996"/>
    <w:rsid w:val="5AFC16C1"/>
    <w:rsid w:val="5B24C536"/>
    <w:rsid w:val="5B48972D"/>
    <w:rsid w:val="5BDC5B2B"/>
    <w:rsid w:val="5DDC8705"/>
    <w:rsid w:val="5DEC9199"/>
    <w:rsid w:val="5ED1BA53"/>
    <w:rsid w:val="5F2A426A"/>
    <w:rsid w:val="5F8AFEB7"/>
    <w:rsid w:val="6232C7F6"/>
    <w:rsid w:val="62950A7F"/>
    <w:rsid w:val="637C57F8"/>
    <w:rsid w:val="6385E92D"/>
    <w:rsid w:val="63A1CC75"/>
    <w:rsid w:val="641D2BFE"/>
    <w:rsid w:val="67C9CBB9"/>
    <w:rsid w:val="684E6F36"/>
    <w:rsid w:val="68ACFB8C"/>
    <w:rsid w:val="691F5673"/>
    <w:rsid w:val="6944D9D9"/>
    <w:rsid w:val="69807A37"/>
    <w:rsid w:val="69B97BBD"/>
    <w:rsid w:val="6A60C62E"/>
    <w:rsid w:val="6ACCC652"/>
    <w:rsid w:val="6B4A7187"/>
    <w:rsid w:val="6CA94010"/>
    <w:rsid w:val="6CEAE611"/>
    <w:rsid w:val="6DB846F0"/>
    <w:rsid w:val="6E2E2C55"/>
    <w:rsid w:val="6E4A9773"/>
    <w:rsid w:val="6E8CC15B"/>
    <w:rsid w:val="6EE82E62"/>
    <w:rsid w:val="6F3046D5"/>
    <w:rsid w:val="6F6263C3"/>
    <w:rsid w:val="6F7E266E"/>
    <w:rsid w:val="71CB310B"/>
    <w:rsid w:val="7251245A"/>
    <w:rsid w:val="733C5B0F"/>
    <w:rsid w:val="733DC60C"/>
    <w:rsid w:val="74059F70"/>
    <w:rsid w:val="74720E86"/>
    <w:rsid w:val="74C840F7"/>
    <w:rsid w:val="75308BC6"/>
    <w:rsid w:val="78B9D2D9"/>
    <w:rsid w:val="793B16AD"/>
    <w:rsid w:val="7957BB18"/>
    <w:rsid w:val="7B939D4B"/>
    <w:rsid w:val="7D6DBC90"/>
    <w:rsid w:val="7EAED1DC"/>
    <w:rsid w:val="7FDC6AED"/>
    <w:rsid w:val="7FFD8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8876B"/>
  <w15:chartTrackingRefBased/>
  <w15:docId w15:val="{E74CB5A8-7FF1-469C-A8BA-027E57B1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687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6873"/>
    <w:pPr>
      <w:spacing w:line="256" w:lineRule="auto"/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A8687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6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873"/>
  </w:style>
  <w:style w:type="character" w:customStyle="1" w:styleId="titletext">
    <w:name w:val="title_text"/>
    <w:basedOn w:val="DefaultParagraphFont"/>
    <w:rsid w:val="00A86873"/>
  </w:style>
  <w:style w:type="paragraph" w:styleId="Footer">
    <w:name w:val="footer"/>
    <w:basedOn w:val="Normal"/>
    <w:link w:val="FooterChar"/>
    <w:uiPriority w:val="99"/>
    <w:unhideWhenUsed/>
    <w:rsid w:val="00A86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873"/>
  </w:style>
  <w:style w:type="character" w:styleId="FollowedHyperlink">
    <w:name w:val="FollowedHyperlink"/>
    <w:basedOn w:val="DefaultParagraphFont"/>
    <w:uiPriority w:val="99"/>
    <w:semiHidden/>
    <w:unhideWhenUsed/>
    <w:rsid w:val="002436B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5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5E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5E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EC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56B5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uiPriority w:val="1"/>
    <w:rsid w:val="00121CBF"/>
  </w:style>
  <w:style w:type="paragraph" w:styleId="BalloonText">
    <w:name w:val="Balloon Text"/>
    <w:basedOn w:val="Normal"/>
    <w:link w:val="BalloonTextChar"/>
    <w:uiPriority w:val="99"/>
    <w:semiHidden/>
    <w:unhideWhenUsed/>
    <w:rsid w:val="009F4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E1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A467D"/>
    <w:pPr>
      <w:spacing w:after="0" w:line="240" w:lineRule="auto"/>
    </w:pPr>
  </w:style>
  <w:style w:type="paragraph" w:customStyle="1" w:styleId="paragraph">
    <w:name w:val="paragraph"/>
    <w:basedOn w:val="Normal"/>
    <w:rsid w:val="0018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bloomberglaw.com/product/tax/document/27884844072" TargetMode="External"/><Relationship Id="rId21" Type="http://schemas.openxmlformats.org/officeDocument/2006/relationships/hyperlink" Target="https://www.bloomberglaw.com/product/tax/document/27884820520" TargetMode="External"/><Relationship Id="rId42" Type="http://schemas.openxmlformats.org/officeDocument/2006/relationships/hyperlink" Target="https://www.bloomberglaw.com/product/tax/document/XPV10VH8" TargetMode="External"/><Relationship Id="rId47" Type="http://schemas.openxmlformats.org/officeDocument/2006/relationships/hyperlink" Target="https://go.bloombergtax.com/product/tax/document/spa/27884842024" TargetMode="External"/><Relationship Id="rId63" Type="http://schemas.openxmlformats.org/officeDocument/2006/relationships/hyperlink" Target="https://www.bloomberglaw.com/product/tax/document/XPV11QH8" TargetMode="External"/><Relationship Id="rId68" Type="http://schemas.openxmlformats.org/officeDocument/2006/relationships/hyperlink" Target="https://www.bloomberglaw.com/product/tax/document/XTKI6VH8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www.bloomberglaw.com/product/tax/document/27884830760" TargetMode="External"/><Relationship Id="rId11" Type="http://schemas.openxmlformats.org/officeDocument/2006/relationships/hyperlink" Target="https://www.estv.admin.ch/estv/en/home.html" TargetMode="External"/><Relationship Id="rId32" Type="http://schemas.openxmlformats.org/officeDocument/2006/relationships/hyperlink" Target="https://www.bloomberglaw.com/product/tax/document/XPV113H8" TargetMode="External"/><Relationship Id="rId37" Type="http://schemas.openxmlformats.org/officeDocument/2006/relationships/hyperlink" Target="https://go.bloombergtax.com/product/tax/document/spa/XPV113H8" TargetMode="External"/><Relationship Id="rId53" Type="http://schemas.openxmlformats.org/officeDocument/2006/relationships/hyperlink" Target="https://www.bloomberglaw.com/product/tax/document/XPV11618" TargetMode="External"/><Relationship Id="rId58" Type="http://schemas.openxmlformats.org/officeDocument/2006/relationships/hyperlink" Target="https://www.bloomberglaw.com/product/tax/document/27884834344" TargetMode="External"/><Relationship Id="rId74" Type="http://schemas.openxmlformats.org/officeDocument/2006/relationships/hyperlink" Target="https://www.bloomberglaw.com/product/tax/document/XPV11LH8" TargetMode="External"/><Relationship Id="rId79" Type="http://schemas.openxmlformats.org/officeDocument/2006/relationships/footer" Target="footer1.xml"/><Relationship Id="rId5" Type="http://schemas.openxmlformats.org/officeDocument/2006/relationships/numbering" Target="numbering.xml"/><Relationship Id="rId61" Type="http://schemas.openxmlformats.org/officeDocument/2006/relationships/hyperlink" Target="https://www.bloomberglaw.com/product/tax/document/27884830248" TargetMode="External"/><Relationship Id="rId82" Type="http://schemas.openxmlformats.org/officeDocument/2006/relationships/footer" Target="footer3.xml"/><Relationship Id="rId19" Type="http://schemas.openxmlformats.org/officeDocument/2006/relationships/hyperlink" Target="https://www.bloomberglaw.com/product/tax/document/27884844584" TargetMode="External"/><Relationship Id="rId14" Type="http://schemas.openxmlformats.org/officeDocument/2006/relationships/hyperlink" Target="https://www.bloomberglaw.com/product/tax/document/XPV11OH8" TargetMode="External"/><Relationship Id="rId22" Type="http://schemas.openxmlformats.org/officeDocument/2006/relationships/hyperlink" Target="https://www.bloomberglaw.com/product/tax/document/XPV11518" TargetMode="External"/><Relationship Id="rId27" Type="http://schemas.openxmlformats.org/officeDocument/2006/relationships/hyperlink" Target="https://www.bloomberglaw.com/product/tax/document/XPV11618" TargetMode="External"/><Relationship Id="rId30" Type="http://schemas.openxmlformats.org/officeDocument/2006/relationships/hyperlink" Target="https://www.bloomberglaw.com/product/tax/document/XPV11618" TargetMode="External"/><Relationship Id="rId35" Type="http://schemas.openxmlformats.org/officeDocument/2006/relationships/hyperlink" Target="https://go.bloombergtax.com/product/tax/document/spa/27884821544" TargetMode="External"/><Relationship Id="rId43" Type="http://schemas.openxmlformats.org/officeDocument/2006/relationships/hyperlink" Target="https://www.bloomberglaw.com/product/tax/document/XPV11218" TargetMode="External"/><Relationship Id="rId48" Type="http://schemas.openxmlformats.org/officeDocument/2006/relationships/hyperlink" Target="https://go.bloombergtax.com/product/tax/document/spa/XPV113H8" TargetMode="External"/><Relationship Id="rId56" Type="http://schemas.openxmlformats.org/officeDocument/2006/relationships/hyperlink" Target="https://www.bloomberglaw.com/product/tax/document/27884834856" TargetMode="External"/><Relationship Id="rId64" Type="http://schemas.openxmlformats.org/officeDocument/2006/relationships/hyperlink" Target="https://www.bloomberglaw.com/product/tax/document/27884841000" TargetMode="External"/><Relationship Id="rId69" Type="http://schemas.openxmlformats.org/officeDocument/2006/relationships/hyperlink" Target="https://www.bloomberglaw.com/product/tax/document/25564522024" TargetMode="External"/><Relationship Id="rId77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hyperlink" Target="https://www.bloomberglaw.com/product/tax/document/XPV11618" TargetMode="External"/><Relationship Id="rId72" Type="http://schemas.openxmlformats.org/officeDocument/2006/relationships/hyperlink" Target="https://www.bloomberglaw.com/product/tax/document/27884824104" TargetMode="External"/><Relationship Id="rId80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hyperlink" Target="https://www.bloomberglaw.com/product/tax/document/27884836392" TargetMode="External"/><Relationship Id="rId17" Type="http://schemas.openxmlformats.org/officeDocument/2006/relationships/hyperlink" Target="https://www.bloomberglaw.com/product/tax/document/27884818984" TargetMode="External"/><Relationship Id="rId25" Type="http://schemas.openxmlformats.org/officeDocument/2006/relationships/hyperlink" Target="https://www.bloomberglaw.com/product/tax/document/27884844584" TargetMode="External"/><Relationship Id="rId33" Type="http://schemas.openxmlformats.org/officeDocument/2006/relationships/hyperlink" Target="https://www.bloomberglaw.com/product/tax/document/XPV113H8" TargetMode="External"/><Relationship Id="rId38" Type="http://schemas.openxmlformats.org/officeDocument/2006/relationships/hyperlink" Target="https://go.bloombergtax.com/product/tax/document/spa/XPV11L18" TargetMode="External"/><Relationship Id="rId46" Type="http://schemas.openxmlformats.org/officeDocument/2006/relationships/hyperlink" Target="https://www.bloomberglaw.com/product/tax/document/27884813864" TargetMode="External"/><Relationship Id="rId59" Type="http://schemas.openxmlformats.org/officeDocument/2006/relationships/hyperlink" Target="https://www.bloomberglaw.com/product/tax/document/XPV11518" TargetMode="External"/><Relationship Id="rId67" Type="http://schemas.openxmlformats.org/officeDocument/2006/relationships/hyperlink" Target="https://www.bloomberglaw.com/product/tax/document/27884846120" TargetMode="External"/><Relationship Id="rId20" Type="http://schemas.openxmlformats.org/officeDocument/2006/relationships/hyperlink" Target="https://www.bloomberglaw.com/product/tax/document/27884819496" TargetMode="External"/><Relationship Id="rId41" Type="http://schemas.openxmlformats.org/officeDocument/2006/relationships/hyperlink" Target="https://www.bloomberglaw.com/product/tax/document/XPV10VH8" TargetMode="External"/><Relationship Id="rId54" Type="http://schemas.openxmlformats.org/officeDocument/2006/relationships/hyperlink" Target="https://www.bloomberglaw.com/product/tax/document/XTKI6RH8" TargetMode="External"/><Relationship Id="rId62" Type="http://schemas.openxmlformats.org/officeDocument/2006/relationships/hyperlink" Target="https://www.bloomberglaw.com/product/tax/document/XPV11OH8" TargetMode="External"/><Relationship Id="rId70" Type="http://schemas.openxmlformats.org/officeDocument/2006/relationships/hyperlink" Target="https://www.bloomberglaw.com/product/tax/document/27884818472" TargetMode="External"/><Relationship Id="rId75" Type="http://schemas.openxmlformats.org/officeDocument/2006/relationships/hyperlink" Target="https://www.bloomberglaw.com/product/tax/document/XPV11LH8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bloomberglaw.com/product/tax/document/27884845096" TargetMode="External"/><Relationship Id="rId23" Type="http://schemas.openxmlformats.org/officeDocument/2006/relationships/hyperlink" Target="https://www.bloomberglaw.com/product/tax/search/results/829ef8df02520c766a193fe4fc222f64?bc=W1siU2VhcmNoIFJlc3VsdHMiLCIvcHJvZHVjdC90YXgvc2VhcmNoL3Jlc3VsdHMvZjM0YTczNDc3ODljZmIxMTc1OTJhZWViYzI5YTY1MGM_Y3VyYXRlZD10cnVlIl1d--5485816f816b979eb4572e25f204009f7401cfca" TargetMode="External"/><Relationship Id="rId28" Type="http://schemas.openxmlformats.org/officeDocument/2006/relationships/hyperlink" Target="https://www.bloomberglaw.com/product/tax/document/27884844584" TargetMode="External"/><Relationship Id="rId36" Type="http://schemas.openxmlformats.org/officeDocument/2006/relationships/hyperlink" Target="https://go.bloombergtax.com/product/tax/document/spa/27884821544" TargetMode="External"/><Relationship Id="rId49" Type="http://schemas.openxmlformats.org/officeDocument/2006/relationships/hyperlink" Target="https://www.bloomberglaw.com/product/tax/document/27884820008" TargetMode="External"/><Relationship Id="rId57" Type="http://schemas.openxmlformats.org/officeDocument/2006/relationships/hyperlink" Target="https://www.bloomberglaw.com/product/tax/document/27884835368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bloomberglaw.com/product/tax/bbna/chart/3/10092" TargetMode="External"/><Relationship Id="rId44" Type="http://schemas.openxmlformats.org/officeDocument/2006/relationships/hyperlink" Target="https://www.bloomberglaw.com/product/tax/document/XPV11B18" TargetMode="External"/><Relationship Id="rId52" Type="http://schemas.openxmlformats.org/officeDocument/2006/relationships/hyperlink" Target="https://www.bloomberglaw.com/product/tax/document/27903247912" TargetMode="External"/><Relationship Id="rId60" Type="http://schemas.openxmlformats.org/officeDocument/2006/relationships/hyperlink" Target="https://www.bloomberglaw.com/product/tax/document/XPV11OH8" TargetMode="External"/><Relationship Id="rId65" Type="http://schemas.openxmlformats.org/officeDocument/2006/relationships/hyperlink" Target="https://www.bloomberglaw.com/product/tax/document/27884832296" TargetMode="External"/><Relationship Id="rId73" Type="http://schemas.openxmlformats.org/officeDocument/2006/relationships/hyperlink" Target="https://www.bloomberglaw.com/product/tax/document/27884823592" TargetMode="External"/><Relationship Id="rId78" Type="http://schemas.openxmlformats.org/officeDocument/2006/relationships/header" Target="header2.xml"/><Relationship Id="rId8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bloomberglaw.com/product/tax/document/27884834856" TargetMode="External"/><Relationship Id="rId18" Type="http://schemas.openxmlformats.org/officeDocument/2006/relationships/hyperlink" Target="https://www.bloomberglaw.com/product/tax/document/27884839976" TargetMode="External"/><Relationship Id="rId39" Type="http://schemas.openxmlformats.org/officeDocument/2006/relationships/hyperlink" Target="https://go.bloombergtax.com/product/tax/document/spa/27884821032" TargetMode="External"/><Relationship Id="rId34" Type="http://schemas.openxmlformats.org/officeDocument/2006/relationships/hyperlink" Target="https://www.bloomberglaw.com/product/tax/document/XPV11218" TargetMode="External"/><Relationship Id="rId50" Type="http://schemas.openxmlformats.org/officeDocument/2006/relationships/hyperlink" Target="https://www.bloomberglaw.com/product/tax/document/XPV11618" TargetMode="External"/><Relationship Id="rId55" Type="http://schemas.openxmlformats.org/officeDocument/2006/relationships/hyperlink" Target="https://www.bloomberglaw.com/product/tax/document/27884833832" TargetMode="External"/><Relationship Id="rId76" Type="http://schemas.openxmlformats.org/officeDocument/2006/relationships/hyperlink" Target="https://www.bloomberglaw.com/product/tax/document/XPV11L18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bloomberglaw.com/product/tax/document/27884824616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bloomberglaw.com/product/tax/document/XPV11618" TargetMode="External"/><Relationship Id="rId24" Type="http://schemas.openxmlformats.org/officeDocument/2006/relationships/hyperlink" Target="https://www.bloomberglaw.com/product/tax/document/27884817448" TargetMode="External"/><Relationship Id="rId40" Type="http://schemas.openxmlformats.org/officeDocument/2006/relationships/hyperlink" Target="https://www.bloomberglaw.com/product/tax/document/XPV11EH8" TargetMode="External"/><Relationship Id="rId45" Type="http://schemas.openxmlformats.org/officeDocument/2006/relationships/hyperlink" Target="https://www.bloomberglaw.com/product/tax/document/27884812840" TargetMode="External"/><Relationship Id="rId66" Type="http://schemas.openxmlformats.org/officeDocument/2006/relationships/hyperlink" Target="https://www.bloomberglaw.com/product/tax/document/27884832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roperties xmlns="http://www.imanage.com/work/xmlschema">
  <documentid>MANDATES!123449640.1</documentid>
  <senderid>273</senderid>
  <senderemail>JONAS.SIGRIST@PESTALOZZILAW.COM</senderemail>
  <lastmodified>2024-08-01T00:49:00.0000000+02:00</lastmodified>
  <database>MANDATES</database>
</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1449d4f-8e51-4d4e-9219-a2af429b1568" xsi:nil="true"/>
    <lcf76f155ced4ddcb4097134ff3c332f xmlns="c7bd160f-8f9f-4a57-9297-bc564d29ee4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45C6645180C49B5F3BF356B510BE9" ma:contentTypeVersion="18" ma:contentTypeDescription="Create a new document." ma:contentTypeScope="" ma:versionID="664aeef97708797fa38c8eb7787b31ca">
  <xsd:schema xmlns:xsd="http://www.w3.org/2001/XMLSchema" xmlns:xs="http://www.w3.org/2001/XMLSchema" xmlns:p="http://schemas.microsoft.com/office/2006/metadata/properties" xmlns:ns1="http://schemas.microsoft.com/sharepoint/v3" xmlns:ns2="51449d4f-8e51-4d4e-9219-a2af429b1568" xmlns:ns3="c7bd160f-8f9f-4a57-9297-bc564d29ee4c" targetNamespace="http://schemas.microsoft.com/office/2006/metadata/properties" ma:root="true" ma:fieldsID="b588906d300f61a0ffcc0e4d3720f842" ns1:_="" ns2:_="" ns3:_="">
    <xsd:import namespace="http://schemas.microsoft.com/sharepoint/v3"/>
    <xsd:import namespace="51449d4f-8e51-4d4e-9219-a2af429b1568"/>
    <xsd:import namespace="c7bd160f-8f9f-4a57-9297-bc564d29ee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49d4f-8e51-4d4e-9219-a2af429b15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1f6d0e-4965-4b60-ae9c-964c369ac52e}" ma:internalName="TaxCatchAll" ma:showField="CatchAllData" ma:web="51449d4f-8e51-4d4e-9219-a2af429b1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d160f-8f9f-4a57-9297-bc564d29e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f3d206-2968-46ac-ad56-95a95c292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D6BE17-E04C-49C1-9F4B-1B3848C38A25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5E028EB2-DBD4-4D71-84C8-ABF41F52EA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A35C9-D13B-4EE2-8B30-06B8F09E56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1449d4f-8e51-4d4e-9219-a2af429b1568"/>
    <ds:schemaRef ds:uri="c7bd160f-8f9f-4a57-9297-bc564d29ee4c"/>
  </ds:schemaRefs>
</ds:datastoreItem>
</file>

<file path=customXml/itemProps4.xml><?xml version="1.0" encoding="utf-8"?>
<ds:datastoreItem xmlns:ds="http://schemas.openxmlformats.org/officeDocument/2006/customXml" ds:itemID="{D635678C-C65D-4647-9A6C-DA60C4716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449d4f-8e51-4d4e-9219-a2af429b1568"/>
    <ds:schemaRef ds:uri="c7bd160f-8f9f-4a57-9297-bc564d29e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2064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Allison</dc:creator>
  <cp:keywords/>
  <dc:description/>
  <cp:lastModifiedBy>Menezes, Maria</cp:lastModifiedBy>
  <cp:revision>63</cp:revision>
  <dcterms:created xsi:type="dcterms:W3CDTF">2025-10-21T13:40:00Z</dcterms:created>
  <dcterms:modified xsi:type="dcterms:W3CDTF">2025-10-22T08:06:00Z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_UniqueId">
    <vt:lpwstr>123449640_1.docx</vt:lpwstr>
  </property>
  <property fmtid="{D5CDD505-2E9C-101B-9397-08002B2CF9AE}" pid="3" name="Reference">
    <vt:lpwstr>M 123449640.1</vt:lpwstr>
  </property>
  <property fmtid="{D5CDD505-2E9C-101B-9397-08002B2CF9AE}" pid="4" name="ClientMatter">
    <vt:lpwstr>-</vt:lpwstr>
  </property>
  <property fmtid="{D5CDD505-2E9C-101B-9397-08002B2CF9AE}" pid="5" name="Sendur">
    <vt:lpwstr>MANDATES 123449640.1</vt:lpwstr>
  </property>
  <property fmtid="{D5CDD505-2E9C-101B-9397-08002B2CF9AE}" pid="6" name="MediaServiceImageTags">
    <vt:lpwstr/>
  </property>
  <property fmtid="{D5CDD505-2E9C-101B-9397-08002B2CF9AE}" pid="7" name="ContentTypeId">
    <vt:lpwstr>0x01010074045C6645180C49B5F3BF356B510BE9</vt:lpwstr>
  </property>
</Properties>
</file>