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  <w:gridCol w:w="9742"/>
      </w:tblGrid>
      <w:tr w:rsidR="006C2FF5" w14:paraId="51DC86B9" w14:textId="77777777" w:rsidTr="73722CA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4472C4"/>
            <w:hideMark/>
          </w:tcPr>
          <w:p w14:paraId="09232392" w14:textId="77777777" w:rsidR="006C2FF5" w:rsidRDefault="006C2FF5" w:rsidP="00BE2689">
            <w:pPr>
              <w:pStyle w:val="paragraph"/>
              <w:spacing w:before="120" w:beforeAutospacing="0" w:after="120" w:afterAutospacing="0"/>
              <w:textAlignment w:val="baseline"/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color w:val="FFFFFF"/>
                <w:sz w:val="28"/>
                <w:szCs w:val="28"/>
              </w:rPr>
              <w:t>Characteristics</w:t>
            </w:r>
            <w:r>
              <w:rPr>
                <w:rStyle w:val="eop"/>
                <w:rFonts w:ascii="Calibri" w:eastAsiaTheme="majorEastAsia" w:hAnsi="Calibri" w:cs="Calibri"/>
                <w:color w:val="FFFFFF"/>
                <w:sz w:val="28"/>
                <w:szCs w:val="28"/>
              </w:rPr>
              <w:t> </w:t>
            </w:r>
          </w:p>
        </w:tc>
        <w:tc>
          <w:tcPr>
            <w:tcW w:w="9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4472C4"/>
            <w:hideMark/>
          </w:tcPr>
          <w:p w14:paraId="2418435A" w14:textId="77777777" w:rsidR="006C2FF5" w:rsidRDefault="006C2FF5" w:rsidP="00BE2689">
            <w:pPr>
              <w:pStyle w:val="paragraph"/>
              <w:spacing w:before="120" w:beforeAutospacing="0" w:after="120" w:afterAutospacing="0"/>
              <w:textAlignment w:val="baseline"/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color w:val="FFFFFF"/>
                <w:sz w:val="28"/>
                <w:szCs w:val="28"/>
              </w:rPr>
              <w:t>Portfolio Content</w:t>
            </w:r>
            <w:r>
              <w:rPr>
                <w:rStyle w:val="eop"/>
                <w:rFonts w:ascii="Calibri" w:eastAsiaTheme="majorEastAsia" w:hAnsi="Calibri" w:cs="Calibri"/>
                <w:color w:val="FFFFFF"/>
                <w:sz w:val="28"/>
                <w:szCs w:val="28"/>
              </w:rPr>
              <w:t> </w:t>
            </w:r>
          </w:p>
        </w:tc>
      </w:tr>
      <w:tr w:rsidR="006C2FF5" w14:paraId="0BF3AF15" w14:textId="77777777" w:rsidTr="73722CA5">
        <w:trPr>
          <w:trHeight w:val="300"/>
        </w:trPr>
        <w:tc>
          <w:tcPr>
            <w:tcW w:w="12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hideMark/>
          </w:tcPr>
          <w:p w14:paraId="1429356F" w14:textId="77777777" w:rsidR="006C2FF5" w:rsidRDefault="006C2FF5" w:rsidP="00BE2689">
            <w:pPr>
              <w:pStyle w:val="paragraph"/>
              <w:spacing w:before="120" w:beforeAutospacing="0" w:after="120" w:afterAutospacing="0"/>
              <w:textAlignment w:val="baseline"/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color w:val="FFFFFF"/>
                <w:sz w:val="28"/>
                <w:szCs w:val="28"/>
              </w:rPr>
              <w:t>General</w:t>
            </w:r>
            <w:r>
              <w:rPr>
                <w:rStyle w:val="eop"/>
                <w:rFonts w:ascii="Calibri" w:eastAsiaTheme="majorEastAsia" w:hAnsi="Calibri" w:cs="Calibri"/>
                <w:color w:val="FFFFFF"/>
                <w:sz w:val="28"/>
                <w:szCs w:val="28"/>
              </w:rPr>
              <w:t> </w:t>
            </w:r>
          </w:p>
        </w:tc>
      </w:tr>
      <w:tr w:rsidR="006C2FF5" w14:paraId="734BD74C" w14:textId="77777777" w:rsidTr="73722CA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05E3F" w14:textId="48F9AC7A" w:rsidR="006C2FF5" w:rsidRPr="00B420E7" w:rsidRDefault="57095C8B" w:rsidP="2C5B77B6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420E7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Revenue authority</w:t>
            </w:r>
            <w:r w:rsidRPr="00B420E7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C5168" w14:textId="65DC39E7" w:rsidR="006C2FF5" w:rsidRPr="005836E5" w:rsidRDefault="05E77267" w:rsidP="2C5B77B6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hyperlink r:id="rId11">
              <w:r w:rsidRPr="0E50CB1C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Israel Tax Authorit</w:t>
              </w:r>
              <w:r w:rsidR="6CA3E5BE" w:rsidRPr="0E50CB1C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y</w:t>
              </w:r>
            </w:hyperlink>
            <w:r w:rsidR="57095C8B"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57095C8B" w:rsidRPr="00603514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(</w:t>
            </w:r>
            <w:hyperlink r:id="rId12" w:anchor="section(2)_0" w:history="1">
              <w:r w:rsidR="00603514" w:rsidRPr="00603514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Section IV.A.2</w:t>
              </w:r>
            </w:hyperlink>
            <w:r w:rsidR="00603514">
              <w:rPr>
                <w:rStyle w:val="Hyperlink"/>
                <w:rFonts w:ascii="Calibri" w:eastAsiaTheme="majorEastAsia" w:hAnsi="Calibri" w:cs="Calibri"/>
                <w:sz w:val="22"/>
                <w:szCs w:val="22"/>
              </w:rPr>
              <w:t>.</w:t>
            </w:r>
            <w:r w:rsidR="57095C8B" w:rsidRPr="00603514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  <w:r w:rsidR="57095C8B"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 </w:t>
            </w:r>
            <w:r w:rsidR="57095C8B" w:rsidRPr="0E50CB1C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</w:tr>
      <w:tr w:rsidR="006C2FF5" w14:paraId="2A12145A" w14:textId="77777777" w:rsidTr="73722CA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F7A9E" w14:textId="77777777" w:rsidR="006C2FF5" w:rsidRPr="00B420E7" w:rsidRDefault="006C2FF5" w:rsidP="2C5B77B6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420E7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Type of tax system </w:t>
            </w:r>
            <w:r w:rsidRPr="00B420E7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84501" w14:textId="680126F9" w:rsidR="00AB5CF5" w:rsidRPr="005836E5" w:rsidRDefault="005C4CA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Style w:val="normaltextrun"/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599F2C29">
              <w:rPr>
                <w:rFonts w:ascii="Calibri" w:hAnsi="Calibri" w:cs="Calibri"/>
                <w:u w:val="single"/>
              </w:rPr>
              <w:t>Residents</w:t>
            </w:r>
            <w:r w:rsidRPr="599F2C29">
              <w:rPr>
                <w:rFonts w:ascii="Calibri" w:hAnsi="Calibri" w:cs="Calibri"/>
              </w:rPr>
              <w:t xml:space="preserve">: worldwide </w:t>
            </w:r>
            <w:r w:rsidR="45150130" w:rsidRPr="599F2C29">
              <w:rPr>
                <w:rFonts w:ascii="Calibri" w:hAnsi="Calibri" w:cs="Calibri"/>
              </w:rPr>
              <w:t>income</w:t>
            </w:r>
            <w:r w:rsidR="00D33F01" w:rsidRPr="599F2C29">
              <w:rPr>
                <w:rFonts w:ascii="Calibri" w:hAnsi="Calibri" w:cs="Calibri"/>
              </w:rPr>
              <w:t xml:space="preserve"> </w:t>
            </w:r>
            <w:r w:rsidRPr="599F2C29">
              <w:rPr>
                <w:rStyle w:val="normaltextrun"/>
                <w:rFonts w:ascii="Calibri" w:eastAsiaTheme="majorEastAsia" w:hAnsi="Calibri" w:cs="Calibri"/>
              </w:rPr>
              <w:t>(</w:t>
            </w:r>
            <w:r w:rsidR="00D401D1" w:rsidRPr="599F2C29">
              <w:rPr>
                <w:rStyle w:val="normaltextrun"/>
                <w:rFonts w:ascii="Calibri" w:eastAsiaTheme="majorEastAsia" w:hAnsi="Calibri" w:cs="Calibri"/>
                <w:u w:val="single"/>
              </w:rPr>
              <w:t>Corporations</w:t>
            </w:r>
            <w:r w:rsidR="00D401D1" w:rsidRPr="599F2C29">
              <w:rPr>
                <w:rStyle w:val="normaltextrun"/>
                <w:rFonts w:ascii="Calibri" w:eastAsiaTheme="majorEastAsia" w:hAnsi="Calibri" w:cs="Calibri"/>
              </w:rPr>
              <w:t>:</w:t>
            </w:r>
            <w:r w:rsidR="00C86169" w:rsidRPr="599F2C29">
              <w:rPr>
                <w:rStyle w:val="normaltextrun"/>
                <w:rFonts w:ascii="Calibri" w:eastAsiaTheme="majorEastAsia" w:hAnsi="Calibri" w:cs="Calibri"/>
              </w:rPr>
              <w:t xml:space="preserve"> </w:t>
            </w:r>
            <w:hyperlink r:id="rId13" w:anchor="section(2)_0">
              <w:r w:rsidR="00C86169" w:rsidRPr="599F2C29">
                <w:rPr>
                  <w:rStyle w:val="Hyperlink"/>
                  <w:rFonts w:ascii="Calibri" w:eastAsiaTheme="majorEastAsia" w:hAnsi="Calibri" w:cs="Calibri"/>
                </w:rPr>
                <w:t>Section V.A.</w:t>
              </w:r>
              <w:r w:rsidR="00F66BBB" w:rsidRPr="599F2C29">
                <w:rPr>
                  <w:rStyle w:val="Hyperlink"/>
                  <w:rFonts w:ascii="Calibri" w:eastAsiaTheme="majorEastAsia" w:hAnsi="Calibri" w:cs="Calibri"/>
                </w:rPr>
                <w:t>2</w:t>
              </w:r>
              <w:r w:rsidR="00C86169" w:rsidRPr="599F2C29">
                <w:rPr>
                  <w:rStyle w:val="Hyperlink"/>
                  <w:rFonts w:ascii="Calibri" w:eastAsiaTheme="majorEastAsia" w:hAnsi="Calibri" w:cs="Calibri"/>
                </w:rPr>
                <w:t>.</w:t>
              </w:r>
            </w:hyperlink>
            <w:r w:rsidR="00C86169" w:rsidRPr="599F2C29">
              <w:rPr>
                <w:rStyle w:val="normaltextrun"/>
                <w:rFonts w:ascii="Calibri" w:eastAsiaTheme="majorEastAsia" w:hAnsi="Calibri" w:cs="Calibri"/>
              </w:rPr>
              <w:t>;</w:t>
            </w:r>
            <w:r w:rsidR="00D401D1" w:rsidRPr="599F2C29">
              <w:rPr>
                <w:rStyle w:val="normaltextrun"/>
                <w:rFonts w:ascii="Calibri" w:eastAsiaTheme="majorEastAsia" w:hAnsi="Calibri" w:cs="Calibri"/>
              </w:rPr>
              <w:t xml:space="preserve"> </w:t>
            </w:r>
            <w:r w:rsidR="00D401D1" w:rsidRPr="599F2C29">
              <w:rPr>
                <w:rStyle w:val="normaltextrun"/>
                <w:rFonts w:ascii="Calibri" w:eastAsiaTheme="majorEastAsia" w:hAnsi="Calibri" w:cs="Calibri"/>
                <w:u w:val="single"/>
              </w:rPr>
              <w:t>Individuals</w:t>
            </w:r>
            <w:r w:rsidR="00D401D1" w:rsidRPr="599F2C29">
              <w:rPr>
                <w:rStyle w:val="normaltextrun"/>
                <w:rFonts w:ascii="Calibri" w:eastAsiaTheme="majorEastAsia" w:hAnsi="Calibri" w:cs="Calibri"/>
              </w:rPr>
              <w:t>:</w:t>
            </w:r>
            <w:r w:rsidR="00C86169" w:rsidRPr="599F2C29">
              <w:rPr>
                <w:rStyle w:val="normaltextrun"/>
                <w:rFonts w:ascii="Calibri" w:eastAsiaTheme="majorEastAsia" w:hAnsi="Calibri" w:cs="Calibri"/>
              </w:rPr>
              <w:t xml:space="preserve"> </w:t>
            </w:r>
            <w:hyperlink r:id="rId14">
              <w:r w:rsidR="00C86169" w:rsidRPr="599F2C29">
                <w:rPr>
                  <w:rStyle w:val="Hyperlink"/>
                  <w:rFonts w:ascii="Calibri" w:eastAsiaTheme="majorEastAsia" w:hAnsi="Calibri" w:cs="Calibri"/>
                </w:rPr>
                <w:t>Section XIII.A.</w:t>
              </w:r>
            </w:hyperlink>
            <w:r w:rsidRPr="599F2C29">
              <w:rPr>
                <w:rFonts w:ascii="Calibri" w:hAnsi="Calibri" w:cs="Calibri"/>
              </w:rPr>
              <w:t>)</w:t>
            </w:r>
          </w:p>
          <w:p w14:paraId="3BEA642E" w14:textId="3F6DAF14" w:rsidR="00651BD8" w:rsidRPr="005836E5" w:rsidRDefault="00D00571" w:rsidP="00D735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hAnsi="Calibri" w:cs="Calibri"/>
              </w:rPr>
            </w:pPr>
            <w:r w:rsidRPr="0E50CB1C">
              <w:rPr>
                <w:rFonts w:ascii="Calibri" w:hAnsi="Calibri" w:cs="Calibri"/>
                <w:u w:val="single"/>
              </w:rPr>
              <w:t>Nonresidents</w:t>
            </w:r>
            <w:r w:rsidR="00AC7BFB" w:rsidRPr="0E50CB1C">
              <w:rPr>
                <w:rFonts w:ascii="Calibri" w:hAnsi="Calibri" w:cs="Calibri"/>
              </w:rPr>
              <w:t>:</w:t>
            </w:r>
            <w:r w:rsidR="00E85C99" w:rsidRPr="0E50CB1C">
              <w:rPr>
                <w:rFonts w:ascii="Calibri" w:hAnsi="Calibri" w:cs="Calibri"/>
              </w:rPr>
              <w:t xml:space="preserve"> </w:t>
            </w:r>
            <w:r w:rsidR="79312D37" w:rsidRPr="0E50CB1C">
              <w:rPr>
                <w:rFonts w:ascii="Calibri" w:hAnsi="Calibri" w:cs="Calibri"/>
              </w:rPr>
              <w:t>Israeli-</w:t>
            </w:r>
            <w:r w:rsidR="00F5133D" w:rsidRPr="0E50CB1C">
              <w:rPr>
                <w:rFonts w:ascii="Calibri" w:hAnsi="Calibri" w:cs="Calibri"/>
              </w:rPr>
              <w:t>source income</w:t>
            </w:r>
            <w:r w:rsidR="00386384" w:rsidRPr="0E50CB1C">
              <w:rPr>
                <w:rFonts w:ascii="Calibri" w:hAnsi="Calibri" w:cs="Calibri"/>
              </w:rPr>
              <w:t xml:space="preserve"> </w:t>
            </w:r>
            <w:r w:rsidR="00D73594" w:rsidRPr="0E50CB1C">
              <w:rPr>
                <w:rFonts w:ascii="Calibri" w:hAnsi="Calibri" w:cs="Calibri"/>
              </w:rPr>
              <w:t>(</w:t>
            </w:r>
            <w:r w:rsidR="005753AF" w:rsidRPr="0E50CB1C">
              <w:rPr>
                <w:rFonts w:ascii="Calibri" w:hAnsi="Calibri" w:cs="Calibri"/>
                <w:u w:val="single"/>
              </w:rPr>
              <w:t>Corporations</w:t>
            </w:r>
            <w:r w:rsidR="005753AF" w:rsidRPr="0E50CB1C">
              <w:rPr>
                <w:rFonts w:ascii="Calibri" w:hAnsi="Calibri" w:cs="Calibri"/>
              </w:rPr>
              <w:t>:</w:t>
            </w:r>
            <w:r w:rsidR="005753AF" w:rsidRPr="0E50CB1C">
              <w:rPr>
                <w:rFonts w:ascii="Calibri" w:hAnsi="Calibri" w:cs="Calibri"/>
                <w:u w:val="single"/>
              </w:rPr>
              <w:t xml:space="preserve"> </w:t>
            </w:r>
            <w:hyperlink r:id="rId15">
              <w:r w:rsidR="005753AF" w:rsidRPr="0E50CB1C">
                <w:rPr>
                  <w:rStyle w:val="Hyperlink"/>
                  <w:rFonts w:ascii="Calibri" w:hAnsi="Calibri" w:cs="Calibri"/>
                </w:rPr>
                <w:t xml:space="preserve">Section </w:t>
              </w:r>
              <w:r w:rsidR="7DC6A5C7" w:rsidRPr="0E50CB1C">
                <w:rPr>
                  <w:rStyle w:val="Hyperlink"/>
                  <w:rFonts w:ascii="Calibri" w:hAnsi="Calibri" w:cs="Calibri"/>
                </w:rPr>
                <w:t>VI</w:t>
              </w:r>
              <w:r w:rsidR="005753AF" w:rsidRPr="0E50CB1C">
                <w:rPr>
                  <w:rStyle w:val="Hyperlink"/>
                  <w:rFonts w:ascii="Calibri" w:hAnsi="Calibri" w:cs="Calibri"/>
                </w:rPr>
                <w:t>.</w:t>
              </w:r>
              <w:r w:rsidR="181D93AA" w:rsidRPr="0E50CB1C">
                <w:rPr>
                  <w:rStyle w:val="Hyperlink"/>
                  <w:rFonts w:ascii="Calibri" w:hAnsi="Calibri" w:cs="Calibri"/>
                </w:rPr>
                <w:t>B</w:t>
              </w:r>
              <w:r w:rsidR="005753AF" w:rsidRPr="0E50CB1C">
                <w:rPr>
                  <w:rStyle w:val="Hyperlink"/>
                  <w:rFonts w:ascii="Calibri" w:hAnsi="Calibri" w:cs="Calibri"/>
                </w:rPr>
                <w:t>.</w:t>
              </w:r>
            </w:hyperlink>
            <w:r w:rsidR="005753AF" w:rsidRPr="0E50CB1C">
              <w:rPr>
                <w:rFonts w:ascii="Calibri" w:hAnsi="Calibri" w:cs="Calibri"/>
              </w:rPr>
              <w:t xml:space="preserve">; </w:t>
            </w:r>
            <w:r w:rsidR="005753AF" w:rsidRPr="0E50CB1C">
              <w:rPr>
                <w:rFonts w:ascii="Calibri" w:hAnsi="Calibri" w:cs="Calibri"/>
                <w:u w:val="single"/>
              </w:rPr>
              <w:t>Individuals</w:t>
            </w:r>
            <w:r w:rsidR="005753AF" w:rsidRPr="0E50CB1C">
              <w:rPr>
                <w:rFonts w:ascii="Calibri" w:hAnsi="Calibri" w:cs="Calibri"/>
              </w:rPr>
              <w:t xml:space="preserve">: </w:t>
            </w:r>
            <w:hyperlink r:id="rId16">
              <w:r w:rsidR="00D73594" w:rsidRPr="0E50CB1C">
                <w:rPr>
                  <w:rStyle w:val="Hyperlink"/>
                  <w:rFonts w:ascii="Calibri" w:hAnsi="Calibri" w:cs="Calibri"/>
                </w:rPr>
                <w:t xml:space="preserve">Section </w:t>
              </w:r>
              <w:r w:rsidR="2B415FF7" w:rsidRPr="0E50CB1C">
                <w:rPr>
                  <w:rStyle w:val="Hyperlink"/>
                  <w:rFonts w:ascii="Calibri" w:hAnsi="Calibri" w:cs="Calibri"/>
                </w:rPr>
                <w:t>XIV.</w:t>
              </w:r>
            </w:hyperlink>
            <w:r w:rsidR="00D73594" w:rsidRPr="0E50CB1C">
              <w:rPr>
                <w:rFonts w:ascii="Calibri" w:hAnsi="Calibri" w:cs="Calibri"/>
              </w:rPr>
              <w:t>)</w:t>
            </w:r>
          </w:p>
        </w:tc>
      </w:tr>
      <w:tr w:rsidR="006C2FF5" w14:paraId="75164286" w14:textId="77777777" w:rsidTr="73722CA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379CB" w14:textId="77777777" w:rsidR="006C2FF5" w:rsidRPr="00B420E7" w:rsidRDefault="006C2FF5" w:rsidP="2C5B77B6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420E7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Residence </w:t>
            </w:r>
            <w:r w:rsidRPr="00B420E7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5B244" w14:textId="2576E743" w:rsidR="00AB2CB9" w:rsidRPr="005836E5" w:rsidRDefault="00AB2CB9" w:rsidP="2C5B77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A company is tax resident in </w:t>
            </w:r>
            <w:r w:rsidR="478087C3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Israel </w:t>
            </w:r>
            <w:r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if</w:t>
            </w:r>
            <w:r w:rsidR="007D4EA9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i</w:t>
            </w:r>
            <w:r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t is incorporated in </w:t>
            </w:r>
            <w:r w:rsidR="1C817729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Israel or if it is controlled and managed from Israel</w:t>
            </w:r>
            <w:r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 (</w:t>
            </w:r>
            <w:hyperlink r:id="rId17">
              <w:r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 xml:space="preserve">Section </w:t>
              </w:r>
              <w:r w:rsidR="15D40D91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V</w:t>
              </w:r>
              <w:r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</w:t>
              </w:r>
              <w:r w:rsidR="16D5570A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B</w:t>
              </w:r>
              <w:r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</w:t>
              </w:r>
            </w:hyperlink>
            <w:r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  <w:r w:rsidRPr="2C5B77B6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  <w:p w14:paraId="4CE4F892" w14:textId="77777777" w:rsidR="00055380" w:rsidRPr="005836E5" w:rsidRDefault="00055380" w:rsidP="2C5B77B6">
            <w:pPr>
              <w:spacing w:after="0" w:line="240" w:lineRule="auto"/>
              <w:rPr>
                <w:rStyle w:val="normaltextrun"/>
                <w:rFonts w:ascii="Calibri" w:eastAsiaTheme="majorEastAsia" w:hAnsi="Calibri" w:cs="Calibri"/>
              </w:rPr>
            </w:pPr>
          </w:p>
          <w:p w14:paraId="064E8158" w14:textId="40528004" w:rsidR="00A76EEC" w:rsidRPr="005836E5" w:rsidRDefault="008678A5" w:rsidP="2C5B77B6">
            <w:pPr>
              <w:spacing w:after="0" w:line="240" w:lineRule="auto"/>
              <w:rPr>
                <w:rStyle w:val="normaltextrun"/>
                <w:rFonts w:ascii="Calibri" w:eastAsiaTheme="majorEastAsia" w:hAnsi="Calibri" w:cs="Calibri"/>
              </w:rPr>
            </w:pPr>
            <w:r w:rsidRPr="2C5B77B6">
              <w:rPr>
                <w:rStyle w:val="normaltextrun"/>
                <w:rFonts w:ascii="Calibri" w:eastAsiaTheme="majorEastAsia" w:hAnsi="Calibri" w:cs="Calibri"/>
              </w:rPr>
              <w:t xml:space="preserve">An individual is tax resident in </w:t>
            </w:r>
            <w:r w:rsidR="33210686" w:rsidRPr="2C5B77B6">
              <w:rPr>
                <w:rStyle w:val="normaltextrun"/>
                <w:rFonts w:ascii="Calibri" w:eastAsiaTheme="majorEastAsia" w:hAnsi="Calibri" w:cs="Calibri"/>
              </w:rPr>
              <w:t>Israel</w:t>
            </w:r>
            <w:r w:rsidR="00317107" w:rsidRPr="2C5B77B6">
              <w:rPr>
                <w:rStyle w:val="normaltextrun"/>
                <w:rFonts w:ascii="Calibri" w:eastAsiaTheme="majorEastAsia" w:hAnsi="Calibri" w:cs="Calibri"/>
              </w:rPr>
              <w:t xml:space="preserve"> if</w:t>
            </w:r>
            <w:r w:rsidR="5171C1B3" w:rsidRPr="2C5B77B6">
              <w:rPr>
                <w:rStyle w:val="normaltextrun"/>
                <w:rFonts w:ascii="Calibri" w:eastAsiaTheme="majorEastAsia" w:hAnsi="Calibri" w:cs="Calibri"/>
              </w:rPr>
              <w:t xml:space="preserve"> his or her “center of life” is in Israel, based on consideration of several factors</w:t>
            </w:r>
            <w:r w:rsidR="256C4D04" w:rsidRPr="2C5B77B6">
              <w:rPr>
                <w:rStyle w:val="normaltextrun"/>
                <w:rFonts w:ascii="Calibri" w:eastAsiaTheme="majorEastAsia" w:hAnsi="Calibri" w:cs="Calibri"/>
              </w:rPr>
              <w:t xml:space="preserve">. </w:t>
            </w:r>
            <w:r w:rsidR="00EB3BEE">
              <w:rPr>
                <w:rStyle w:val="normaltextrun"/>
                <w:rFonts w:ascii="Calibri" w:eastAsiaTheme="majorEastAsia" w:hAnsi="Calibri" w:cs="Calibri"/>
              </w:rPr>
              <w:t xml:space="preserve">There is a rebuttable presumption that a person’s center of life </w:t>
            </w:r>
            <w:r w:rsidR="00FD395C">
              <w:rPr>
                <w:rStyle w:val="normaltextrun"/>
                <w:rFonts w:ascii="Calibri" w:eastAsiaTheme="majorEastAsia" w:hAnsi="Calibri" w:cs="Calibri"/>
              </w:rPr>
              <w:t xml:space="preserve">was </w:t>
            </w:r>
            <w:r w:rsidR="00EB3BEE">
              <w:rPr>
                <w:rStyle w:val="normaltextrun"/>
                <w:rFonts w:ascii="Calibri" w:eastAsiaTheme="majorEastAsia" w:hAnsi="Calibri" w:cs="Calibri"/>
              </w:rPr>
              <w:t xml:space="preserve">in Israel </w:t>
            </w:r>
            <w:r w:rsidR="00FD395C">
              <w:rPr>
                <w:rStyle w:val="normaltextrun"/>
                <w:rFonts w:ascii="Calibri" w:eastAsiaTheme="majorEastAsia" w:hAnsi="Calibri" w:cs="Calibri"/>
              </w:rPr>
              <w:t xml:space="preserve">for a tax year </w:t>
            </w:r>
            <w:r w:rsidR="00EB3BEE">
              <w:rPr>
                <w:rStyle w:val="normaltextrun"/>
                <w:rFonts w:ascii="Calibri" w:eastAsiaTheme="majorEastAsia" w:hAnsi="Calibri" w:cs="Calibri"/>
              </w:rPr>
              <w:t>if</w:t>
            </w:r>
            <w:r w:rsidR="00A76EEC" w:rsidRPr="2C5B77B6">
              <w:rPr>
                <w:rStyle w:val="normaltextrun"/>
                <w:rFonts w:ascii="Calibri" w:eastAsiaTheme="majorEastAsia" w:hAnsi="Calibri" w:cs="Calibri"/>
              </w:rPr>
              <w:t>:</w:t>
            </w:r>
            <w:r w:rsidR="00317107" w:rsidRPr="2C5B77B6">
              <w:rPr>
                <w:rStyle w:val="normaltextrun"/>
                <w:rFonts w:ascii="Calibri" w:eastAsiaTheme="majorEastAsia" w:hAnsi="Calibri" w:cs="Calibri"/>
              </w:rPr>
              <w:t xml:space="preserve"> </w:t>
            </w:r>
          </w:p>
          <w:p w14:paraId="7A5519E3" w14:textId="2953433B" w:rsidR="00A76EEC" w:rsidRPr="005836E5" w:rsidRDefault="00A76EEC" w:rsidP="2C5B77B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Style w:val="normaltextrun"/>
                <w:rFonts w:ascii="Calibri" w:eastAsiaTheme="majorEastAsia" w:hAnsi="Calibri" w:cs="Calibri"/>
              </w:rPr>
            </w:pPr>
            <w:r w:rsidRPr="2C5B77B6">
              <w:rPr>
                <w:rStyle w:val="normaltextrun"/>
                <w:rFonts w:ascii="Calibri" w:eastAsiaTheme="majorEastAsia" w:hAnsi="Calibri" w:cs="Calibri"/>
              </w:rPr>
              <w:t>H</w:t>
            </w:r>
            <w:r w:rsidR="00317107" w:rsidRPr="2C5B77B6">
              <w:rPr>
                <w:rStyle w:val="normaltextrun"/>
                <w:rFonts w:ascii="Calibri" w:eastAsiaTheme="majorEastAsia" w:hAnsi="Calibri" w:cs="Calibri"/>
              </w:rPr>
              <w:t xml:space="preserve">e or she </w:t>
            </w:r>
            <w:r w:rsidR="19C69A54" w:rsidRPr="2C5B77B6">
              <w:rPr>
                <w:rStyle w:val="normaltextrun"/>
                <w:rFonts w:ascii="Calibri" w:eastAsiaTheme="majorEastAsia" w:hAnsi="Calibri" w:cs="Calibri"/>
              </w:rPr>
              <w:t>was</w:t>
            </w:r>
            <w:r w:rsidR="3A69B463" w:rsidRPr="2C5B77B6">
              <w:rPr>
                <w:rStyle w:val="normaltextrun"/>
                <w:rFonts w:ascii="Calibri" w:eastAsiaTheme="majorEastAsia" w:hAnsi="Calibri" w:cs="Calibri"/>
              </w:rPr>
              <w:t xml:space="preserve"> physically </w:t>
            </w:r>
            <w:r w:rsidRPr="2C5B77B6">
              <w:rPr>
                <w:rStyle w:val="normaltextrun"/>
                <w:rFonts w:ascii="Calibri" w:eastAsiaTheme="majorEastAsia" w:hAnsi="Calibri" w:cs="Calibri"/>
              </w:rPr>
              <w:t xml:space="preserve">in </w:t>
            </w:r>
            <w:r w:rsidR="30BDD8E4" w:rsidRPr="2C5B77B6">
              <w:rPr>
                <w:rStyle w:val="normaltextrun"/>
                <w:rFonts w:ascii="Calibri" w:eastAsiaTheme="majorEastAsia" w:hAnsi="Calibri" w:cs="Calibri"/>
              </w:rPr>
              <w:t>Israel</w:t>
            </w:r>
            <w:r w:rsidR="0B59328A" w:rsidRPr="2C5B77B6">
              <w:rPr>
                <w:rStyle w:val="normaltextrun"/>
                <w:rFonts w:ascii="Calibri" w:eastAsiaTheme="majorEastAsia" w:hAnsi="Calibri" w:cs="Calibri"/>
              </w:rPr>
              <w:t xml:space="preserve"> for at least 183 days in </w:t>
            </w:r>
            <w:r w:rsidR="005F1F95">
              <w:rPr>
                <w:rStyle w:val="normaltextrun"/>
                <w:rFonts w:ascii="Calibri" w:eastAsiaTheme="majorEastAsia" w:hAnsi="Calibri" w:cs="Calibri"/>
              </w:rPr>
              <w:t xml:space="preserve">that </w:t>
            </w:r>
            <w:r w:rsidR="0B59328A" w:rsidRPr="2C5B77B6">
              <w:rPr>
                <w:rStyle w:val="normaltextrun"/>
                <w:rFonts w:ascii="Calibri" w:eastAsiaTheme="majorEastAsia" w:hAnsi="Calibri" w:cs="Calibri"/>
              </w:rPr>
              <w:t>tax year</w:t>
            </w:r>
            <w:r w:rsidRPr="2C5B77B6">
              <w:rPr>
                <w:rStyle w:val="normaltextrun"/>
                <w:rFonts w:ascii="Calibri" w:eastAsiaTheme="majorEastAsia" w:hAnsi="Calibri" w:cs="Calibri"/>
              </w:rPr>
              <w:t>;</w:t>
            </w:r>
            <w:r w:rsidR="00FD395C">
              <w:rPr>
                <w:rStyle w:val="normaltextrun"/>
                <w:rFonts w:ascii="Calibri" w:eastAsiaTheme="majorEastAsia" w:hAnsi="Calibri" w:cs="Calibri"/>
              </w:rPr>
              <w:t xml:space="preserve"> or</w:t>
            </w:r>
          </w:p>
          <w:p w14:paraId="3463D605" w14:textId="36A68FE5" w:rsidR="006C2FF5" w:rsidRPr="005836E5" w:rsidRDefault="00A76EEC" w:rsidP="00AB2CB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cs="Calibri"/>
              </w:rPr>
            </w:pPr>
            <w:r w:rsidRPr="0E50CB1C">
              <w:rPr>
                <w:rStyle w:val="normaltextrun"/>
                <w:rFonts w:ascii="Calibri" w:eastAsiaTheme="majorEastAsia" w:hAnsi="Calibri" w:cs="Calibri"/>
              </w:rPr>
              <w:t xml:space="preserve">He or she </w:t>
            </w:r>
            <w:r w:rsidR="6CFB4114" w:rsidRPr="0E50CB1C">
              <w:rPr>
                <w:rStyle w:val="normaltextrun"/>
                <w:rFonts w:ascii="Calibri" w:eastAsiaTheme="majorEastAsia" w:hAnsi="Calibri" w:cs="Calibri"/>
              </w:rPr>
              <w:t>was</w:t>
            </w:r>
            <w:r w:rsidR="00DA5E82" w:rsidRPr="0E50CB1C">
              <w:rPr>
                <w:rStyle w:val="normaltextrun"/>
                <w:rFonts w:ascii="Calibri" w:eastAsiaTheme="majorEastAsia" w:hAnsi="Calibri" w:cs="Calibri"/>
              </w:rPr>
              <w:t xml:space="preserve"> </w:t>
            </w:r>
            <w:r w:rsidRPr="0E50CB1C">
              <w:rPr>
                <w:rStyle w:val="normaltextrun"/>
                <w:rFonts w:ascii="Calibri" w:eastAsiaTheme="majorEastAsia" w:hAnsi="Calibri" w:cs="Calibri"/>
              </w:rPr>
              <w:t>physi</w:t>
            </w:r>
            <w:r w:rsidR="00DA5E82" w:rsidRPr="0E50CB1C">
              <w:rPr>
                <w:rStyle w:val="normaltextrun"/>
                <w:rFonts w:ascii="Calibri" w:eastAsiaTheme="majorEastAsia" w:hAnsi="Calibri" w:cs="Calibri"/>
              </w:rPr>
              <w:t>c</w:t>
            </w:r>
            <w:r w:rsidRPr="0E50CB1C">
              <w:rPr>
                <w:rStyle w:val="normaltextrun"/>
                <w:rFonts w:ascii="Calibri" w:eastAsiaTheme="majorEastAsia" w:hAnsi="Calibri" w:cs="Calibri"/>
              </w:rPr>
              <w:t xml:space="preserve">ally present in </w:t>
            </w:r>
            <w:r w:rsidR="47C472E0" w:rsidRPr="0E50CB1C">
              <w:rPr>
                <w:rStyle w:val="normaltextrun"/>
                <w:rFonts w:ascii="Calibri" w:eastAsiaTheme="majorEastAsia" w:hAnsi="Calibri" w:cs="Calibri"/>
              </w:rPr>
              <w:t>Israel</w:t>
            </w:r>
            <w:r w:rsidRPr="0E50CB1C">
              <w:rPr>
                <w:rStyle w:val="normaltextrun"/>
                <w:rFonts w:ascii="Calibri" w:eastAsiaTheme="majorEastAsia" w:hAnsi="Calibri" w:cs="Calibri"/>
              </w:rPr>
              <w:t xml:space="preserve"> for </w:t>
            </w:r>
            <w:r w:rsidR="00FB6F78" w:rsidRPr="0E50CB1C">
              <w:rPr>
                <w:rStyle w:val="normaltextrun"/>
                <w:rFonts w:ascii="Calibri" w:eastAsiaTheme="majorEastAsia" w:hAnsi="Calibri" w:cs="Calibri"/>
              </w:rPr>
              <w:t xml:space="preserve">at least </w:t>
            </w:r>
            <w:r w:rsidR="00DA5E82" w:rsidRPr="0E50CB1C">
              <w:rPr>
                <w:rStyle w:val="normaltextrun"/>
                <w:rFonts w:ascii="Calibri" w:eastAsiaTheme="majorEastAsia" w:hAnsi="Calibri" w:cs="Calibri"/>
              </w:rPr>
              <w:t>3</w:t>
            </w:r>
            <w:r w:rsidR="3395364D" w:rsidRPr="0E50CB1C">
              <w:rPr>
                <w:rStyle w:val="normaltextrun"/>
                <w:rFonts w:ascii="Calibri" w:eastAsiaTheme="majorEastAsia" w:hAnsi="Calibri" w:cs="Calibri"/>
              </w:rPr>
              <w:t>0</w:t>
            </w:r>
            <w:r w:rsidR="00DA5E82" w:rsidRPr="0E50CB1C">
              <w:rPr>
                <w:rStyle w:val="normaltextrun"/>
                <w:rFonts w:ascii="Calibri" w:eastAsiaTheme="majorEastAsia" w:hAnsi="Calibri" w:cs="Calibri"/>
              </w:rPr>
              <w:t xml:space="preserve"> days in </w:t>
            </w:r>
            <w:r w:rsidR="005F1F95">
              <w:rPr>
                <w:rStyle w:val="normaltextrun"/>
                <w:rFonts w:ascii="Calibri" w:eastAsiaTheme="majorEastAsia" w:hAnsi="Calibri" w:cs="Calibri"/>
              </w:rPr>
              <w:t xml:space="preserve">that </w:t>
            </w:r>
            <w:r w:rsidR="00FD395C">
              <w:rPr>
                <w:rStyle w:val="normaltextrun"/>
                <w:rFonts w:ascii="Calibri" w:eastAsiaTheme="majorEastAsia" w:hAnsi="Calibri" w:cs="Calibri"/>
              </w:rPr>
              <w:t xml:space="preserve">tax </w:t>
            </w:r>
            <w:r w:rsidR="00DA5E82" w:rsidRPr="0E50CB1C">
              <w:rPr>
                <w:rStyle w:val="normaltextrun"/>
                <w:rFonts w:ascii="Calibri" w:eastAsiaTheme="majorEastAsia" w:hAnsi="Calibri" w:cs="Calibri"/>
              </w:rPr>
              <w:t>year</w:t>
            </w:r>
            <w:r w:rsidR="00EC305F" w:rsidRPr="0E50CB1C">
              <w:rPr>
                <w:rStyle w:val="normaltextrun"/>
                <w:rFonts w:ascii="Calibri" w:eastAsiaTheme="majorEastAsia" w:hAnsi="Calibri" w:cs="Calibri"/>
              </w:rPr>
              <w:t xml:space="preserve"> </w:t>
            </w:r>
            <w:r w:rsidR="6E6B2205" w:rsidRPr="0E50CB1C">
              <w:rPr>
                <w:rStyle w:val="normaltextrun"/>
                <w:rFonts w:ascii="Calibri" w:eastAsiaTheme="majorEastAsia" w:hAnsi="Calibri" w:cs="Calibri"/>
              </w:rPr>
              <w:t xml:space="preserve">and for at least 425 days </w:t>
            </w:r>
            <w:r w:rsidR="005F1F95">
              <w:rPr>
                <w:rStyle w:val="normaltextrun"/>
                <w:rFonts w:ascii="Calibri" w:eastAsiaTheme="majorEastAsia" w:hAnsi="Calibri" w:cs="Calibri"/>
              </w:rPr>
              <w:t xml:space="preserve">in aggregate across </w:t>
            </w:r>
            <w:r w:rsidR="0304C1EB" w:rsidRPr="0E50CB1C">
              <w:rPr>
                <w:rStyle w:val="normaltextrun"/>
                <w:rFonts w:ascii="Calibri" w:eastAsiaTheme="majorEastAsia" w:hAnsi="Calibri" w:cs="Calibri"/>
              </w:rPr>
              <w:t xml:space="preserve">that </w:t>
            </w:r>
            <w:r w:rsidR="005F1F95">
              <w:rPr>
                <w:rStyle w:val="normaltextrun"/>
                <w:rFonts w:ascii="Calibri" w:eastAsiaTheme="majorEastAsia" w:hAnsi="Calibri" w:cs="Calibri"/>
              </w:rPr>
              <w:t xml:space="preserve">tax </w:t>
            </w:r>
            <w:r w:rsidR="0304C1EB" w:rsidRPr="0E50CB1C">
              <w:rPr>
                <w:rStyle w:val="normaltextrun"/>
                <w:rFonts w:ascii="Calibri" w:eastAsiaTheme="majorEastAsia" w:hAnsi="Calibri" w:cs="Calibri"/>
              </w:rPr>
              <w:t xml:space="preserve">year and the previous two </w:t>
            </w:r>
            <w:r w:rsidR="005F1F95">
              <w:rPr>
                <w:rStyle w:val="normaltextrun"/>
                <w:rFonts w:ascii="Calibri" w:eastAsiaTheme="majorEastAsia" w:hAnsi="Calibri" w:cs="Calibri"/>
              </w:rPr>
              <w:t xml:space="preserve">tax </w:t>
            </w:r>
            <w:r w:rsidR="0304C1EB" w:rsidRPr="0E50CB1C">
              <w:rPr>
                <w:rStyle w:val="normaltextrun"/>
                <w:rFonts w:ascii="Calibri" w:eastAsiaTheme="majorEastAsia" w:hAnsi="Calibri" w:cs="Calibri"/>
              </w:rPr>
              <w:t>years</w:t>
            </w:r>
            <w:r w:rsidR="00DA5E82" w:rsidRPr="0E50CB1C">
              <w:rPr>
                <w:rStyle w:val="normaltextrun"/>
                <w:rFonts w:ascii="Calibri" w:eastAsiaTheme="majorEastAsia" w:hAnsi="Calibri" w:cs="Calibri"/>
              </w:rPr>
              <w:t>.</w:t>
            </w:r>
            <w:r w:rsidR="001F1BFA" w:rsidRPr="0E50CB1C">
              <w:rPr>
                <w:rStyle w:val="normaltextrun"/>
                <w:rFonts w:ascii="Calibri" w:eastAsiaTheme="majorEastAsia" w:hAnsi="Calibri" w:cs="Calibri"/>
              </w:rPr>
              <w:t xml:space="preserve"> </w:t>
            </w:r>
            <w:r w:rsidR="002C7A8D" w:rsidRPr="0E50CB1C">
              <w:rPr>
                <w:rStyle w:val="normaltextrun"/>
                <w:rFonts w:ascii="Calibri" w:eastAsiaTheme="majorEastAsia" w:hAnsi="Calibri" w:cs="Calibri"/>
              </w:rPr>
              <w:t>(</w:t>
            </w:r>
            <w:hyperlink r:id="rId18">
              <w:r w:rsidR="002C7A8D" w:rsidRPr="0E50CB1C">
                <w:rPr>
                  <w:rStyle w:val="Hyperlink"/>
                  <w:rFonts w:ascii="Calibri" w:hAnsi="Calibri" w:cs="Calibri"/>
                </w:rPr>
                <w:t xml:space="preserve">Section </w:t>
              </w:r>
              <w:r w:rsidR="5A606DD2" w:rsidRPr="0E50CB1C">
                <w:rPr>
                  <w:rStyle w:val="Hyperlink"/>
                  <w:rFonts w:ascii="Calibri" w:hAnsi="Calibri" w:cs="Calibri"/>
                </w:rPr>
                <w:t>XIII</w:t>
              </w:r>
              <w:r w:rsidR="002D2134" w:rsidRPr="0E50CB1C">
                <w:rPr>
                  <w:rStyle w:val="Hyperlink"/>
                  <w:rFonts w:ascii="Calibri" w:hAnsi="Calibri" w:cs="Calibri"/>
                </w:rPr>
                <w:t>.</w:t>
              </w:r>
              <w:r w:rsidR="643685DD" w:rsidRPr="0E50CB1C">
                <w:rPr>
                  <w:rStyle w:val="Hyperlink"/>
                  <w:rFonts w:ascii="Calibri" w:hAnsi="Calibri" w:cs="Calibri"/>
                </w:rPr>
                <w:t>A</w:t>
              </w:r>
              <w:r w:rsidR="002D2134" w:rsidRPr="0E50CB1C">
                <w:rPr>
                  <w:rStyle w:val="Hyperlink"/>
                  <w:rFonts w:ascii="Calibri" w:hAnsi="Calibri" w:cs="Calibri"/>
                </w:rPr>
                <w:t>.</w:t>
              </w:r>
            </w:hyperlink>
            <w:r w:rsidR="002D2134" w:rsidRPr="0E50CB1C">
              <w:rPr>
                <w:rStyle w:val="normaltextrun"/>
                <w:rFonts w:ascii="Calibri" w:eastAsiaTheme="majorEastAsia" w:hAnsi="Calibri" w:cs="Calibri"/>
              </w:rPr>
              <w:t xml:space="preserve">) </w:t>
            </w:r>
          </w:p>
        </w:tc>
      </w:tr>
      <w:tr w:rsidR="006C2FF5" w14:paraId="70AC18BE" w14:textId="77777777" w:rsidTr="73722CA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DC29C" w14:textId="24D032DC" w:rsidR="006C2FF5" w:rsidRPr="00B420E7" w:rsidRDefault="006C2FF5" w:rsidP="2C5B77B6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420E7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Basic domestic nexus rule for foreign corporations </w:t>
            </w:r>
            <w:r w:rsidRPr="00B420E7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FD8C8" w14:textId="0E253C7C" w:rsidR="006C2FF5" w:rsidRPr="00496DEE" w:rsidRDefault="00793D59" w:rsidP="599F2C2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pPr>
            <w:r w:rsidRPr="599F2C29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A</w:t>
            </w:r>
            <w:r w:rsidRPr="599F2C29">
              <w:rPr>
                <w:rStyle w:val="normaltextrun"/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1AD63BE6" w:rsidRPr="599F2C29">
              <w:rPr>
                <w:rStyle w:val="normaltextrun"/>
                <w:rFonts w:ascii="Calibri" w:eastAsia="Calibri" w:hAnsi="Calibri" w:cs="Calibri"/>
                <w:sz w:val="22"/>
                <w:szCs w:val="22"/>
              </w:rPr>
              <w:t xml:space="preserve">nonresident </w:t>
            </w:r>
            <w:r w:rsidR="00B47D33" w:rsidRPr="599F2C29">
              <w:rPr>
                <w:rStyle w:val="normaltextrun"/>
                <w:rFonts w:ascii="Calibri" w:eastAsia="Calibri" w:hAnsi="Calibri" w:cs="Calibri"/>
                <w:sz w:val="22"/>
                <w:szCs w:val="22"/>
              </w:rPr>
              <w:t>corporation</w:t>
            </w:r>
            <w:r w:rsidRPr="599F2C29">
              <w:rPr>
                <w:rStyle w:val="normaltextrun"/>
                <w:rFonts w:ascii="Calibri" w:eastAsia="Calibri" w:hAnsi="Calibri" w:cs="Calibri"/>
                <w:sz w:val="22"/>
                <w:szCs w:val="22"/>
              </w:rPr>
              <w:t xml:space="preserve"> is subject to tax</w:t>
            </w:r>
            <w:r w:rsidR="14F3D7A4" w:rsidRPr="599F2C29">
              <w:rPr>
                <w:rStyle w:val="normaltextrun"/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599F2C29">
              <w:rPr>
                <w:rStyle w:val="normaltextrun"/>
                <w:rFonts w:ascii="Calibri" w:eastAsia="Calibri" w:hAnsi="Calibri" w:cs="Calibri"/>
                <w:sz w:val="22"/>
                <w:szCs w:val="22"/>
              </w:rPr>
              <w:t xml:space="preserve">on </w:t>
            </w:r>
            <w:r w:rsidR="73899734" w:rsidRPr="599F2C2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income derived from the conduct of a business in Israel and on </w:t>
            </w:r>
            <w:r w:rsidR="3C87EFDD" w:rsidRPr="599F2C2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passive income paid to it by an Israeli resident payor.</w:t>
            </w:r>
            <w:r w:rsidR="001037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E65A0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There are n</w:t>
            </w:r>
            <w:r w:rsidR="00103792" w:rsidRPr="007A069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 domestic permanent establishment rules</w:t>
            </w:r>
            <w:r w:rsidR="0010379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  <w:r w:rsidR="000603B4" w:rsidRPr="599F2C2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</w:t>
            </w:r>
            <w:hyperlink r:id="rId19">
              <w:r w:rsidR="000603B4" w:rsidRPr="599F2C29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Section VI</w:t>
              </w:r>
              <w:r w:rsidR="00444B76" w:rsidRPr="599F2C29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.A</w:t>
              </w:r>
              <w:r w:rsidR="000603B4" w:rsidRPr="599F2C29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.</w:t>
              </w:r>
            </w:hyperlink>
            <w:r w:rsidR="4A053071" w:rsidRPr="599F2C29">
              <w:rPr>
                <w:rStyle w:val="normaltextrun"/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</w:tr>
      <w:tr w:rsidR="006C2FF5" w14:paraId="523F472F" w14:textId="77777777" w:rsidTr="73722CA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E11AF" w14:textId="77777777" w:rsidR="006C2FF5" w:rsidRPr="00B420E7" w:rsidRDefault="006C2FF5" w:rsidP="2C5B77B6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420E7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Treaty network</w:t>
            </w:r>
            <w:r w:rsidRPr="00B420E7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E74F1" w14:textId="5ED8BE73" w:rsidR="006C2FF5" w:rsidRPr="005836E5" w:rsidRDefault="54317E06" w:rsidP="2C5B77B6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Israel has tax treaties with 60 countries, including the United States</w:t>
            </w:r>
            <w:r w:rsidR="5A98146A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, </w:t>
            </w:r>
            <w:r w:rsidR="00CA4FA7">
              <w:rPr>
                <w:rFonts w:eastAsia="Calibri"/>
              </w:rPr>
              <w:t>that</w:t>
            </w:r>
            <w:r w:rsidR="5A98146A" w:rsidRPr="2C5B77B6">
              <w:rPr>
                <w:rFonts w:ascii="Calibri" w:eastAsia="Calibri" w:hAnsi="Calibri" w:cs="Calibri"/>
                <w:sz w:val="22"/>
                <w:szCs w:val="22"/>
              </w:rPr>
              <w:t xml:space="preserve"> largely follow the OECD </w:t>
            </w:r>
            <w:r w:rsidR="2DF20B1F" w:rsidRPr="2C5B77B6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  <w:p w14:paraId="6D4ACB0E" w14:textId="0FAF2D40" w:rsidR="006C2FF5" w:rsidRPr="005836E5" w:rsidRDefault="5A98146A" w:rsidP="2C5B77B6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2C5B77B6">
              <w:rPr>
                <w:rFonts w:ascii="Calibri" w:eastAsia="Calibri" w:hAnsi="Calibri" w:cs="Calibri"/>
                <w:sz w:val="22"/>
                <w:szCs w:val="22"/>
              </w:rPr>
              <w:t>Model Tax Convention</w:t>
            </w:r>
            <w:r w:rsidR="006C2FF5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 (</w:t>
            </w:r>
            <w:hyperlink r:id="rId20" w:anchor="section(1)_0">
              <w:r w:rsidR="006C2FF5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 xml:space="preserve">Section </w:t>
              </w:r>
              <w:r w:rsidR="3EA59283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XVIII.</w:t>
              </w:r>
              <w:r w:rsidR="004802F2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B</w:t>
              </w:r>
              <w:r w:rsidR="7D860608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.1</w:t>
              </w:r>
              <w:r w:rsidR="006C2FF5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</w:t>
              </w:r>
            </w:hyperlink>
            <w:r w:rsidR="006C2FF5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</w:p>
          <w:p w14:paraId="7166234A" w14:textId="77777777" w:rsidR="00865E90" w:rsidRDefault="00865E90" w:rsidP="00865E90">
            <w:pPr>
              <w:spacing w:after="0" w:line="240" w:lineRule="auto"/>
              <w:textAlignment w:val="baseline"/>
              <w:rPr>
                <w:rFonts w:ascii="Calibri" w:eastAsia="Calibri" w:hAnsi="Calibri" w:cs="Calibri"/>
              </w:rPr>
            </w:pPr>
          </w:p>
          <w:p w14:paraId="6B80C7F1" w14:textId="6C7C2361" w:rsidR="006C2FF5" w:rsidRPr="00865E90" w:rsidRDefault="193CF99C" w:rsidP="00865E90">
            <w:pPr>
              <w:spacing w:after="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00865E90">
              <w:rPr>
                <w:rFonts w:ascii="Calibri" w:eastAsia="Calibri" w:hAnsi="Calibri" w:cs="Calibri"/>
              </w:rPr>
              <w:t>MLI signatory: Yes. (</w:t>
            </w:r>
            <w:hyperlink r:id="rId21" w:anchor="section(5)_0">
              <w:r w:rsidRPr="00865E90">
                <w:rPr>
                  <w:rStyle w:val="Hyperlink"/>
                  <w:rFonts w:ascii="Calibri" w:eastAsia="Calibri" w:hAnsi="Calibri" w:cs="Calibri"/>
                </w:rPr>
                <w:t>Section XV</w:t>
              </w:r>
              <w:r w:rsidR="1E339370" w:rsidRPr="00865E90">
                <w:rPr>
                  <w:rStyle w:val="Hyperlink"/>
                  <w:rFonts w:ascii="Calibri" w:eastAsia="Calibri" w:hAnsi="Calibri" w:cs="Calibri"/>
                </w:rPr>
                <w:t>III</w:t>
              </w:r>
              <w:r w:rsidRPr="00865E90">
                <w:rPr>
                  <w:rStyle w:val="Hyperlink"/>
                  <w:rFonts w:ascii="Calibri" w:eastAsia="Calibri" w:hAnsi="Calibri" w:cs="Calibri"/>
                </w:rPr>
                <w:t>.</w:t>
              </w:r>
              <w:r w:rsidR="5600C16D" w:rsidRPr="00865E90">
                <w:rPr>
                  <w:rStyle w:val="Hyperlink"/>
                  <w:rFonts w:ascii="Calibri" w:eastAsia="Calibri" w:hAnsi="Calibri" w:cs="Calibri"/>
                </w:rPr>
                <w:t>B</w:t>
              </w:r>
              <w:r w:rsidRPr="00865E90">
                <w:rPr>
                  <w:rStyle w:val="Hyperlink"/>
                  <w:rFonts w:ascii="Calibri" w:eastAsia="Calibri" w:hAnsi="Calibri" w:cs="Calibri"/>
                </w:rPr>
                <w:t>.</w:t>
              </w:r>
              <w:r w:rsidR="4517CA5D" w:rsidRPr="00865E90">
                <w:rPr>
                  <w:rStyle w:val="Hyperlink"/>
                  <w:rFonts w:ascii="Calibri" w:eastAsia="Calibri" w:hAnsi="Calibri" w:cs="Calibri"/>
                </w:rPr>
                <w:t>5</w:t>
              </w:r>
              <w:r w:rsidRPr="00865E90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  <w:r w:rsidRPr="00865E90">
              <w:rPr>
                <w:rFonts w:ascii="Calibri" w:eastAsia="Calibri" w:hAnsi="Calibri" w:cs="Calibri"/>
              </w:rPr>
              <w:t>)</w:t>
            </w:r>
          </w:p>
          <w:p w14:paraId="5BD91A92" w14:textId="77777777" w:rsidR="00865E90" w:rsidRDefault="00865E90" w:rsidP="00865E90">
            <w:pPr>
              <w:spacing w:after="0"/>
              <w:textAlignment w:val="baseline"/>
              <w:rPr>
                <w:rFonts w:ascii="Calibri" w:eastAsia="Calibri" w:hAnsi="Calibri" w:cs="Calibri"/>
              </w:rPr>
            </w:pPr>
          </w:p>
          <w:p w14:paraId="11B47027" w14:textId="013B5283" w:rsidR="006C2FF5" w:rsidRPr="00865E90" w:rsidRDefault="193CF99C" w:rsidP="00865E90">
            <w:pPr>
              <w:spacing w:after="0"/>
              <w:textAlignment w:val="baseline"/>
              <w:rPr>
                <w:rFonts w:ascii="Calibri" w:hAnsi="Calibri" w:cs="Calibri"/>
              </w:rPr>
            </w:pPr>
            <w:r w:rsidRPr="00865E90">
              <w:rPr>
                <w:rFonts w:ascii="Calibri" w:eastAsia="Calibri" w:hAnsi="Calibri" w:cs="Calibri"/>
              </w:rPr>
              <w:t xml:space="preserve">For the texts and status of </w:t>
            </w:r>
            <w:r w:rsidR="003F455E" w:rsidRPr="00865E90">
              <w:rPr>
                <w:rFonts w:ascii="Calibri" w:eastAsia="Calibri" w:hAnsi="Calibri" w:cs="Calibri"/>
              </w:rPr>
              <w:t>Israeli</w:t>
            </w:r>
            <w:r w:rsidRPr="00865E90">
              <w:rPr>
                <w:rFonts w:ascii="Calibri" w:eastAsia="Calibri" w:hAnsi="Calibri" w:cs="Calibri"/>
              </w:rPr>
              <w:t xml:space="preserve"> tax treaties, see </w:t>
            </w:r>
            <w:hyperlink r:id="rId22">
              <w:r w:rsidRPr="00865E90">
                <w:rPr>
                  <w:rStyle w:val="Hyperlink"/>
                  <w:rFonts w:ascii="Calibri" w:eastAsia="Calibri" w:hAnsi="Calibri" w:cs="Calibri"/>
                </w:rPr>
                <w:t>International Tax Treaties</w:t>
              </w:r>
            </w:hyperlink>
            <w:r w:rsidR="55062361" w:rsidRPr="00865E90">
              <w:rPr>
                <w:rFonts w:ascii="Calibri" w:eastAsia="Calibri" w:hAnsi="Calibri" w:cs="Calibri"/>
              </w:rPr>
              <w:t>.</w:t>
            </w:r>
            <w:r w:rsidR="006C2FF5" w:rsidRPr="00865E90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6C2FF5" w14:paraId="6E5D9859" w14:textId="77777777" w:rsidTr="73722CA5">
        <w:trPr>
          <w:trHeight w:val="300"/>
        </w:trPr>
        <w:tc>
          <w:tcPr>
            <w:tcW w:w="12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hideMark/>
          </w:tcPr>
          <w:p w14:paraId="72D4F23A" w14:textId="77777777" w:rsidR="006C2FF5" w:rsidRPr="00BE2689" w:rsidRDefault="006C2FF5" w:rsidP="00BE2689">
            <w:pPr>
              <w:pStyle w:val="paragraph"/>
              <w:spacing w:before="120" w:beforeAutospacing="0" w:after="120" w:afterAutospacing="0"/>
              <w:textAlignment w:val="baseline"/>
            </w:pPr>
            <w:r w:rsidRPr="00BE2689">
              <w:rPr>
                <w:rStyle w:val="normaltextrun"/>
                <w:rFonts w:ascii="Calibri" w:eastAsiaTheme="majorEastAsia" w:hAnsi="Calibri" w:cs="Calibri"/>
                <w:b/>
                <w:bCs/>
                <w:color w:val="FFFFFF"/>
                <w:sz w:val="28"/>
                <w:szCs w:val="28"/>
              </w:rPr>
              <w:t>Corporations</w:t>
            </w:r>
            <w:r w:rsidRPr="00BE2689">
              <w:rPr>
                <w:rStyle w:val="eop"/>
                <w:rFonts w:ascii="Calibri" w:eastAsiaTheme="majorEastAsia" w:hAnsi="Calibri" w:cs="Calibri"/>
                <w:color w:val="FFFFFF"/>
                <w:sz w:val="28"/>
                <w:szCs w:val="28"/>
              </w:rPr>
              <w:t> </w:t>
            </w:r>
          </w:p>
        </w:tc>
      </w:tr>
      <w:tr w:rsidR="006C2FF5" w14:paraId="13583BAA" w14:textId="77777777" w:rsidTr="73722CA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376032E" w14:textId="6847E83D" w:rsidR="006C2FF5" w:rsidRPr="00B420E7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B420E7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Corporate income tax rate</w:t>
            </w:r>
            <w:r w:rsidRPr="00B420E7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BBED758" w14:textId="549B50E6" w:rsidR="00F03243" w:rsidRPr="00E20ED2" w:rsidRDefault="006C2FF5" w:rsidP="2C5B77B6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The standard rate </w:t>
            </w:r>
            <w:r w:rsidR="00507027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is </w:t>
            </w:r>
            <w:r w:rsidR="00594F4D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a flat </w:t>
            </w:r>
            <w:r w:rsidR="00BF397A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23</w:t>
            </w:r>
            <w:r w:rsidR="00D41D3B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%</w:t>
            </w:r>
            <w:r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 (</w:t>
            </w:r>
            <w:hyperlink r:id="rId23" w:anchor="section(7)">
              <w:r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 xml:space="preserve">Section </w:t>
              </w:r>
              <w:r w:rsidR="3EBEA46E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V</w:t>
              </w:r>
              <w:r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</w:t>
              </w:r>
              <w:r w:rsidR="3B8C7A0C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C</w:t>
              </w:r>
              <w:r w:rsidR="00B414D5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</w:t>
              </w:r>
              <w:r w:rsidR="18AB6C6D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7</w:t>
              </w:r>
              <w:r w:rsidR="007965AC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</w:t>
              </w:r>
            </w:hyperlink>
            <w:r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</w:p>
        </w:tc>
      </w:tr>
      <w:tr w:rsidR="006C2FF5" w14:paraId="23006923" w14:textId="77777777" w:rsidTr="73722CA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5A36D" w14:textId="3BE776C1" w:rsidR="006C2FF5" w:rsidRPr="00B420E7" w:rsidRDefault="00B420E7" w:rsidP="2C5B77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W</w:t>
            </w:r>
            <w:r w:rsidR="006C2FF5" w:rsidRPr="00B420E7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ithholding tax rates on payments to non-resident companies</w:t>
            </w:r>
            <w:r w:rsidR="006C2FF5" w:rsidRPr="00B420E7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  <w:r w:rsidR="08627815" w:rsidRPr="00B420E7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 xml:space="preserve">not connected with a </w:t>
            </w:r>
            <w:r w:rsidR="08627815" w:rsidRPr="00B420E7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lastRenderedPageBreak/>
              <w:t xml:space="preserve">source country PE (or </w:t>
            </w:r>
            <w:r w:rsidR="763BB8CF" w:rsidRPr="00B420E7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 xml:space="preserve">the </w:t>
            </w:r>
            <w:r w:rsidR="08627815" w:rsidRPr="00B420E7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domestic equivalent).</w:t>
            </w:r>
          </w:p>
        </w:tc>
        <w:tc>
          <w:tcPr>
            <w:tcW w:w="9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B6F0D" w14:textId="064659D6" w:rsidR="006C2FF5" w:rsidRDefault="006C2FF5" w:rsidP="2C5B77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pPr>
            <w:r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  <w:u w:val="single"/>
              </w:rPr>
              <w:lastRenderedPageBreak/>
              <w:t>Dividends</w:t>
            </w:r>
            <w:r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: </w:t>
            </w:r>
            <w:r w:rsidR="6ADADC97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25%</w:t>
            </w:r>
            <w:r w:rsidR="26392906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or </w:t>
            </w:r>
            <w:r w:rsidR="0834339C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30%</w:t>
            </w:r>
            <w:r w:rsidR="74B8A988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on </w:t>
            </w:r>
            <w:r w:rsidR="4D62B537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payment</w:t>
            </w:r>
            <w:r w:rsidR="4916A861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s</w:t>
            </w:r>
            <w:r w:rsidR="4D62B537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to</w:t>
            </w:r>
            <w:r w:rsidR="4F2B61CF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1CD30B9A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a </w:t>
            </w:r>
            <w:r w:rsidR="00A80D8B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bidi="he-IL"/>
              </w:rPr>
              <w:t>less</w:t>
            </w:r>
            <w:r w:rsidR="321152EC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than or </w:t>
            </w:r>
            <w:r w:rsidR="00A80D8B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more</w:t>
            </w:r>
            <w:r w:rsidR="321152EC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than </w:t>
            </w:r>
            <w:r w:rsidR="1CD30B9A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10%</w:t>
            </w:r>
            <w:r w:rsidR="5E3CA79C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32F2E6AB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shareholder</w:t>
            </w:r>
            <w:r w:rsidR="47CF95A0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, respectively</w:t>
            </w:r>
            <w:r w:rsidR="12278542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; </w:t>
            </w:r>
            <w:r w:rsidR="0834339C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20%</w:t>
            </w:r>
            <w:r w:rsidR="1419FB22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17CA5BE9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when paid </w:t>
            </w:r>
            <w:r w:rsidR="3AFEFB60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from</w:t>
            </w:r>
            <w:r w:rsidR="1419FB22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an </w:t>
            </w:r>
            <w:r w:rsidR="0070420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“</w:t>
            </w:r>
            <w:r w:rsidR="1419FB22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approved enterprise</w:t>
            </w:r>
            <w:r w:rsidR="0070420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”</w:t>
            </w:r>
            <w:r w:rsidR="1A401377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(as defined)</w:t>
            </w:r>
            <w:r w:rsidR="157A973C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;</w:t>
            </w:r>
            <w:r w:rsidR="1419FB22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834339C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15%</w:t>
            </w:r>
            <w:r w:rsidR="58A14495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5008AAB6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when paid </w:t>
            </w:r>
            <w:r w:rsidR="7D30EE80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from a</w:t>
            </w:r>
            <w:r w:rsidR="25C54A83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pre-2011</w:t>
            </w:r>
            <w:r w:rsidR="58A14495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70420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“</w:t>
            </w:r>
            <w:r w:rsidR="58A14495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approved enterprise</w:t>
            </w:r>
            <w:r w:rsidR="1FB93251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;</w:t>
            </w:r>
            <w:r w:rsidR="0070420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”</w:t>
            </w:r>
            <w:r w:rsidR="58A14495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834339C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5%</w:t>
            </w:r>
            <w:r w:rsidR="46E152E0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7F1659F6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when paid by an eligible international holding company</w:t>
            </w:r>
            <w:r w:rsidR="0070420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</w:t>
            </w:r>
            <w:r w:rsidR="061BFEC5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</w:p>
          <w:p w14:paraId="696BB83E" w14:textId="77777777" w:rsidR="00865E90" w:rsidRPr="005836E5" w:rsidRDefault="00865E90" w:rsidP="2C5B77B6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0C30397E" w14:textId="20E8AF27" w:rsidR="006C2FF5" w:rsidRDefault="2EB24D29" w:rsidP="2C5B77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color w:val="FF0000"/>
                <w:sz w:val="22"/>
                <w:szCs w:val="22"/>
              </w:rPr>
            </w:pPr>
            <w:r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  <w:u w:val="single"/>
              </w:rPr>
              <w:lastRenderedPageBreak/>
              <w:t>Int</w:t>
            </w:r>
            <w:r w:rsidR="006C2FF5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  <w:u w:val="single"/>
              </w:rPr>
              <w:t>erest</w:t>
            </w:r>
            <w:r w:rsidR="006C2FF5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:</w:t>
            </w:r>
            <w:r w:rsidR="00DB67B2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A80D8B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2</w:t>
            </w:r>
            <w:r w:rsidR="00A80D8B">
              <w:rPr>
                <w:rStyle w:val="normaltextrun"/>
                <w:rFonts w:ascii="Calibri" w:eastAsiaTheme="majorEastAsia" w:hAnsi="Calibri" w:cs="Calibri" w:hint="cs"/>
                <w:sz w:val="22"/>
                <w:szCs w:val="22"/>
                <w:rtl/>
                <w:lang w:bidi="he-IL"/>
              </w:rPr>
              <w:t>5</w:t>
            </w:r>
            <w:r w:rsidR="27A9C0E6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%,</w:t>
            </w:r>
            <w:r w:rsidR="00DD13D9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55247B15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subject to a 0% </w:t>
            </w:r>
            <w:r w:rsidR="78FE3721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rate </w:t>
            </w:r>
            <w:r w:rsidR="55247B15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for certain payments, </w:t>
            </w:r>
            <w:r w:rsidR="497F1C21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including</w:t>
            </w:r>
            <w:r w:rsidR="55247B15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311234EE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interest </w:t>
            </w:r>
            <w:r w:rsidR="731BD2DF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on</w:t>
            </w:r>
            <w:r w:rsidR="55247B15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governmen</w:t>
            </w:r>
            <w:r w:rsidR="0119CF3D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t</w:t>
            </w:r>
            <w:r w:rsidR="55247B15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57F45E00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bonds </w:t>
            </w:r>
            <w:r w:rsidR="55247B15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and corporat</w:t>
            </w:r>
            <w:r w:rsidR="1B08B3AB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e</w:t>
            </w:r>
            <w:r w:rsidR="55247B15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58A9D47E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bonds </w:t>
            </w:r>
            <w:r w:rsidR="05431BF9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of </w:t>
            </w:r>
            <w:r w:rsidR="58A9D47E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Israeli-</w:t>
            </w:r>
            <w:r w:rsidR="0E04BFC2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listed co</w:t>
            </w:r>
            <w:r w:rsidR="1AD1EC8A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rp</w:t>
            </w:r>
            <w:r w:rsidR="0E04BFC2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orations</w:t>
            </w:r>
            <w:r w:rsidR="58A9D47E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and </w:t>
            </w:r>
            <w:r w:rsidR="5AC6C7C8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interest on </w:t>
            </w:r>
            <w:r w:rsidR="58A9D47E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bank deposits</w:t>
            </w:r>
            <w:r w:rsidR="78D8D8F4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</w:t>
            </w:r>
            <w:r w:rsidR="006C2FF5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 </w:t>
            </w:r>
            <w:r w:rsidR="006C2FF5" w:rsidRPr="2C5B77B6">
              <w:rPr>
                <w:rStyle w:val="normaltextrun"/>
                <w:rFonts w:ascii="Calibri" w:eastAsiaTheme="majorEastAsia" w:hAnsi="Calibri" w:cs="Calibri"/>
                <w:color w:val="FF0000"/>
                <w:sz w:val="22"/>
                <w:szCs w:val="22"/>
              </w:rPr>
              <w:t> </w:t>
            </w:r>
            <w:r w:rsidR="006C2FF5" w:rsidRPr="2C5B77B6">
              <w:rPr>
                <w:rStyle w:val="eop"/>
                <w:rFonts w:ascii="Calibri" w:eastAsiaTheme="majorEastAsia" w:hAnsi="Calibri" w:cs="Calibri"/>
                <w:color w:val="FF0000"/>
                <w:sz w:val="22"/>
                <w:szCs w:val="22"/>
              </w:rPr>
              <w:t> </w:t>
            </w:r>
          </w:p>
          <w:p w14:paraId="551951B5" w14:textId="77777777" w:rsidR="00865E90" w:rsidRPr="005836E5" w:rsidRDefault="00865E90" w:rsidP="2C5B77B6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19CACEEF" w14:textId="625CF221" w:rsidR="006C2FF5" w:rsidRPr="005266CD" w:rsidRDefault="006C2FF5" w:rsidP="599F2C29">
            <w:pPr>
              <w:pStyle w:val="paragraph"/>
              <w:spacing w:before="0" w:beforeAutospacing="0" w:after="0" w:afterAutospacing="0"/>
              <w:rPr>
                <w:rStyle w:val="eop"/>
                <w:rFonts w:ascii="Calibri" w:eastAsia="Calibri" w:hAnsi="Calibri" w:cs="Calibri"/>
                <w:sz w:val="22"/>
                <w:szCs w:val="22"/>
              </w:rPr>
            </w:pPr>
            <w:r w:rsidRPr="599F2C29">
              <w:rPr>
                <w:rStyle w:val="normaltextrun"/>
                <w:rFonts w:ascii="Calibri" w:eastAsiaTheme="majorEastAsia" w:hAnsi="Calibri" w:cs="Calibri"/>
                <w:sz w:val="22"/>
                <w:szCs w:val="22"/>
                <w:u w:val="single"/>
              </w:rPr>
              <w:t>Royalties</w:t>
            </w:r>
            <w:r w:rsidRPr="599F2C29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: </w:t>
            </w:r>
            <w:r w:rsidR="00A80D8B">
              <w:rPr>
                <w:rStyle w:val="normaltextrun"/>
                <w:rFonts w:ascii="Calibri" w:eastAsiaTheme="majorEastAsia" w:hAnsi="Calibri" w:cs="Calibri" w:hint="cs"/>
                <w:sz w:val="22"/>
                <w:szCs w:val="22"/>
                <w:rtl/>
                <w:lang w:bidi="he-IL"/>
              </w:rPr>
              <w:t>2</w:t>
            </w:r>
            <w:r w:rsidR="00A80D8B">
              <w:rPr>
                <w:rStyle w:val="normaltextrun"/>
                <w:rFonts w:ascii="Calibri" w:eastAsiaTheme="majorEastAsia" w:hAnsi="Calibri" w:cs="Calibri" w:hint="cs"/>
                <w:rtl/>
                <w:lang w:bidi="he-IL"/>
              </w:rPr>
              <w:t>5</w:t>
            </w:r>
            <w:r w:rsidR="003F490E" w:rsidRPr="599F2C29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%</w:t>
            </w:r>
            <w:r w:rsidR="451FDDF1" w:rsidRPr="599F2C29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. </w:t>
            </w:r>
            <w:r w:rsidR="3262ADF0" w:rsidRPr="599F2C29">
              <w:rPr>
                <w:rStyle w:val="eop"/>
                <w:rFonts w:ascii="Calibri" w:eastAsia="Calibri" w:hAnsi="Calibri" w:cs="Calibri"/>
                <w:sz w:val="22"/>
                <w:szCs w:val="22"/>
              </w:rPr>
              <w:t>(</w:t>
            </w:r>
            <w:hyperlink r:id="rId24" w:anchor="section(6)_0">
              <w:r w:rsidR="3262ADF0" w:rsidRPr="599F2C29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Sectio</w:t>
              </w:r>
              <w:r w:rsidR="005266CD" w:rsidRPr="599F2C29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n</w:t>
              </w:r>
              <w:r w:rsidR="56BCF3C1" w:rsidRPr="599F2C29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s</w:t>
              </w:r>
              <w:r w:rsidR="005266CD" w:rsidRPr="599F2C29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 xml:space="preserve"> V.A.6.</w:t>
              </w:r>
            </w:hyperlink>
            <w:r w:rsidR="7B5B6048" w:rsidRPr="599F2C29">
              <w:rPr>
                <w:rStyle w:val="eop"/>
                <w:rFonts w:ascii="Calibri" w:eastAsia="Calibri" w:hAnsi="Calibri" w:cs="Calibri"/>
                <w:sz w:val="22"/>
                <w:szCs w:val="22"/>
              </w:rPr>
              <w:t xml:space="preserve"> and </w:t>
            </w:r>
            <w:hyperlink r:id="rId25" w:anchor="section(2)_0">
              <w:r w:rsidR="7B5B6048" w:rsidRPr="599F2C29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VI.C.2.</w:t>
              </w:r>
            </w:hyperlink>
            <w:r w:rsidR="3262ADF0" w:rsidRPr="599F2C29">
              <w:rPr>
                <w:rStyle w:val="eop"/>
                <w:rFonts w:ascii="Calibri" w:eastAsia="Calibri" w:hAnsi="Calibri" w:cs="Calibri"/>
                <w:sz w:val="22"/>
                <w:szCs w:val="22"/>
              </w:rPr>
              <w:t xml:space="preserve">) </w:t>
            </w:r>
          </w:p>
          <w:p w14:paraId="5A5D8F18" w14:textId="77777777" w:rsidR="00865E90" w:rsidRDefault="00865E90" w:rsidP="00865E9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pPr>
          </w:p>
          <w:p w14:paraId="52E12976" w14:textId="47607461" w:rsidR="006C2FF5" w:rsidRPr="005836E5" w:rsidRDefault="006C2FF5" w:rsidP="00865E9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</w:pPr>
            <w:r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For the rates of source country taxation applying under </w:t>
            </w:r>
            <w:r w:rsidR="54868134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Israeli</w:t>
            </w:r>
            <w:r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domestic law and the context for their application, see the </w:t>
            </w:r>
            <w:hyperlink r:id="rId26">
              <w:r w:rsidRPr="2C5B77B6">
                <w:rPr>
                  <w:rStyle w:val="normaltextrun"/>
                  <w:rFonts w:ascii="Calibri" w:eastAsiaTheme="majorEastAsia" w:hAnsi="Calibri" w:cs="Calibri"/>
                  <w:color w:val="0563C1"/>
                  <w:sz w:val="22"/>
                  <w:szCs w:val="22"/>
                  <w:u w:val="single"/>
                </w:rPr>
                <w:t>Withholding Tax Chart</w:t>
              </w:r>
            </w:hyperlink>
            <w:r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</w:t>
            </w:r>
            <w:r w:rsidRPr="2C5B77B6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</w:tr>
      <w:tr w:rsidR="006C2FF5" w:rsidRPr="00D24FB6" w14:paraId="549E60F5" w14:textId="77777777" w:rsidTr="73722CA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1CE3250" w14:textId="77777777" w:rsidR="006C2FF5" w:rsidRPr="00B420E7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B420E7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lastRenderedPageBreak/>
              <w:t>Net operating losses carryback/forward</w:t>
            </w:r>
            <w:r w:rsidRPr="00B420E7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E6D15A8" w14:textId="5251A9F8" w:rsidR="006C2FF5" w:rsidRPr="00D24FB6" w:rsidRDefault="006C2FF5" w:rsidP="00865E90">
            <w:pPr>
              <w:pStyle w:val="paragrap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D24FB6">
              <w:rPr>
                <w:rStyle w:val="normaltextrun"/>
                <w:rFonts w:ascii="Calibri" w:eastAsiaTheme="majorEastAsia" w:hAnsi="Calibri" w:cs="Calibri"/>
                <w:sz w:val="22"/>
                <w:szCs w:val="22"/>
                <w:u w:val="single"/>
              </w:rPr>
              <w:t>Carryback</w:t>
            </w:r>
            <w:r w:rsidRPr="00D24F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: </w:t>
            </w:r>
            <w:r w:rsidR="00FA1ADE" w:rsidRPr="00D24F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No</w:t>
            </w:r>
            <w:r w:rsidRPr="00D24F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 </w:t>
            </w:r>
            <w:r w:rsidRPr="00D24FB6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  <w:p w14:paraId="79E4ABC3" w14:textId="5C25F396" w:rsidR="006C2FF5" w:rsidRPr="00D24FB6" w:rsidRDefault="006C2FF5" w:rsidP="00865E90">
            <w:pPr>
              <w:pStyle w:val="paragraph"/>
              <w:spacing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D24FB6">
              <w:rPr>
                <w:rStyle w:val="normaltextrun"/>
                <w:rFonts w:ascii="Calibri" w:eastAsiaTheme="majorEastAsia" w:hAnsi="Calibri" w:cs="Calibri"/>
                <w:sz w:val="22"/>
                <w:szCs w:val="22"/>
                <w:u w:val="single"/>
              </w:rPr>
              <w:t>Carryforward</w:t>
            </w:r>
            <w:r w:rsidRPr="00D24F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:</w:t>
            </w:r>
            <w:r w:rsidR="00DC3293" w:rsidRPr="00D24F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1881B8FD" w:rsidRPr="00D24F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Unlimited</w:t>
            </w:r>
            <w:r w:rsidR="6EEDE985" w:rsidRPr="00D24F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</w:t>
            </w:r>
            <w:r w:rsidR="71A41F22" w:rsidRPr="00D24F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76275C81" w:rsidRPr="00D24F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Losses can be offset against any income in th</w:t>
            </w:r>
            <w:r w:rsidR="41153C59" w:rsidRPr="00D24F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e </w:t>
            </w:r>
            <w:r w:rsidR="76275C81" w:rsidRPr="00D24F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tax year</w:t>
            </w:r>
            <w:r w:rsidR="288DD254" w:rsidRPr="00D24F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D24FB6" w:rsidRPr="00D24F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i</w:t>
            </w:r>
            <w:r w:rsidR="00D24FB6" w:rsidRPr="007A069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n which </w:t>
            </w:r>
            <w:proofErr w:type="gramStart"/>
            <w:r w:rsidR="76275C81" w:rsidRPr="00D24F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incurred</w:t>
            </w:r>
            <w:proofErr w:type="gramEnd"/>
            <w:r w:rsidR="1D14DD63" w:rsidRPr="00D24F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, but</w:t>
            </w:r>
            <w:r w:rsidR="00D24FB6" w:rsidRPr="00D24F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i</w:t>
            </w:r>
            <w:r w:rsidR="00D24FB6" w:rsidRPr="007A069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n </w:t>
            </w:r>
            <w:r w:rsidR="1D14DD63" w:rsidRPr="00D24F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subsequent years</w:t>
            </w:r>
            <w:r w:rsidR="76275C81" w:rsidRPr="00D24F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unutilized </w:t>
            </w:r>
            <w:r w:rsidR="685F024A" w:rsidRPr="00D24F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amounts</w:t>
            </w:r>
            <w:r w:rsidR="76275C81" w:rsidRPr="00D24F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must </w:t>
            </w:r>
            <w:r w:rsidR="5579CF1A" w:rsidRPr="00D24F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be a</w:t>
            </w:r>
            <w:r w:rsidR="04E99345" w:rsidRPr="00D24F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p</w:t>
            </w:r>
            <w:r w:rsidR="5579CF1A" w:rsidRPr="00D24F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plied against business </w:t>
            </w:r>
            <w:r w:rsidR="71A41F22" w:rsidRPr="00D24F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income </w:t>
            </w:r>
            <w:r w:rsidR="236960E1" w:rsidRPr="00D24F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and</w:t>
            </w:r>
            <w:r w:rsidR="107559A6" w:rsidRPr="00D24F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capital gains</w:t>
            </w:r>
            <w:r w:rsidR="6B215638" w:rsidRPr="00D24F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from business activity</w:t>
            </w:r>
            <w:r w:rsidR="00517AC5" w:rsidRPr="00D24F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</w:t>
            </w:r>
            <w:r w:rsidRPr="00D24F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(</w:t>
            </w:r>
            <w:hyperlink r:id="rId27" w:anchor="section(5)_0">
              <w:r w:rsidRPr="00D24F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 xml:space="preserve">Section </w:t>
              </w:r>
              <w:r w:rsidR="03527C47" w:rsidRPr="00D24F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V</w:t>
              </w:r>
              <w:r w:rsidRPr="00D24F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</w:t>
              </w:r>
              <w:r w:rsidR="0BB3F17F" w:rsidRPr="00D24F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A</w:t>
              </w:r>
              <w:r w:rsidRPr="00D24F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</w:t>
              </w:r>
              <w:r w:rsidR="188D7BCF" w:rsidRPr="00D24F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5</w:t>
              </w:r>
            </w:hyperlink>
            <w:r w:rsidR="00517AC5" w:rsidRPr="00D24F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  <w:r w:rsidRPr="00D24FB6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</w:tr>
      <w:tr w:rsidR="006C2FF5" w14:paraId="2C24A7BA" w14:textId="77777777" w:rsidTr="73722CA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AFA806D" w14:textId="77777777" w:rsidR="006C2FF5" w:rsidRPr="00B420E7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B420E7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Restrictions on deductibility of interest expenses </w:t>
            </w:r>
            <w:r w:rsidRPr="00B420E7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71DC53D" w14:textId="1F3258EE" w:rsidR="006C2FF5" w:rsidRPr="005836E5" w:rsidRDefault="00C7047D" w:rsidP="2C5B77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pPr>
            <w:r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T</w:t>
            </w:r>
            <w:r w:rsidR="00654293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h</w:t>
            </w:r>
            <w:r w:rsidR="006C2FF5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ere are no thin capitalization rules</w:t>
            </w:r>
            <w:r w:rsidR="1E16DD42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. </w:t>
            </w:r>
            <w:r w:rsidR="2C4B1412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Generally, i</w:t>
            </w:r>
            <w:r w:rsidR="5C401EFA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nterest is deductible</w:t>
            </w:r>
            <w:r w:rsidR="3D2004F8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,</w:t>
            </w:r>
            <w:r w:rsidR="5C401EFA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provided it is </w:t>
            </w:r>
            <w:r w:rsidR="387DAFA3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incurred in </w:t>
            </w:r>
            <w:r w:rsidR="7257892E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the </w:t>
            </w:r>
            <w:r w:rsidR="387DAFA3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production of taxable income</w:t>
            </w:r>
            <w:r w:rsidR="7113471E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, but i</w:t>
            </w:r>
            <w:r w:rsidR="1E16DD42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nterest charges </w:t>
            </w:r>
            <w:r w:rsidR="3E536B7C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between related parties </w:t>
            </w:r>
            <w:r w:rsidR="1E16DD42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are subject to general</w:t>
            </w:r>
            <w:r w:rsidR="5CA3A4BC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CB6BBD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transfer pricing </w:t>
            </w:r>
            <w:r w:rsidR="5CA3A4BC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principles (see below).</w:t>
            </w:r>
            <w:r w:rsidR="7D71DE83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(</w:t>
            </w:r>
            <w:hyperlink r:id="rId28" w:anchor="section(4)(4)(d)_0">
              <w:r w:rsidR="7D71DE83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Section V</w:t>
              </w:r>
              <w:r w:rsidR="006D3B19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</w:t>
              </w:r>
              <w:r w:rsidR="7D71DE83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C.4.d.</w:t>
              </w:r>
            </w:hyperlink>
            <w:r w:rsidR="0E9C0986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) </w:t>
            </w:r>
          </w:p>
        </w:tc>
      </w:tr>
      <w:tr w:rsidR="006C2FF5" w14:paraId="5FFB6983" w14:textId="77777777" w:rsidTr="73722CA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4359FF" w14:textId="77777777" w:rsidR="006C2FF5" w:rsidRPr="00B420E7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B420E7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Anti-hybrid mismatch rules</w:t>
            </w:r>
            <w:r w:rsidRPr="00B420E7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3E053CB" w14:textId="206BEB0F" w:rsidR="006C2FF5" w:rsidRPr="005836E5" w:rsidRDefault="626A0A7C" w:rsidP="2C5B77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pPr>
            <w:r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No.</w:t>
            </w:r>
          </w:p>
        </w:tc>
      </w:tr>
      <w:tr w:rsidR="006C2FF5" w14:paraId="2354B238" w14:textId="77777777" w:rsidTr="73722CA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BAD77" w14:textId="36FEA573" w:rsidR="006C2FF5" w:rsidRPr="00B420E7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B420E7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Incentives (major)</w:t>
            </w:r>
            <w:r w:rsidRPr="00B420E7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BFF236" w14:textId="3886480D" w:rsidR="00A204FA" w:rsidRPr="00EA6B20" w:rsidRDefault="00A204FA" w:rsidP="00EA6B20">
            <w:pPr>
              <w:numPr>
                <w:ilvl w:val="0"/>
                <w:numId w:val="38"/>
              </w:numPr>
              <w:spacing w:after="0" w:line="256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EA6B20">
              <w:rPr>
                <w:rFonts w:ascii="Calibri" w:eastAsia="Calibri" w:hAnsi="Calibri" w:cs="Calibri"/>
              </w:rPr>
              <w:t xml:space="preserve">R&amp;D: Yes. </w:t>
            </w:r>
            <w:r w:rsidR="004636EA" w:rsidRPr="00EA6B20">
              <w:rPr>
                <w:rFonts w:ascii="Calibri" w:eastAsia="Calibri" w:hAnsi="Calibri" w:cs="Calibri"/>
              </w:rPr>
              <w:t>(</w:t>
            </w:r>
            <w:hyperlink r:id="rId29" w:history="1">
              <w:r w:rsidR="004636EA" w:rsidRPr="00EA6B20">
                <w:rPr>
                  <w:rStyle w:val="Hyperlink"/>
                  <w:color w:val="auto"/>
                </w:rPr>
                <w:t>Section XVII.E</w:t>
              </w:r>
            </w:hyperlink>
            <w:r w:rsidR="004636EA" w:rsidRPr="00EA6B20">
              <w:rPr>
                <w:rFonts w:ascii="Calibri" w:eastAsia="Calibri" w:hAnsi="Calibri" w:cs="Calibri"/>
              </w:rPr>
              <w:t>.</w:t>
            </w:r>
            <w:r w:rsidR="004636EA" w:rsidRPr="00EA6B20">
              <w:rPr>
                <w:rFonts w:ascii="Calibri" w:hAnsi="Calibri" w:cs="Calibri"/>
              </w:rPr>
              <w:t>)</w:t>
            </w:r>
          </w:p>
          <w:p w14:paraId="14511DAD" w14:textId="39F19869" w:rsidR="00A204FA" w:rsidRPr="00EA6B20" w:rsidRDefault="00A204FA" w:rsidP="00825478">
            <w:pPr>
              <w:numPr>
                <w:ilvl w:val="0"/>
                <w:numId w:val="38"/>
              </w:numPr>
              <w:spacing w:after="0" w:line="256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EA6B20">
              <w:rPr>
                <w:rFonts w:ascii="Calibri" w:eastAsia="Calibri" w:hAnsi="Calibri" w:cs="Calibri"/>
              </w:rPr>
              <w:t xml:space="preserve">Patent box: </w:t>
            </w:r>
            <w:r w:rsidR="00A75D08" w:rsidRPr="00EA6B20">
              <w:rPr>
                <w:rFonts w:ascii="Calibri" w:eastAsia="Calibri" w:hAnsi="Calibri" w:cs="Calibri"/>
              </w:rPr>
              <w:t>Yes. (</w:t>
            </w:r>
            <w:hyperlink r:id="rId30" w:anchor="section(3)(3)(b)_0" w:history="1">
              <w:r w:rsidR="00A75D08" w:rsidRPr="00EA6B20">
                <w:rPr>
                  <w:rStyle w:val="Hyperlink"/>
                  <w:color w:val="auto"/>
                </w:rPr>
                <w:t>Section XVII.A.3.b.</w:t>
              </w:r>
            </w:hyperlink>
            <w:r w:rsidR="00A75D08" w:rsidRPr="00EA6B20">
              <w:rPr>
                <w:rFonts w:ascii="Calibri" w:eastAsia="Calibri" w:hAnsi="Calibri" w:cs="Calibri"/>
              </w:rPr>
              <w:t>)</w:t>
            </w:r>
          </w:p>
          <w:p w14:paraId="7540C96A" w14:textId="0C48232C" w:rsidR="00A204FA" w:rsidRPr="00EA6B20" w:rsidRDefault="00A204FA" w:rsidP="00A204FA">
            <w:pPr>
              <w:numPr>
                <w:ilvl w:val="0"/>
                <w:numId w:val="38"/>
              </w:numPr>
              <w:spacing w:after="0" w:line="256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EA6B20">
              <w:rPr>
                <w:rFonts w:ascii="Calibri" w:eastAsia="Calibri" w:hAnsi="Calibri" w:cs="Calibri"/>
              </w:rPr>
              <w:t>Enhanced depreciation / capital allowance:</w:t>
            </w:r>
            <w:r w:rsidR="00D648FA" w:rsidRPr="00EA6B20">
              <w:rPr>
                <w:rFonts w:ascii="Calibri" w:eastAsia="Calibri" w:hAnsi="Calibri" w:cs="Calibri"/>
              </w:rPr>
              <w:t xml:space="preserve"> Yes. (</w:t>
            </w:r>
            <w:hyperlink r:id="rId31" w:anchor="section(5)(5)(g)_0&quot;" w:history="1">
              <w:r w:rsidR="00D648FA" w:rsidRPr="00EA6B20">
                <w:rPr>
                  <w:rStyle w:val="Hyperlink"/>
                  <w:color w:val="auto"/>
                </w:rPr>
                <w:t>Section V.C.</w:t>
              </w:r>
              <w:r w:rsidR="00D648FA" w:rsidRPr="00EA6B20">
                <w:rPr>
                  <w:rStyle w:val="Hyperlink"/>
                  <w:rFonts w:ascii="Calibri" w:eastAsia="Calibri" w:hAnsi="Calibri" w:cs="Calibri"/>
                  <w:color w:val="auto"/>
                </w:rPr>
                <w:t>5</w:t>
              </w:r>
              <w:r w:rsidR="00D648FA" w:rsidRPr="00EA6B20">
                <w:rPr>
                  <w:rStyle w:val="Hyperlink"/>
                  <w:color w:val="auto"/>
                </w:rPr>
                <w:t>.g.</w:t>
              </w:r>
            </w:hyperlink>
            <w:r w:rsidR="00D648FA" w:rsidRPr="00EA6B20">
              <w:rPr>
                <w:rFonts w:ascii="Calibri" w:eastAsia="Calibri" w:hAnsi="Calibri" w:cs="Calibri"/>
              </w:rPr>
              <w:t xml:space="preserve"> and </w:t>
            </w:r>
            <w:hyperlink r:id="rId32" w:anchor="section(3)_0" w:history="1">
              <w:r w:rsidR="00D648FA" w:rsidRPr="00EA6B20">
                <w:rPr>
                  <w:rStyle w:val="Hyperlink"/>
                  <w:color w:val="auto"/>
                </w:rPr>
                <w:t>Section XVII.A.3.</w:t>
              </w:r>
            </w:hyperlink>
            <w:r w:rsidR="00D648FA" w:rsidRPr="00EA6B20">
              <w:rPr>
                <w:rFonts w:ascii="Calibri" w:eastAsia="Calibri" w:hAnsi="Calibri" w:cs="Calibri"/>
              </w:rPr>
              <w:t>)</w:t>
            </w:r>
          </w:p>
          <w:p w14:paraId="515D7FD8" w14:textId="1D407772" w:rsidR="00A204FA" w:rsidRPr="00EA6B20" w:rsidRDefault="00A204FA" w:rsidP="00A204FA">
            <w:pPr>
              <w:numPr>
                <w:ilvl w:val="0"/>
                <w:numId w:val="38"/>
              </w:numPr>
              <w:spacing w:after="0" w:line="256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EA6B20">
              <w:rPr>
                <w:rFonts w:ascii="Calibri" w:eastAsia="Calibri" w:hAnsi="Calibri" w:cs="Calibri"/>
                <w:kern w:val="0"/>
                <w14:ligatures w14:val="none"/>
              </w:rPr>
              <w:t xml:space="preserve">Environmental: </w:t>
            </w:r>
            <w:r w:rsidR="00A72B92" w:rsidRPr="00EA6B20">
              <w:rPr>
                <w:rFonts w:ascii="Calibri" w:eastAsia="Calibri" w:hAnsi="Calibri" w:cs="Calibri"/>
                <w:kern w:val="0"/>
                <w14:ligatures w14:val="none"/>
              </w:rPr>
              <w:t>Yes. (</w:t>
            </w:r>
            <w:hyperlink r:id="rId33" w:anchor="section(3)(3)(a)_0" w:history="1">
              <w:r w:rsidR="00A72B92" w:rsidRPr="00EA6B20">
                <w:rPr>
                  <w:rStyle w:val="Hyperlink"/>
                  <w:color w:val="auto"/>
                </w:rPr>
                <w:t>Section XVII.A.3.a.</w:t>
              </w:r>
            </w:hyperlink>
            <w:r w:rsidR="00A72B92" w:rsidRPr="00EA6B20">
              <w:rPr>
                <w:rFonts w:ascii="Calibri" w:eastAsia="Calibri" w:hAnsi="Calibri" w:cs="Calibri"/>
                <w:kern w:val="0"/>
                <w14:ligatures w14:val="none"/>
              </w:rPr>
              <w:t xml:space="preserve"> and </w:t>
            </w:r>
            <w:hyperlink r:id="rId34" w:anchor="section(3)(3)(b)_0" w:history="1">
              <w:r w:rsidR="00A72B92" w:rsidRPr="00EA6B20">
                <w:rPr>
                  <w:rStyle w:val="Hyperlink"/>
                  <w:color w:val="auto"/>
                </w:rPr>
                <w:t>b.</w:t>
              </w:r>
            </w:hyperlink>
            <w:r w:rsidR="00A72B92" w:rsidRPr="00EA6B20">
              <w:rPr>
                <w:rFonts w:ascii="Calibri" w:eastAsia="Calibri" w:hAnsi="Calibri" w:cs="Calibri"/>
                <w:kern w:val="0"/>
                <w14:ligatures w14:val="none"/>
              </w:rPr>
              <w:t>)</w:t>
            </w:r>
          </w:p>
          <w:p w14:paraId="5E160357" w14:textId="194A89C0" w:rsidR="00A204FA" w:rsidRPr="00EA6B20" w:rsidRDefault="00A204FA" w:rsidP="00EA6B20">
            <w:pPr>
              <w:numPr>
                <w:ilvl w:val="0"/>
                <w:numId w:val="38"/>
              </w:numPr>
              <w:spacing w:after="0" w:line="256" w:lineRule="auto"/>
              <w:contextualSpacing/>
              <w:jc w:val="both"/>
              <w:rPr>
                <w:rStyle w:val="normaltextrun"/>
                <w:rFonts w:ascii="Calibri" w:eastAsia="Calibri" w:hAnsi="Calibri" w:cs="Calibri"/>
              </w:rPr>
            </w:pPr>
            <w:r w:rsidRPr="00EA6B20">
              <w:rPr>
                <w:rFonts w:ascii="Calibri" w:eastAsia="Calibri" w:hAnsi="Calibri" w:cs="Calibri"/>
                <w:kern w:val="0"/>
                <w14:ligatures w14:val="none"/>
              </w:rPr>
              <w:t xml:space="preserve">Other: </w:t>
            </w:r>
            <w:r w:rsidR="002812E3" w:rsidRPr="00EA6B20">
              <w:rPr>
                <w:rFonts w:ascii="Calibri" w:eastAsia="Calibri" w:hAnsi="Calibri" w:cs="Calibri"/>
                <w:kern w:val="0"/>
                <w14:ligatures w14:val="none"/>
              </w:rPr>
              <w:t>High-tech starts-ups (</w:t>
            </w:r>
            <w:hyperlink r:id="rId35" w:history="1">
              <w:r w:rsidR="002812E3" w:rsidRPr="00EA6B20">
                <w:rPr>
                  <w:rStyle w:val="Hyperlink"/>
                  <w:color w:val="auto"/>
                </w:rPr>
                <w:t>Section XVII.B.</w:t>
              </w:r>
            </w:hyperlink>
            <w:r w:rsidR="002812E3" w:rsidRPr="00EA6B20">
              <w:rPr>
                <w:rFonts w:ascii="Calibri" w:eastAsia="Calibri" w:hAnsi="Calibri" w:cs="Calibri"/>
                <w:kern w:val="0"/>
                <w14:ligatures w14:val="none"/>
              </w:rPr>
              <w:t>)</w:t>
            </w:r>
            <w:r w:rsidR="00D61A8B" w:rsidRPr="00EA6B20">
              <w:rPr>
                <w:rFonts w:ascii="Calibri" w:eastAsia="Calibri" w:hAnsi="Calibri" w:cs="Calibri"/>
                <w:kern w:val="0"/>
                <w14:ligatures w14:val="none"/>
              </w:rPr>
              <w:t xml:space="preserve"> and</w:t>
            </w:r>
            <w:r w:rsidR="00AC69E7" w:rsidRPr="00EA6B20">
              <w:rPr>
                <w:rFonts w:ascii="Calibri" w:eastAsia="Calibri" w:hAnsi="Calibri" w:cs="Calibri"/>
                <w:kern w:val="0"/>
                <w14:ligatures w14:val="none"/>
              </w:rPr>
              <w:t xml:space="preserve"> private </w:t>
            </w:r>
            <w:r w:rsidR="0011433C" w:rsidRPr="00EA6B20">
              <w:rPr>
                <w:rFonts w:ascii="Calibri" w:eastAsia="Calibri" w:hAnsi="Calibri" w:cs="Calibri"/>
                <w:kern w:val="0"/>
                <w14:ligatures w14:val="none"/>
              </w:rPr>
              <w:t>inves</w:t>
            </w:r>
            <w:r w:rsidR="00D61A8B" w:rsidRPr="00EA6B20">
              <w:rPr>
                <w:rFonts w:ascii="Calibri" w:eastAsia="Calibri" w:hAnsi="Calibri" w:cs="Calibri"/>
                <w:kern w:val="0"/>
                <w14:ligatures w14:val="none"/>
              </w:rPr>
              <w:t>t</w:t>
            </w:r>
            <w:r w:rsidR="0011433C" w:rsidRPr="00EA6B20">
              <w:rPr>
                <w:rFonts w:ascii="Calibri" w:eastAsia="Calibri" w:hAnsi="Calibri" w:cs="Calibri"/>
                <w:kern w:val="0"/>
                <w14:ligatures w14:val="none"/>
              </w:rPr>
              <w:t>ment (</w:t>
            </w:r>
            <w:hyperlink r:id="rId36" w:history="1">
              <w:r w:rsidR="0011433C" w:rsidRPr="00EA6B20">
                <w:rPr>
                  <w:rStyle w:val="Hyperlink"/>
                  <w:color w:val="auto"/>
                </w:rPr>
                <w:t>Section XVII.G.</w:t>
              </w:r>
            </w:hyperlink>
            <w:r w:rsidR="0011433C" w:rsidRPr="00EA6B20">
              <w:rPr>
                <w:rFonts w:ascii="Calibri" w:eastAsia="Calibri" w:hAnsi="Calibri" w:cs="Calibri"/>
                <w:kern w:val="0"/>
                <w14:ligatures w14:val="none"/>
              </w:rPr>
              <w:t>)</w:t>
            </w:r>
            <w:r w:rsidR="002812E3" w:rsidRPr="00EA6B20">
              <w:rPr>
                <w:rFonts w:ascii="Calibri" w:eastAsia="Calibri" w:hAnsi="Calibri" w:cs="Calibri"/>
                <w:kern w:val="0"/>
                <w14:ligatures w14:val="none"/>
              </w:rPr>
              <w:t xml:space="preserve"> </w:t>
            </w:r>
          </w:p>
          <w:p w14:paraId="1A0A9722" w14:textId="0A1B534F" w:rsidR="006C2FF5" w:rsidRPr="00B55F86" w:rsidRDefault="006C2FF5" w:rsidP="2C5B77B6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Theme="majorEastAsia" w:hAnsi="Calibri" w:cs="Calibri"/>
                <w:sz w:val="22"/>
                <w:szCs w:val="22"/>
              </w:rPr>
            </w:pPr>
          </w:p>
        </w:tc>
      </w:tr>
      <w:tr w:rsidR="006C2FF5" w14:paraId="0F35BC91" w14:textId="77777777" w:rsidTr="73722CA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345D109" w14:textId="5557BA2A" w:rsidR="006C2FF5" w:rsidRPr="00B420E7" w:rsidRDefault="009349A6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  <w:t>P</w:t>
            </w:r>
            <w:r>
              <w:rPr>
                <w:rStyle w:val="normaltextrun"/>
                <w:rFonts w:ascii="Calibri" w:eastAsiaTheme="majorEastAsia" w:hAnsi="Calibri" w:cs="Calibri"/>
                <w:b/>
                <w:bCs/>
              </w:rPr>
              <w:t xml:space="preserve">articipation exemption (or similar </w:t>
            </w:r>
            <w:r w:rsidR="006C2FF5" w:rsidRPr="00B420E7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  <w:t>regime</w:t>
            </w:r>
            <w:r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  <w:t>)</w:t>
            </w:r>
            <w:r w:rsidR="006C2FF5" w:rsidRPr="00B420E7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  <w:t> </w:t>
            </w:r>
            <w:r w:rsidR="006C2FF5" w:rsidRPr="00B420E7">
              <w:rPr>
                <w:rStyle w:val="eop"/>
                <w:rFonts w:ascii="Calibri" w:eastAsiaTheme="majorEastAsia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870ECB6" w14:textId="332B71D0" w:rsidR="006C2FF5" w:rsidRPr="00B55F86" w:rsidRDefault="00FB216D">
            <w:pPr>
              <w:pStyle w:val="paragraph"/>
              <w:spacing w:before="0" w:beforeAutospacing="0" w:after="0" w:afterAutospacing="0"/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</w:pPr>
            <w:r w:rsidRPr="00B55F8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Y</w:t>
            </w:r>
            <w:r w:rsidRPr="00EA6B20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es</w:t>
            </w:r>
            <w:r w:rsidR="00712313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,</w:t>
            </w:r>
            <w:r w:rsidRPr="00EA6B20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525C4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there is </w:t>
            </w:r>
            <w:proofErr w:type="gramStart"/>
            <w:r w:rsidR="4F63773A" w:rsidRPr="00B55F8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a full</w:t>
            </w:r>
            <w:proofErr w:type="gramEnd"/>
            <w:r w:rsidR="4F63773A" w:rsidRPr="00B55F8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E02E751" w:rsidRPr="00B55F8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partic</w:t>
            </w:r>
            <w:r w:rsidR="52117727" w:rsidRPr="00B55F8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i</w:t>
            </w:r>
            <w:r w:rsidR="0E02E751" w:rsidRPr="00B55F8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p</w:t>
            </w:r>
            <w:r w:rsidR="52117727" w:rsidRPr="00B55F8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a</w:t>
            </w:r>
            <w:r w:rsidR="0E02E751" w:rsidRPr="00B55F8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ti</w:t>
            </w:r>
            <w:r w:rsidR="3A656A46" w:rsidRPr="00B55F8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o</w:t>
            </w:r>
            <w:r w:rsidR="0E02E751" w:rsidRPr="00B55F8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n exemption</w:t>
            </w:r>
            <w:r w:rsidR="076A14B0" w:rsidRPr="00B55F8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FEC32DB" w:rsidRPr="00B55F8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for</w:t>
            </w:r>
            <w:r w:rsidR="076A14B0" w:rsidRPr="00B55F8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28FDF8C1" w:rsidRPr="00B55F8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qualifying </w:t>
            </w:r>
            <w:r w:rsidR="076A14B0" w:rsidRPr="00B55F8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dividends</w:t>
            </w:r>
            <w:r w:rsidR="00B55F86" w:rsidRPr="00B55F8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,</w:t>
            </w:r>
            <w:r w:rsidR="0F9EEA78" w:rsidRPr="00B55F8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76A14B0" w:rsidRPr="00B55F8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capital gains</w:t>
            </w:r>
            <w:r w:rsidR="00B55F86" w:rsidRPr="00B55F8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,</w:t>
            </w:r>
            <w:r w:rsidR="79F79BE1" w:rsidRPr="00B55F8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2627BC0E" w:rsidRPr="00B55F8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and </w:t>
            </w:r>
            <w:r w:rsidR="311C226F" w:rsidRPr="00B55F8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certain </w:t>
            </w:r>
            <w:r w:rsidR="076A14B0" w:rsidRPr="00B55F8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financial income</w:t>
            </w:r>
            <w:r w:rsidR="08E37933" w:rsidRPr="00B55F8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</w:t>
            </w:r>
            <w:r w:rsidR="006C2FF5" w:rsidRPr="00B55F8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3E812221" w:rsidRPr="00B55F86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(</w:t>
            </w:r>
            <w:hyperlink r:id="rId37" w:history="1">
              <w:r w:rsidR="001F2F82" w:rsidRPr="00B55F8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 xml:space="preserve">Section </w:t>
              </w:r>
              <w:r w:rsidR="004E14AD" w:rsidRPr="00B55F8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IX.</w:t>
              </w:r>
            </w:hyperlink>
            <w:r w:rsidR="004E14AD" w:rsidRPr="00B55F86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)</w:t>
            </w:r>
          </w:p>
        </w:tc>
      </w:tr>
      <w:tr w:rsidR="006C2FF5" w14:paraId="558AA6DC" w14:textId="77777777" w:rsidTr="73722CA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B8FC4DE" w14:textId="77777777" w:rsidR="006C2FF5" w:rsidRPr="00B420E7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B420E7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  <w:t>Tax consolidation</w:t>
            </w:r>
            <w:r w:rsidRPr="00B420E7">
              <w:rPr>
                <w:rStyle w:val="eop"/>
                <w:rFonts w:ascii="Calibri" w:eastAsiaTheme="majorEastAsia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5804958" w14:textId="2CA5294D" w:rsidR="006C2FF5" w:rsidRPr="00B55F86" w:rsidRDefault="00A80D8B" w:rsidP="2C5B77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pPr>
            <w:r w:rsidRPr="00B55F8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Generally</w:t>
            </w:r>
            <w:r w:rsidR="00903CE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,</w:t>
            </w:r>
            <w:r w:rsidRPr="00B55F8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no</w:t>
            </w:r>
            <w:r w:rsidR="00AE0410" w:rsidRPr="00B55F8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;</w:t>
            </w:r>
            <w:r w:rsidRPr="00B55F8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513A7A" w:rsidRPr="00B55F8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however</w:t>
            </w:r>
            <w:r w:rsidR="00903CE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,</w:t>
            </w:r>
            <w:r w:rsidR="000474B2" w:rsidRPr="00B55F8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group consolidation is available </w:t>
            </w:r>
            <w:r w:rsidRPr="00B55F8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under certain conditions.</w:t>
            </w:r>
            <w:r w:rsidR="00BF4D86" w:rsidRPr="00B55F8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(</w:t>
            </w:r>
            <w:hyperlink r:id="rId38" w:anchor="section(4)_0">
              <w:r w:rsidR="00BF4D86" w:rsidRPr="00B55F8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 xml:space="preserve">Section </w:t>
              </w:r>
              <w:r w:rsidR="52E4356A" w:rsidRPr="00B55F8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V</w:t>
              </w:r>
              <w:r w:rsidR="00BF4D86" w:rsidRPr="00B55F8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</w:t>
              </w:r>
              <w:r w:rsidR="11891A9C" w:rsidRPr="00B55F8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A.4.</w:t>
              </w:r>
            </w:hyperlink>
            <w:r w:rsidR="00BF4D86" w:rsidRPr="00B55F8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</w:p>
        </w:tc>
      </w:tr>
      <w:tr w:rsidR="006C2FF5" w14:paraId="4CC14EBB" w14:textId="77777777" w:rsidTr="73722CA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330235C" w14:textId="77777777" w:rsidR="006C2FF5" w:rsidRPr="00B420E7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B420E7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  <w:t>M&amp;A regime</w:t>
            </w:r>
            <w:r w:rsidRPr="00B420E7">
              <w:rPr>
                <w:rStyle w:val="eop"/>
                <w:rFonts w:ascii="Calibri" w:eastAsiaTheme="majorEastAsia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F1BFC26" w14:textId="0BAFC576" w:rsidR="00FB216D" w:rsidRPr="00EA6B20" w:rsidRDefault="00FB216D" w:rsidP="00EA6B20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textAlignment w:val="baseline"/>
              <w:rPr>
                <w:rFonts w:ascii="Calibri" w:eastAsiaTheme="majorEastAsia" w:hAnsi="Calibri" w:cs="Calibri"/>
              </w:rPr>
            </w:pPr>
            <w:r w:rsidRPr="00EA6B20">
              <w:rPr>
                <w:rFonts w:ascii="Calibri" w:eastAsia="Calibri" w:hAnsi="Calibri" w:cs="Calibri"/>
                <w:sz w:val="22"/>
                <w:szCs w:val="22"/>
              </w:rPr>
              <w:t>Tax-free or tax-privileged transaction: Yes. (</w:t>
            </w:r>
            <w:hyperlink r:id="rId39" w:anchor="section(2)(2)(a)(2)(a)(2)_0">
              <w:r w:rsidRPr="00EA6B20">
                <w:rPr>
                  <w:rStyle w:val="Hyperlink"/>
                  <w:rFonts w:ascii="Calibri" w:eastAsiaTheme="majorEastAsia" w:hAnsi="Calibri" w:cs="Calibri"/>
                  <w:color w:val="auto"/>
                  <w:sz w:val="22"/>
                  <w:szCs w:val="22"/>
                </w:rPr>
                <w:t>Section II.C.2.a.(2)</w:t>
              </w:r>
            </w:hyperlink>
            <w:r w:rsidRPr="00EA6B20">
              <w:rPr>
                <w:rFonts w:ascii="Calibri" w:eastAsiaTheme="majorEastAsia" w:hAnsi="Calibri" w:cs="Calibri"/>
                <w:sz w:val="22"/>
                <w:szCs w:val="22"/>
              </w:rPr>
              <w:t xml:space="preserve"> and </w:t>
            </w:r>
            <w:hyperlink r:id="rId40" w:anchor="section(4)(4)(b)(4)(b)(5)_0" w:history="1">
              <w:r w:rsidRPr="00EA6B20">
                <w:rPr>
                  <w:rStyle w:val="Hyperlink"/>
                  <w:rFonts w:eastAsiaTheme="majorEastAsia"/>
                  <w:color w:val="auto"/>
                </w:rPr>
                <w:t xml:space="preserve">Section </w:t>
              </w:r>
              <w:r w:rsidRPr="00EA6B20">
                <w:rPr>
                  <w:rStyle w:val="Hyperlink"/>
                  <w:rFonts w:ascii="Calibri" w:eastAsiaTheme="majorEastAsia" w:hAnsi="Calibri" w:cs="Calibri"/>
                  <w:color w:val="auto"/>
                  <w:sz w:val="22"/>
                  <w:szCs w:val="22"/>
                </w:rPr>
                <w:t>V.C.3.b.(5)</w:t>
              </w:r>
            </w:hyperlink>
            <w:r w:rsidRPr="00EA6B20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0FA4FF12" w14:textId="56AE800E" w:rsidR="00FB216D" w:rsidRPr="00EA6B20" w:rsidRDefault="00FB216D" w:rsidP="00EA6B20">
            <w:pPr>
              <w:numPr>
                <w:ilvl w:val="0"/>
                <w:numId w:val="40"/>
              </w:numPr>
              <w:spacing w:after="0" w:line="256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EA6B20">
              <w:rPr>
                <w:rFonts w:ascii="Calibri" w:eastAsia="Calibri" w:hAnsi="Calibri" w:cs="Calibri"/>
                <w:kern w:val="0"/>
                <w14:ligatures w14:val="none"/>
              </w:rPr>
              <w:t xml:space="preserve">Stamp duty / share transfer taxes: </w:t>
            </w:r>
            <w:r w:rsidR="00944AFE" w:rsidRPr="00EA6B20">
              <w:rPr>
                <w:rFonts w:ascii="Calibri" w:eastAsia="Calibri" w:hAnsi="Calibri" w:cs="Calibri"/>
                <w:kern w:val="0"/>
                <w14:ligatures w14:val="none"/>
              </w:rPr>
              <w:t>No. (</w:t>
            </w:r>
            <w:hyperlink r:id="rId41" w:history="1">
              <w:r w:rsidR="007D1399" w:rsidRPr="00EA6B20">
                <w:rPr>
                  <w:rStyle w:val="Hyperlink"/>
                  <w:rFonts w:ascii="Calibri" w:eastAsia="Calibri" w:hAnsi="Calibri" w:cs="Calibri"/>
                  <w:color w:val="auto"/>
                  <w:kern w:val="0"/>
                  <w14:ligatures w14:val="none"/>
                </w:rPr>
                <w:t>Section IV.G.</w:t>
              </w:r>
            </w:hyperlink>
            <w:r w:rsidR="007D1399" w:rsidRPr="00EA6B20">
              <w:rPr>
                <w:rFonts w:ascii="Calibri" w:eastAsia="Calibri" w:hAnsi="Calibri" w:cs="Calibri"/>
                <w:kern w:val="0"/>
                <w14:ligatures w14:val="none"/>
              </w:rPr>
              <w:t xml:space="preserve"> and </w:t>
            </w:r>
            <w:hyperlink r:id="rId42" w:anchor="section(4)(4)(b)(4)(b)(5)_0" w:history="1">
              <w:r w:rsidR="00944AFE" w:rsidRPr="00EA6B20">
                <w:rPr>
                  <w:rStyle w:val="Hyperlink"/>
                  <w:rFonts w:ascii="Calibri" w:hAnsi="Calibri" w:cs="Calibri"/>
                  <w:color w:val="auto"/>
                </w:rPr>
                <w:t>Section V.C.3.b.(5)</w:t>
              </w:r>
            </w:hyperlink>
            <w:r w:rsidR="00944AFE" w:rsidRPr="00EA6B20">
              <w:rPr>
                <w:rFonts w:ascii="Calibri" w:hAnsi="Calibri" w:cs="Calibri"/>
              </w:rPr>
              <w:t>)</w:t>
            </w:r>
            <w:r w:rsidRPr="00EA6B20">
              <w:rPr>
                <w:rFonts w:ascii="Calibri" w:eastAsia="Calibri" w:hAnsi="Calibri" w:cs="Calibri"/>
                <w:kern w:val="0"/>
                <w14:ligatures w14:val="none"/>
              </w:rPr>
              <w:t xml:space="preserve">  </w:t>
            </w:r>
          </w:p>
          <w:p w14:paraId="6773746B" w14:textId="7D1DBAAD" w:rsidR="00FB216D" w:rsidRPr="00EA6B20" w:rsidRDefault="00FB216D" w:rsidP="00EA6B20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pPr>
            <w:r w:rsidRPr="00EA6B20">
              <w:rPr>
                <w:rFonts w:ascii="Calibri" w:eastAsia="Calibri" w:hAnsi="Calibri" w:cs="Calibri"/>
                <w:sz w:val="22"/>
                <w:szCs w:val="22"/>
              </w:rPr>
              <w:t xml:space="preserve">Limitation on pre-deal NOL carryforwards: </w:t>
            </w:r>
            <w:r w:rsidR="00B55F86" w:rsidRPr="00EA6B20">
              <w:rPr>
                <w:rFonts w:ascii="Calibri" w:eastAsia="Calibri" w:hAnsi="Calibri" w:cs="Calibri"/>
                <w:sz w:val="22"/>
                <w:szCs w:val="22"/>
              </w:rPr>
              <w:t>Yes. (</w:t>
            </w:r>
            <w:hyperlink r:id="rId43" w:anchor="section(4)(4)(b)(4)(b)(5)_0" w:history="1">
              <w:r w:rsidR="00B55F86" w:rsidRPr="00EA6B20">
                <w:rPr>
                  <w:rStyle w:val="Hyperlink"/>
                  <w:rFonts w:eastAsiaTheme="majorEastAsia"/>
                  <w:color w:val="auto"/>
                </w:rPr>
                <w:t xml:space="preserve">Section </w:t>
              </w:r>
              <w:r w:rsidR="00B55F86" w:rsidRPr="00EA6B20">
                <w:rPr>
                  <w:rStyle w:val="Hyperlink"/>
                  <w:rFonts w:ascii="Calibri" w:eastAsiaTheme="majorEastAsia" w:hAnsi="Calibri" w:cs="Calibri"/>
                  <w:color w:val="auto"/>
                  <w:sz w:val="22"/>
                  <w:szCs w:val="22"/>
                </w:rPr>
                <w:t>V.C.3.b.(5)</w:t>
              </w:r>
            </w:hyperlink>
            <w:r w:rsidR="00B55F86" w:rsidRPr="00EA6B20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28C9474E" w14:textId="68EA7DE8" w:rsidR="006C2FF5" w:rsidRPr="00B55F86" w:rsidRDefault="006C2FF5" w:rsidP="00FB216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</w:pPr>
          </w:p>
        </w:tc>
      </w:tr>
      <w:tr w:rsidR="006C2FF5" w14:paraId="14F31C0B" w14:textId="77777777" w:rsidTr="73722CA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EF63C25" w14:textId="77777777" w:rsidR="006C2FF5" w:rsidRPr="00B420E7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B420E7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  <w:t>OECD Pillars One and Two</w:t>
            </w:r>
            <w:r w:rsidRPr="00B420E7">
              <w:rPr>
                <w:rStyle w:val="eop"/>
                <w:rFonts w:ascii="Calibri" w:eastAsiaTheme="majorEastAsia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6E139C" w14:textId="390FD4D0" w:rsidR="006C2FF5" w:rsidRPr="005836E5" w:rsidRDefault="6EC61D3A" w:rsidP="2C5B77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</w:pPr>
            <w:r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Israel </w:t>
            </w:r>
            <w:r w:rsidR="00A8480B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has </w:t>
            </w:r>
            <w:r w:rsidR="006C2FF5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agreed to </w:t>
            </w:r>
            <w:r w:rsidR="00A5578A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implement </w:t>
            </w:r>
            <w:r w:rsidR="006C2FF5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the Two Pillar Solution. (</w:t>
            </w:r>
            <w:hyperlink r:id="rId44" w:anchor="section(10)_0" w:history="1">
              <w:r w:rsidR="003B698E" w:rsidRPr="003B698E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S</w:t>
              </w:r>
              <w:r w:rsidR="003B698E" w:rsidRPr="00EA6B20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ection V.C.10.</w:t>
              </w:r>
            </w:hyperlink>
            <w:r w:rsidR="006C2FF5" w:rsidRPr="003B698E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  <w:r w:rsidR="006C2FF5" w:rsidRPr="2C5B77B6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</w:tr>
      <w:tr w:rsidR="006C2FF5" w14:paraId="03515C5C" w14:textId="77777777" w:rsidTr="73722CA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D8799B4" w14:textId="77777777" w:rsidR="006C2FF5" w:rsidRPr="00B420E7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B420E7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Controlled foreign company regime</w:t>
            </w:r>
            <w:r w:rsidRPr="00B420E7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62061B5" w14:textId="35DEC09A" w:rsidR="000E5B09" w:rsidRPr="005836E5" w:rsidRDefault="11FEC292" w:rsidP="007F42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</w:pPr>
            <w:r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Yes</w:t>
            </w:r>
            <w:r w:rsidR="006C2FF5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</w:t>
            </w:r>
            <w:r w:rsidR="0A9FAEEC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(</w:t>
            </w:r>
            <w:hyperlink r:id="rId45" w:anchor="section(4)(4)(d)_0">
              <w:r w:rsidR="0A9FAEEC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Section V.C.</w:t>
              </w:r>
              <w:r w:rsidR="00BA641B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4</w:t>
              </w:r>
              <w:r w:rsidR="0A9FAEEC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.d.</w:t>
              </w:r>
            </w:hyperlink>
            <w:r w:rsidR="0A9FAEEC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  <w:r w:rsidR="007F4229">
              <w:rPr>
                <w:rStyle w:val="eop"/>
                <w:rFonts w:eastAsiaTheme="majorEastAsia"/>
              </w:rPr>
              <w:t xml:space="preserve">. </w:t>
            </w:r>
            <w:r w:rsidR="00BF576A">
              <w:rPr>
                <w:rStyle w:val="eop"/>
                <w:rFonts w:eastAsiaTheme="majorEastAsia"/>
              </w:rPr>
              <w:t xml:space="preserve"> </w:t>
            </w:r>
          </w:p>
        </w:tc>
      </w:tr>
      <w:tr w:rsidR="006C2FF5" w14:paraId="0EB7D528" w14:textId="77777777" w:rsidTr="73722CA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350F5B5" w14:textId="77777777" w:rsidR="006C2FF5" w:rsidRPr="00B420E7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B420E7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lastRenderedPageBreak/>
              <w:t>Transfer pricing regime</w:t>
            </w:r>
            <w:r w:rsidRPr="00B420E7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3EF1B1D" w14:textId="3E81A111" w:rsidR="006C2FF5" w:rsidRPr="00993B87" w:rsidRDefault="13AB0893" w:rsidP="2C5B77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</w:pPr>
            <w:r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Yes</w:t>
            </w:r>
            <w:r w:rsidR="00E20A79"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</w:t>
            </w:r>
            <w:r w:rsidR="006C2FF5"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(</w:t>
            </w:r>
            <w:hyperlink r:id="rId46" w:history="1">
              <w:r w:rsidR="14AB6EEE" w:rsidRPr="00081684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Section XVI.</w:t>
              </w:r>
            </w:hyperlink>
            <w:r w:rsidR="14AB6EEE"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  <w:r w:rsidR="006C2FF5" w:rsidRPr="0E50CB1C">
              <w:rPr>
                <w:rFonts w:ascii="Calibri" w:eastAsiaTheme="majorEastAsia" w:hAnsi="Calibri" w:cs="Calibri"/>
                <w:sz w:val="22"/>
                <w:szCs w:val="22"/>
              </w:rPr>
              <w:t> </w:t>
            </w:r>
            <w:r w:rsidR="006C2FF5" w:rsidRPr="0E50CB1C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  <w:p w14:paraId="1957A1E1" w14:textId="77777777" w:rsidR="00865E90" w:rsidRDefault="00865E90" w:rsidP="00865E9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color w:val="333333"/>
                <w:sz w:val="22"/>
                <w:szCs w:val="22"/>
              </w:rPr>
            </w:pPr>
          </w:p>
          <w:p w14:paraId="71B3830F" w14:textId="52476E19" w:rsidR="006C2FF5" w:rsidRPr="00993B87" w:rsidRDefault="006C2FF5" w:rsidP="00865E9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2C5B77B6">
              <w:rPr>
                <w:rStyle w:val="normaltextrun"/>
                <w:rFonts w:ascii="Calibri" w:eastAsiaTheme="majorEastAsia" w:hAnsi="Calibri" w:cs="Calibri"/>
                <w:color w:val="333333"/>
                <w:sz w:val="22"/>
                <w:szCs w:val="22"/>
              </w:rPr>
              <w:t xml:space="preserve">Country-by-country report: </w:t>
            </w:r>
            <w:r w:rsidR="66B48085" w:rsidRPr="2C5B77B6">
              <w:rPr>
                <w:rStyle w:val="normaltextrun"/>
                <w:rFonts w:ascii="Calibri" w:eastAsiaTheme="majorEastAsia" w:hAnsi="Calibri" w:cs="Calibri"/>
                <w:color w:val="333333"/>
                <w:sz w:val="22"/>
                <w:szCs w:val="22"/>
              </w:rPr>
              <w:t>Yes</w:t>
            </w:r>
            <w:r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 (</w:t>
            </w:r>
            <w:hyperlink r:id="rId47">
              <w:r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 xml:space="preserve">Section </w:t>
              </w:r>
              <w:r w:rsidR="0F73AAA2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XVI</w:t>
              </w:r>
              <w:r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</w:t>
              </w:r>
              <w:r w:rsidR="4CF1ACC2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C</w:t>
              </w:r>
              <w:r w:rsidR="00AE4D10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</w:t>
              </w:r>
            </w:hyperlink>
            <w:r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 </w:t>
            </w:r>
            <w:r w:rsidRPr="2C5B77B6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</w:tr>
      <w:tr w:rsidR="006C2FF5" w14:paraId="2B6C0AB3" w14:textId="77777777" w:rsidTr="73722CA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D791900" w14:textId="77777777" w:rsidR="006C2FF5" w:rsidRPr="00B420E7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B420E7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General anti-avoidance rule</w:t>
            </w:r>
            <w:r w:rsidRPr="00B420E7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9C0FB0D" w14:textId="315FE398" w:rsidR="006C2FF5" w:rsidRPr="00993B87" w:rsidRDefault="00405C22" w:rsidP="2C5B77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pPr>
            <w:r w:rsidRPr="007A069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Yes - </w:t>
            </w:r>
            <w:r w:rsidR="00AE0410" w:rsidRPr="00486073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Income Tax Ordinance</w:t>
            </w:r>
            <w:r w:rsidR="00AE0410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, </w:t>
            </w:r>
            <w:r w:rsidR="00CD5C45" w:rsidRPr="00405C2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S</w:t>
            </w:r>
            <w:r w:rsidR="00CD5C45" w:rsidRPr="007A069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ection 86 </w:t>
            </w:r>
            <w:r w:rsidR="001A121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applies a </w:t>
            </w:r>
            <w:r w:rsidR="0011690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“</w:t>
            </w:r>
            <w:r w:rsidR="001A121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substance over form</w:t>
            </w:r>
            <w:r w:rsidR="0011690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”</w:t>
            </w:r>
            <w:r w:rsidR="001100F7" w:rsidRPr="007A069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general anti-avoidance</w:t>
            </w:r>
            <w:r w:rsidR="001A121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rule </w:t>
            </w:r>
            <w:r w:rsidR="001B659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t</w:t>
            </w:r>
            <w:r w:rsidR="001B6592">
              <w:rPr>
                <w:rStyle w:val="normaltextrun"/>
                <w:rFonts w:ascii="Calibri" w:eastAsiaTheme="majorEastAsia" w:hAnsi="Calibri" w:cs="Calibri"/>
              </w:rPr>
              <w:t xml:space="preserve">o </w:t>
            </w:r>
            <w:r w:rsidR="001A121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transactions</w:t>
            </w:r>
            <w:r w:rsidR="001100F7" w:rsidRPr="007A069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</w:t>
            </w:r>
            <w:r w:rsidR="001100F7" w:rsidRPr="007A069D">
              <w:rPr>
                <w:rStyle w:val="normaltextrun"/>
                <w:rFonts w:ascii="Calibri" w:eastAsiaTheme="majorEastAsia" w:hAnsi="Calibri" w:cs="Calibri"/>
                <w:color w:val="333333"/>
                <w:sz w:val="22"/>
                <w:szCs w:val="22"/>
              </w:rPr>
              <w:t xml:space="preserve"> </w:t>
            </w:r>
            <w:r w:rsidR="0005627D">
              <w:rPr>
                <w:rStyle w:val="normaltextrun"/>
                <w:rFonts w:ascii="Calibri" w:eastAsiaTheme="majorEastAsia" w:hAnsi="Calibri" w:cs="Calibri"/>
              </w:rPr>
              <w:t>(</w:t>
            </w:r>
            <w:hyperlink r:id="rId48" w:history="1">
              <w:r w:rsidR="00D0113D" w:rsidRPr="00071828">
                <w:rPr>
                  <w:rStyle w:val="Hyperlink"/>
                  <w:rFonts w:ascii="Calibri" w:eastAsiaTheme="majorEastAsia" w:hAnsi="Calibri" w:cs="Calibri"/>
                </w:rPr>
                <w:t>Section XVI.A</w:t>
              </w:r>
            </w:hyperlink>
            <w:r w:rsidR="00D0113D">
              <w:rPr>
                <w:rStyle w:val="normaltextrun"/>
                <w:rFonts w:ascii="Calibri" w:eastAsiaTheme="majorEastAsia" w:hAnsi="Calibri" w:cs="Calibri"/>
              </w:rPr>
              <w:t>)</w:t>
            </w:r>
          </w:p>
        </w:tc>
      </w:tr>
      <w:tr w:rsidR="006C2FF5" w14:paraId="3DB8EE72" w14:textId="77777777" w:rsidTr="73722CA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AE33ADC" w14:textId="77777777" w:rsidR="006C2FF5" w:rsidRPr="00B420E7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B420E7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Mandatory disclosure regime</w:t>
            </w:r>
            <w:r w:rsidRPr="00B420E7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A55EEDA" w14:textId="2C00720C" w:rsidR="006C2FF5" w:rsidRPr="00993B87" w:rsidRDefault="527A61CB" w:rsidP="2C5B77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pPr>
            <w:r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Yes.</w:t>
            </w:r>
            <w:r w:rsidR="285E51DD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61438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T</w:t>
            </w:r>
            <w:r w:rsidR="00614386" w:rsidRPr="007A069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axpayers are obligated to disclose </w:t>
            </w:r>
            <w:r w:rsidR="00B34536" w:rsidRPr="007A069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information regarding </w:t>
            </w:r>
            <w:r w:rsidR="00421AB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any </w:t>
            </w:r>
            <w:r w:rsidR="00B34536" w:rsidRPr="007A069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ta</w:t>
            </w:r>
            <w:r w:rsidR="00BA6516" w:rsidRPr="007A069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x planning opinion they receive </w:t>
            </w:r>
            <w:r w:rsidR="005A0935" w:rsidRPr="007A069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if </w:t>
            </w:r>
            <w:r w:rsidR="00421AB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it satisfie</w:t>
            </w:r>
            <w:r w:rsidR="005A0935" w:rsidRPr="007A069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s the threshold criteria</w:t>
            </w:r>
            <w:r w:rsidR="005A0935">
              <w:rPr>
                <w:rStyle w:val="normaltextrun"/>
                <w:rFonts w:ascii="Calibri" w:eastAsiaTheme="majorEastAsia" w:hAnsi="Calibri" w:cs="Calibri"/>
              </w:rPr>
              <w:t xml:space="preserve"> </w:t>
            </w:r>
            <w:r w:rsidR="285E51DD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(</w:t>
            </w:r>
            <w:hyperlink r:id="rId49" w:history="1">
              <w:r w:rsidR="285E51DD" w:rsidRPr="00976D54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Section XV.D.</w:t>
              </w:r>
            </w:hyperlink>
            <w:r w:rsidR="285E51DD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</w:p>
        </w:tc>
      </w:tr>
      <w:tr w:rsidR="006C2FF5" w14:paraId="393F88C9" w14:textId="77777777" w:rsidTr="73722CA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AA06FAA" w14:textId="77777777" w:rsidR="006C2FF5" w:rsidRPr="00B420E7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B420E7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Foreign tax relief </w:t>
            </w:r>
            <w:r w:rsidRPr="00B420E7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7E8CE4E" w14:textId="64334FA0" w:rsidR="006C2FF5" w:rsidRPr="006A5399" w:rsidRDefault="006C2FF5">
            <w:pPr>
              <w:pStyle w:val="paragraph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6A5399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Relief may be granted</w:t>
            </w:r>
            <w:r w:rsidR="6CB8D203" w:rsidRPr="006A5399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, generally</w:t>
            </w:r>
            <w:r w:rsidR="3BA10155" w:rsidRPr="006A5399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Pr="006A5399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by way of </w:t>
            </w:r>
            <w:proofErr w:type="gramStart"/>
            <w:r w:rsidR="009807C3" w:rsidRPr="006A5399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a </w:t>
            </w:r>
            <w:r w:rsidR="00702D58" w:rsidRPr="006A5399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credit</w:t>
            </w:r>
            <w:proofErr w:type="gramEnd"/>
            <w:r w:rsidR="03D39A62" w:rsidRPr="006A5399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, both under a tax treaty</w:t>
            </w:r>
            <w:r w:rsidR="00702D58" w:rsidRPr="006A5399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4D2881B3" w:rsidRPr="006A5399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and unilaterall</w:t>
            </w:r>
            <w:r w:rsidR="15B8D065" w:rsidRPr="006A5399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y </w:t>
            </w:r>
            <w:r w:rsidR="00492ADA" w:rsidRPr="006A5399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(subject to </w:t>
            </w:r>
            <w:r w:rsidR="238B1705" w:rsidRPr="006A5399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income </w:t>
            </w:r>
            <w:r w:rsidR="4F1350E3" w:rsidRPr="006A5399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baskets and limitations</w:t>
            </w:r>
            <w:r w:rsidR="006611B8" w:rsidRPr="006A5399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  <w:r w:rsidR="44F18164" w:rsidRPr="006A5399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</w:t>
            </w:r>
            <w:r w:rsidRPr="006A5399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7EE430EB" w:rsidRPr="006A5399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Some of Israels’ treaties provide for a tax sparing credit. </w:t>
            </w:r>
            <w:r w:rsidRPr="006A5399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(</w:t>
            </w:r>
            <w:hyperlink r:id="rId50" w:anchor="section(2)" w:history="1">
              <w:r w:rsidRPr="006A5399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Section</w:t>
              </w:r>
              <w:r w:rsidR="00632E65" w:rsidRPr="006A5399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s</w:t>
              </w:r>
              <w:r w:rsidRPr="006A5399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 xml:space="preserve"> XVIII.A.2.</w:t>
              </w:r>
            </w:hyperlink>
            <w:r w:rsidR="00632E65" w:rsidRPr="006A5399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hyperlink r:id="rId51" w:anchor="section(1)_0" w:history="1">
              <w:r w:rsidR="00632E65" w:rsidRPr="006A5399">
                <w:rPr>
                  <w:rStyle w:val="Hyperlink"/>
                  <w:rFonts w:ascii="Calibri" w:hAnsi="Calibri" w:cs="Calibri"/>
                  <w:sz w:val="22"/>
                  <w:szCs w:val="22"/>
                </w:rPr>
                <w:t>B.1.</w:t>
              </w:r>
            </w:hyperlink>
            <w:r w:rsidRPr="006A5399">
              <w:rPr>
                <w:rFonts w:ascii="Calibri" w:eastAsiaTheme="majorEastAsia" w:hAnsi="Calibri" w:cs="Calibri"/>
                <w:sz w:val="22"/>
                <w:szCs w:val="22"/>
              </w:rPr>
              <w:t>)</w:t>
            </w:r>
            <w:r w:rsidR="00653861">
              <w:rPr>
                <w:rFonts w:ascii="Calibri" w:eastAsiaTheme="majorEastAsia" w:hAnsi="Calibri" w:cs="Calibri"/>
                <w:sz w:val="22"/>
                <w:szCs w:val="22"/>
              </w:rPr>
              <w:t>.</w:t>
            </w:r>
            <w:r w:rsidR="00151506" w:rsidRPr="006A5399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</w:p>
        </w:tc>
      </w:tr>
      <w:tr w:rsidR="006C2FF5" w14:paraId="2E4259D1" w14:textId="77777777" w:rsidTr="73722CA5">
        <w:trPr>
          <w:trHeight w:val="300"/>
        </w:trPr>
        <w:tc>
          <w:tcPr>
            <w:tcW w:w="12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hideMark/>
          </w:tcPr>
          <w:p w14:paraId="556F6A00" w14:textId="77777777" w:rsidR="006C2FF5" w:rsidRPr="00BE2689" w:rsidRDefault="006C2FF5" w:rsidP="00BE2689">
            <w:pPr>
              <w:pStyle w:val="paragraph"/>
              <w:spacing w:before="120" w:beforeAutospacing="0" w:after="120" w:afterAutospacing="0"/>
              <w:textAlignment w:val="baseline"/>
            </w:pPr>
            <w:r w:rsidRPr="00BE2689">
              <w:rPr>
                <w:rStyle w:val="normaltextrun"/>
                <w:rFonts w:ascii="Calibri" w:eastAsiaTheme="majorEastAsia" w:hAnsi="Calibri" w:cs="Calibri"/>
                <w:b/>
                <w:bCs/>
                <w:color w:val="FFFFFF"/>
                <w:sz w:val="28"/>
                <w:szCs w:val="28"/>
              </w:rPr>
              <w:t>Individuals</w:t>
            </w:r>
            <w:r w:rsidRPr="00BE2689">
              <w:rPr>
                <w:rStyle w:val="eop"/>
                <w:rFonts w:ascii="Calibri" w:eastAsiaTheme="majorEastAsia" w:hAnsi="Calibri" w:cs="Calibri"/>
                <w:color w:val="FFFFFF"/>
                <w:sz w:val="28"/>
                <w:szCs w:val="28"/>
              </w:rPr>
              <w:t> </w:t>
            </w:r>
          </w:p>
        </w:tc>
      </w:tr>
      <w:tr w:rsidR="006C2FF5" w14:paraId="02E78724" w14:textId="77777777" w:rsidTr="73722CA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C7C45" w14:textId="123E2EC7" w:rsidR="006C2FF5" w:rsidRPr="00B420E7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B420E7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Personal income tax rates </w:t>
            </w:r>
            <w:r w:rsidRPr="00B420E7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D49E2" w14:textId="3D8F9296" w:rsidR="002D1E82" w:rsidRPr="00905064" w:rsidRDefault="00610648" w:rsidP="2C5B77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The standard </w:t>
            </w:r>
            <w:r w:rsidR="00901F6F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rates </w:t>
            </w:r>
            <w:r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range from</w:t>
            </w:r>
            <w:r w:rsidR="00901F6F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740EAD5A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1</w:t>
            </w:r>
            <w:r w:rsidR="00901F6F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0% on income up to </w:t>
            </w:r>
            <w:r w:rsidR="796A0455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NIS</w:t>
            </w:r>
            <w:r w:rsidR="00901F6F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1100F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84,120</w:t>
            </w:r>
            <w:r w:rsidR="00901F6F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to </w:t>
            </w:r>
            <w:r w:rsidR="00B437B4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47</w:t>
            </w:r>
            <w:r w:rsidR="00901F6F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% on income </w:t>
            </w:r>
            <w:r w:rsidR="00343D79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above </w:t>
            </w:r>
            <w:r w:rsidR="0D70E9E4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NIS</w:t>
            </w:r>
            <w:r w:rsidR="002D1E82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1100F7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721,560</w:t>
            </w:r>
            <w:r w:rsidR="00074BE4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</w:t>
            </w:r>
            <w:r w:rsidR="00AE0BC4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074BE4">
              <w:rPr>
                <w:rStyle w:val="normaltextrun"/>
                <w:rFonts w:ascii="Calibri" w:hAnsi="Calibri" w:cs="Calibri"/>
                <w:sz w:val="22"/>
                <w:szCs w:val="22"/>
              </w:rPr>
              <w:t>I</w:t>
            </w:r>
            <w:r w:rsidR="00074BE4" w:rsidRPr="00905064">
              <w:rPr>
                <w:rFonts w:ascii="Calibri" w:hAnsi="Calibri" w:cs="Calibri"/>
                <w:sz w:val="22"/>
                <w:szCs w:val="22"/>
              </w:rPr>
              <w:t xml:space="preserve">ncome </w:t>
            </w:r>
            <w:r w:rsidR="00074BE4" w:rsidRPr="00074BE4">
              <w:rPr>
                <w:rFonts w:ascii="Calibri" w:hAnsi="Calibri" w:cs="Calibri"/>
                <w:sz w:val="22"/>
                <w:szCs w:val="22"/>
              </w:rPr>
              <w:t>over NIS 721,560</w:t>
            </w:r>
            <w:r w:rsidR="00074BE4" w:rsidRPr="00074BE4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i</w:t>
            </w:r>
            <w:r w:rsidR="00074BE4" w:rsidRPr="007A069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s s</w:t>
            </w:r>
            <w:r w:rsidR="00F04E75" w:rsidRPr="00074BE4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ubject to </w:t>
            </w:r>
            <w:r w:rsidR="00F04E75" w:rsidRPr="00074BE4">
              <w:rPr>
                <w:rFonts w:ascii="Calibri" w:hAnsi="Calibri" w:cs="Calibri"/>
                <w:sz w:val="22"/>
                <w:szCs w:val="22"/>
              </w:rPr>
              <w:t xml:space="preserve">an additional </w:t>
            </w:r>
            <w:r w:rsidR="53D0CF7C" w:rsidRPr="00074BE4">
              <w:rPr>
                <w:rFonts w:ascii="Calibri" w:hAnsi="Calibri" w:cs="Calibri"/>
                <w:sz w:val="22"/>
                <w:szCs w:val="22"/>
              </w:rPr>
              <w:t>3</w:t>
            </w:r>
            <w:r w:rsidR="00F04E75" w:rsidRPr="00074BE4">
              <w:rPr>
                <w:rFonts w:ascii="Calibri" w:hAnsi="Calibri" w:cs="Calibri"/>
                <w:sz w:val="22"/>
                <w:szCs w:val="22"/>
              </w:rPr>
              <w:t>% ta</w:t>
            </w:r>
            <w:r w:rsidR="00074BE4" w:rsidRPr="00074BE4">
              <w:rPr>
                <w:rFonts w:ascii="Calibri" w:hAnsi="Calibri" w:cs="Calibri"/>
                <w:sz w:val="22"/>
                <w:szCs w:val="22"/>
              </w:rPr>
              <w:t>x</w:t>
            </w:r>
            <w:r w:rsidR="00901F6F" w:rsidRPr="00074BE4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</w:t>
            </w:r>
            <w:r w:rsidR="00901F6F" w:rsidRPr="00074BE4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  <w:r w:rsidR="003D3CC1" w:rsidRPr="00074BE4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(</w:t>
            </w:r>
            <w:hyperlink r:id="rId52">
              <w:r w:rsidR="003D3CC1" w:rsidRPr="00074BE4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 xml:space="preserve">Section </w:t>
              </w:r>
              <w:r w:rsidR="16F56E9B" w:rsidRPr="00074BE4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XIII</w:t>
              </w:r>
              <w:r w:rsidR="003D3CC1" w:rsidRPr="00074BE4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</w:t>
              </w:r>
              <w:r w:rsidR="1E9F583F" w:rsidRPr="00074BE4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D</w:t>
              </w:r>
              <w:r w:rsidR="003D3CC1" w:rsidRPr="00074BE4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</w:t>
              </w:r>
            </w:hyperlink>
            <w:r w:rsidR="003D3CC1" w:rsidRPr="00074BE4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)</w:t>
            </w:r>
            <w:r w:rsidR="003D3CC1" w:rsidRPr="00905064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</w:p>
          <w:p w14:paraId="352128ED" w14:textId="05506F44" w:rsidR="2C5B77B6" w:rsidRPr="00905064" w:rsidRDefault="2C5B77B6" w:rsidP="2C5B77B6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pPr>
          </w:p>
          <w:p w14:paraId="5C27EE22" w14:textId="16E521AD" w:rsidR="00901F6F" w:rsidRPr="00BE2689" w:rsidRDefault="00901F6F" w:rsidP="2C5B77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pPr>
            <w:r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Nonresident individuals</w:t>
            </w:r>
            <w:r w:rsidR="00137948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are subject to </w:t>
            </w:r>
            <w:r w:rsidR="009408A8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tax </w:t>
            </w:r>
            <w:r w:rsidR="00493645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at the standard </w:t>
            </w:r>
            <w:r w:rsidR="7DADB445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graduated </w:t>
            </w:r>
            <w:r w:rsidR="00493645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rates </w:t>
            </w:r>
            <w:r w:rsidR="009408A8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on </w:t>
            </w:r>
            <w:r w:rsidR="7EB230EC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Israeli-</w:t>
            </w:r>
            <w:r w:rsidR="009408A8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source</w:t>
            </w:r>
            <w:r w:rsidR="00FC5DC3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income</w:t>
            </w:r>
            <w:r w:rsidR="040E0EC2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and capital gains derived from assets in Israel</w:t>
            </w:r>
            <w:r w:rsidR="009408A8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. </w:t>
            </w:r>
            <w:r w:rsidR="69492184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(</w:t>
            </w:r>
            <w:hyperlink r:id="rId53">
              <w:r w:rsidR="69492184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Section XIV.</w:t>
              </w:r>
            </w:hyperlink>
            <w:r w:rsidR="69492184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</w:p>
        </w:tc>
      </w:tr>
      <w:tr w:rsidR="006C2FF5" w14:paraId="2C99074B" w14:textId="77777777" w:rsidTr="73722CA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381C11" w14:textId="23CD8928" w:rsidR="006C2FF5" w:rsidRPr="00B420E7" w:rsidRDefault="00C9360B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B420E7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  <w:t>Stock options</w:t>
            </w:r>
            <w:r w:rsidR="006C2FF5" w:rsidRPr="00B420E7">
              <w:rPr>
                <w:rStyle w:val="eop"/>
                <w:rFonts w:ascii="Calibri" w:eastAsiaTheme="majorEastAsia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95D32" w14:textId="77103E60" w:rsidR="006C2FF5" w:rsidRPr="00FA38D2" w:rsidRDefault="006C2FF5" w:rsidP="2C5B77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</w:pPr>
            <w:r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Yes. </w:t>
            </w:r>
            <w:r w:rsidR="008C796D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(</w:t>
            </w:r>
            <w:hyperlink r:id="rId54" w:anchor="section(4)(4)(f)_0">
              <w:r w:rsidR="00DC511E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 xml:space="preserve">Section </w:t>
              </w:r>
              <w:r w:rsidR="7C3747F6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V</w:t>
              </w:r>
              <w:r w:rsidR="00DC511E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</w:t>
              </w:r>
              <w:r w:rsidR="54A0FC40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C</w:t>
              </w:r>
              <w:r w:rsidR="00DC511E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</w:t>
              </w:r>
              <w:r w:rsidR="005A2B67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4</w:t>
              </w:r>
              <w:r w:rsidR="006D7E70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</w:t>
              </w:r>
              <w:r w:rsidR="59FD1745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f</w:t>
              </w:r>
              <w:r w:rsidR="00DC511E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</w:t>
              </w:r>
            </w:hyperlink>
            <w:r w:rsidR="21188CCF" w:rsidRPr="2C5B77B6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7719B7E1" w:rsidRPr="2C5B77B6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—</w:t>
            </w:r>
            <w:r w:rsidR="3E0E7CBE" w:rsidRPr="2C5B77B6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 xml:space="preserve"> general</w:t>
            </w:r>
            <w:r w:rsidR="30E0AFF9" w:rsidRPr="2C5B77B6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ly</w:t>
            </w:r>
            <w:r w:rsidR="3E0E7CBE" w:rsidRPr="2C5B77B6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 xml:space="preserve">; </w:t>
            </w:r>
            <w:hyperlink r:id="rId55">
              <w:r w:rsidR="592187FF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Section X</w:t>
              </w:r>
              <w:r w:rsidR="21188CCF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VII.Q.</w:t>
              </w:r>
            </w:hyperlink>
            <w:r w:rsidR="6056F41F" w:rsidRPr="2C5B77B6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6489B48E" w:rsidRPr="2C5B77B6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—</w:t>
            </w:r>
            <w:r w:rsidR="6056F41F" w:rsidRPr="2C5B77B6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 xml:space="preserve"> tax treatment)</w:t>
            </w:r>
          </w:p>
        </w:tc>
      </w:tr>
      <w:tr w:rsidR="006C2FF5" w14:paraId="68E67648" w14:textId="77777777" w:rsidTr="73722CA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9A56C" w14:textId="77777777" w:rsidR="006C2FF5" w:rsidRPr="00B420E7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B420E7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  <w:t>Foreign tax relief</w:t>
            </w:r>
            <w:r w:rsidRPr="00B420E7">
              <w:rPr>
                <w:rStyle w:val="eop"/>
                <w:rFonts w:ascii="Calibri" w:eastAsiaTheme="majorEastAsia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0BE1E9" w14:textId="60910C5A" w:rsidR="006C2FF5" w:rsidRPr="00993B87" w:rsidRDefault="006C2FF5" w:rsidP="2C5B77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</w:pPr>
            <w:r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Yes</w:t>
            </w:r>
            <w:r w:rsidR="00D30828"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, </w:t>
            </w:r>
            <w:r w:rsidR="6B7A1F6B"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generally</w:t>
            </w:r>
            <w:r w:rsidR="00B9741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,</w:t>
            </w:r>
            <w:r w:rsidR="6B7A1F6B"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D30828"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by way of </w:t>
            </w:r>
            <w:proofErr w:type="gramStart"/>
            <w:r w:rsidR="07DC2300"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a </w:t>
            </w:r>
            <w:r w:rsidR="00D30828"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credit</w:t>
            </w:r>
            <w:proofErr w:type="gramEnd"/>
            <w:r w:rsidR="5BE1E4EC"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52554728"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both under a tax treaty and unilaterally</w:t>
            </w:r>
            <w:r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 (</w:t>
            </w:r>
            <w:hyperlink r:id="rId56" w:anchor="section(2)_0">
              <w:r w:rsidRPr="0E50CB1C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 xml:space="preserve">Section </w:t>
              </w:r>
              <w:r w:rsidR="2B0CE067" w:rsidRPr="0E50CB1C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XV</w:t>
              </w:r>
              <w:r w:rsidR="2B3AFC18" w:rsidRPr="0E50CB1C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III</w:t>
              </w:r>
              <w:r w:rsidRPr="0E50CB1C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</w:t>
              </w:r>
              <w:r w:rsidR="0BA1F0CA" w:rsidRPr="0E50CB1C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A</w:t>
              </w:r>
              <w:r w:rsidR="28C02B61" w:rsidRPr="0E50CB1C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.2</w:t>
              </w:r>
              <w:r w:rsidR="00767F20" w:rsidRPr="0E50CB1C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</w:t>
              </w:r>
            </w:hyperlink>
            <w:r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 </w:t>
            </w:r>
            <w:r w:rsidRPr="0E50CB1C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</w:tr>
      <w:tr w:rsidR="006C2FF5" w14:paraId="22B3C80B" w14:textId="77777777" w:rsidTr="73722CA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CD697D7" w14:textId="2F2EF1FF" w:rsidR="006C2FF5" w:rsidRPr="00B420E7" w:rsidRDefault="006C2FF5" w:rsidP="00F259A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B420E7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Wealth tax</w:t>
            </w:r>
            <w:r w:rsidR="00F259A6" w:rsidRPr="00B420E7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/e</w:t>
            </w:r>
            <w:r w:rsidRPr="00B420E7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state</w:t>
            </w:r>
            <w:r w:rsidR="00F259A6" w:rsidRPr="00B420E7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 xml:space="preserve"> tax</w:t>
            </w:r>
            <w:r w:rsidRPr="00B420E7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/</w:t>
            </w:r>
            <w:r w:rsidR="00F259A6" w:rsidRPr="00B420E7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g</w:t>
            </w:r>
            <w:r w:rsidRPr="00B420E7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ift tax</w:t>
            </w:r>
            <w:r w:rsidRPr="00B420E7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BDB09" w14:textId="17D3B427" w:rsidR="006C2FF5" w:rsidRPr="00993B87" w:rsidRDefault="006C2FF5" w:rsidP="2C5B77B6">
            <w:pPr>
              <w:pStyle w:val="paragraph"/>
              <w:numPr>
                <w:ilvl w:val="0"/>
                <w:numId w:val="17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No</w:t>
            </w:r>
            <w:r w:rsidR="00DC6D41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wealth tax.</w:t>
            </w:r>
          </w:p>
          <w:p w14:paraId="635EE77F" w14:textId="4E307891" w:rsidR="006C2FF5" w:rsidRPr="00993B87" w:rsidRDefault="00580159" w:rsidP="2C5B77B6">
            <w:pPr>
              <w:pStyle w:val="paragraph"/>
              <w:numPr>
                <w:ilvl w:val="0"/>
                <w:numId w:val="17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No</w:t>
            </w:r>
            <w:r w:rsidR="00DD53EB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estate tax.</w:t>
            </w:r>
            <w:r w:rsidR="006C2FF5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(</w:t>
            </w:r>
            <w:hyperlink r:id="rId57">
              <w:r w:rsidR="00ED7ED5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 xml:space="preserve">Section </w:t>
              </w:r>
              <w:r w:rsidR="3CF36F82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IV</w:t>
              </w:r>
              <w:r w:rsidR="00ED7ED5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</w:t>
              </w:r>
              <w:r w:rsidR="174B9A95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I</w:t>
              </w:r>
              <w:r w:rsidR="00ED7ED5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</w:t>
              </w:r>
            </w:hyperlink>
            <w:r w:rsidR="003E4170" w:rsidRPr="2C5B77B6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)</w:t>
            </w:r>
          </w:p>
          <w:p w14:paraId="4AE3DD76" w14:textId="18C561C6" w:rsidR="006C2FF5" w:rsidRPr="00993B87" w:rsidRDefault="0054422B" w:rsidP="2C5B77B6">
            <w:pPr>
              <w:pStyle w:val="paragraph"/>
              <w:numPr>
                <w:ilvl w:val="0"/>
                <w:numId w:val="17"/>
              </w:numPr>
              <w:spacing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  <w:shd w:val="clear" w:color="auto" w:fill="FFFFFF"/>
              </w:rPr>
              <w:t>No</w:t>
            </w:r>
            <w:r w:rsidR="00DD53EB">
              <w:rPr>
                <w:rStyle w:val="normaltextrun"/>
                <w:rFonts w:ascii="Calibri" w:eastAsiaTheme="majorEastAsia" w:hAnsi="Calibri" w:cs="Calibri"/>
                <w:sz w:val="22"/>
                <w:szCs w:val="22"/>
                <w:shd w:val="clear" w:color="auto" w:fill="FFFFFF"/>
              </w:rPr>
              <w:t xml:space="preserve"> gift tax</w:t>
            </w:r>
            <w:r w:rsidR="006C2FF5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  <w:shd w:val="clear" w:color="auto" w:fill="FFFFFF"/>
              </w:rPr>
              <w:t>. (</w:t>
            </w:r>
            <w:hyperlink r:id="rId58">
              <w:r w:rsidR="008C5713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 xml:space="preserve">Section </w:t>
              </w:r>
              <w:r w:rsidR="24399099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IV</w:t>
              </w:r>
              <w:r w:rsidR="008C5713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</w:t>
              </w:r>
              <w:r w:rsidR="3C869FF0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I</w:t>
              </w:r>
              <w:r w:rsidR="008C5713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</w:t>
              </w:r>
            </w:hyperlink>
            <w:r w:rsidR="006C2FF5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  <w:shd w:val="clear" w:color="auto" w:fill="FFFFFF"/>
              </w:rPr>
              <w:t>)</w:t>
            </w:r>
            <w:r w:rsidR="006C2FF5" w:rsidRPr="2C5B77B6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</w:tr>
      <w:tr w:rsidR="006C2FF5" w14:paraId="2A4051FB" w14:textId="77777777" w:rsidTr="73722CA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0E0F1B" w14:textId="77777777" w:rsidR="006C2FF5" w:rsidRPr="00B420E7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B420E7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Exit tax</w:t>
            </w:r>
            <w:r w:rsidRPr="00B420E7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67917" w14:textId="411BABED" w:rsidR="006C2FF5" w:rsidRPr="00993B87" w:rsidRDefault="0137BC62" w:rsidP="2C5B77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pPr>
            <w:r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Yes</w:t>
            </w:r>
            <w:r w:rsidR="6CFF6CDC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</w:t>
            </w:r>
            <w:r w:rsidR="4014E04C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E42B964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Th</w:t>
            </w:r>
            <w:r w:rsidR="6F715E45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e</w:t>
            </w:r>
            <w:r w:rsidR="42589A6C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tax is </w:t>
            </w:r>
            <w:r w:rsidR="1B0C5F8A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mainly</w:t>
            </w:r>
            <w:r w:rsidR="1984EEA3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applicable to individuals</w:t>
            </w:r>
            <w:r w:rsidR="00A076BF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A076BF" w:rsidRPr="00A442A8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(</w:t>
            </w:r>
            <w:hyperlink r:id="rId59" w:history="1">
              <w:r w:rsidR="00A076BF" w:rsidRPr="00A076BF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Section XIII.A</w:t>
              </w:r>
            </w:hyperlink>
            <w:r w:rsidR="00A076BF" w:rsidRPr="00A442A8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  <w:r w:rsidR="1984EEA3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, </w:t>
            </w:r>
            <w:r w:rsidR="3FCAEC0E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but </w:t>
            </w:r>
            <w:r w:rsidR="17FB49D9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can</w:t>
            </w:r>
            <w:r w:rsidR="22280EC9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6EA9A83C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apply</w:t>
            </w:r>
            <w:r w:rsidR="4014E04C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4C9FD906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to</w:t>
            </w:r>
            <w:r w:rsidR="4014E04C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108A1447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corpo</w:t>
            </w:r>
            <w:r w:rsidR="6430F8AA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r</w:t>
            </w:r>
            <w:r w:rsidR="108A1447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ations</w:t>
            </w:r>
            <w:r w:rsidR="0BAC9FB7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27E1C5D1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(</w:t>
            </w:r>
            <w:hyperlink r:id="rId60" w:anchor="section(4)(4)(b)(4)(b)(11)_0">
              <w:r w:rsidR="27E1C5D1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Section V.C.</w:t>
              </w:r>
              <w:r w:rsidR="00050371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4</w:t>
              </w:r>
              <w:r w:rsidR="27E1C5D1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.b.(11)</w:t>
              </w:r>
            </w:hyperlink>
            <w:r w:rsidR="27E1C5D1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  <w:r w:rsidR="00A076BF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</w:t>
            </w:r>
          </w:p>
        </w:tc>
      </w:tr>
      <w:tr w:rsidR="006C2FF5" w14:paraId="0E544EA5" w14:textId="77777777" w:rsidTr="73722CA5">
        <w:trPr>
          <w:trHeight w:val="300"/>
        </w:trPr>
        <w:tc>
          <w:tcPr>
            <w:tcW w:w="12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hideMark/>
          </w:tcPr>
          <w:p w14:paraId="0095CFDF" w14:textId="77777777" w:rsidR="006C2FF5" w:rsidRDefault="006C2FF5" w:rsidP="00BE2689">
            <w:pPr>
              <w:pStyle w:val="paragraph"/>
              <w:spacing w:before="120" w:beforeAutospacing="0" w:after="120" w:afterAutospacing="0"/>
              <w:textAlignment w:val="baseline"/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color w:val="FFFFFF"/>
                <w:sz w:val="28"/>
                <w:szCs w:val="28"/>
              </w:rPr>
              <w:t>Other Taxes</w:t>
            </w:r>
            <w:r>
              <w:rPr>
                <w:rStyle w:val="eop"/>
                <w:rFonts w:ascii="Calibri" w:eastAsiaTheme="majorEastAsia" w:hAnsi="Calibri" w:cs="Calibri"/>
                <w:color w:val="FFFFFF"/>
                <w:sz w:val="28"/>
                <w:szCs w:val="28"/>
              </w:rPr>
              <w:t> </w:t>
            </w:r>
          </w:p>
        </w:tc>
      </w:tr>
      <w:tr w:rsidR="006C2FF5" w14:paraId="5F708F5A" w14:textId="77777777" w:rsidTr="73722CA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9BEFF" w14:textId="77777777" w:rsidR="006C2FF5" w:rsidRPr="00B420E7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B420E7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VAT/GST/Sales tax</w:t>
            </w:r>
            <w:r w:rsidRPr="00B420E7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C70B96" w14:textId="6306D332" w:rsidR="008F4122" w:rsidRPr="000C7804" w:rsidRDefault="00FF6369" w:rsidP="2C5B77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A</w:t>
            </w:r>
            <w:r w:rsidRPr="0029380B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4BB745DC" w:rsidRPr="0029380B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standard </w:t>
            </w:r>
            <w:r w:rsidR="7E67005C" w:rsidRPr="0029380B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VA</w:t>
            </w:r>
            <w:r w:rsidR="002F0537" w:rsidRPr="0029380B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T </w:t>
            </w:r>
            <w:r w:rsidR="000C7804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r</w:t>
            </w:r>
            <w:r w:rsidR="000C7804">
              <w:rPr>
                <w:rStyle w:val="normaltextrun"/>
                <w:rFonts w:eastAsiaTheme="majorEastAsia"/>
              </w:rPr>
              <w:t xml:space="preserve">ate </w:t>
            </w:r>
            <w:r w:rsidR="00D0375C" w:rsidRPr="0029380B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of </w:t>
            </w:r>
            <w:r w:rsidR="003811EF" w:rsidRPr="000C7804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1</w:t>
            </w:r>
            <w:r w:rsidR="5A275E36" w:rsidRPr="000C7804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7</w:t>
            </w:r>
            <w:r w:rsidR="003811EF" w:rsidRPr="000C7804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%</w:t>
            </w:r>
            <w:r w:rsidRPr="000C7804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Pr="007A069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(</w:t>
            </w:r>
            <w:r w:rsidR="00E6538C" w:rsidRPr="007A069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18% </w:t>
            </w:r>
            <w:r w:rsidRPr="000C7804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w</w:t>
            </w:r>
            <w:r w:rsidRPr="007A069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ith effect from</w:t>
            </w:r>
            <w:r w:rsidR="00A46333" w:rsidRPr="007A069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January 1, 2025</w:t>
            </w:r>
            <w:r w:rsidR="000C7804" w:rsidRPr="000C7804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  <w:r w:rsidR="00A46333" w:rsidRPr="007A069D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60D3B5AD" w:rsidRPr="000C7804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applies to</w:t>
            </w:r>
            <w:r w:rsidR="00103D7D" w:rsidRPr="000C7804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all taxable </w:t>
            </w:r>
            <w:r w:rsidR="589DDEC2" w:rsidRPr="000C7804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supplies</w:t>
            </w:r>
            <w:r w:rsidR="009D6EAC" w:rsidRPr="000C7804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, </w:t>
            </w:r>
            <w:r w:rsidR="6DA0E275" w:rsidRPr="000C7804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including imports, </w:t>
            </w:r>
            <w:r w:rsidR="009D6EAC" w:rsidRPr="000C7804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but</w:t>
            </w:r>
            <w:r w:rsidR="00B63AA7" w:rsidRPr="000C7804">
              <w:rPr>
                <w:rFonts w:ascii="Calibri" w:hAnsi="Calibri" w:cs="Calibri"/>
                <w:sz w:val="22"/>
                <w:szCs w:val="22"/>
              </w:rPr>
              <w:t xml:space="preserve"> certain </w:t>
            </w:r>
            <w:r w:rsidR="2E9598BB" w:rsidRPr="000C7804">
              <w:rPr>
                <w:rFonts w:ascii="Calibri" w:hAnsi="Calibri" w:cs="Calibri"/>
                <w:sz w:val="22"/>
                <w:szCs w:val="22"/>
              </w:rPr>
              <w:t>transactions are zero-rated (mainly exports) or exempt</w:t>
            </w:r>
            <w:r w:rsidR="00FD2092" w:rsidRPr="000C7804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</w:t>
            </w:r>
            <w:r w:rsidR="40F45699" w:rsidRPr="000C7804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1F2AD6" w:rsidRPr="000C7804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(</w:t>
            </w:r>
            <w:hyperlink r:id="rId61">
              <w:r w:rsidR="001F2AD6" w:rsidRPr="000C7804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 xml:space="preserve">Section </w:t>
              </w:r>
              <w:r w:rsidR="2D8371A5" w:rsidRPr="000C7804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IV</w:t>
              </w:r>
              <w:r w:rsidR="001F2AD6" w:rsidRPr="000C7804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</w:t>
              </w:r>
              <w:r w:rsidR="00605CDD" w:rsidRPr="000C7804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E.</w:t>
              </w:r>
            </w:hyperlink>
            <w:r w:rsidR="00605CDD" w:rsidRPr="000C7804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</w:p>
          <w:p w14:paraId="39E7F37B" w14:textId="77777777" w:rsidR="00B420E7" w:rsidRDefault="00B420E7" w:rsidP="00B420E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096E16E2" w14:textId="2F570F05" w:rsidR="006C2FF5" w:rsidRPr="00993B87" w:rsidRDefault="00C9360B" w:rsidP="00B420E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C7804">
              <w:rPr>
                <w:rFonts w:ascii="Calibri" w:hAnsi="Calibri" w:cs="Calibri"/>
                <w:sz w:val="22"/>
                <w:szCs w:val="22"/>
              </w:rPr>
              <w:t>A self-employed person whose annual income turnover does not exceed NIS 120,000 does not charge VAT.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C2FF5" w14:paraId="60A2B908" w14:textId="77777777" w:rsidTr="73722CA5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852D2" w14:textId="77777777" w:rsidR="006C2FF5" w:rsidRPr="00B420E7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B420E7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Digital services tax </w:t>
            </w:r>
            <w:r w:rsidRPr="00B420E7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E4E68" w14:textId="5E0BD120" w:rsidR="006C2FF5" w:rsidRPr="00D30828" w:rsidRDefault="00D30828" w:rsidP="2C5B77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pPr>
            <w:r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No</w:t>
            </w:r>
            <w:r w:rsidR="510554D2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</w:t>
            </w:r>
          </w:p>
        </w:tc>
      </w:tr>
      <w:tr w:rsidR="006C2FF5" w14:paraId="0FB7ADA5" w14:textId="77777777" w:rsidTr="73722CA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14C29" w14:textId="77777777" w:rsidR="006C2FF5" w:rsidRPr="00B420E7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B420E7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lastRenderedPageBreak/>
              <w:t>Local taxes </w:t>
            </w:r>
            <w:r w:rsidRPr="00B420E7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39C16" w14:textId="66EC9302" w:rsidR="006C2FF5" w:rsidRPr="00044F89" w:rsidRDefault="003E312A" w:rsidP="73722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pPr>
            <w:r w:rsidRPr="73722CA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Only</w:t>
            </w:r>
            <w:r w:rsidR="00213573" w:rsidRPr="73722CA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39C3BE1" w:rsidRPr="73722CA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m</w:t>
            </w:r>
            <w:r w:rsidR="00213573" w:rsidRPr="73722CA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unicipal </w:t>
            </w:r>
            <w:r w:rsidR="622AB7CC" w:rsidRPr="73722CA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r</w:t>
            </w:r>
            <w:r w:rsidR="00213573" w:rsidRPr="73722CA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ate</w:t>
            </w:r>
            <w:r w:rsidRPr="73722CA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s</w:t>
            </w:r>
            <w:r w:rsidR="00213573" w:rsidRPr="73722CA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(</w:t>
            </w:r>
            <w:r w:rsidR="282F0859" w:rsidRPr="73722CA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p</w:t>
            </w:r>
            <w:r w:rsidR="00674AC1" w:rsidRPr="73722CA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roperty) (</w:t>
            </w:r>
            <w:hyperlink r:id="rId62">
              <w:r w:rsidR="00674AC1" w:rsidRPr="73722CA5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Section IV.H</w:t>
              </w:r>
            </w:hyperlink>
            <w:r w:rsidRPr="73722CA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</w:t>
            </w:r>
            <w:r w:rsidR="00674AC1" w:rsidRPr="73722CA5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</w:p>
        </w:tc>
      </w:tr>
      <w:tr w:rsidR="006C2FF5" w14:paraId="0B23C4ED" w14:textId="77777777" w:rsidTr="73722CA5">
        <w:trPr>
          <w:trHeight w:val="300"/>
        </w:trPr>
        <w:tc>
          <w:tcPr>
            <w:tcW w:w="12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hideMark/>
          </w:tcPr>
          <w:p w14:paraId="148D4885" w14:textId="77777777" w:rsidR="006C2FF5" w:rsidRPr="00BE2689" w:rsidRDefault="006C2FF5" w:rsidP="00BE2689">
            <w:pPr>
              <w:pStyle w:val="paragraph"/>
              <w:spacing w:before="120" w:beforeAutospacing="0" w:after="120" w:afterAutospacing="0"/>
              <w:textAlignment w:val="baseline"/>
            </w:pPr>
            <w:r w:rsidRPr="00BE2689">
              <w:rPr>
                <w:rStyle w:val="normaltextrun"/>
                <w:rFonts w:ascii="Calibri" w:eastAsiaTheme="majorEastAsia" w:hAnsi="Calibri" w:cs="Calibri"/>
                <w:b/>
                <w:bCs/>
                <w:color w:val="FFFFFF"/>
                <w:sz w:val="28"/>
                <w:szCs w:val="28"/>
              </w:rPr>
              <w:t>Administrative</w:t>
            </w:r>
            <w:r w:rsidRPr="00BE2689">
              <w:rPr>
                <w:rStyle w:val="eop"/>
                <w:rFonts w:ascii="Calibri" w:eastAsiaTheme="majorEastAsia" w:hAnsi="Calibri" w:cs="Calibri"/>
                <w:color w:val="FFFFFF"/>
                <w:sz w:val="28"/>
                <w:szCs w:val="28"/>
              </w:rPr>
              <w:t> </w:t>
            </w:r>
          </w:p>
        </w:tc>
      </w:tr>
      <w:tr w:rsidR="006C2FF5" w14:paraId="46B1DD05" w14:textId="77777777" w:rsidTr="73722CA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66AD2" w14:textId="77777777" w:rsidR="006C2FF5" w:rsidRPr="00B420E7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B420E7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Standard tax return filing dates </w:t>
            </w:r>
            <w:r w:rsidRPr="00B420E7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CF95F" w14:textId="1F8F7C66" w:rsidR="006C2FF5" w:rsidRPr="00153D90" w:rsidRDefault="006C2FF5" w:rsidP="2C5B77B6">
            <w:pPr>
              <w:pStyle w:val="paragraph"/>
              <w:numPr>
                <w:ilvl w:val="0"/>
                <w:numId w:val="23"/>
              </w:numPr>
              <w:spacing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  <w:u w:val="single"/>
              </w:rPr>
              <w:t>Corporations</w:t>
            </w:r>
            <w:r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: </w:t>
            </w:r>
            <w:r w:rsidR="4DB8384C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by May 31</w:t>
            </w:r>
            <w:r w:rsidR="00131DBC" w:rsidRPr="2C5B77B6">
              <w:rPr>
                <w:rStyle w:val="eop"/>
                <w:rFonts w:eastAsiaTheme="majorEastAsia"/>
              </w:rPr>
              <w:t xml:space="preserve">. </w:t>
            </w:r>
            <w:r w:rsidR="00B37A7F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(</w:t>
            </w:r>
            <w:hyperlink r:id="rId63" w:anchor="section(9)_0">
              <w:r w:rsidR="00B37A7F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Section</w:t>
              </w:r>
            </w:hyperlink>
            <w:r w:rsidR="00B37A7F" w:rsidRPr="2C5B77B6">
              <w:rPr>
                <w:rStyle w:val="normaltextrun"/>
                <w:rFonts w:ascii="Calibri" w:eastAsiaTheme="majorEastAsia" w:hAnsi="Calibri" w:cs="Calibri"/>
                <w:color w:val="0563C1"/>
                <w:sz w:val="22"/>
                <w:szCs w:val="22"/>
                <w:u w:val="single"/>
              </w:rPr>
              <w:t xml:space="preserve"> </w:t>
            </w:r>
            <w:r w:rsidR="6E428A1C" w:rsidRPr="2C5B77B6">
              <w:rPr>
                <w:rStyle w:val="normaltextrun"/>
                <w:rFonts w:ascii="Calibri" w:eastAsiaTheme="majorEastAsia" w:hAnsi="Calibri" w:cs="Calibri"/>
                <w:color w:val="0563C1"/>
                <w:sz w:val="22"/>
                <w:szCs w:val="22"/>
                <w:u w:val="single"/>
              </w:rPr>
              <w:t>V.</w:t>
            </w:r>
            <w:r w:rsidR="0795AEC8" w:rsidRPr="2C5B77B6">
              <w:rPr>
                <w:rStyle w:val="normaltextrun"/>
                <w:rFonts w:ascii="Calibri" w:eastAsiaTheme="majorEastAsia" w:hAnsi="Calibri" w:cs="Calibri"/>
                <w:color w:val="0563C1"/>
                <w:sz w:val="22"/>
                <w:szCs w:val="22"/>
                <w:u w:val="single"/>
              </w:rPr>
              <w:t>A.9</w:t>
            </w:r>
            <w:r w:rsidR="00B37A7F" w:rsidRPr="2C5B77B6">
              <w:rPr>
                <w:rStyle w:val="normaltextrun"/>
                <w:rFonts w:ascii="Calibri" w:eastAsiaTheme="majorEastAsia" w:hAnsi="Calibri" w:cs="Calibri"/>
                <w:color w:val="0563C1"/>
                <w:sz w:val="22"/>
                <w:szCs w:val="22"/>
                <w:u w:val="single"/>
              </w:rPr>
              <w:t>.</w:t>
            </w:r>
            <w:r w:rsidR="00B37A7F"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  <w:r w:rsidR="00521C32" w:rsidRPr="2C5B77B6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</w:p>
          <w:p w14:paraId="16C60B72" w14:textId="7D39F078" w:rsidR="006C2FF5" w:rsidRPr="00153D90" w:rsidRDefault="006C2FF5" w:rsidP="2C5B77B6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  <w:u w:val="single"/>
              </w:rPr>
              <w:t>Individuals</w:t>
            </w:r>
            <w:r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:</w:t>
            </w:r>
            <w:r w:rsidR="56580289"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3A3976AA"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generally, </w:t>
            </w:r>
            <w:r w:rsidR="56580289"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by </w:t>
            </w:r>
            <w:r w:rsidR="47F4C4ED"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April</w:t>
            </w:r>
            <w:r w:rsidR="56580289"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3</w:t>
            </w:r>
            <w:r w:rsidR="28F8AFAF"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0</w:t>
            </w:r>
            <w:r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 (</w:t>
            </w:r>
            <w:hyperlink r:id="rId64" w:history="1">
              <w:r w:rsidRPr="0E50CB1C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Section</w:t>
              </w:r>
            </w:hyperlink>
            <w:r w:rsidRPr="0E50CB1C">
              <w:rPr>
                <w:rStyle w:val="normaltextrun"/>
                <w:rFonts w:ascii="Calibri" w:eastAsiaTheme="majorEastAsia" w:hAnsi="Calibri" w:cs="Calibri"/>
                <w:color w:val="0563C1"/>
                <w:sz w:val="22"/>
                <w:szCs w:val="22"/>
                <w:u w:val="single"/>
              </w:rPr>
              <w:t xml:space="preserve"> XV.C.</w:t>
            </w:r>
            <w:r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</w:p>
        </w:tc>
      </w:tr>
      <w:tr w:rsidR="006C2FF5" w14:paraId="605B26B3" w14:textId="77777777" w:rsidTr="73722CA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8E308" w14:textId="77777777" w:rsidR="006C2FF5" w:rsidRPr="00B420E7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B420E7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Limitations period for assessment</w:t>
            </w:r>
            <w:r w:rsidRPr="00B420E7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279E4" w14:textId="61D5A3A8" w:rsidR="006C2FF5" w:rsidRPr="002E5BCF" w:rsidRDefault="1D08A010" w:rsidP="2C5B77B6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075FA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Generally</w:t>
            </w:r>
            <w:r w:rsidR="71AF82A3" w:rsidRPr="004075FA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,</w:t>
            </w:r>
            <w:r w:rsidRPr="004075FA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3E312A" w:rsidRPr="004075FA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f</w:t>
            </w:r>
            <w:r w:rsidR="003E312A" w:rsidRPr="00EA6B20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our</w:t>
            </w:r>
            <w:r w:rsidR="7A04DCF9" w:rsidRPr="004075FA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076155" w:rsidRPr="004075FA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years </w:t>
            </w:r>
            <w:r w:rsidR="49E9688E" w:rsidRPr="004075FA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(</w:t>
            </w:r>
            <w:r w:rsidR="4DF6ACE5" w:rsidRPr="004075FA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individuals</w:t>
            </w:r>
            <w:r w:rsidR="4DF6ACE5"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and corporations</w:t>
            </w:r>
            <w:r w:rsidR="1F162B8D"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  <w:r w:rsidR="4DF6ACE5"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076155"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from the </w:t>
            </w:r>
            <w:r w:rsidR="2089D5B9"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end of the year in which </w:t>
            </w:r>
            <w:r w:rsidR="00076155"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an original</w:t>
            </w:r>
            <w:r w:rsidR="1496FB76"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076155"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return is filed</w:t>
            </w:r>
            <w:r w:rsidR="1AE91621"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.</w:t>
            </w:r>
            <w:r w:rsidR="3009F7EE"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927387"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(</w:t>
            </w:r>
            <w:hyperlink r:id="rId65">
              <w:r w:rsidR="00FC36B8" w:rsidRPr="0E50CB1C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 xml:space="preserve">Section </w:t>
              </w:r>
              <w:r w:rsidR="41EC7BFB" w:rsidRPr="0E50CB1C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XV</w:t>
              </w:r>
              <w:r w:rsidR="00FC36B8" w:rsidRPr="0E50CB1C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</w:t>
              </w:r>
              <w:r w:rsidR="6F901AA4" w:rsidRPr="0E50CB1C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F</w:t>
              </w:r>
              <w:r w:rsidR="00FC36B8" w:rsidRPr="0E50CB1C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</w:t>
              </w:r>
            </w:hyperlink>
            <w:r w:rsidR="00FB2BDB" w:rsidRPr="0E50CB1C">
              <w:rPr>
                <w:rStyle w:val="normaltextrun"/>
                <w:rFonts w:eastAsiaTheme="majorEastAsia"/>
              </w:rPr>
              <w:t>)</w:t>
            </w:r>
            <w:r w:rsidR="006C2FF5" w:rsidRPr="0E50CB1C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 </w:t>
            </w:r>
            <w:r w:rsidR="006C2FF5" w:rsidRPr="0E50CB1C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</w:tr>
      <w:tr w:rsidR="006C2FF5" w14:paraId="551AFDCD" w14:textId="77777777" w:rsidTr="73722CA5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87912" w14:textId="77777777" w:rsidR="006C2FF5" w:rsidRPr="00B420E7" w:rsidRDefault="006C2FF5" w:rsidP="00BE268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B420E7">
              <w:rPr>
                <w:rStyle w:val="normaltextrun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Advance tax rulings </w:t>
            </w:r>
            <w:r w:rsidRPr="00B420E7">
              <w:rPr>
                <w:rStyle w:val="eop"/>
                <w:rFonts w:ascii="Calibri" w:eastAsiaTheme="majorEastAsia" w:hAnsi="Calibri" w:cs="Calibr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96B6D" w14:textId="370CDD2F" w:rsidR="006C2FF5" w:rsidRPr="00153D90" w:rsidRDefault="006C2FF5" w:rsidP="2C5B77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</w:pPr>
            <w:r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Yes. (</w:t>
            </w:r>
            <w:hyperlink r:id="rId66">
              <w:r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 xml:space="preserve">Section </w:t>
              </w:r>
              <w:r w:rsidR="1582029C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XV</w:t>
              </w:r>
              <w:r w:rsidR="002476B4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</w:t>
              </w:r>
              <w:r w:rsidR="32AF073B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H</w:t>
              </w:r>
              <w:r w:rsidR="002476B4" w:rsidRPr="2C5B77B6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.</w:t>
              </w:r>
            </w:hyperlink>
            <w:r w:rsidRPr="2C5B77B6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  <w:r w:rsidRPr="2C5B77B6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</w:tr>
    </w:tbl>
    <w:p w14:paraId="488333A7" w14:textId="77777777" w:rsidR="00D70BAB" w:rsidRDefault="00D70BAB" w:rsidP="00BE2689"/>
    <w:sectPr w:rsidR="00D70BAB" w:rsidSect="001B48ED">
      <w:headerReference w:type="default" r:id="rId67"/>
      <w:footerReference w:type="default" r:id="rId6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52006" w14:textId="77777777" w:rsidR="00345B11" w:rsidRDefault="00345B11" w:rsidP="006C2FF5">
      <w:pPr>
        <w:spacing w:after="0" w:line="240" w:lineRule="auto"/>
      </w:pPr>
      <w:r>
        <w:separator/>
      </w:r>
    </w:p>
  </w:endnote>
  <w:endnote w:type="continuationSeparator" w:id="0">
    <w:p w14:paraId="1E940195" w14:textId="77777777" w:rsidR="00345B11" w:rsidRDefault="00345B11" w:rsidP="006C2FF5">
      <w:pPr>
        <w:spacing w:after="0" w:line="240" w:lineRule="auto"/>
      </w:pPr>
      <w:r>
        <w:continuationSeparator/>
      </w:r>
    </w:p>
  </w:endnote>
  <w:endnote w:type="continuationNotice" w:id="1">
    <w:p w14:paraId="344E8CA4" w14:textId="77777777" w:rsidR="00345B11" w:rsidRDefault="00345B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30F37B09" w14:paraId="2B758F31" w14:textId="77777777" w:rsidTr="30F37B09">
      <w:trPr>
        <w:trHeight w:val="300"/>
      </w:trPr>
      <w:tc>
        <w:tcPr>
          <w:tcW w:w="4320" w:type="dxa"/>
        </w:tcPr>
        <w:p w14:paraId="59C4CEB6" w14:textId="46E2DCA1" w:rsidR="30F37B09" w:rsidRDefault="30F37B09" w:rsidP="30F37B09">
          <w:pPr>
            <w:pStyle w:val="Header"/>
            <w:ind w:left="-115"/>
          </w:pPr>
        </w:p>
      </w:tc>
      <w:tc>
        <w:tcPr>
          <w:tcW w:w="4320" w:type="dxa"/>
        </w:tcPr>
        <w:p w14:paraId="11077304" w14:textId="678E72D2" w:rsidR="30F37B09" w:rsidRDefault="30F37B09" w:rsidP="30F37B09">
          <w:pPr>
            <w:pStyle w:val="Header"/>
            <w:jc w:val="center"/>
          </w:pPr>
        </w:p>
      </w:tc>
      <w:tc>
        <w:tcPr>
          <w:tcW w:w="4320" w:type="dxa"/>
        </w:tcPr>
        <w:p w14:paraId="33F4A54D" w14:textId="0510C363" w:rsidR="30F37B09" w:rsidRDefault="30F37B09" w:rsidP="30F37B09">
          <w:pPr>
            <w:pStyle w:val="Header"/>
            <w:ind w:right="-115"/>
            <w:jc w:val="right"/>
          </w:pPr>
        </w:p>
      </w:tc>
    </w:tr>
  </w:tbl>
  <w:p w14:paraId="428C042B" w14:textId="2E56D44F" w:rsidR="30F37B09" w:rsidRDefault="30F37B09" w:rsidP="30F37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3DA1C" w14:textId="77777777" w:rsidR="00345B11" w:rsidRDefault="00345B11" w:rsidP="006C2FF5">
      <w:pPr>
        <w:spacing w:after="0" w:line="240" w:lineRule="auto"/>
      </w:pPr>
      <w:r>
        <w:separator/>
      </w:r>
    </w:p>
  </w:footnote>
  <w:footnote w:type="continuationSeparator" w:id="0">
    <w:p w14:paraId="23A852BB" w14:textId="77777777" w:rsidR="00345B11" w:rsidRDefault="00345B11" w:rsidP="006C2FF5">
      <w:pPr>
        <w:spacing w:after="0" w:line="240" w:lineRule="auto"/>
      </w:pPr>
      <w:r>
        <w:continuationSeparator/>
      </w:r>
    </w:p>
  </w:footnote>
  <w:footnote w:type="continuationNotice" w:id="1">
    <w:p w14:paraId="7794335B" w14:textId="77777777" w:rsidR="00345B11" w:rsidRDefault="00345B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4795" w14:textId="2F9757EB" w:rsidR="006C2FF5" w:rsidRPr="006C2FF5" w:rsidRDefault="30F37B09" w:rsidP="30F37B09">
    <w:pPr>
      <w:pStyle w:val="paragraph"/>
      <w:spacing w:before="0" w:beforeAutospacing="0" w:after="160" w:afterAutospacing="0"/>
      <w:textAlignment w:val="baseline"/>
    </w:pPr>
    <w:r w:rsidRPr="30F37B09">
      <w:rPr>
        <w:rStyle w:val="normaltextrun"/>
        <w:rFonts w:ascii="Calibri" w:eastAsiaTheme="majorEastAsia" w:hAnsi="Calibri" w:cs="Calibri"/>
        <w:b/>
        <w:bCs/>
        <w:sz w:val="32"/>
        <w:szCs w:val="32"/>
      </w:rPr>
      <w:t>Israel – Tax System Overview</w:t>
    </w:r>
    <w:r w:rsidRPr="30F37B09">
      <w:rPr>
        <w:rStyle w:val="eop"/>
        <w:rFonts w:ascii="Calibri" w:eastAsiaTheme="majorEastAsia" w:hAnsi="Calibri" w:cs="Calibri"/>
        <w:sz w:val="32"/>
        <w:szCs w:val="3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709C"/>
    <w:multiLevelType w:val="hybridMultilevel"/>
    <w:tmpl w:val="10D05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1334D"/>
    <w:multiLevelType w:val="hybridMultilevel"/>
    <w:tmpl w:val="8EBEA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6370E"/>
    <w:multiLevelType w:val="multilevel"/>
    <w:tmpl w:val="85DCE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82DA6"/>
    <w:multiLevelType w:val="multilevel"/>
    <w:tmpl w:val="E4AE7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77971"/>
    <w:multiLevelType w:val="hybridMultilevel"/>
    <w:tmpl w:val="F5F0A9F2"/>
    <w:lvl w:ilvl="0" w:tplc="A8040A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910A2"/>
    <w:multiLevelType w:val="hybridMultilevel"/>
    <w:tmpl w:val="9BE42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669EA"/>
    <w:multiLevelType w:val="multilevel"/>
    <w:tmpl w:val="2344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DF2118"/>
    <w:multiLevelType w:val="hybridMultilevel"/>
    <w:tmpl w:val="6D3C2FB6"/>
    <w:lvl w:ilvl="0" w:tplc="C0B20E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97457"/>
    <w:multiLevelType w:val="hybridMultilevel"/>
    <w:tmpl w:val="6D62A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A6DEB"/>
    <w:multiLevelType w:val="multilevel"/>
    <w:tmpl w:val="417E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D1847"/>
    <w:multiLevelType w:val="multilevel"/>
    <w:tmpl w:val="06C0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8C7062"/>
    <w:multiLevelType w:val="multilevel"/>
    <w:tmpl w:val="452E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173349"/>
    <w:multiLevelType w:val="hybridMultilevel"/>
    <w:tmpl w:val="7A0C9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F5322"/>
    <w:multiLevelType w:val="multilevel"/>
    <w:tmpl w:val="FA60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BB2A1B"/>
    <w:multiLevelType w:val="multilevel"/>
    <w:tmpl w:val="EB2A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760124"/>
    <w:multiLevelType w:val="hybridMultilevel"/>
    <w:tmpl w:val="096260D8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36ADF643"/>
    <w:multiLevelType w:val="hybridMultilevel"/>
    <w:tmpl w:val="D6B2F780"/>
    <w:lvl w:ilvl="0" w:tplc="9A94C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B230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04E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C4E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FC9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B68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AB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3AE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942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B0251"/>
    <w:multiLevelType w:val="multilevel"/>
    <w:tmpl w:val="2DB4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ED6027"/>
    <w:multiLevelType w:val="multilevel"/>
    <w:tmpl w:val="F1DA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D4766C"/>
    <w:multiLevelType w:val="hybridMultilevel"/>
    <w:tmpl w:val="DCCE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69635"/>
    <w:multiLevelType w:val="hybridMultilevel"/>
    <w:tmpl w:val="8C3C85DA"/>
    <w:lvl w:ilvl="0" w:tplc="644C0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5A9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92D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23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A4A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9CE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4B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E9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069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4B72F"/>
    <w:multiLevelType w:val="hybridMultilevel"/>
    <w:tmpl w:val="A4284396"/>
    <w:lvl w:ilvl="0" w:tplc="296A5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CC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1AF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EE1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47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8E8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241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6D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10B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7697B"/>
    <w:multiLevelType w:val="hybridMultilevel"/>
    <w:tmpl w:val="C7602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55A4D"/>
    <w:multiLevelType w:val="hybridMultilevel"/>
    <w:tmpl w:val="FC82B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524A0"/>
    <w:multiLevelType w:val="hybridMultilevel"/>
    <w:tmpl w:val="75B2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D29BE"/>
    <w:multiLevelType w:val="hybridMultilevel"/>
    <w:tmpl w:val="7A8E1E0E"/>
    <w:lvl w:ilvl="0" w:tplc="54AE0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8E8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F41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481A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87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26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ED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0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0A6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E279F"/>
    <w:multiLevelType w:val="multilevel"/>
    <w:tmpl w:val="805E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E02407"/>
    <w:multiLevelType w:val="hybridMultilevel"/>
    <w:tmpl w:val="B5E6D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B09E1"/>
    <w:multiLevelType w:val="multilevel"/>
    <w:tmpl w:val="717A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3334D4"/>
    <w:multiLevelType w:val="hybridMultilevel"/>
    <w:tmpl w:val="E67CC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A6EDF"/>
    <w:multiLevelType w:val="hybridMultilevel"/>
    <w:tmpl w:val="3BEEA398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1" w15:restartNumberingAfterBreak="0">
    <w:nsid w:val="607C2EEE"/>
    <w:multiLevelType w:val="multilevel"/>
    <w:tmpl w:val="45A4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0E2758"/>
    <w:multiLevelType w:val="hybridMultilevel"/>
    <w:tmpl w:val="D2106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1CAB1F"/>
    <w:multiLevelType w:val="hybridMultilevel"/>
    <w:tmpl w:val="37ECAEFA"/>
    <w:lvl w:ilvl="0" w:tplc="3C12C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DC9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4A7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22C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8D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A8A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9CB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84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BE2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26895"/>
    <w:multiLevelType w:val="hybridMultilevel"/>
    <w:tmpl w:val="F2347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47FBA"/>
    <w:multiLevelType w:val="hybridMultilevel"/>
    <w:tmpl w:val="94E6B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95A77"/>
    <w:multiLevelType w:val="hybridMultilevel"/>
    <w:tmpl w:val="8DAEEE7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7" w15:restartNumberingAfterBreak="0">
    <w:nsid w:val="77F65CF9"/>
    <w:multiLevelType w:val="multilevel"/>
    <w:tmpl w:val="22F6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0A75D9"/>
    <w:multiLevelType w:val="multilevel"/>
    <w:tmpl w:val="CD2C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AF1EBF"/>
    <w:multiLevelType w:val="hybridMultilevel"/>
    <w:tmpl w:val="7B503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763E1C"/>
    <w:multiLevelType w:val="hybridMultilevel"/>
    <w:tmpl w:val="D88E4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36002">
    <w:abstractNumId w:val="21"/>
  </w:num>
  <w:num w:numId="2" w16cid:durableId="206454037">
    <w:abstractNumId w:val="20"/>
  </w:num>
  <w:num w:numId="3" w16cid:durableId="428282981">
    <w:abstractNumId w:val="26"/>
  </w:num>
  <w:num w:numId="4" w16cid:durableId="1213691918">
    <w:abstractNumId w:val="9"/>
  </w:num>
  <w:num w:numId="5" w16cid:durableId="1549416341">
    <w:abstractNumId w:val="11"/>
  </w:num>
  <w:num w:numId="6" w16cid:durableId="194194916">
    <w:abstractNumId w:val="17"/>
  </w:num>
  <w:num w:numId="7" w16cid:durableId="1261717974">
    <w:abstractNumId w:val="3"/>
  </w:num>
  <w:num w:numId="8" w16cid:durableId="1412313406">
    <w:abstractNumId w:val="2"/>
  </w:num>
  <w:num w:numId="9" w16cid:durableId="1942256123">
    <w:abstractNumId w:val="31"/>
  </w:num>
  <w:num w:numId="10" w16cid:durableId="1324311361">
    <w:abstractNumId w:val="14"/>
  </w:num>
  <w:num w:numId="11" w16cid:durableId="28724804">
    <w:abstractNumId w:val="18"/>
  </w:num>
  <w:num w:numId="12" w16cid:durableId="1991595785">
    <w:abstractNumId w:val="38"/>
  </w:num>
  <w:num w:numId="13" w16cid:durableId="617570355">
    <w:abstractNumId w:val="10"/>
  </w:num>
  <w:num w:numId="14" w16cid:durableId="31195366">
    <w:abstractNumId w:val="13"/>
  </w:num>
  <w:num w:numId="15" w16cid:durableId="759986066">
    <w:abstractNumId w:val="6"/>
  </w:num>
  <w:num w:numId="16" w16cid:durableId="508568673">
    <w:abstractNumId w:val="34"/>
  </w:num>
  <w:num w:numId="17" w16cid:durableId="871528213">
    <w:abstractNumId w:val="32"/>
  </w:num>
  <w:num w:numId="18" w16cid:durableId="112597127">
    <w:abstractNumId w:val="5"/>
  </w:num>
  <w:num w:numId="19" w16cid:durableId="1280258275">
    <w:abstractNumId w:val="8"/>
  </w:num>
  <w:num w:numId="20" w16cid:durableId="1809737438">
    <w:abstractNumId w:val="22"/>
  </w:num>
  <w:num w:numId="21" w16cid:durableId="611203789">
    <w:abstractNumId w:val="12"/>
  </w:num>
  <w:num w:numId="22" w16cid:durableId="1726366551">
    <w:abstractNumId w:val="29"/>
  </w:num>
  <w:num w:numId="23" w16cid:durableId="1497915825">
    <w:abstractNumId w:val="39"/>
  </w:num>
  <w:num w:numId="24" w16cid:durableId="694968221">
    <w:abstractNumId w:val="30"/>
  </w:num>
  <w:num w:numId="25" w16cid:durableId="587731953">
    <w:abstractNumId w:val="36"/>
  </w:num>
  <w:num w:numId="26" w16cid:durableId="28649538">
    <w:abstractNumId w:val="35"/>
  </w:num>
  <w:num w:numId="27" w16cid:durableId="594439571">
    <w:abstractNumId w:val="15"/>
  </w:num>
  <w:num w:numId="28" w16cid:durableId="646514697">
    <w:abstractNumId w:val="37"/>
  </w:num>
  <w:num w:numId="29" w16cid:durableId="2004896768">
    <w:abstractNumId w:val="19"/>
  </w:num>
  <w:num w:numId="30" w16cid:durableId="1006708663">
    <w:abstractNumId w:val="27"/>
  </w:num>
  <w:num w:numId="31" w16cid:durableId="199559279">
    <w:abstractNumId w:val="28"/>
  </w:num>
  <w:num w:numId="32" w16cid:durableId="549388647">
    <w:abstractNumId w:val="40"/>
  </w:num>
  <w:num w:numId="33" w16cid:durableId="1313024519">
    <w:abstractNumId w:val="0"/>
  </w:num>
  <w:num w:numId="34" w16cid:durableId="2087418712">
    <w:abstractNumId w:val="24"/>
  </w:num>
  <w:num w:numId="35" w16cid:durableId="43021885">
    <w:abstractNumId w:val="23"/>
  </w:num>
  <w:num w:numId="36" w16cid:durableId="1879194396">
    <w:abstractNumId w:val="4"/>
  </w:num>
  <w:num w:numId="37" w16cid:durableId="43674526">
    <w:abstractNumId w:val="7"/>
  </w:num>
  <w:num w:numId="38" w16cid:durableId="1743062281">
    <w:abstractNumId w:val="33"/>
  </w:num>
  <w:num w:numId="39" w16cid:durableId="1149131336">
    <w:abstractNumId w:val="16"/>
  </w:num>
  <w:num w:numId="40" w16cid:durableId="2069958213">
    <w:abstractNumId w:val="25"/>
  </w:num>
  <w:num w:numId="41" w16cid:durableId="333726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F5"/>
    <w:rsid w:val="000022D0"/>
    <w:rsid w:val="000033BB"/>
    <w:rsid w:val="00003FF1"/>
    <w:rsid w:val="000053B0"/>
    <w:rsid w:val="000119C5"/>
    <w:rsid w:val="00011F9A"/>
    <w:rsid w:val="00012796"/>
    <w:rsid w:val="00013E29"/>
    <w:rsid w:val="00014B1D"/>
    <w:rsid w:val="00015837"/>
    <w:rsid w:val="00020F0B"/>
    <w:rsid w:val="0002156D"/>
    <w:rsid w:val="000256B0"/>
    <w:rsid w:val="0002599D"/>
    <w:rsid w:val="0002635D"/>
    <w:rsid w:val="00027301"/>
    <w:rsid w:val="0003089B"/>
    <w:rsid w:val="0004204F"/>
    <w:rsid w:val="00042341"/>
    <w:rsid w:val="00042C13"/>
    <w:rsid w:val="00044AB2"/>
    <w:rsid w:val="00044F89"/>
    <w:rsid w:val="000474B2"/>
    <w:rsid w:val="00050371"/>
    <w:rsid w:val="00050595"/>
    <w:rsid w:val="00051BA0"/>
    <w:rsid w:val="00051D42"/>
    <w:rsid w:val="00052FE1"/>
    <w:rsid w:val="00053A6E"/>
    <w:rsid w:val="00055380"/>
    <w:rsid w:val="0005627D"/>
    <w:rsid w:val="00056D84"/>
    <w:rsid w:val="000579DF"/>
    <w:rsid w:val="000603B4"/>
    <w:rsid w:val="000616B4"/>
    <w:rsid w:val="00061A16"/>
    <w:rsid w:val="000623C1"/>
    <w:rsid w:val="000635D3"/>
    <w:rsid w:val="00064C16"/>
    <w:rsid w:val="00071828"/>
    <w:rsid w:val="00072FBD"/>
    <w:rsid w:val="00073620"/>
    <w:rsid w:val="00074BE4"/>
    <w:rsid w:val="00074FEA"/>
    <w:rsid w:val="00076155"/>
    <w:rsid w:val="0007623D"/>
    <w:rsid w:val="000773A9"/>
    <w:rsid w:val="00077475"/>
    <w:rsid w:val="000800B7"/>
    <w:rsid w:val="00081684"/>
    <w:rsid w:val="00081E34"/>
    <w:rsid w:val="00081E9C"/>
    <w:rsid w:val="00083A58"/>
    <w:rsid w:val="00090438"/>
    <w:rsid w:val="0009254C"/>
    <w:rsid w:val="000934A5"/>
    <w:rsid w:val="00094D44"/>
    <w:rsid w:val="000958C9"/>
    <w:rsid w:val="00096FE8"/>
    <w:rsid w:val="00097638"/>
    <w:rsid w:val="000A01B5"/>
    <w:rsid w:val="000A04EF"/>
    <w:rsid w:val="000A2490"/>
    <w:rsid w:val="000A4051"/>
    <w:rsid w:val="000A4660"/>
    <w:rsid w:val="000A587F"/>
    <w:rsid w:val="000A77CE"/>
    <w:rsid w:val="000B1F21"/>
    <w:rsid w:val="000B5102"/>
    <w:rsid w:val="000B5E0E"/>
    <w:rsid w:val="000B7755"/>
    <w:rsid w:val="000C0029"/>
    <w:rsid w:val="000C0AD7"/>
    <w:rsid w:val="000C1759"/>
    <w:rsid w:val="000C1E96"/>
    <w:rsid w:val="000C21B7"/>
    <w:rsid w:val="000C28B7"/>
    <w:rsid w:val="000C3359"/>
    <w:rsid w:val="000C38DD"/>
    <w:rsid w:val="000C4516"/>
    <w:rsid w:val="000C4BFB"/>
    <w:rsid w:val="000C5CBB"/>
    <w:rsid w:val="000C6D10"/>
    <w:rsid w:val="000C7804"/>
    <w:rsid w:val="000D0AF5"/>
    <w:rsid w:val="000D0E45"/>
    <w:rsid w:val="000D1B9B"/>
    <w:rsid w:val="000D2FCA"/>
    <w:rsid w:val="000D669E"/>
    <w:rsid w:val="000E2986"/>
    <w:rsid w:val="000E33A0"/>
    <w:rsid w:val="000E3F73"/>
    <w:rsid w:val="000E5A0B"/>
    <w:rsid w:val="000E5B09"/>
    <w:rsid w:val="000F0047"/>
    <w:rsid w:val="000F0674"/>
    <w:rsid w:val="000F445F"/>
    <w:rsid w:val="000F6AA3"/>
    <w:rsid w:val="001014F7"/>
    <w:rsid w:val="00103792"/>
    <w:rsid w:val="00103D7D"/>
    <w:rsid w:val="00105660"/>
    <w:rsid w:val="0010630F"/>
    <w:rsid w:val="00107224"/>
    <w:rsid w:val="001100F7"/>
    <w:rsid w:val="00110DFC"/>
    <w:rsid w:val="001125A9"/>
    <w:rsid w:val="0011433C"/>
    <w:rsid w:val="0011482F"/>
    <w:rsid w:val="00114C24"/>
    <w:rsid w:val="001165D5"/>
    <w:rsid w:val="0011690C"/>
    <w:rsid w:val="00123279"/>
    <w:rsid w:val="00131DBC"/>
    <w:rsid w:val="00132D18"/>
    <w:rsid w:val="0013453A"/>
    <w:rsid w:val="00137948"/>
    <w:rsid w:val="00142269"/>
    <w:rsid w:val="001452EF"/>
    <w:rsid w:val="0015080F"/>
    <w:rsid w:val="00151506"/>
    <w:rsid w:val="00153D90"/>
    <w:rsid w:val="001547D4"/>
    <w:rsid w:val="001548C6"/>
    <w:rsid w:val="00154FB1"/>
    <w:rsid w:val="0015548F"/>
    <w:rsid w:val="00155AD6"/>
    <w:rsid w:val="001567E3"/>
    <w:rsid w:val="00160A48"/>
    <w:rsid w:val="001623E9"/>
    <w:rsid w:val="00162913"/>
    <w:rsid w:val="00166B95"/>
    <w:rsid w:val="00170D45"/>
    <w:rsid w:val="00171435"/>
    <w:rsid w:val="001722FE"/>
    <w:rsid w:val="00173627"/>
    <w:rsid w:val="0017380B"/>
    <w:rsid w:val="00174AAD"/>
    <w:rsid w:val="0017603D"/>
    <w:rsid w:val="0018144A"/>
    <w:rsid w:val="00181D95"/>
    <w:rsid w:val="00182ECA"/>
    <w:rsid w:val="001831C5"/>
    <w:rsid w:val="00183448"/>
    <w:rsid w:val="0019255E"/>
    <w:rsid w:val="001927E6"/>
    <w:rsid w:val="00192DFB"/>
    <w:rsid w:val="00193032"/>
    <w:rsid w:val="00194053"/>
    <w:rsid w:val="0019518E"/>
    <w:rsid w:val="001A0FDE"/>
    <w:rsid w:val="001A121D"/>
    <w:rsid w:val="001A65D9"/>
    <w:rsid w:val="001B48ED"/>
    <w:rsid w:val="001B5B28"/>
    <w:rsid w:val="001B5EBF"/>
    <w:rsid w:val="001B6592"/>
    <w:rsid w:val="001B66B4"/>
    <w:rsid w:val="001B7279"/>
    <w:rsid w:val="001C18E6"/>
    <w:rsid w:val="001C3E93"/>
    <w:rsid w:val="001C59FE"/>
    <w:rsid w:val="001D0529"/>
    <w:rsid w:val="001D08C7"/>
    <w:rsid w:val="001D269A"/>
    <w:rsid w:val="001D5A56"/>
    <w:rsid w:val="001D5C0C"/>
    <w:rsid w:val="001D6F45"/>
    <w:rsid w:val="001E57B7"/>
    <w:rsid w:val="001F1BFA"/>
    <w:rsid w:val="001F2AD6"/>
    <w:rsid w:val="001F2F82"/>
    <w:rsid w:val="001F31E8"/>
    <w:rsid w:val="001F498A"/>
    <w:rsid w:val="001F4A9B"/>
    <w:rsid w:val="00203EF3"/>
    <w:rsid w:val="00205781"/>
    <w:rsid w:val="0020718C"/>
    <w:rsid w:val="00207E08"/>
    <w:rsid w:val="00211B31"/>
    <w:rsid w:val="00213573"/>
    <w:rsid w:val="00214A77"/>
    <w:rsid w:val="002156AD"/>
    <w:rsid w:val="00215DD2"/>
    <w:rsid w:val="002161E5"/>
    <w:rsid w:val="002229D7"/>
    <w:rsid w:val="00224FDA"/>
    <w:rsid w:val="0022784A"/>
    <w:rsid w:val="00233DAA"/>
    <w:rsid w:val="002344AB"/>
    <w:rsid w:val="002363AC"/>
    <w:rsid w:val="00236441"/>
    <w:rsid w:val="00241134"/>
    <w:rsid w:val="00243354"/>
    <w:rsid w:val="002476B4"/>
    <w:rsid w:val="00250BA2"/>
    <w:rsid w:val="00252C02"/>
    <w:rsid w:val="0025381B"/>
    <w:rsid w:val="00254196"/>
    <w:rsid w:val="0025480B"/>
    <w:rsid w:val="002565F7"/>
    <w:rsid w:val="0025678C"/>
    <w:rsid w:val="0025697C"/>
    <w:rsid w:val="00257A87"/>
    <w:rsid w:val="0026230F"/>
    <w:rsid w:val="0026282A"/>
    <w:rsid w:val="00263640"/>
    <w:rsid w:val="00264330"/>
    <w:rsid w:val="00264733"/>
    <w:rsid w:val="00265A73"/>
    <w:rsid w:val="00266DA1"/>
    <w:rsid w:val="002720DF"/>
    <w:rsid w:val="00272D52"/>
    <w:rsid w:val="00273A59"/>
    <w:rsid w:val="00274449"/>
    <w:rsid w:val="00276CCB"/>
    <w:rsid w:val="0028072B"/>
    <w:rsid w:val="00281285"/>
    <w:rsid w:val="002812E3"/>
    <w:rsid w:val="00282A44"/>
    <w:rsid w:val="00282AE0"/>
    <w:rsid w:val="00284426"/>
    <w:rsid w:val="002849BD"/>
    <w:rsid w:val="002859BD"/>
    <w:rsid w:val="00286318"/>
    <w:rsid w:val="00287A76"/>
    <w:rsid w:val="00290041"/>
    <w:rsid w:val="0029380B"/>
    <w:rsid w:val="002A29D9"/>
    <w:rsid w:val="002A45C8"/>
    <w:rsid w:val="002A6AC5"/>
    <w:rsid w:val="002B01C0"/>
    <w:rsid w:val="002B026E"/>
    <w:rsid w:val="002B12C5"/>
    <w:rsid w:val="002B1929"/>
    <w:rsid w:val="002B2E38"/>
    <w:rsid w:val="002B4C69"/>
    <w:rsid w:val="002B59D4"/>
    <w:rsid w:val="002C0607"/>
    <w:rsid w:val="002C1232"/>
    <w:rsid w:val="002C2F56"/>
    <w:rsid w:val="002C6100"/>
    <w:rsid w:val="002C6620"/>
    <w:rsid w:val="002C7A8D"/>
    <w:rsid w:val="002D1E82"/>
    <w:rsid w:val="002D2134"/>
    <w:rsid w:val="002D24B3"/>
    <w:rsid w:val="002D3C19"/>
    <w:rsid w:val="002D3D12"/>
    <w:rsid w:val="002D7262"/>
    <w:rsid w:val="002E1658"/>
    <w:rsid w:val="002E19B2"/>
    <w:rsid w:val="002E1E68"/>
    <w:rsid w:val="002E32EC"/>
    <w:rsid w:val="002E37AE"/>
    <w:rsid w:val="002E56C3"/>
    <w:rsid w:val="002E5BCF"/>
    <w:rsid w:val="002E730A"/>
    <w:rsid w:val="002E7F23"/>
    <w:rsid w:val="002F0537"/>
    <w:rsid w:val="002F0AC9"/>
    <w:rsid w:val="002F1CD8"/>
    <w:rsid w:val="002F4E96"/>
    <w:rsid w:val="002F7855"/>
    <w:rsid w:val="00300F6F"/>
    <w:rsid w:val="00303824"/>
    <w:rsid w:val="003043A0"/>
    <w:rsid w:val="00305769"/>
    <w:rsid w:val="003107CD"/>
    <w:rsid w:val="003114AB"/>
    <w:rsid w:val="00312CC5"/>
    <w:rsid w:val="00313564"/>
    <w:rsid w:val="00317107"/>
    <w:rsid w:val="0032065B"/>
    <w:rsid w:val="003211DD"/>
    <w:rsid w:val="00324118"/>
    <w:rsid w:val="00325527"/>
    <w:rsid w:val="00325E2C"/>
    <w:rsid w:val="0033104D"/>
    <w:rsid w:val="00331FC7"/>
    <w:rsid w:val="00333005"/>
    <w:rsid w:val="003340BE"/>
    <w:rsid w:val="00336171"/>
    <w:rsid w:val="00343D79"/>
    <w:rsid w:val="00344737"/>
    <w:rsid w:val="003449BA"/>
    <w:rsid w:val="00345B11"/>
    <w:rsid w:val="00345F53"/>
    <w:rsid w:val="0035295D"/>
    <w:rsid w:val="00354C97"/>
    <w:rsid w:val="00354CA3"/>
    <w:rsid w:val="00355037"/>
    <w:rsid w:val="003624F0"/>
    <w:rsid w:val="00362D5C"/>
    <w:rsid w:val="0036407B"/>
    <w:rsid w:val="00365E1A"/>
    <w:rsid w:val="003676B9"/>
    <w:rsid w:val="00373800"/>
    <w:rsid w:val="00375DB8"/>
    <w:rsid w:val="003811EF"/>
    <w:rsid w:val="0038504F"/>
    <w:rsid w:val="003859E1"/>
    <w:rsid w:val="00386384"/>
    <w:rsid w:val="003878AE"/>
    <w:rsid w:val="003909F9"/>
    <w:rsid w:val="003920C2"/>
    <w:rsid w:val="003935C4"/>
    <w:rsid w:val="00396A11"/>
    <w:rsid w:val="003977AD"/>
    <w:rsid w:val="003A0F05"/>
    <w:rsid w:val="003A2788"/>
    <w:rsid w:val="003A6852"/>
    <w:rsid w:val="003A7B15"/>
    <w:rsid w:val="003B1DC9"/>
    <w:rsid w:val="003B65D1"/>
    <w:rsid w:val="003B698E"/>
    <w:rsid w:val="003B783E"/>
    <w:rsid w:val="003C0E63"/>
    <w:rsid w:val="003C218B"/>
    <w:rsid w:val="003C433C"/>
    <w:rsid w:val="003C43AA"/>
    <w:rsid w:val="003C51D5"/>
    <w:rsid w:val="003D1A76"/>
    <w:rsid w:val="003D3CC1"/>
    <w:rsid w:val="003D6910"/>
    <w:rsid w:val="003D695A"/>
    <w:rsid w:val="003E312A"/>
    <w:rsid w:val="003E4170"/>
    <w:rsid w:val="003E41FF"/>
    <w:rsid w:val="003E63A6"/>
    <w:rsid w:val="003F42D5"/>
    <w:rsid w:val="003F455E"/>
    <w:rsid w:val="003F490E"/>
    <w:rsid w:val="003F6515"/>
    <w:rsid w:val="003F7D2D"/>
    <w:rsid w:val="00402262"/>
    <w:rsid w:val="00405C22"/>
    <w:rsid w:val="004075FA"/>
    <w:rsid w:val="00411C81"/>
    <w:rsid w:val="0041395D"/>
    <w:rsid w:val="00415EBD"/>
    <w:rsid w:val="00416EA5"/>
    <w:rsid w:val="00421ABC"/>
    <w:rsid w:val="004223C9"/>
    <w:rsid w:val="00423A4B"/>
    <w:rsid w:val="00424958"/>
    <w:rsid w:val="00425006"/>
    <w:rsid w:val="0042695C"/>
    <w:rsid w:val="004275CE"/>
    <w:rsid w:val="00430BC7"/>
    <w:rsid w:val="0043233D"/>
    <w:rsid w:val="00432E66"/>
    <w:rsid w:val="00435DC8"/>
    <w:rsid w:val="00437469"/>
    <w:rsid w:val="00440A02"/>
    <w:rsid w:val="00440E37"/>
    <w:rsid w:val="004425C5"/>
    <w:rsid w:val="00444B76"/>
    <w:rsid w:val="00451385"/>
    <w:rsid w:val="004541FD"/>
    <w:rsid w:val="0045543D"/>
    <w:rsid w:val="0045758C"/>
    <w:rsid w:val="004608E0"/>
    <w:rsid w:val="0046154B"/>
    <w:rsid w:val="0046351A"/>
    <w:rsid w:val="004636EA"/>
    <w:rsid w:val="00466980"/>
    <w:rsid w:val="00467FDC"/>
    <w:rsid w:val="0047311A"/>
    <w:rsid w:val="00477234"/>
    <w:rsid w:val="004801D5"/>
    <w:rsid w:val="004802F2"/>
    <w:rsid w:val="00480D6F"/>
    <w:rsid w:val="00480E0F"/>
    <w:rsid w:val="004810B0"/>
    <w:rsid w:val="00482D6E"/>
    <w:rsid w:val="00483241"/>
    <w:rsid w:val="00483F34"/>
    <w:rsid w:val="00484EF9"/>
    <w:rsid w:val="004905B3"/>
    <w:rsid w:val="00491121"/>
    <w:rsid w:val="0049237E"/>
    <w:rsid w:val="00492ADA"/>
    <w:rsid w:val="00493645"/>
    <w:rsid w:val="0049386B"/>
    <w:rsid w:val="00494004"/>
    <w:rsid w:val="00496D07"/>
    <w:rsid w:val="00496DEE"/>
    <w:rsid w:val="00497B5E"/>
    <w:rsid w:val="004A042D"/>
    <w:rsid w:val="004A1AEB"/>
    <w:rsid w:val="004A221B"/>
    <w:rsid w:val="004B1C37"/>
    <w:rsid w:val="004C102C"/>
    <w:rsid w:val="004C211E"/>
    <w:rsid w:val="004C33B4"/>
    <w:rsid w:val="004C3EC4"/>
    <w:rsid w:val="004C3EF3"/>
    <w:rsid w:val="004D00FF"/>
    <w:rsid w:val="004D01CE"/>
    <w:rsid w:val="004D2CBD"/>
    <w:rsid w:val="004D6900"/>
    <w:rsid w:val="004D6C4F"/>
    <w:rsid w:val="004E14AD"/>
    <w:rsid w:val="004E3021"/>
    <w:rsid w:val="004E6F8A"/>
    <w:rsid w:val="004F1074"/>
    <w:rsid w:val="004F37AA"/>
    <w:rsid w:val="004F3BED"/>
    <w:rsid w:val="004F7731"/>
    <w:rsid w:val="004F7C43"/>
    <w:rsid w:val="0050050F"/>
    <w:rsid w:val="00501086"/>
    <w:rsid w:val="005028A3"/>
    <w:rsid w:val="0050357C"/>
    <w:rsid w:val="00505A7A"/>
    <w:rsid w:val="00506D56"/>
    <w:rsid w:val="00507027"/>
    <w:rsid w:val="00512046"/>
    <w:rsid w:val="00513A7A"/>
    <w:rsid w:val="00514188"/>
    <w:rsid w:val="00515E45"/>
    <w:rsid w:val="0051631F"/>
    <w:rsid w:val="00517AC5"/>
    <w:rsid w:val="00520224"/>
    <w:rsid w:val="00521C32"/>
    <w:rsid w:val="00523777"/>
    <w:rsid w:val="005243E7"/>
    <w:rsid w:val="00524569"/>
    <w:rsid w:val="005251D8"/>
    <w:rsid w:val="005254AC"/>
    <w:rsid w:val="00525C42"/>
    <w:rsid w:val="005266CD"/>
    <w:rsid w:val="005343AA"/>
    <w:rsid w:val="00536C06"/>
    <w:rsid w:val="00541BC8"/>
    <w:rsid w:val="0054245B"/>
    <w:rsid w:val="005425CF"/>
    <w:rsid w:val="00543B45"/>
    <w:rsid w:val="0054422B"/>
    <w:rsid w:val="00544D99"/>
    <w:rsid w:val="00545425"/>
    <w:rsid w:val="005454F6"/>
    <w:rsid w:val="005455A1"/>
    <w:rsid w:val="00545ACC"/>
    <w:rsid w:val="005467AF"/>
    <w:rsid w:val="00547905"/>
    <w:rsid w:val="00553A6B"/>
    <w:rsid w:val="00556F60"/>
    <w:rsid w:val="00557CAA"/>
    <w:rsid w:val="00560225"/>
    <w:rsid w:val="005608F9"/>
    <w:rsid w:val="00564F06"/>
    <w:rsid w:val="00565361"/>
    <w:rsid w:val="00567206"/>
    <w:rsid w:val="005676B3"/>
    <w:rsid w:val="00571A85"/>
    <w:rsid w:val="00572596"/>
    <w:rsid w:val="00572A08"/>
    <w:rsid w:val="005753AF"/>
    <w:rsid w:val="0057558A"/>
    <w:rsid w:val="0057636D"/>
    <w:rsid w:val="00577100"/>
    <w:rsid w:val="00580159"/>
    <w:rsid w:val="005834CD"/>
    <w:rsid w:val="005836E5"/>
    <w:rsid w:val="005836FF"/>
    <w:rsid w:val="00584E2C"/>
    <w:rsid w:val="005853C2"/>
    <w:rsid w:val="00585D8D"/>
    <w:rsid w:val="00587C35"/>
    <w:rsid w:val="00587D5B"/>
    <w:rsid w:val="00590642"/>
    <w:rsid w:val="00590B9D"/>
    <w:rsid w:val="00594B2E"/>
    <w:rsid w:val="00594F4D"/>
    <w:rsid w:val="005A0935"/>
    <w:rsid w:val="005A2B67"/>
    <w:rsid w:val="005A352E"/>
    <w:rsid w:val="005A58DD"/>
    <w:rsid w:val="005B1085"/>
    <w:rsid w:val="005B3F2A"/>
    <w:rsid w:val="005B6F18"/>
    <w:rsid w:val="005B7C46"/>
    <w:rsid w:val="005C27DD"/>
    <w:rsid w:val="005C43B4"/>
    <w:rsid w:val="005C477E"/>
    <w:rsid w:val="005C4CAE"/>
    <w:rsid w:val="005C6949"/>
    <w:rsid w:val="005C749D"/>
    <w:rsid w:val="005D6545"/>
    <w:rsid w:val="005E17A5"/>
    <w:rsid w:val="005E5E84"/>
    <w:rsid w:val="005E612A"/>
    <w:rsid w:val="005E6E6B"/>
    <w:rsid w:val="005E72CD"/>
    <w:rsid w:val="005F016E"/>
    <w:rsid w:val="005F1F95"/>
    <w:rsid w:val="005F7BB0"/>
    <w:rsid w:val="00601451"/>
    <w:rsid w:val="00603514"/>
    <w:rsid w:val="006041FA"/>
    <w:rsid w:val="00605A03"/>
    <w:rsid w:val="00605CDD"/>
    <w:rsid w:val="006074FE"/>
    <w:rsid w:val="00610648"/>
    <w:rsid w:val="0061289B"/>
    <w:rsid w:val="00612DFF"/>
    <w:rsid w:val="00613730"/>
    <w:rsid w:val="00614017"/>
    <w:rsid w:val="00614386"/>
    <w:rsid w:val="00615EE9"/>
    <w:rsid w:val="00615F7F"/>
    <w:rsid w:val="006171EC"/>
    <w:rsid w:val="00622A0E"/>
    <w:rsid w:val="006238A3"/>
    <w:rsid w:val="00630903"/>
    <w:rsid w:val="00632E65"/>
    <w:rsid w:val="00633428"/>
    <w:rsid w:val="006362FA"/>
    <w:rsid w:val="006364CC"/>
    <w:rsid w:val="006366FA"/>
    <w:rsid w:val="00636E9B"/>
    <w:rsid w:val="006370A6"/>
    <w:rsid w:val="00637143"/>
    <w:rsid w:val="00640C79"/>
    <w:rsid w:val="006410BE"/>
    <w:rsid w:val="006460D7"/>
    <w:rsid w:val="006478F0"/>
    <w:rsid w:val="00651BD5"/>
    <w:rsid w:val="00651BD8"/>
    <w:rsid w:val="006533C3"/>
    <w:rsid w:val="00653861"/>
    <w:rsid w:val="00654293"/>
    <w:rsid w:val="00655D5B"/>
    <w:rsid w:val="00656F42"/>
    <w:rsid w:val="00660F35"/>
    <w:rsid w:val="006611B8"/>
    <w:rsid w:val="00662728"/>
    <w:rsid w:val="00663D1C"/>
    <w:rsid w:val="006643B4"/>
    <w:rsid w:val="00667612"/>
    <w:rsid w:val="006718A9"/>
    <w:rsid w:val="00674AC1"/>
    <w:rsid w:val="00674E22"/>
    <w:rsid w:val="006750C9"/>
    <w:rsid w:val="0067555D"/>
    <w:rsid w:val="0067588E"/>
    <w:rsid w:val="00675EA4"/>
    <w:rsid w:val="006771DB"/>
    <w:rsid w:val="00680CDA"/>
    <w:rsid w:val="00681111"/>
    <w:rsid w:val="006839E9"/>
    <w:rsid w:val="00684C56"/>
    <w:rsid w:val="006858B3"/>
    <w:rsid w:val="00685E27"/>
    <w:rsid w:val="0068681B"/>
    <w:rsid w:val="00687179"/>
    <w:rsid w:val="00687967"/>
    <w:rsid w:val="00687C23"/>
    <w:rsid w:val="006918DA"/>
    <w:rsid w:val="00694A66"/>
    <w:rsid w:val="00695B80"/>
    <w:rsid w:val="00695F25"/>
    <w:rsid w:val="00696422"/>
    <w:rsid w:val="006A1BA2"/>
    <w:rsid w:val="006A35AF"/>
    <w:rsid w:val="006A5399"/>
    <w:rsid w:val="006B3FB0"/>
    <w:rsid w:val="006B5DF6"/>
    <w:rsid w:val="006B60AF"/>
    <w:rsid w:val="006B624C"/>
    <w:rsid w:val="006B67DA"/>
    <w:rsid w:val="006B754E"/>
    <w:rsid w:val="006B7F0B"/>
    <w:rsid w:val="006C0B08"/>
    <w:rsid w:val="006C1060"/>
    <w:rsid w:val="006C1946"/>
    <w:rsid w:val="006C2FF5"/>
    <w:rsid w:val="006C3A17"/>
    <w:rsid w:val="006C6D0A"/>
    <w:rsid w:val="006D36F1"/>
    <w:rsid w:val="006D3B19"/>
    <w:rsid w:val="006D56C0"/>
    <w:rsid w:val="006D7E70"/>
    <w:rsid w:val="006F1FDD"/>
    <w:rsid w:val="006F603B"/>
    <w:rsid w:val="006F7B09"/>
    <w:rsid w:val="00701E31"/>
    <w:rsid w:val="007024F4"/>
    <w:rsid w:val="00702D58"/>
    <w:rsid w:val="00704207"/>
    <w:rsid w:val="007077F9"/>
    <w:rsid w:val="00712313"/>
    <w:rsid w:val="00713855"/>
    <w:rsid w:val="0071405D"/>
    <w:rsid w:val="00717CDF"/>
    <w:rsid w:val="00721103"/>
    <w:rsid w:val="00726955"/>
    <w:rsid w:val="00727136"/>
    <w:rsid w:val="00736397"/>
    <w:rsid w:val="00737DDE"/>
    <w:rsid w:val="007412F7"/>
    <w:rsid w:val="00743EF8"/>
    <w:rsid w:val="0074638D"/>
    <w:rsid w:val="007477C2"/>
    <w:rsid w:val="00753BFF"/>
    <w:rsid w:val="0075415E"/>
    <w:rsid w:val="007544D4"/>
    <w:rsid w:val="007619B5"/>
    <w:rsid w:val="007632A4"/>
    <w:rsid w:val="007634C9"/>
    <w:rsid w:val="0076511E"/>
    <w:rsid w:val="00767F20"/>
    <w:rsid w:val="00771B6F"/>
    <w:rsid w:val="007723CB"/>
    <w:rsid w:val="0077320B"/>
    <w:rsid w:val="0077608A"/>
    <w:rsid w:val="00776281"/>
    <w:rsid w:val="00777B13"/>
    <w:rsid w:val="00777DA1"/>
    <w:rsid w:val="00780789"/>
    <w:rsid w:val="00781227"/>
    <w:rsid w:val="0078361D"/>
    <w:rsid w:val="007909FE"/>
    <w:rsid w:val="007922BB"/>
    <w:rsid w:val="00793D59"/>
    <w:rsid w:val="007965AC"/>
    <w:rsid w:val="00796822"/>
    <w:rsid w:val="007A069D"/>
    <w:rsid w:val="007A2221"/>
    <w:rsid w:val="007A476D"/>
    <w:rsid w:val="007A4D69"/>
    <w:rsid w:val="007A4F7A"/>
    <w:rsid w:val="007A5EFD"/>
    <w:rsid w:val="007B2658"/>
    <w:rsid w:val="007B545C"/>
    <w:rsid w:val="007C0AB4"/>
    <w:rsid w:val="007C4501"/>
    <w:rsid w:val="007C4CBC"/>
    <w:rsid w:val="007C4D74"/>
    <w:rsid w:val="007C6708"/>
    <w:rsid w:val="007C6BB4"/>
    <w:rsid w:val="007C6DBD"/>
    <w:rsid w:val="007D1399"/>
    <w:rsid w:val="007D1BB5"/>
    <w:rsid w:val="007D44E1"/>
    <w:rsid w:val="007D4680"/>
    <w:rsid w:val="007D4EA9"/>
    <w:rsid w:val="007D4EF1"/>
    <w:rsid w:val="007D56A3"/>
    <w:rsid w:val="007D715B"/>
    <w:rsid w:val="007E04BA"/>
    <w:rsid w:val="007E07AF"/>
    <w:rsid w:val="007E176B"/>
    <w:rsid w:val="007E24EF"/>
    <w:rsid w:val="007E25E6"/>
    <w:rsid w:val="007E2873"/>
    <w:rsid w:val="007E3F44"/>
    <w:rsid w:val="007F0890"/>
    <w:rsid w:val="007F101D"/>
    <w:rsid w:val="007F1A8F"/>
    <w:rsid w:val="007F27A6"/>
    <w:rsid w:val="007F41B7"/>
    <w:rsid w:val="007F4229"/>
    <w:rsid w:val="00800C45"/>
    <w:rsid w:val="00800DFF"/>
    <w:rsid w:val="008046D6"/>
    <w:rsid w:val="00805C9A"/>
    <w:rsid w:val="008066EA"/>
    <w:rsid w:val="00810DBA"/>
    <w:rsid w:val="00811183"/>
    <w:rsid w:val="00811C4E"/>
    <w:rsid w:val="008175C0"/>
    <w:rsid w:val="00820A1F"/>
    <w:rsid w:val="00821533"/>
    <w:rsid w:val="00821889"/>
    <w:rsid w:val="00822980"/>
    <w:rsid w:val="00823F3D"/>
    <w:rsid w:val="00824945"/>
    <w:rsid w:val="00825309"/>
    <w:rsid w:val="008258C1"/>
    <w:rsid w:val="00825A20"/>
    <w:rsid w:val="00830714"/>
    <w:rsid w:val="0083175B"/>
    <w:rsid w:val="008329A3"/>
    <w:rsid w:val="00833F69"/>
    <w:rsid w:val="0083432D"/>
    <w:rsid w:val="0083577E"/>
    <w:rsid w:val="00840C1D"/>
    <w:rsid w:val="0084351E"/>
    <w:rsid w:val="008436C5"/>
    <w:rsid w:val="00844063"/>
    <w:rsid w:val="0084748F"/>
    <w:rsid w:val="00850C8E"/>
    <w:rsid w:val="00857C5C"/>
    <w:rsid w:val="0086164B"/>
    <w:rsid w:val="00861A08"/>
    <w:rsid w:val="00864CD6"/>
    <w:rsid w:val="00865E90"/>
    <w:rsid w:val="008671C3"/>
    <w:rsid w:val="008678A5"/>
    <w:rsid w:val="00873A72"/>
    <w:rsid w:val="008745F6"/>
    <w:rsid w:val="00874841"/>
    <w:rsid w:val="00881CB0"/>
    <w:rsid w:val="008860DC"/>
    <w:rsid w:val="008901D8"/>
    <w:rsid w:val="00890386"/>
    <w:rsid w:val="00893D59"/>
    <w:rsid w:val="00894F2C"/>
    <w:rsid w:val="008A001A"/>
    <w:rsid w:val="008A34EB"/>
    <w:rsid w:val="008B24B4"/>
    <w:rsid w:val="008B4F85"/>
    <w:rsid w:val="008B5027"/>
    <w:rsid w:val="008B62A0"/>
    <w:rsid w:val="008B6A12"/>
    <w:rsid w:val="008B783E"/>
    <w:rsid w:val="008C15AD"/>
    <w:rsid w:val="008C180B"/>
    <w:rsid w:val="008C2ED5"/>
    <w:rsid w:val="008C3AFC"/>
    <w:rsid w:val="008C3E16"/>
    <w:rsid w:val="008C4BCF"/>
    <w:rsid w:val="008C5713"/>
    <w:rsid w:val="008C6878"/>
    <w:rsid w:val="008C7274"/>
    <w:rsid w:val="008C796D"/>
    <w:rsid w:val="008D0F82"/>
    <w:rsid w:val="008E1A9C"/>
    <w:rsid w:val="008E2369"/>
    <w:rsid w:val="008E2AAB"/>
    <w:rsid w:val="008E356E"/>
    <w:rsid w:val="008E395C"/>
    <w:rsid w:val="008E4AF9"/>
    <w:rsid w:val="008E4D62"/>
    <w:rsid w:val="008E7EA4"/>
    <w:rsid w:val="008F2821"/>
    <w:rsid w:val="008F2A85"/>
    <w:rsid w:val="008F4122"/>
    <w:rsid w:val="008F5A70"/>
    <w:rsid w:val="00901F6F"/>
    <w:rsid w:val="00903CED"/>
    <w:rsid w:val="00904881"/>
    <w:rsid w:val="00904904"/>
    <w:rsid w:val="00905064"/>
    <w:rsid w:val="009059AD"/>
    <w:rsid w:val="00907B83"/>
    <w:rsid w:val="00910DEC"/>
    <w:rsid w:val="00912F6E"/>
    <w:rsid w:val="009143A7"/>
    <w:rsid w:val="009217F5"/>
    <w:rsid w:val="00922F53"/>
    <w:rsid w:val="00926CCB"/>
    <w:rsid w:val="00927387"/>
    <w:rsid w:val="00927AEC"/>
    <w:rsid w:val="009315A6"/>
    <w:rsid w:val="00932CA1"/>
    <w:rsid w:val="0093324B"/>
    <w:rsid w:val="009333E4"/>
    <w:rsid w:val="009349A6"/>
    <w:rsid w:val="009367EC"/>
    <w:rsid w:val="009406D5"/>
    <w:rsid w:val="009408A8"/>
    <w:rsid w:val="009418F3"/>
    <w:rsid w:val="00944AFE"/>
    <w:rsid w:val="00946F61"/>
    <w:rsid w:val="00946F8F"/>
    <w:rsid w:val="00951B8E"/>
    <w:rsid w:val="0095359E"/>
    <w:rsid w:val="00953FB6"/>
    <w:rsid w:val="00953FF8"/>
    <w:rsid w:val="00955004"/>
    <w:rsid w:val="0095761C"/>
    <w:rsid w:val="00960497"/>
    <w:rsid w:val="00962797"/>
    <w:rsid w:val="009630BF"/>
    <w:rsid w:val="0096591D"/>
    <w:rsid w:val="0097075E"/>
    <w:rsid w:val="009719B9"/>
    <w:rsid w:val="00976D54"/>
    <w:rsid w:val="00976E2A"/>
    <w:rsid w:val="00976FBD"/>
    <w:rsid w:val="00976FD1"/>
    <w:rsid w:val="009807C3"/>
    <w:rsid w:val="009821CD"/>
    <w:rsid w:val="00984CC5"/>
    <w:rsid w:val="00993B13"/>
    <w:rsid w:val="00993B87"/>
    <w:rsid w:val="0099474F"/>
    <w:rsid w:val="0099628E"/>
    <w:rsid w:val="0099630A"/>
    <w:rsid w:val="00996493"/>
    <w:rsid w:val="0099783E"/>
    <w:rsid w:val="009A5FA4"/>
    <w:rsid w:val="009B4BB9"/>
    <w:rsid w:val="009B6716"/>
    <w:rsid w:val="009B6F25"/>
    <w:rsid w:val="009C055E"/>
    <w:rsid w:val="009C0EC0"/>
    <w:rsid w:val="009C23A9"/>
    <w:rsid w:val="009C51EB"/>
    <w:rsid w:val="009C6133"/>
    <w:rsid w:val="009D1B3F"/>
    <w:rsid w:val="009D1E82"/>
    <w:rsid w:val="009D275F"/>
    <w:rsid w:val="009D2B40"/>
    <w:rsid w:val="009D4503"/>
    <w:rsid w:val="009D6EAC"/>
    <w:rsid w:val="009D6F46"/>
    <w:rsid w:val="009D78CB"/>
    <w:rsid w:val="009D7A84"/>
    <w:rsid w:val="009E26BF"/>
    <w:rsid w:val="009E2ACD"/>
    <w:rsid w:val="009E2B6E"/>
    <w:rsid w:val="009E2B89"/>
    <w:rsid w:val="009E2D5D"/>
    <w:rsid w:val="009E76B1"/>
    <w:rsid w:val="009F0CE0"/>
    <w:rsid w:val="009F60C3"/>
    <w:rsid w:val="009F6710"/>
    <w:rsid w:val="00A03B9D"/>
    <w:rsid w:val="00A061F7"/>
    <w:rsid w:val="00A076BF"/>
    <w:rsid w:val="00A10A23"/>
    <w:rsid w:val="00A11EE8"/>
    <w:rsid w:val="00A122D5"/>
    <w:rsid w:val="00A12C52"/>
    <w:rsid w:val="00A14B63"/>
    <w:rsid w:val="00A204FA"/>
    <w:rsid w:val="00A20D05"/>
    <w:rsid w:val="00A21133"/>
    <w:rsid w:val="00A248B9"/>
    <w:rsid w:val="00A262B0"/>
    <w:rsid w:val="00A270CF"/>
    <w:rsid w:val="00A27B03"/>
    <w:rsid w:val="00A27D44"/>
    <w:rsid w:val="00A32324"/>
    <w:rsid w:val="00A361AE"/>
    <w:rsid w:val="00A36B64"/>
    <w:rsid w:val="00A3762B"/>
    <w:rsid w:val="00A42718"/>
    <w:rsid w:val="00A4576E"/>
    <w:rsid w:val="00A45900"/>
    <w:rsid w:val="00A46333"/>
    <w:rsid w:val="00A51330"/>
    <w:rsid w:val="00A5486A"/>
    <w:rsid w:val="00A5578A"/>
    <w:rsid w:val="00A56590"/>
    <w:rsid w:val="00A565ED"/>
    <w:rsid w:val="00A6393F"/>
    <w:rsid w:val="00A64D66"/>
    <w:rsid w:val="00A66CE7"/>
    <w:rsid w:val="00A66E04"/>
    <w:rsid w:val="00A72B92"/>
    <w:rsid w:val="00A74A06"/>
    <w:rsid w:val="00A74A8A"/>
    <w:rsid w:val="00A74E9B"/>
    <w:rsid w:val="00A75D08"/>
    <w:rsid w:val="00A7664A"/>
    <w:rsid w:val="00A76979"/>
    <w:rsid w:val="00A76AD9"/>
    <w:rsid w:val="00A76EEC"/>
    <w:rsid w:val="00A80A67"/>
    <w:rsid w:val="00A80C09"/>
    <w:rsid w:val="00A80D8B"/>
    <w:rsid w:val="00A84266"/>
    <w:rsid w:val="00A8480B"/>
    <w:rsid w:val="00A84AF0"/>
    <w:rsid w:val="00A84BEF"/>
    <w:rsid w:val="00A875D5"/>
    <w:rsid w:val="00A928AD"/>
    <w:rsid w:val="00A9334F"/>
    <w:rsid w:val="00A93E4B"/>
    <w:rsid w:val="00AA041A"/>
    <w:rsid w:val="00AA1CFB"/>
    <w:rsid w:val="00AA3373"/>
    <w:rsid w:val="00AA4365"/>
    <w:rsid w:val="00AA4CC0"/>
    <w:rsid w:val="00AA6003"/>
    <w:rsid w:val="00AA6B1E"/>
    <w:rsid w:val="00AB162D"/>
    <w:rsid w:val="00AB1A6A"/>
    <w:rsid w:val="00AB28B0"/>
    <w:rsid w:val="00AB2CB9"/>
    <w:rsid w:val="00AB43B8"/>
    <w:rsid w:val="00AB57A7"/>
    <w:rsid w:val="00AB5CF5"/>
    <w:rsid w:val="00AB7B71"/>
    <w:rsid w:val="00AC0CDE"/>
    <w:rsid w:val="00AC2E6A"/>
    <w:rsid w:val="00AC38A3"/>
    <w:rsid w:val="00AC48E0"/>
    <w:rsid w:val="00AC4A85"/>
    <w:rsid w:val="00AC69E7"/>
    <w:rsid w:val="00AC7784"/>
    <w:rsid w:val="00AC7BFB"/>
    <w:rsid w:val="00AD044B"/>
    <w:rsid w:val="00AD49C3"/>
    <w:rsid w:val="00AD5F83"/>
    <w:rsid w:val="00AD643E"/>
    <w:rsid w:val="00AE0410"/>
    <w:rsid w:val="00AE06BB"/>
    <w:rsid w:val="00AE0BC4"/>
    <w:rsid w:val="00AE3FBD"/>
    <w:rsid w:val="00AE484F"/>
    <w:rsid w:val="00AE4D10"/>
    <w:rsid w:val="00AE79BB"/>
    <w:rsid w:val="00AF0FF0"/>
    <w:rsid w:val="00AF38A0"/>
    <w:rsid w:val="00AF4C8D"/>
    <w:rsid w:val="00AF6894"/>
    <w:rsid w:val="00B00E14"/>
    <w:rsid w:val="00B01F55"/>
    <w:rsid w:val="00B05BBB"/>
    <w:rsid w:val="00B068C5"/>
    <w:rsid w:val="00B11565"/>
    <w:rsid w:val="00B133FC"/>
    <w:rsid w:val="00B13CA1"/>
    <w:rsid w:val="00B143BC"/>
    <w:rsid w:val="00B16202"/>
    <w:rsid w:val="00B25176"/>
    <w:rsid w:val="00B263A3"/>
    <w:rsid w:val="00B271D1"/>
    <w:rsid w:val="00B3239F"/>
    <w:rsid w:val="00B33872"/>
    <w:rsid w:val="00B34536"/>
    <w:rsid w:val="00B37A15"/>
    <w:rsid w:val="00B37A7F"/>
    <w:rsid w:val="00B414D5"/>
    <w:rsid w:val="00B420E7"/>
    <w:rsid w:val="00B42CEB"/>
    <w:rsid w:val="00B437B4"/>
    <w:rsid w:val="00B47D33"/>
    <w:rsid w:val="00B52FA1"/>
    <w:rsid w:val="00B53907"/>
    <w:rsid w:val="00B5429C"/>
    <w:rsid w:val="00B55F86"/>
    <w:rsid w:val="00B6001B"/>
    <w:rsid w:val="00B62CB6"/>
    <w:rsid w:val="00B63AA7"/>
    <w:rsid w:val="00B64FC7"/>
    <w:rsid w:val="00B66273"/>
    <w:rsid w:val="00B67317"/>
    <w:rsid w:val="00B722E1"/>
    <w:rsid w:val="00B77F93"/>
    <w:rsid w:val="00B819F1"/>
    <w:rsid w:val="00B81C18"/>
    <w:rsid w:val="00B83312"/>
    <w:rsid w:val="00B83478"/>
    <w:rsid w:val="00B84E81"/>
    <w:rsid w:val="00B85DFA"/>
    <w:rsid w:val="00B861FA"/>
    <w:rsid w:val="00B87B9F"/>
    <w:rsid w:val="00B9183A"/>
    <w:rsid w:val="00B9641F"/>
    <w:rsid w:val="00B971F3"/>
    <w:rsid w:val="00B97412"/>
    <w:rsid w:val="00B97C6D"/>
    <w:rsid w:val="00BA0714"/>
    <w:rsid w:val="00BA0C09"/>
    <w:rsid w:val="00BA2153"/>
    <w:rsid w:val="00BA5FF9"/>
    <w:rsid w:val="00BA641B"/>
    <w:rsid w:val="00BA6516"/>
    <w:rsid w:val="00BA6F95"/>
    <w:rsid w:val="00BA7030"/>
    <w:rsid w:val="00BB0013"/>
    <w:rsid w:val="00BB0F00"/>
    <w:rsid w:val="00BB116A"/>
    <w:rsid w:val="00BB37F1"/>
    <w:rsid w:val="00BB6782"/>
    <w:rsid w:val="00BC004F"/>
    <w:rsid w:val="00BC0330"/>
    <w:rsid w:val="00BC205B"/>
    <w:rsid w:val="00BC34FE"/>
    <w:rsid w:val="00BC4581"/>
    <w:rsid w:val="00BC493F"/>
    <w:rsid w:val="00BC4EB9"/>
    <w:rsid w:val="00BD00CB"/>
    <w:rsid w:val="00BD5109"/>
    <w:rsid w:val="00BD5546"/>
    <w:rsid w:val="00BD70AB"/>
    <w:rsid w:val="00BD7321"/>
    <w:rsid w:val="00BE0087"/>
    <w:rsid w:val="00BE1D0F"/>
    <w:rsid w:val="00BE2689"/>
    <w:rsid w:val="00BE26A2"/>
    <w:rsid w:val="00BE4E0E"/>
    <w:rsid w:val="00BE61B0"/>
    <w:rsid w:val="00BE64FA"/>
    <w:rsid w:val="00BF0A93"/>
    <w:rsid w:val="00BF1DDF"/>
    <w:rsid w:val="00BF397A"/>
    <w:rsid w:val="00BF4D86"/>
    <w:rsid w:val="00BF576A"/>
    <w:rsid w:val="00C03A48"/>
    <w:rsid w:val="00C066A8"/>
    <w:rsid w:val="00C107ED"/>
    <w:rsid w:val="00C13274"/>
    <w:rsid w:val="00C14035"/>
    <w:rsid w:val="00C14EDE"/>
    <w:rsid w:val="00C17AC3"/>
    <w:rsid w:val="00C20445"/>
    <w:rsid w:val="00C22316"/>
    <w:rsid w:val="00C274AF"/>
    <w:rsid w:val="00C3599D"/>
    <w:rsid w:val="00C404FA"/>
    <w:rsid w:val="00C42629"/>
    <w:rsid w:val="00C43048"/>
    <w:rsid w:val="00C452D5"/>
    <w:rsid w:val="00C45976"/>
    <w:rsid w:val="00C5068B"/>
    <w:rsid w:val="00C56052"/>
    <w:rsid w:val="00C561E2"/>
    <w:rsid w:val="00C5666B"/>
    <w:rsid w:val="00C577C4"/>
    <w:rsid w:val="00C57E01"/>
    <w:rsid w:val="00C61BF1"/>
    <w:rsid w:val="00C62ED8"/>
    <w:rsid w:val="00C63324"/>
    <w:rsid w:val="00C65548"/>
    <w:rsid w:val="00C7047D"/>
    <w:rsid w:val="00C72C92"/>
    <w:rsid w:val="00C73181"/>
    <w:rsid w:val="00C732F4"/>
    <w:rsid w:val="00C73555"/>
    <w:rsid w:val="00C74F10"/>
    <w:rsid w:val="00C75021"/>
    <w:rsid w:val="00C76F0F"/>
    <w:rsid w:val="00C778B0"/>
    <w:rsid w:val="00C80995"/>
    <w:rsid w:val="00C81875"/>
    <w:rsid w:val="00C82449"/>
    <w:rsid w:val="00C83DD0"/>
    <w:rsid w:val="00C85533"/>
    <w:rsid w:val="00C86169"/>
    <w:rsid w:val="00C864DD"/>
    <w:rsid w:val="00C86FCD"/>
    <w:rsid w:val="00C8704D"/>
    <w:rsid w:val="00C87C99"/>
    <w:rsid w:val="00C91D31"/>
    <w:rsid w:val="00C9360B"/>
    <w:rsid w:val="00C94377"/>
    <w:rsid w:val="00C95236"/>
    <w:rsid w:val="00C955B8"/>
    <w:rsid w:val="00C95616"/>
    <w:rsid w:val="00C95854"/>
    <w:rsid w:val="00CA1DBC"/>
    <w:rsid w:val="00CA229E"/>
    <w:rsid w:val="00CA32C1"/>
    <w:rsid w:val="00CA49CD"/>
    <w:rsid w:val="00CA4FA7"/>
    <w:rsid w:val="00CB0A02"/>
    <w:rsid w:val="00CB133C"/>
    <w:rsid w:val="00CB1381"/>
    <w:rsid w:val="00CB167E"/>
    <w:rsid w:val="00CB1B0D"/>
    <w:rsid w:val="00CB1C0A"/>
    <w:rsid w:val="00CB1FA4"/>
    <w:rsid w:val="00CB39A9"/>
    <w:rsid w:val="00CB3DF7"/>
    <w:rsid w:val="00CB6BBD"/>
    <w:rsid w:val="00CB6E83"/>
    <w:rsid w:val="00CC2F83"/>
    <w:rsid w:val="00CC3DF4"/>
    <w:rsid w:val="00CC686D"/>
    <w:rsid w:val="00CD0DC1"/>
    <w:rsid w:val="00CD1A1D"/>
    <w:rsid w:val="00CD24B1"/>
    <w:rsid w:val="00CD387E"/>
    <w:rsid w:val="00CD4C16"/>
    <w:rsid w:val="00CD5C45"/>
    <w:rsid w:val="00CE3C7F"/>
    <w:rsid w:val="00CE4836"/>
    <w:rsid w:val="00CE512E"/>
    <w:rsid w:val="00CE573C"/>
    <w:rsid w:val="00CE6A6C"/>
    <w:rsid w:val="00CF09CC"/>
    <w:rsid w:val="00CF1D38"/>
    <w:rsid w:val="00CF25FA"/>
    <w:rsid w:val="00CF3117"/>
    <w:rsid w:val="00CF5D07"/>
    <w:rsid w:val="00D00571"/>
    <w:rsid w:val="00D0113D"/>
    <w:rsid w:val="00D0375C"/>
    <w:rsid w:val="00D05647"/>
    <w:rsid w:val="00D07365"/>
    <w:rsid w:val="00D07FF3"/>
    <w:rsid w:val="00D10AE1"/>
    <w:rsid w:val="00D10D1B"/>
    <w:rsid w:val="00D13D1C"/>
    <w:rsid w:val="00D14999"/>
    <w:rsid w:val="00D15046"/>
    <w:rsid w:val="00D160DA"/>
    <w:rsid w:val="00D17B9A"/>
    <w:rsid w:val="00D2068B"/>
    <w:rsid w:val="00D24B30"/>
    <w:rsid w:val="00D24FB6"/>
    <w:rsid w:val="00D26C5D"/>
    <w:rsid w:val="00D276AE"/>
    <w:rsid w:val="00D27E2B"/>
    <w:rsid w:val="00D30828"/>
    <w:rsid w:val="00D31D88"/>
    <w:rsid w:val="00D335D1"/>
    <w:rsid w:val="00D33F01"/>
    <w:rsid w:val="00D360D2"/>
    <w:rsid w:val="00D3640A"/>
    <w:rsid w:val="00D37326"/>
    <w:rsid w:val="00D401D1"/>
    <w:rsid w:val="00D41D3B"/>
    <w:rsid w:val="00D459DC"/>
    <w:rsid w:val="00D45C02"/>
    <w:rsid w:val="00D46A75"/>
    <w:rsid w:val="00D52D1A"/>
    <w:rsid w:val="00D57A65"/>
    <w:rsid w:val="00D60566"/>
    <w:rsid w:val="00D61A8B"/>
    <w:rsid w:val="00D648FA"/>
    <w:rsid w:val="00D70BAB"/>
    <w:rsid w:val="00D71C12"/>
    <w:rsid w:val="00D73594"/>
    <w:rsid w:val="00D76373"/>
    <w:rsid w:val="00D779CC"/>
    <w:rsid w:val="00D81E58"/>
    <w:rsid w:val="00D82AA8"/>
    <w:rsid w:val="00D928A6"/>
    <w:rsid w:val="00D93E32"/>
    <w:rsid w:val="00D94669"/>
    <w:rsid w:val="00D97A5F"/>
    <w:rsid w:val="00DA1BC7"/>
    <w:rsid w:val="00DA4685"/>
    <w:rsid w:val="00DA5443"/>
    <w:rsid w:val="00DA5E82"/>
    <w:rsid w:val="00DA60B8"/>
    <w:rsid w:val="00DB000E"/>
    <w:rsid w:val="00DB02C1"/>
    <w:rsid w:val="00DB2823"/>
    <w:rsid w:val="00DB4330"/>
    <w:rsid w:val="00DB43E8"/>
    <w:rsid w:val="00DB67B2"/>
    <w:rsid w:val="00DB68E0"/>
    <w:rsid w:val="00DC0732"/>
    <w:rsid w:val="00DC1042"/>
    <w:rsid w:val="00DC3293"/>
    <w:rsid w:val="00DC44C5"/>
    <w:rsid w:val="00DC511E"/>
    <w:rsid w:val="00DC5223"/>
    <w:rsid w:val="00DC5988"/>
    <w:rsid w:val="00DC681D"/>
    <w:rsid w:val="00DC6C59"/>
    <w:rsid w:val="00DC6D41"/>
    <w:rsid w:val="00DC799A"/>
    <w:rsid w:val="00DD0071"/>
    <w:rsid w:val="00DD0710"/>
    <w:rsid w:val="00DD13D9"/>
    <w:rsid w:val="00DD293B"/>
    <w:rsid w:val="00DD3738"/>
    <w:rsid w:val="00DD4820"/>
    <w:rsid w:val="00DD53EB"/>
    <w:rsid w:val="00DD5D18"/>
    <w:rsid w:val="00DD5DF4"/>
    <w:rsid w:val="00DD708A"/>
    <w:rsid w:val="00DD75C3"/>
    <w:rsid w:val="00DD7FC1"/>
    <w:rsid w:val="00DE0D0B"/>
    <w:rsid w:val="00DE26C3"/>
    <w:rsid w:val="00DE50FF"/>
    <w:rsid w:val="00DE58D6"/>
    <w:rsid w:val="00DF12CA"/>
    <w:rsid w:val="00DF4D63"/>
    <w:rsid w:val="00DF535E"/>
    <w:rsid w:val="00DF5E8C"/>
    <w:rsid w:val="00DF6CFD"/>
    <w:rsid w:val="00E0025E"/>
    <w:rsid w:val="00E017F0"/>
    <w:rsid w:val="00E02384"/>
    <w:rsid w:val="00E049DA"/>
    <w:rsid w:val="00E111FA"/>
    <w:rsid w:val="00E11279"/>
    <w:rsid w:val="00E1457F"/>
    <w:rsid w:val="00E17550"/>
    <w:rsid w:val="00E20A79"/>
    <w:rsid w:val="00E20ED2"/>
    <w:rsid w:val="00E23110"/>
    <w:rsid w:val="00E24B4B"/>
    <w:rsid w:val="00E24CA1"/>
    <w:rsid w:val="00E27DEA"/>
    <w:rsid w:val="00E30088"/>
    <w:rsid w:val="00E30417"/>
    <w:rsid w:val="00E31672"/>
    <w:rsid w:val="00E31C5B"/>
    <w:rsid w:val="00E34CB8"/>
    <w:rsid w:val="00E35884"/>
    <w:rsid w:val="00E36645"/>
    <w:rsid w:val="00E40E60"/>
    <w:rsid w:val="00E42EA4"/>
    <w:rsid w:val="00E45739"/>
    <w:rsid w:val="00E45850"/>
    <w:rsid w:val="00E46ACF"/>
    <w:rsid w:val="00E472F0"/>
    <w:rsid w:val="00E54A4B"/>
    <w:rsid w:val="00E5607F"/>
    <w:rsid w:val="00E577E4"/>
    <w:rsid w:val="00E60883"/>
    <w:rsid w:val="00E61482"/>
    <w:rsid w:val="00E6538C"/>
    <w:rsid w:val="00E65A08"/>
    <w:rsid w:val="00E6716D"/>
    <w:rsid w:val="00E7139A"/>
    <w:rsid w:val="00E73786"/>
    <w:rsid w:val="00E759A0"/>
    <w:rsid w:val="00E76B65"/>
    <w:rsid w:val="00E77FE0"/>
    <w:rsid w:val="00E80695"/>
    <w:rsid w:val="00E80B58"/>
    <w:rsid w:val="00E82F4B"/>
    <w:rsid w:val="00E83890"/>
    <w:rsid w:val="00E83C46"/>
    <w:rsid w:val="00E84BB4"/>
    <w:rsid w:val="00E85C99"/>
    <w:rsid w:val="00E9790F"/>
    <w:rsid w:val="00E97CBC"/>
    <w:rsid w:val="00EA2DE9"/>
    <w:rsid w:val="00EA49F8"/>
    <w:rsid w:val="00EA5BAD"/>
    <w:rsid w:val="00EA5BE2"/>
    <w:rsid w:val="00EA5F33"/>
    <w:rsid w:val="00EA6B20"/>
    <w:rsid w:val="00EB3758"/>
    <w:rsid w:val="00EB3BEE"/>
    <w:rsid w:val="00EB54B6"/>
    <w:rsid w:val="00EC0343"/>
    <w:rsid w:val="00EC1E4A"/>
    <w:rsid w:val="00EC20C9"/>
    <w:rsid w:val="00EC305F"/>
    <w:rsid w:val="00EC39B1"/>
    <w:rsid w:val="00EC4AD0"/>
    <w:rsid w:val="00EC5918"/>
    <w:rsid w:val="00ED1459"/>
    <w:rsid w:val="00ED255C"/>
    <w:rsid w:val="00ED3238"/>
    <w:rsid w:val="00ED66E0"/>
    <w:rsid w:val="00ED7ED5"/>
    <w:rsid w:val="00EE2B10"/>
    <w:rsid w:val="00EE3CE7"/>
    <w:rsid w:val="00EE5C13"/>
    <w:rsid w:val="00EE74EC"/>
    <w:rsid w:val="00EF0AE9"/>
    <w:rsid w:val="00EF35EA"/>
    <w:rsid w:val="00EF65E4"/>
    <w:rsid w:val="00F01601"/>
    <w:rsid w:val="00F02819"/>
    <w:rsid w:val="00F03243"/>
    <w:rsid w:val="00F04E75"/>
    <w:rsid w:val="00F06101"/>
    <w:rsid w:val="00F061B0"/>
    <w:rsid w:val="00F11F8F"/>
    <w:rsid w:val="00F12984"/>
    <w:rsid w:val="00F13C79"/>
    <w:rsid w:val="00F144EB"/>
    <w:rsid w:val="00F17FDD"/>
    <w:rsid w:val="00F259A6"/>
    <w:rsid w:val="00F26C1C"/>
    <w:rsid w:val="00F300E1"/>
    <w:rsid w:val="00F31190"/>
    <w:rsid w:val="00F311EB"/>
    <w:rsid w:val="00F324B0"/>
    <w:rsid w:val="00F33D27"/>
    <w:rsid w:val="00F3418C"/>
    <w:rsid w:val="00F352AB"/>
    <w:rsid w:val="00F37E94"/>
    <w:rsid w:val="00F4498F"/>
    <w:rsid w:val="00F4606A"/>
    <w:rsid w:val="00F503B1"/>
    <w:rsid w:val="00F50B5E"/>
    <w:rsid w:val="00F5133D"/>
    <w:rsid w:val="00F538CE"/>
    <w:rsid w:val="00F57AD1"/>
    <w:rsid w:val="00F61B6E"/>
    <w:rsid w:val="00F62B83"/>
    <w:rsid w:val="00F63214"/>
    <w:rsid w:val="00F65B58"/>
    <w:rsid w:val="00F66BBB"/>
    <w:rsid w:val="00F70C6D"/>
    <w:rsid w:val="00F70E0E"/>
    <w:rsid w:val="00F769A3"/>
    <w:rsid w:val="00F771AF"/>
    <w:rsid w:val="00F867C2"/>
    <w:rsid w:val="00F928D0"/>
    <w:rsid w:val="00F93D59"/>
    <w:rsid w:val="00F95ECB"/>
    <w:rsid w:val="00FA012E"/>
    <w:rsid w:val="00FA01CD"/>
    <w:rsid w:val="00FA1ADE"/>
    <w:rsid w:val="00FA34BA"/>
    <w:rsid w:val="00FA38D2"/>
    <w:rsid w:val="00FA4C52"/>
    <w:rsid w:val="00FA4DDE"/>
    <w:rsid w:val="00FA50EA"/>
    <w:rsid w:val="00FA5B0D"/>
    <w:rsid w:val="00FA757C"/>
    <w:rsid w:val="00FB216D"/>
    <w:rsid w:val="00FB2B69"/>
    <w:rsid w:val="00FB2BDB"/>
    <w:rsid w:val="00FB45D2"/>
    <w:rsid w:val="00FB6F78"/>
    <w:rsid w:val="00FC1A1B"/>
    <w:rsid w:val="00FC36B8"/>
    <w:rsid w:val="00FC5514"/>
    <w:rsid w:val="00FC57D4"/>
    <w:rsid w:val="00FC5DC3"/>
    <w:rsid w:val="00FC7843"/>
    <w:rsid w:val="00FD2092"/>
    <w:rsid w:val="00FD395C"/>
    <w:rsid w:val="00FD4ECD"/>
    <w:rsid w:val="00FD7269"/>
    <w:rsid w:val="00FE0FC8"/>
    <w:rsid w:val="00FE46F4"/>
    <w:rsid w:val="00FE5581"/>
    <w:rsid w:val="00FE5EE4"/>
    <w:rsid w:val="00FE7E84"/>
    <w:rsid w:val="00FF0257"/>
    <w:rsid w:val="00FF04DC"/>
    <w:rsid w:val="00FF47EC"/>
    <w:rsid w:val="00FF5852"/>
    <w:rsid w:val="00FF5BCD"/>
    <w:rsid w:val="00FF5CFC"/>
    <w:rsid w:val="00FF6369"/>
    <w:rsid w:val="0111346B"/>
    <w:rsid w:val="0119CF3D"/>
    <w:rsid w:val="0137BC62"/>
    <w:rsid w:val="015EF7FA"/>
    <w:rsid w:val="01747770"/>
    <w:rsid w:val="01789DDB"/>
    <w:rsid w:val="021EFF64"/>
    <w:rsid w:val="024C50A4"/>
    <w:rsid w:val="027508F1"/>
    <w:rsid w:val="02D34A2F"/>
    <w:rsid w:val="02D7BBAB"/>
    <w:rsid w:val="02DC15ED"/>
    <w:rsid w:val="02ED9A70"/>
    <w:rsid w:val="0304C1EB"/>
    <w:rsid w:val="03150DFC"/>
    <w:rsid w:val="0316AC58"/>
    <w:rsid w:val="03527C47"/>
    <w:rsid w:val="039C3BE1"/>
    <w:rsid w:val="03B76DFE"/>
    <w:rsid w:val="03D39A62"/>
    <w:rsid w:val="040E0EC2"/>
    <w:rsid w:val="0410D952"/>
    <w:rsid w:val="043C2898"/>
    <w:rsid w:val="0440DE77"/>
    <w:rsid w:val="047D7916"/>
    <w:rsid w:val="04ACD6A5"/>
    <w:rsid w:val="04CE45DF"/>
    <w:rsid w:val="04E99345"/>
    <w:rsid w:val="05186391"/>
    <w:rsid w:val="0527010A"/>
    <w:rsid w:val="052AA95B"/>
    <w:rsid w:val="05431BF9"/>
    <w:rsid w:val="055916E3"/>
    <w:rsid w:val="05C9530A"/>
    <w:rsid w:val="05E77267"/>
    <w:rsid w:val="061BFEC5"/>
    <w:rsid w:val="066A1640"/>
    <w:rsid w:val="06C2FA50"/>
    <w:rsid w:val="06CF02D7"/>
    <w:rsid w:val="06F1241D"/>
    <w:rsid w:val="06F7E387"/>
    <w:rsid w:val="070CB028"/>
    <w:rsid w:val="076A14B0"/>
    <w:rsid w:val="0795AEC8"/>
    <w:rsid w:val="07A205E5"/>
    <w:rsid w:val="07DC2300"/>
    <w:rsid w:val="0813C736"/>
    <w:rsid w:val="0830D58A"/>
    <w:rsid w:val="0834339C"/>
    <w:rsid w:val="0839BB6E"/>
    <w:rsid w:val="08627815"/>
    <w:rsid w:val="086F29B6"/>
    <w:rsid w:val="08B92E2C"/>
    <w:rsid w:val="08BA04E2"/>
    <w:rsid w:val="08C780E3"/>
    <w:rsid w:val="08E37933"/>
    <w:rsid w:val="095424FF"/>
    <w:rsid w:val="09A7BFE5"/>
    <w:rsid w:val="09F7EC03"/>
    <w:rsid w:val="09FB4A7E"/>
    <w:rsid w:val="0A19CDEE"/>
    <w:rsid w:val="0A82FCE3"/>
    <w:rsid w:val="0A9FAEEC"/>
    <w:rsid w:val="0AACD014"/>
    <w:rsid w:val="0B59328A"/>
    <w:rsid w:val="0B69C5C8"/>
    <w:rsid w:val="0B8FE512"/>
    <w:rsid w:val="0B9AA662"/>
    <w:rsid w:val="0BA1F0CA"/>
    <w:rsid w:val="0BAC9FB7"/>
    <w:rsid w:val="0BB3F17F"/>
    <w:rsid w:val="0BDC1496"/>
    <w:rsid w:val="0BEE32D9"/>
    <w:rsid w:val="0C174A88"/>
    <w:rsid w:val="0C1E1633"/>
    <w:rsid w:val="0C1EE076"/>
    <w:rsid w:val="0C2C1B15"/>
    <w:rsid w:val="0C880D00"/>
    <w:rsid w:val="0D523626"/>
    <w:rsid w:val="0D70E9E4"/>
    <w:rsid w:val="0DCEA75F"/>
    <w:rsid w:val="0E02E751"/>
    <w:rsid w:val="0E04BFC2"/>
    <w:rsid w:val="0E182CEE"/>
    <w:rsid w:val="0E1ACF87"/>
    <w:rsid w:val="0E21D552"/>
    <w:rsid w:val="0E42B964"/>
    <w:rsid w:val="0E50CB1C"/>
    <w:rsid w:val="0E9C0986"/>
    <w:rsid w:val="0EE006DC"/>
    <w:rsid w:val="0F250673"/>
    <w:rsid w:val="0F25D39B"/>
    <w:rsid w:val="0F568138"/>
    <w:rsid w:val="0F71CD47"/>
    <w:rsid w:val="0F73AAA2"/>
    <w:rsid w:val="0F9D6B49"/>
    <w:rsid w:val="0F9EEA78"/>
    <w:rsid w:val="0FB9811F"/>
    <w:rsid w:val="0FCE0568"/>
    <w:rsid w:val="0FEBEBAC"/>
    <w:rsid w:val="0FEC32DB"/>
    <w:rsid w:val="1014AC6D"/>
    <w:rsid w:val="107559A6"/>
    <w:rsid w:val="108A1447"/>
    <w:rsid w:val="10B34ECD"/>
    <w:rsid w:val="10E99347"/>
    <w:rsid w:val="110A4B06"/>
    <w:rsid w:val="1163C585"/>
    <w:rsid w:val="11891A9C"/>
    <w:rsid w:val="118A9A14"/>
    <w:rsid w:val="11B52089"/>
    <w:rsid w:val="11D8F118"/>
    <w:rsid w:val="11EE08F3"/>
    <w:rsid w:val="11FEC292"/>
    <w:rsid w:val="121E7F55"/>
    <w:rsid w:val="121F09FC"/>
    <w:rsid w:val="12278542"/>
    <w:rsid w:val="124C3BE4"/>
    <w:rsid w:val="127328B6"/>
    <w:rsid w:val="12B49F4A"/>
    <w:rsid w:val="12E7A8E6"/>
    <w:rsid w:val="1333E10E"/>
    <w:rsid w:val="133AE3B2"/>
    <w:rsid w:val="1379A904"/>
    <w:rsid w:val="13AB0893"/>
    <w:rsid w:val="13C48EE5"/>
    <w:rsid w:val="13FEAF84"/>
    <w:rsid w:val="1419FB22"/>
    <w:rsid w:val="142499BC"/>
    <w:rsid w:val="14293138"/>
    <w:rsid w:val="146B5626"/>
    <w:rsid w:val="1496FB76"/>
    <w:rsid w:val="14AB6EEE"/>
    <w:rsid w:val="14C98C11"/>
    <w:rsid w:val="14F3D7A4"/>
    <w:rsid w:val="153F9F17"/>
    <w:rsid w:val="15539B93"/>
    <w:rsid w:val="1576DEB7"/>
    <w:rsid w:val="157A973C"/>
    <w:rsid w:val="1582029C"/>
    <w:rsid w:val="15A68FBD"/>
    <w:rsid w:val="15B71E36"/>
    <w:rsid w:val="15B8D065"/>
    <w:rsid w:val="15D40D91"/>
    <w:rsid w:val="15FC7331"/>
    <w:rsid w:val="16490E3D"/>
    <w:rsid w:val="166B81D0"/>
    <w:rsid w:val="1683C046"/>
    <w:rsid w:val="16C00D95"/>
    <w:rsid w:val="16CD822B"/>
    <w:rsid w:val="16D5570A"/>
    <w:rsid w:val="16D66957"/>
    <w:rsid w:val="16E87E46"/>
    <w:rsid w:val="16F56E9B"/>
    <w:rsid w:val="17446FAC"/>
    <w:rsid w:val="174B9A95"/>
    <w:rsid w:val="1764EC0A"/>
    <w:rsid w:val="17915214"/>
    <w:rsid w:val="17CA5BE9"/>
    <w:rsid w:val="17CCFD0C"/>
    <w:rsid w:val="17E4DE9E"/>
    <w:rsid w:val="17FB49D9"/>
    <w:rsid w:val="181D93AA"/>
    <w:rsid w:val="1828D360"/>
    <w:rsid w:val="184EA292"/>
    <w:rsid w:val="18522325"/>
    <w:rsid w:val="1881B8FD"/>
    <w:rsid w:val="188D7BCF"/>
    <w:rsid w:val="18AB6C6D"/>
    <w:rsid w:val="18BA273A"/>
    <w:rsid w:val="192C0ADB"/>
    <w:rsid w:val="193CF99C"/>
    <w:rsid w:val="1984EEA3"/>
    <w:rsid w:val="19937A9C"/>
    <w:rsid w:val="199D3B4E"/>
    <w:rsid w:val="19C69A54"/>
    <w:rsid w:val="19D7D42E"/>
    <w:rsid w:val="19D9EBD3"/>
    <w:rsid w:val="19E7D7FB"/>
    <w:rsid w:val="1A401377"/>
    <w:rsid w:val="1A67B156"/>
    <w:rsid w:val="1A855DA8"/>
    <w:rsid w:val="1AD1EC8A"/>
    <w:rsid w:val="1AD63BE6"/>
    <w:rsid w:val="1ADBA5B0"/>
    <w:rsid w:val="1AE91621"/>
    <w:rsid w:val="1B08B3AB"/>
    <w:rsid w:val="1B0C5F8A"/>
    <w:rsid w:val="1B0DE895"/>
    <w:rsid w:val="1B9997A7"/>
    <w:rsid w:val="1BD5EE06"/>
    <w:rsid w:val="1C817729"/>
    <w:rsid w:val="1C91BA2B"/>
    <w:rsid w:val="1C93325A"/>
    <w:rsid w:val="1CD30B9A"/>
    <w:rsid w:val="1CD8E7FF"/>
    <w:rsid w:val="1CEF586D"/>
    <w:rsid w:val="1D08A010"/>
    <w:rsid w:val="1D14DD63"/>
    <w:rsid w:val="1D44A572"/>
    <w:rsid w:val="1D695C47"/>
    <w:rsid w:val="1D9C4F3B"/>
    <w:rsid w:val="1DE0B94A"/>
    <w:rsid w:val="1E16DD42"/>
    <w:rsid w:val="1E24F776"/>
    <w:rsid w:val="1E339370"/>
    <w:rsid w:val="1E74B860"/>
    <w:rsid w:val="1E9F583F"/>
    <w:rsid w:val="1EC6DB92"/>
    <w:rsid w:val="1EEDFDC7"/>
    <w:rsid w:val="1F061BE6"/>
    <w:rsid w:val="1F162B8D"/>
    <w:rsid w:val="1F2BB5B5"/>
    <w:rsid w:val="1F57A0B9"/>
    <w:rsid w:val="1FAD02C8"/>
    <w:rsid w:val="1FB93251"/>
    <w:rsid w:val="1FBFA3AE"/>
    <w:rsid w:val="1FEF63E6"/>
    <w:rsid w:val="200D9EB9"/>
    <w:rsid w:val="201AA952"/>
    <w:rsid w:val="2089D5B9"/>
    <w:rsid w:val="20912D43"/>
    <w:rsid w:val="20BF8894"/>
    <w:rsid w:val="20C8685F"/>
    <w:rsid w:val="21188CCF"/>
    <w:rsid w:val="213A0A5F"/>
    <w:rsid w:val="217362D0"/>
    <w:rsid w:val="21D4665D"/>
    <w:rsid w:val="21FCB328"/>
    <w:rsid w:val="22280EC9"/>
    <w:rsid w:val="223CB1E9"/>
    <w:rsid w:val="227B85AD"/>
    <w:rsid w:val="234B233B"/>
    <w:rsid w:val="236960E1"/>
    <w:rsid w:val="2374C7EB"/>
    <w:rsid w:val="238B1705"/>
    <w:rsid w:val="23AC6EF2"/>
    <w:rsid w:val="23D453D8"/>
    <w:rsid w:val="241D9F3A"/>
    <w:rsid w:val="24399099"/>
    <w:rsid w:val="249EC573"/>
    <w:rsid w:val="24C5659D"/>
    <w:rsid w:val="25483F53"/>
    <w:rsid w:val="256C4D04"/>
    <w:rsid w:val="257129F7"/>
    <w:rsid w:val="257A1511"/>
    <w:rsid w:val="258FF396"/>
    <w:rsid w:val="2598BC74"/>
    <w:rsid w:val="259D70DD"/>
    <w:rsid w:val="25C54A83"/>
    <w:rsid w:val="260637C5"/>
    <w:rsid w:val="2613992C"/>
    <w:rsid w:val="2616CF3A"/>
    <w:rsid w:val="2627BC0E"/>
    <w:rsid w:val="26392906"/>
    <w:rsid w:val="2689D1A9"/>
    <w:rsid w:val="26CC44FB"/>
    <w:rsid w:val="26E3411E"/>
    <w:rsid w:val="26E8BA86"/>
    <w:rsid w:val="270C12FC"/>
    <w:rsid w:val="271A40F7"/>
    <w:rsid w:val="27352535"/>
    <w:rsid w:val="274A369C"/>
    <w:rsid w:val="277087B7"/>
    <w:rsid w:val="27A9C0E6"/>
    <w:rsid w:val="27DA9B90"/>
    <w:rsid w:val="27E02A54"/>
    <w:rsid w:val="27E1C5D1"/>
    <w:rsid w:val="27EE2252"/>
    <w:rsid w:val="282F0859"/>
    <w:rsid w:val="2834E4A3"/>
    <w:rsid w:val="285E51DD"/>
    <w:rsid w:val="2866E629"/>
    <w:rsid w:val="286AAD2E"/>
    <w:rsid w:val="288DD254"/>
    <w:rsid w:val="289061B5"/>
    <w:rsid w:val="28A51484"/>
    <w:rsid w:val="28C02B61"/>
    <w:rsid w:val="28D20E94"/>
    <w:rsid w:val="28E7FA12"/>
    <w:rsid w:val="28E9B10D"/>
    <w:rsid w:val="28F8AFAF"/>
    <w:rsid w:val="28FC41CF"/>
    <w:rsid w:val="28FDF8C1"/>
    <w:rsid w:val="291001AF"/>
    <w:rsid w:val="29199902"/>
    <w:rsid w:val="29588D05"/>
    <w:rsid w:val="295DE69F"/>
    <w:rsid w:val="296A4856"/>
    <w:rsid w:val="29A3A2A6"/>
    <w:rsid w:val="29AAA7EE"/>
    <w:rsid w:val="29C133E2"/>
    <w:rsid w:val="29E26DF0"/>
    <w:rsid w:val="2A51E1B9"/>
    <w:rsid w:val="2AB086B2"/>
    <w:rsid w:val="2ABBDA4E"/>
    <w:rsid w:val="2AD9B90E"/>
    <w:rsid w:val="2B0CE067"/>
    <w:rsid w:val="2B3AFC18"/>
    <w:rsid w:val="2B415FF7"/>
    <w:rsid w:val="2B796524"/>
    <w:rsid w:val="2BC57797"/>
    <w:rsid w:val="2BFEBF7B"/>
    <w:rsid w:val="2C4B1412"/>
    <w:rsid w:val="2C4C5713"/>
    <w:rsid w:val="2C5B77B6"/>
    <w:rsid w:val="2CAA94EB"/>
    <w:rsid w:val="2CB2BBCE"/>
    <w:rsid w:val="2CB39B77"/>
    <w:rsid w:val="2CE48782"/>
    <w:rsid w:val="2D6147F8"/>
    <w:rsid w:val="2D62B6C2"/>
    <w:rsid w:val="2D8371A5"/>
    <w:rsid w:val="2DF20B1F"/>
    <w:rsid w:val="2E162C8F"/>
    <w:rsid w:val="2E3FBD13"/>
    <w:rsid w:val="2E6B8DAA"/>
    <w:rsid w:val="2E9598BB"/>
    <w:rsid w:val="2EB24D29"/>
    <w:rsid w:val="2EBADE06"/>
    <w:rsid w:val="2EC153F6"/>
    <w:rsid w:val="2F2CA299"/>
    <w:rsid w:val="2F551D90"/>
    <w:rsid w:val="2F6B4A92"/>
    <w:rsid w:val="2FA90590"/>
    <w:rsid w:val="2FB1FCF0"/>
    <w:rsid w:val="2FDDB276"/>
    <w:rsid w:val="2FE05F2B"/>
    <w:rsid w:val="2FF0AF39"/>
    <w:rsid w:val="3009F7EE"/>
    <w:rsid w:val="30585F8A"/>
    <w:rsid w:val="3065783F"/>
    <w:rsid w:val="30BDD8E4"/>
    <w:rsid w:val="30C2AE5D"/>
    <w:rsid w:val="30E0AFF9"/>
    <w:rsid w:val="30F0EDF1"/>
    <w:rsid w:val="30F37B09"/>
    <w:rsid w:val="311234EE"/>
    <w:rsid w:val="311C226F"/>
    <w:rsid w:val="3137996A"/>
    <w:rsid w:val="321152EC"/>
    <w:rsid w:val="3262ADF0"/>
    <w:rsid w:val="3262CB88"/>
    <w:rsid w:val="32700A20"/>
    <w:rsid w:val="32AF073B"/>
    <w:rsid w:val="32F2E6AB"/>
    <w:rsid w:val="3317FFED"/>
    <w:rsid w:val="331A57FA"/>
    <w:rsid w:val="33210686"/>
    <w:rsid w:val="33851900"/>
    <w:rsid w:val="3395364D"/>
    <w:rsid w:val="33962816"/>
    <w:rsid w:val="33DED267"/>
    <w:rsid w:val="33F519B9"/>
    <w:rsid w:val="345C4467"/>
    <w:rsid w:val="3493F114"/>
    <w:rsid w:val="34A57584"/>
    <w:rsid w:val="34DFD1B1"/>
    <w:rsid w:val="357837DF"/>
    <w:rsid w:val="358451BF"/>
    <w:rsid w:val="359E6FD1"/>
    <w:rsid w:val="35C0066C"/>
    <w:rsid w:val="35C63014"/>
    <w:rsid w:val="360D387B"/>
    <w:rsid w:val="36FE46D8"/>
    <w:rsid w:val="3719F32F"/>
    <w:rsid w:val="375C2283"/>
    <w:rsid w:val="37874342"/>
    <w:rsid w:val="37A7E65A"/>
    <w:rsid w:val="383FB530"/>
    <w:rsid w:val="387DAFA3"/>
    <w:rsid w:val="38ABEEE3"/>
    <w:rsid w:val="38E04764"/>
    <w:rsid w:val="39A9806C"/>
    <w:rsid w:val="39BBC2E4"/>
    <w:rsid w:val="3A3976AA"/>
    <w:rsid w:val="3A656A46"/>
    <w:rsid w:val="3A69B463"/>
    <w:rsid w:val="3A6C5F87"/>
    <w:rsid w:val="3AAD8963"/>
    <w:rsid w:val="3ACD623C"/>
    <w:rsid w:val="3AFEFB60"/>
    <w:rsid w:val="3B5ED6EF"/>
    <w:rsid w:val="3B8C7A0C"/>
    <w:rsid w:val="3BA10155"/>
    <w:rsid w:val="3BC09392"/>
    <w:rsid w:val="3BD9BBEF"/>
    <w:rsid w:val="3C0B0376"/>
    <w:rsid w:val="3C2EBC1A"/>
    <w:rsid w:val="3C495280"/>
    <w:rsid w:val="3C869FF0"/>
    <w:rsid w:val="3C87EFDD"/>
    <w:rsid w:val="3C9ADFAC"/>
    <w:rsid w:val="3CAA1FC3"/>
    <w:rsid w:val="3CB2DEF6"/>
    <w:rsid w:val="3CC4787E"/>
    <w:rsid w:val="3CF36F82"/>
    <w:rsid w:val="3D133868"/>
    <w:rsid w:val="3D2004F8"/>
    <w:rsid w:val="3D7F8073"/>
    <w:rsid w:val="3D8DCAEB"/>
    <w:rsid w:val="3D99A44A"/>
    <w:rsid w:val="3DBD8234"/>
    <w:rsid w:val="3DF0DC92"/>
    <w:rsid w:val="3E0E7CBE"/>
    <w:rsid w:val="3E536B7C"/>
    <w:rsid w:val="3E6D7D28"/>
    <w:rsid w:val="3E812221"/>
    <w:rsid w:val="3E9DBE3B"/>
    <w:rsid w:val="3EA59283"/>
    <w:rsid w:val="3EBEA46E"/>
    <w:rsid w:val="3F5331BA"/>
    <w:rsid w:val="3FCAEC0E"/>
    <w:rsid w:val="4014E04C"/>
    <w:rsid w:val="40B5A926"/>
    <w:rsid w:val="40F45699"/>
    <w:rsid w:val="41095DF3"/>
    <w:rsid w:val="41153C59"/>
    <w:rsid w:val="417BB05A"/>
    <w:rsid w:val="41D57FC0"/>
    <w:rsid w:val="41E40BDF"/>
    <w:rsid w:val="41EC7BFB"/>
    <w:rsid w:val="420F7EBD"/>
    <w:rsid w:val="42589A6C"/>
    <w:rsid w:val="42A0D674"/>
    <w:rsid w:val="42E02BDF"/>
    <w:rsid w:val="43002EF5"/>
    <w:rsid w:val="433C0C2F"/>
    <w:rsid w:val="4377C5BB"/>
    <w:rsid w:val="4399ED17"/>
    <w:rsid w:val="43CBA577"/>
    <w:rsid w:val="43D3DAFE"/>
    <w:rsid w:val="43DCC68C"/>
    <w:rsid w:val="43F58745"/>
    <w:rsid w:val="44338235"/>
    <w:rsid w:val="44C31B4D"/>
    <w:rsid w:val="44ECE0A5"/>
    <w:rsid w:val="44F18164"/>
    <w:rsid w:val="45036DB9"/>
    <w:rsid w:val="45150130"/>
    <w:rsid w:val="4517CA5D"/>
    <w:rsid w:val="451FDDF1"/>
    <w:rsid w:val="4527565D"/>
    <w:rsid w:val="454BCF90"/>
    <w:rsid w:val="4550E56B"/>
    <w:rsid w:val="45627D7A"/>
    <w:rsid w:val="459157A6"/>
    <w:rsid w:val="45A26E65"/>
    <w:rsid w:val="45CB8D8E"/>
    <w:rsid w:val="45FFDCE8"/>
    <w:rsid w:val="46257128"/>
    <w:rsid w:val="46346179"/>
    <w:rsid w:val="465DD7EE"/>
    <w:rsid w:val="4688B106"/>
    <w:rsid w:val="46E152E0"/>
    <w:rsid w:val="46E79FF1"/>
    <w:rsid w:val="472D2807"/>
    <w:rsid w:val="4752F20F"/>
    <w:rsid w:val="477987B1"/>
    <w:rsid w:val="477A65C3"/>
    <w:rsid w:val="478087C3"/>
    <w:rsid w:val="478BE963"/>
    <w:rsid w:val="47C472E0"/>
    <w:rsid w:val="47CF95A0"/>
    <w:rsid w:val="47F4C4ED"/>
    <w:rsid w:val="4802E797"/>
    <w:rsid w:val="482792CB"/>
    <w:rsid w:val="48532BE5"/>
    <w:rsid w:val="489FEF55"/>
    <w:rsid w:val="4916A861"/>
    <w:rsid w:val="49373DCE"/>
    <w:rsid w:val="494FC46E"/>
    <w:rsid w:val="497F1C21"/>
    <w:rsid w:val="4983A813"/>
    <w:rsid w:val="49956D60"/>
    <w:rsid w:val="499627C9"/>
    <w:rsid w:val="49C8AEA6"/>
    <w:rsid w:val="49E9688E"/>
    <w:rsid w:val="49FC9C94"/>
    <w:rsid w:val="4A053071"/>
    <w:rsid w:val="4A24E6DC"/>
    <w:rsid w:val="4A558A03"/>
    <w:rsid w:val="4A77FFD1"/>
    <w:rsid w:val="4ABB80AA"/>
    <w:rsid w:val="4B0814CD"/>
    <w:rsid w:val="4B25F7B3"/>
    <w:rsid w:val="4BB745DC"/>
    <w:rsid w:val="4BBC444B"/>
    <w:rsid w:val="4BDDB735"/>
    <w:rsid w:val="4BECA7D8"/>
    <w:rsid w:val="4BF94280"/>
    <w:rsid w:val="4C4268EB"/>
    <w:rsid w:val="4C453623"/>
    <w:rsid w:val="4C57E433"/>
    <w:rsid w:val="4C67BA4A"/>
    <w:rsid w:val="4C9FD906"/>
    <w:rsid w:val="4CA3E52E"/>
    <w:rsid w:val="4CCA7A4F"/>
    <w:rsid w:val="4CF1ACC2"/>
    <w:rsid w:val="4D07AAC6"/>
    <w:rsid w:val="4D08AC14"/>
    <w:rsid w:val="4D1E65EC"/>
    <w:rsid w:val="4D2881B3"/>
    <w:rsid w:val="4D314F74"/>
    <w:rsid w:val="4D62B537"/>
    <w:rsid w:val="4D7287BD"/>
    <w:rsid w:val="4D992C08"/>
    <w:rsid w:val="4DB8384C"/>
    <w:rsid w:val="4DD49262"/>
    <w:rsid w:val="4DF6ACE5"/>
    <w:rsid w:val="4E02EF52"/>
    <w:rsid w:val="4E14BD41"/>
    <w:rsid w:val="4E14D37F"/>
    <w:rsid w:val="4E5A45AA"/>
    <w:rsid w:val="4E6998EC"/>
    <w:rsid w:val="4E8C8ABE"/>
    <w:rsid w:val="4ED98979"/>
    <w:rsid w:val="4F1350E3"/>
    <w:rsid w:val="4F2B61CF"/>
    <w:rsid w:val="4F39DE29"/>
    <w:rsid w:val="4F421B7A"/>
    <w:rsid w:val="4F5C3787"/>
    <w:rsid w:val="4F63773A"/>
    <w:rsid w:val="4F777257"/>
    <w:rsid w:val="4F9DD432"/>
    <w:rsid w:val="4FBD89AB"/>
    <w:rsid w:val="5008AAB6"/>
    <w:rsid w:val="5041CE35"/>
    <w:rsid w:val="5041D6AE"/>
    <w:rsid w:val="50F047CA"/>
    <w:rsid w:val="510554D2"/>
    <w:rsid w:val="512F9683"/>
    <w:rsid w:val="5171C1B3"/>
    <w:rsid w:val="51A4C01A"/>
    <w:rsid w:val="51A9FBC7"/>
    <w:rsid w:val="51DD9E96"/>
    <w:rsid w:val="52117727"/>
    <w:rsid w:val="522FAF2A"/>
    <w:rsid w:val="523378BE"/>
    <w:rsid w:val="52554728"/>
    <w:rsid w:val="52556F53"/>
    <w:rsid w:val="526CAA3A"/>
    <w:rsid w:val="526E8F18"/>
    <w:rsid w:val="52717EEB"/>
    <w:rsid w:val="5271C2F9"/>
    <w:rsid w:val="527A61CB"/>
    <w:rsid w:val="527FCAEA"/>
    <w:rsid w:val="52E4356A"/>
    <w:rsid w:val="52F987A7"/>
    <w:rsid w:val="5304D088"/>
    <w:rsid w:val="5355B024"/>
    <w:rsid w:val="53A95264"/>
    <w:rsid w:val="53D0CF7C"/>
    <w:rsid w:val="53E8B454"/>
    <w:rsid w:val="54317E06"/>
    <w:rsid w:val="54868134"/>
    <w:rsid w:val="54A091EA"/>
    <w:rsid w:val="54A0FC40"/>
    <w:rsid w:val="54D3AF5E"/>
    <w:rsid w:val="55062361"/>
    <w:rsid w:val="55219A9D"/>
    <w:rsid w:val="55247B15"/>
    <w:rsid w:val="5528109D"/>
    <w:rsid w:val="5579CF1A"/>
    <w:rsid w:val="557B4E88"/>
    <w:rsid w:val="5600C16D"/>
    <w:rsid w:val="56580289"/>
    <w:rsid w:val="56583438"/>
    <w:rsid w:val="568E0951"/>
    <w:rsid w:val="56BCF3C1"/>
    <w:rsid w:val="57095C8B"/>
    <w:rsid w:val="57F45E00"/>
    <w:rsid w:val="5814E529"/>
    <w:rsid w:val="5816F9EE"/>
    <w:rsid w:val="589DDEC2"/>
    <w:rsid w:val="58A0EE7E"/>
    <w:rsid w:val="58A14495"/>
    <w:rsid w:val="58A9D47E"/>
    <w:rsid w:val="59093653"/>
    <w:rsid w:val="592187FF"/>
    <w:rsid w:val="5935F3CE"/>
    <w:rsid w:val="598FAD79"/>
    <w:rsid w:val="59913E54"/>
    <w:rsid w:val="599F2C29"/>
    <w:rsid w:val="59F4FADD"/>
    <w:rsid w:val="59FD1745"/>
    <w:rsid w:val="5A275E36"/>
    <w:rsid w:val="5A428BFA"/>
    <w:rsid w:val="5A526CF4"/>
    <w:rsid w:val="5A606DD2"/>
    <w:rsid w:val="5A8D7798"/>
    <w:rsid w:val="5A98146A"/>
    <w:rsid w:val="5AC04C1C"/>
    <w:rsid w:val="5AC6C7C8"/>
    <w:rsid w:val="5B3992A8"/>
    <w:rsid w:val="5BDBAC54"/>
    <w:rsid w:val="5BDE5C5B"/>
    <w:rsid w:val="5BE1E4EC"/>
    <w:rsid w:val="5C401EFA"/>
    <w:rsid w:val="5C423190"/>
    <w:rsid w:val="5C48B908"/>
    <w:rsid w:val="5C5C1C7D"/>
    <w:rsid w:val="5CA3A4BC"/>
    <w:rsid w:val="5D891BC1"/>
    <w:rsid w:val="5DDE34C2"/>
    <w:rsid w:val="5E1B2A02"/>
    <w:rsid w:val="5E3CA79C"/>
    <w:rsid w:val="5E51E7F9"/>
    <w:rsid w:val="5EA02E2E"/>
    <w:rsid w:val="5EAEF47B"/>
    <w:rsid w:val="5EF7CCC6"/>
    <w:rsid w:val="6056A9C2"/>
    <w:rsid w:val="6056F41F"/>
    <w:rsid w:val="60B8E528"/>
    <w:rsid w:val="60C0BC83"/>
    <w:rsid w:val="60D3B5AD"/>
    <w:rsid w:val="6144CB44"/>
    <w:rsid w:val="6158A164"/>
    <w:rsid w:val="61671554"/>
    <w:rsid w:val="619AE6DF"/>
    <w:rsid w:val="61DD3172"/>
    <w:rsid w:val="61F22057"/>
    <w:rsid w:val="620F26DE"/>
    <w:rsid w:val="622AB7CC"/>
    <w:rsid w:val="62626230"/>
    <w:rsid w:val="626A0A7C"/>
    <w:rsid w:val="62785E08"/>
    <w:rsid w:val="627DFA9D"/>
    <w:rsid w:val="62A82B00"/>
    <w:rsid w:val="62B704F4"/>
    <w:rsid w:val="6325DA95"/>
    <w:rsid w:val="6430F8AA"/>
    <w:rsid w:val="643685DD"/>
    <w:rsid w:val="6489B48E"/>
    <w:rsid w:val="649B76A2"/>
    <w:rsid w:val="64C1E524"/>
    <w:rsid w:val="64E8E3B8"/>
    <w:rsid w:val="65241AC2"/>
    <w:rsid w:val="654ABF93"/>
    <w:rsid w:val="65C70907"/>
    <w:rsid w:val="65C74038"/>
    <w:rsid w:val="662C1287"/>
    <w:rsid w:val="66B48085"/>
    <w:rsid w:val="673A0B09"/>
    <w:rsid w:val="673B85D4"/>
    <w:rsid w:val="6753A5F2"/>
    <w:rsid w:val="676FE67A"/>
    <w:rsid w:val="67A738DF"/>
    <w:rsid w:val="67D8F2F5"/>
    <w:rsid w:val="681215E9"/>
    <w:rsid w:val="681498C7"/>
    <w:rsid w:val="685F024A"/>
    <w:rsid w:val="6874D13A"/>
    <w:rsid w:val="6897E470"/>
    <w:rsid w:val="68C3C43C"/>
    <w:rsid w:val="68E88C15"/>
    <w:rsid w:val="69492184"/>
    <w:rsid w:val="694F950F"/>
    <w:rsid w:val="696C4086"/>
    <w:rsid w:val="697DB06E"/>
    <w:rsid w:val="698FAF0E"/>
    <w:rsid w:val="69AB39EE"/>
    <w:rsid w:val="69C13364"/>
    <w:rsid w:val="69EAFB46"/>
    <w:rsid w:val="6A15FF4C"/>
    <w:rsid w:val="6A354537"/>
    <w:rsid w:val="6ADADC97"/>
    <w:rsid w:val="6B13E2CA"/>
    <w:rsid w:val="6B1DC762"/>
    <w:rsid w:val="6B215638"/>
    <w:rsid w:val="6B7A1F6B"/>
    <w:rsid w:val="6BAC2AD7"/>
    <w:rsid w:val="6BD71E50"/>
    <w:rsid w:val="6BF27324"/>
    <w:rsid w:val="6C17A7E1"/>
    <w:rsid w:val="6C5ADE52"/>
    <w:rsid w:val="6C6664A3"/>
    <w:rsid w:val="6C6F2B51"/>
    <w:rsid w:val="6CA3E5BE"/>
    <w:rsid w:val="6CB7B466"/>
    <w:rsid w:val="6CB8D203"/>
    <w:rsid w:val="6CC74FD0"/>
    <w:rsid w:val="6CC95E8F"/>
    <w:rsid w:val="6CF9AB78"/>
    <w:rsid w:val="6CFB4114"/>
    <w:rsid w:val="6CFF6CDC"/>
    <w:rsid w:val="6D465C0E"/>
    <w:rsid w:val="6D56C75F"/>
    <w:rsid w:val="6DA0E275"/>
    <w:rsid w:val="6DCD32B1"/>
    <w:rsid w:val="6DE7A4AB"/>
    <w:rsid w:val="6DF6FD09"/>
    <w:rsid w:val="6E1ECC90"/>
    <w:rsid w:val="6E428A1C"/>
    <w:rsid w:val="6E652EF0"/>
    <w:rsid w:val="6E6B2205"/>
    <w:rsid w:val="6E81576D"/>
    <w:rsid w:val="6E9A70AD"/>
    <w:rsid w:val="6EA9A83C"/>
    <w:rsid w:val="6EC61D3A"/>
    <w:rsid w:val="6EDD4434"/>
    <w:rsid w:val="6EEDE985"/>
    <w:rsid w:val="6EF0B0C4"/>
    <w:rsid w:val="6EF98E64"/>
    <w:rsid w:val="6F25FDDA"/>
    <w:rsid w:val="6F5B1751"/>
    <w:rsid w:val="6F715E45"/>
    <w:rsid w:val="6F7BD48B"/>
    <w:rsid w:val="6F901AA4"/>
    <w:rsid w:val="6FD2FE8C"/>
    <w:rsid w:val="701D27CE"/>
    <w:rsid w:val="702AC5A2"/>
    <w:rsid w:val="702C84E2"/>
    <w:rsid w:val="70847B9F"/>
    <w:rsid w:val="70895DE5"/>
    <w:rsid w:val="71108601"/>
    <w:rsid w:val="7113471E"/>
    <w:rsid w:val="712F1EC2"/>
    <w:rsid w:val="71A382B5"/>
    <w:rsid w:val="71A41F22"/>
    <w:rsid w:val="71AF82A3"/>
    <w:rsid w:val="7200EE13"/>
    <w:rsid w:val="7257892E"/>
    <w:rsid w:val="72A0CBF4"/>
    <w:rsid w:val="731BD2DF"/>
    <w:rsid w:val="7354C890"/>
    <w:rsid w:val="73722CA5"/>
    <w:rsid w:val="73899734"/>
    <w:rsid w:val="73E28996"/>
    <w:rsid w:val="740EAD5A"/>
    <w:rsid w:val="7477DF56"/>
    <w:rsid w:val="748C6BF8"/>
    <w:rsid w:val="74B8A988"/>
    <w:rsid w:val="74BEE091"/>
    <w:rsid w:val="751A73DD"/>
    <w:rsid w:val="7531DCB4"/>
    <w:rsid w:val="75D86CB6"/>
    <w:rsid w:val="7611D41F"/>
    <w:rsid w:val="7622A357"/>
    <w:rsid w:val="76275C81"/>
    <w:rsid w:val="76302A46"/>
    <w:rsid w:val="763BB8CF"/>
    <w:rsid w:val="7666ED20"/>
    <w:rsid w:val="7675477F"/>
    <w:rsid w:val="767B29B4"/>
    <w:rsid w:val="767C7648"/>
    <w:rsid w:val="7682337D"/>
    <w:rsid w:val="769CA80A"/>
    <w:rsid w:val="76F0A5F7"/>
    <w:rsid w:val="76F3BD23"/>
    <w:rsid w:val="7719B7E1"/>
    <w:rsid w:val="773C24C4"/>
    <w:rsid w:val="77A2B6E0"/>
    <w:rsid w:val="77E7B98C"/>
    <w:rsid w:val="77F68153"/>
    <w:rsid w:val="782839B3"/>
    <w:rsid w:val="78517876"/>
    <w:rsid w:val="787C0120"/>
    <w:rsid w:val="788AE8C4"/>
    <w:rsid w:val="789153EC"/>
    <w:rsid w:val="78C71538"/>
    <w:rsid w:val="78D8D8F4"/>
    <w:rsid w:val="78FE3721"/>
    <w:rsid w:val="791AA229"/>
    <w:rsid w:val="79312D37"/>
    <w:rsid w:val="796A0455"/>
    <w:rsid w:val="79C40A14"/>
    <w:rsid w:val="79F79BE1"/>
    <w:rsid w:val="7A04DCF9"/>
    <w:rsid w:val="7A47392C"/>
    <w:rsid w:val="7A647D90"/>
    <w:rsid w:val="7A6D94AB"/>
    <w:rsid w:val="7A831F68"/>
    <w:rsid w:val="7AEC3BFF"/>
    <w:rsid w:val="7B1B6232"/>
    <w:rsid w:val="7B5B6048"/>
    <w:rsid w:val="7B8B6080"/>
    <w:rsid w:val="7BDC6BEA"/>
    <w:rsid w:val="7BFAF11C"/>
    <w:rsid w:val="7C3747F6"/>
    <w:rsid w:val="7C6EF4D9"/>
    <w:rsid w:val="7C759C61"/>
    <w:rsid w:val="7C785355"/>
    <w:rsid w:val="7C9B0B41"/>
    <w:rsid w:val="7C9E3914"/>
    <w:rsid w:val="7C9F4CBB"/>
    <w:rsid w:val="7CAE7797"/>
    <w:rsid w:val="7CFA7083"/>
    <w:rsid w:val="7CFBAAD6"/>
    <w:rsid w:val="7D12DC4F"/>
    <w:rsid w:val="7D260752"/>
    <w:rsid w:val="7D30EE80"/>
    <w:rsid w:val="7D358D11"/>
    <w:rsid w:val="7D505289"/>
    <w:rsid w:val="7D71DE83"/>
    <w:rsid w:val="7D860608"/>
    <w:rsid w:val="7DADB445"/>
    <w:rsid w:val="7DC6A5C7"/>
    <w:rsid w:val="7E005F61"/>
    <w:rsid w:val="7E36DBA2"/>
    <w:rsid w:val="7E67005C"/>
    <w:rsid w:val="7EA76234"/>
    <w:rsid w:val="7EB230EC"/>
    <w:rsid w:val="7EC30142"/>
    <w:rsid w:val="7EE430EB"/>
    <w:rsid w:val="7F0B81EB"/>
    <w:rsid w:val="7F1659F6"/>
    <w:rsid w:val="7F3F6F58"/>
    <w:rsid w:val="7F4F3F99"/>
    <w:rsid w:val="7FFAD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403CD"/>
  <w15:chartTrackingRefBased/>
  <w15:docId w15:val="{677A85A7-D9F7-4FB1-A9C1-061662FD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C2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F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F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F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F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F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FF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C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uiPriority w:val="1"/>
    <w:rsid w:val="006C2FF5"/>
  </w:style>
  <w:style w:type="character" w:customStyle="1" w:styleId="eop">
    <w:name w:val="eop"/>
    <w:basedOn w:val="DefaultParagraphFont"/>
    <w:rsid w:val="006C2FF5"/>
  </w:style>
  <w:style w:type="paragraph" w:styleId="Header">
    <w:name w:val="header"/>
    <w:basedOn w:val="Normal"/>
    <w:link w:val="HeaderChar"/>
    <w:uiPriority w:val="99"/>
    <w:unhideWhenUsed/>
    <w:rsid w:val="006C2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FF5"/>
  </w:style>
  <w:style w:type="paragraph" w:styleId="Footer">
    <w:name w:val="footer"/>
    <w:basedOn w:val="Normal"/>
    <w:link w:val="FooterChar"/>
    <w:uiPriority w:val="99"/>
    <w:unhideWhenUsed/>
    <w:rsid w:val="006C2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FF5"/>
  </w:style>
  <w:style w:type="character" w:customStyle="1" w:styleId="lrzxr">
    <w:name w:val="lrzxr"/>
    <w:basedOn w:val="DefaultParagraphFont"/>
    <w:rsid w:val="00713855"/>
  </w:style>
  <w:style w:type="character" w:styleId="Hyperlink">
    <w:name w:val="Hyperlink"/>
    <w:basedOn w:val="DefaultParagraphFont"/>
    <w:uiPriority w:val="99"/>
    <w:unhideWhenUsed/>
    <w:rsid w:val="00233D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DA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27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7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7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E2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460D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4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64D66"/>
    <w:rPr>
      <w:color w:val="96607D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2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C1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D70BAB"/>
    <w:pPr>
      <w:spacing w:after="0" w:line="240" w:lineRule="auto"/>
    </w:pPr>
    <w:rPr>
      <w:sz w:val="20"/>
      <w:szCs w:val="20"/>
      <w:lang w:bidi="he-I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70BAB"/>
    <w:rPr>
      <w:sz w:val="20"/>
      <w:szCs w:val="20"/>
      <w:lang w:bidi="he-IL"/>
    </w:rPr>
  </w:style>
  <w:style w:type="character" w:styleId="FootnoteReference">
    <w:name w:val="footnote reference"/>
    <w:basedOn w:val="DefaultParagraphFont"/>
    <w:uiPriority w:val="99"/>
    <w:semiHidden/>
    <w:unhideWhenUsed/>
    <w:rsid w:val="00D70B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5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9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0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7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0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7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3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1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8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26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7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3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97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39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1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10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34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1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14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0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4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0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28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6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4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77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8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4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93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14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70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14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1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22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78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3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1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13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58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72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57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55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9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52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3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65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1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91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0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89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22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16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24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4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31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19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41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3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1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80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7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5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66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58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5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69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57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26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0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24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26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1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3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2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8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1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2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82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3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8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8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81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2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8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7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02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9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46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53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9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97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33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18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41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56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06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6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18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47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83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1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62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7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25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1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45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3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5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46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9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72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84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7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39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0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06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43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9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71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8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1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9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83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90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13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2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70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97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00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76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25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41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6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9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90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77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bloomberglaw.com/product/tax/bbna/chart/3/10092" TargetMode="External"/><Relationship Id="rId21" Type="http://schemas.openxmlformats.org/officeDocument/2006/relationships/hyperlink" Target="https://www.bloomberglaw.com/product/tax/document/XPV2JUH8" TargetMode="External"/><Relationship Id="rId42" Type="http://schemas.openxmlformats.org/officeDocument/2006/relationships/hyperlink" Target="https://go.bloombergtax.com/product/tax/document/spa/XPV2J2H8" TargetMode="External"/><Relationship Id="rId47" Type="http://schemas.openxmlformats.org/officeDocument/2006/relationships/hyperlink" Target="https://www.bloomberglaw.com/product/tax/document/32937826344" TargetMode="External"/><Relationship Id="rId63" Type="http://schemas.openxmlformats.org/officeDocument/2006/relationships/hyperlink" Target="https://www.bloomberglaw.com/product/tax/document/XPV2J418" TargetMode="External"/><Relationship Id="rId68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loomberglaw.com/product/tax/document/27884689448" TargetMode="External"/><Relationship Id="rId29" Type="http://schemas.openxmlformats.org/officeDocument/2006/relationships/hyperlink" Target="https://go.bloombergtax.com/product/tax/document/spa/27886474280" TargetMode="External"/><Relationship Id="rId11" Type="http://schemas.openxmlformats.org/officeDocument/2006/relationships/hyperlink" Target="https://www.gov.il/en/departments/israel_tax_authority/govil-landing-page" TargetMode="External"/><Relationship Id="rId24" Type="http://schemas.openxmlformats.org/officeDocument/2006/relationships/hyperlink" Target="https://www.bloomberglaw.com/product/tax/document/XPV2J418" TargetMode="External"/><Relationship Id="rId32" Type="http://schemas.openxmlformats.org/officeDocument/2006/relationships/hyperlink" Target="https://go.bloombergtax.com/product/tax/document/spa/XPV2JH18" TargetMode="External"/><Relationship Id="rId37" Type="http://schemas.openxmlformats.org/officeDocument/2006/relationships/hyperlink" Target="https://www.bloomberglaw.com/product/tax/document/27886487592" TargetMode="External"/><Relationship Id="rId40" Type="http://schemas.openxmlformats.org/officeDocument/2006/relationships/hyperlink" Target="https://go.bloombergtax.com/product/tax/document/spa/XPV2J2H8" TargetMode="External"/><Relationship Id="rId45" Type="http://schemas.openxmlformats.org/officeDocument/2006/relationships/hyperlink" Target="https://go.bloombergtax.com/product/tax/document/spa/XPV2J2H8" TargetMode="External"/><Relationship Id="rId53" Type="http://schemas.openxmlformats.org/officeDocument/2006/relationships/hyperlink" Target="https://www.bloomberglaw.com/product/tax/document/27884689448" TargetMode="External"/><Relationship Id="rId58" Type="http://schemas.openxmlformats.org/officeDocument/2006/relationships/hyperlink" Target="https://www.bloomberglaw.com/product/tax/document/27886488104" TargetMode="External"/><Relationship Id="rId66" Type="http://schemas.openxmlformats.org/officeDocument/2006/relationships/hyperlink" Target="https://www.bloomberglaw.com/product/tax/document/27886466088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bloomberglaw.com/product/tax/document/27886490152" TargetMode="External"/><Relationship Id="rId19" Type="http://schemas.openxmlformats.org/officeDocument/2006/relationships/hyperlink" Target="https://www.bloomberglaw.com/product/tax/document/27886482472" TargetMode="External"/><Relationship Id="rId14" Type="http://schemas.openxmlformats.org/officeDocument/2006/relationships/hyperlink" Target="https://www.bloomberglaw.com/product/tax/document/27886481960" TargetMode="External"/><Relationship Id="rId22" Type="http://schemas.openxmlformats.org/officeDocument/2006/relationships/hyperlink" Target="https://www.bloomberglaw.com/product/tax/search/results/829ef8df02520c766a193fe4fc222f64?bc=W1siU2VhcmNoIFJlc3VsdHMiLCIvcHJvZHVjdC90YXgvc2VhcmNoL3Jlc3VsdHMvZjM0YTczNDc3ODljZmIxMTc1OTJhZWViYzI5YTY1MGM_Y3VyYXRlZD10cnVlIl1d--5485816f816b979eb4572e25f204009f7401cfca" TargetMode="External"/><Relationship Id="rId27" Type="http://schemas.openxmlformats.org/officeDocument/2006/relationships/hyperlink" Target="https://www.bloomberglaw.com/product/tax/document/XPV2J418" TargetMode="External"/><Relationship Id="rId30" Type="http://schemas.openxmlformats.org/officeDocument/2006/relationships/hyperlink" Target="https://go.bloombergtax.com/product/tax/document/spa/XPV2JH18" TargetMode="External"/><Relationship Id="rId35" Type="http://schemas.openxmlformats.org/officeDocument/2006/relationships/hyperlink" Target="https://go.bloombergtax.com/product/tax/document/spa/27886472744" TargetMode="External"/><Relationship Id="rId43" Type="http://schemas.openxmlformats.org/officeDocument/2006/relationships/hyperlink" Target="https://go.bloombergtax.com/product/tax/document/spa/XPV2J2H8" TargetMode="External"/><Relationship Id="rId48" Type="http://schemas.openxmlformats.org/officeDocument/2006/relationships/hyperlink" Target="https://go.bloombergtax.com/product/tax/document/spa/32937825320" TargetMode="External"/><Relationship Id="rId56" Type="http://schemas.openxmlformats.org/officeDocument/2006/relationships/hyperlink" Target="https://www.bloomberglaw.com/product/tax/document/XPV2JV18" TargetMode="External"/><Relationship Id="rId64" Type="http://schemas.openxmlformats.org/officeDocument/2006/relationships/hyperlink" Target="https://www.bloomberglaw.com/product/tax/document/27886463016" TargetMode="External"/><Relationship Id="rId69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www.bloomberglaw.com/product/tax/document/XPV2JUH8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bloomberglaw.com/product/tax/document/XPV2K6H8" TargetMode="External"/><Relationship Id="rId17" Type="http://schemas.openxmlformats.org/officeDocument/2006/relationships/hyperlink" Target="https://www.bloomberglaw.com/product/tax/document/27886455848" TargetMode="External"/><Relationship Id="rId25" Type="http://schemas.openxmlformats.org/officeDocument/2006/relationships/hyperlink" Target="https://www.bloomberglaw.com/product/tax/document/XPV2JU18" TargetMode="External"/><Relationship Id="rId33" Type="http://schemas.openxmlformats.org/officeDocument/2006/relationships/hyperlink" Target="https://go.bloombergtax.com/product/tax/document/spa/XPV2JH18" TargetMode="External"/><Relationship Id="rId38" Type="http://schemas.openxmlformats.org/officeDocument/2006/relationships/hyperlink" Target="https://www.bloomberglaw.com/product/tax/document/XPV2J418" TargetMode="External"/><Relationship Id="rId46" Type="http://schemas.openxmlformats.org/officeDocument/2006/relationships/hyperlink" Target="https://www.bloomberglaw.com/product/tax/document/32937825320" TargetMode="External"/><Relationship Id="rId59" Type="http://schemas.openxmlformats.org/officeDocument/2006/relationships/hyperlink" Target="https://bna.sharepoint.com/sites/Pride4_Bna4_Data_TaxAccounting/Shared%20Documents/GROUPS/Tax&amp;Accounting/Analysis%20&amp;%20Content/International/Foreign%20Country%20Portfolios/Monthly%20Updates/Israel/IR5/(Section%20XIII.A)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www.bloomberglaw.com/product/tax/document/XPV2JUH8" TargetMode="External"/><Relationship Id="rId41" Type="http://schemas.openxmlformats.org/officeDocument/2006/relationships/hyperlink" Target="https://go.bloombergtax.com/product/tax/document/spa/27886489128" TargetMode="External"/><Relationship Id="rId54" Type="http://schemas.openxmlformats.org/officeDocument/2006/relationships/hyperlink" Target="https://go.bloombergtax.com/product/tax/document/spa/XPV2J2H8" TargetMode="External"/><Relationship Id="rId62" Type="http://schemas.openxmlformats.org/officeDocument/2006/relationships/hyperlink" Target="https://go.bloombergtax.com/product/tax/document/spa/27886488616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bloomberglaw.com/product/tax/document/27886482984" TargetMode="External"/><Relationship Id="rId23" Type="http://schemas.openxmlformats.org/officeDocument/2006/relationships/hyperlink" Target="https://www.bloomberglaw.com/product/tax/document/XPV2J2H8" TargetMode="External"/><Relationship Id="rId28" Type="http://schemas.openxmlformats.org/officeDocument/2006/relationships/hyperlink" Target="https://www.bloomberglaw.com/product/tax/document/XPV2J2H8" TargetMode="External"/><Relationship Id="rId36" Type="http://schemas.openxmlformats.org/officeDocument/2006/relationships/hyperlink" Target="https://go.bloombergtax.com/product/tax/document/spa/27886471208" TargetMode="External"/><Relationship Id="rId49" Type="http://schemas.openxmlformats.org/officeDocument/2006/relationships/hyperlink" Target="https://www.bloomberglaw.com/product/tax/document/27886464552" TargetMode="External"/><Relationship Id="rId57" Type="http://schemas.openxmlformats.org/officeDocument/2006/relationships/hyperlink" Target="https://www.bloomberglaw.com/product/tax/document/27886488104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go.bloombergtax.com/product/tax/document/spa/XPV2J2H8" TargetMode="External"/><Relationship Id="rId44" Type="http://schemas.openxmlformats.org/officeDocument/2006/relationships/hyperlink" Target="https://go.bloombergtax.com/product/tax/document/spa/XPV2J2H8" TargetMode="External"/><Relationship Id="rId52" Type="http://schemas.openxmlformats.org/officeDocument/2006/relationships/hyperlink" Target="https://www.bloomberglaw.com/product/tax/document/27886480936" TargetMode="External"/><Relationship Id="rId60" Type="http://schemas.openxmlformats.org/officeDocument/2006/relationships/hyperlink" Target="https://go.bloombergtax.com/product/tax/document/spa/XPV2J2H8" TargetMode="External"/><Relationship Id="rId65" Type="http://schemas.openxmlformats.org/officeDocument/2006/relationships/hyperlink" Target="https://www.bloomberglaw.com/product/tax/document/2788646557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bloomberglaw.com/product/tax/document/XPV2J418" TargetMode="External"/><Relationship Id="rId18" Type="http://schemas.openxmlformats.org/officeDocument/2006/relationships/hyperlink" Target="https://www.bloomberglaw.com/product/tax/document/27886481960" TargetMode="External"/><Relationship Id="rId39" Type="http://schemas.openxmlformats.org/officeDocument/2006/relationships/hyperlink" Target="https://www.bloomberglaw.com/product/tax/document/XPV2K8H8" TargetMode="External"/><Relationship Id="rId34" Type="http://schemas.openxmlformats.org/officeDocument/2006/relationships/hyperlink" Target="https://go.bloombergtax.com/product/tax/document/spa/XPV2JH18" TargetMode="External"/><Relationship Id="rId50" Type="http://schemas.openxmlformats.org/officeDocument/2006/relationships/hyperlink" Target="https://www.bloomberglaw.com/product/tax/document/XPV2JV18" TargetMode="External"/><Relationship Id="rId55" Type="http://schemas.openxmlformats.org/officeDocument/2006/relationships/hyperlink" Target="https://www.bloomberglaw.com/product/tax/document/27886476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1449d4f-8e51-4d4e-9219-a2af429b1568" xsi:nil="true"/>
    <lcf76f155ced4ddcb4097134ff3c332f xmlns="c7bd160f-8f9f-4a57-9297-bc564d29ee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45C6645180C49B5F3BF356B510BE9" ma:contentTypeVersion="18" ma:contentTypeDescription="Create a new document." ma:contentTypeScope="" ma:versionID="664aeef97708797fa38c8eb7787b31ca">
  <xsd:schema xmlns:xsd="http://www.w3.org/2001/XMLSchema" xmlns:xs="http://www.w3.org/2001/XMLSchema" xmlns:p="http://schemas.microsoft.com/office/2006/metadata/properties" xmlns:ns1="http://schemas.microsoft.com/sharepoint/v3" xmlns:ns2="51449d4f-8e51-4d4e-9219-a2af429b1568" xmlns:ns3="c7bd160f-8f9f-4a57-9297-bc564d29ee4c" targetNamespace="http://schemas.microsoft.com/office/2006/metadata/properties" ma:root="true" ma:fieldsID="b588906d300f61a0ffcc0e4d3720f842" ns1:_="" ns2:_="" ns3:_="">
    <xsd:import namespace="http://schemas.microsoft.com/sharepoint/v3"/>
    <xsd:import namespace="51449d4f-8e51-4d4e-9219-a2af429b1568"/>
    <xsd:import namespace="c7bd160f-8f9f-4a57-9297-bc564d29ee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49d4f-8e51-4d4e-9219-a2af429b15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1f6d0e-4965-4b60-ae9c-964c369ac52e}" ma:internalName="TaxCatchAll" ma:showField="CatchAllData" ma:web="51449d4f-8e51-4d4e-9219-a2af429b1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d160f-8f9f-4a57-9297-bc564d29e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f3d206-2968-46ac-ad56-95a95c292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C7F91-00CA-4F7D-AA18-582D59CF48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1449d4f-8e51-4d4e-9219-a2af429b1568"/>
    <ds:schemaRef ds:uri="c7bd160f-8f9f-4a57-9297-bc564d29ee4c"/>
  </ds:schemaRefs>
</ds:datastoreItem>
</file>

<file path=customXml/itemProps2.xml><?xml version="1.0" encoding="utf-8"?>
<ds:datastoreItem xmlns:ds="http://schemas.openxmlformats.org/officeDocument/2006/customXml" ds:itemID="{74346A8C-A9AC-4ED4-9CD3-3370044B2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6CA789-455D-4BAD-852D-730074EA63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7FACB9-F334-4E71-9E52-934C9D479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449d4f-8e51-4d4e-9219-a2af429b1568"/>
    <ds:schemaRef ds:uri="c7bd160f-8f9f-4a57-9297-bc564d29e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1757</Words>
  <Characters>10019</Characters>
  <Application>Microsoft Office Word</Application>
  <DocSecurity>0</DocSecurity>
  <Lines>83</Lines>
  <Paragraphs>23</Paragraphs>
  <ScaleCrop>false</ScaleCrop>
  <Company/>
  <LinksUpToDate>false</LinksUpToDate>
  <CharactersWithSpaces>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Menezes, Maria</cp:lastModifiedBy>
  <cp:revision>3</cp:revision>
  <dcterms:created xsi:type="dcterms:W3CDTF">2025-10-22T08:03:00Z</dcterms:created>
  <dcterms:modified xsi:type="dcterms:W3CDTF">2025-10-22T08:04:00Z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0x01010074045C6645180C49B5F3BF356B510BE9</vt:lpwstr>
  </property>
  <property fmtid="{D5CDD505-2E9C-101B-9397-08002B2CF9AE}" pid="3" name="MediaServiceImageTags">
    <vt:lpwstr/>
  </property>
</Properties>
</file>