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71AAC" w14:textId="77777777" w:rsidR="003C3C13" w:rsidRPr="003C3C13" w:rsidRDefault="00B62F02" w:rsidP="00751ABA">
      <w:pPr>
        <w:pStyle w:val="BDocStart"/>
      </w:pPr>
      <w:sdt>
        <w:sdtPr>
          <w:tag w:val="unit.start.head"/>
          <w:id w:val="-156775831"/>
          <w:lock w:val="sdtLocked"/>
          <w:placeholder>
            <w:docPart w:val="6A232E3F94DC4F71AEEDB9014B3EA335"/>
          </w:placeholder>
          <w15:appearance w15:val="hidden"/>
        </w:sdtPr>
        <w:sdtEndPr/>
        <w:sdtContent>
          <w:proofErr w:type="spellStart"/>
          <w:r w:rsidR="00751ABA">
            <w:t>Unit.Start</w:t>
          </w:r>
          <w:proofErr w:type="spellEnd"/>
        </w:sdtContent>
      </w:sdt>
    </w:p>
    <w:sdt>
      <w:sdtPr>
        <w:rPr>
          <w:rStyle w:val="BContentControl"/>
        </w:rPr>
        <w:alias w:val="unit.start"/>
        <w:tag w:val="Unit1"/>
        <w:id w:val="235665581"/>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3E1EC9D5" w14:textId="1CA1F742" w:rsidR="003C3C13" w:rsidRPr="003C3C13" w:rsidRDefault="00B62F02" w:rsidP="00751ABA">
          <w:pPr>
            <w:pStyle w:val="BNormal"/>
          </w:pPr>
          <w:sdt>
            <w:sdtPr>
              <w:rPr>
                <w:rStyle w:val="BContentControl"/>
              </w:rPr>
              <w:alias w:val="acct.code"/>
              <w:tag w:val="acct.code"/>
              <w:id w:val="-1949775150"/>
              <w:lock w:val="sdtLocked"/>
              <w:placeholder>
                <w:docPart w:val="8ABE5E0C05014799B1303315D0A822A1"/>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751ABA">
                <w:rPr>
                  <w:rStyle w:val="BContentControl"/>
                </w:rPr>
                <w:t>FLSA4M21</w:t>
              </w:r>
            </w:sdtContent>
          </w:sdt>
          <w:sdt>
            <w:sdtPr>
              <w:rPr>
                <w:rStyle w:val="BContentControl"/>
              </w:rPr>
              <w:alias w:val="bna.id.prefix"/>
              <w:tag w:val="bna.id.prefix"/>
              <w:id w:val="-760208635"/>
              <w:lock w:val="sdtLocked"/>
              <w:placeholder>
                <w:docPart w:val="A709D82099D54CC3B6304B21FD75E250"/>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751ABA">
                <w:rPr>
                  <w:rStyle w:val="BContentControl"/>
                </w:rPr>
                <w:t>18</w:t>
              </w:r>
            </w:sdtContent>
          </w:sdt>
          <w:r w:rsidR="00751ABA" w:rsidRPr="00751ABA">
            <w:rPr>
              <w:rStyle w:val="BContentControl"/>
            </w:rPr>
            <w:t xml:space="preserve"> </w:t>
          </w:r>
          <w:sdt>
            <w:sdtPr>
              <w:rPr>
                <w:rStyle w:val="BContentControl"/>
              </w:rPr>
              <w:alias w:val="class.code*"/>
              <w:tag w:val="class.code"/>
              <w:id w:val="-142045682"/>
              <w:lock w:val="sdtLocked"/>
              <w:placeholder>
                <w:docPart w:val="DBE3695176C546CAB86B8B03AF96794F"/>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751ABA">
                <w:rPr>
                  <w:rStyle w:val="BContentControl"/>
                </w:rPr>
                <w:t>A</w:t>
              </w:r>
            </w:sdtContent>
          </w:sdt>
          <w:r w:rsidR="00751ABA" w:rsidRPr="00751ABA">
            <w:rPr>
              <w:rStyle w:val="BContentControl"/>
            </w:rPr>
            <w:t xml:space="preserve"> </w:t>
          </w:r>
          <w:sdt>
            <w:sdtPr>
              <w:rPr>
                <w:rStyle w:val="BContentControl"/>
              </w:rPr>
              <w:alias w:val="class.name*"/>
              <w:tag w:val="class.name"/>
              <w:id w:val="345380448"/>
              <w:lock w:val="sdtLocked"/>
              <w:placeholder>
                <w:docPart w:val="63036A9ED59740B39522341DB857B923"/>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751ABA">
                <w:rPr>
                  <w:rStyle w:val="BContentControl"/>
                </w:rPr>
                <w:t>Book Body</w:t>
              </w:r>
            </w:sdtContent>
          </w:sdt>
          <w:r w:rsidR="00751ABA" w:rsidRPr="00751ABA">
            <w:rPr>
              <w:rStyle w:val="BContentControl"/>
            </w:rPr>
            <w:t xml:space="preserve"> </w:t>
          </w:r>
          <w:sdt>
            <w:sdtPr>
              <w:rPr>
                <w:rStyle w:val="BContentControl"/>
              </w:rPr>
              <w:alias w:val="copyright.owner"/>
              <w:tag w:val="copyright.owner"/>
              <w:id w:val="-356666901"/>
              <w:lock w:val="sdtLocked"/>
              <w:placeholder>
                <w:docPart w:val="C7A2321824474E2B813B11EEE3F36F93"/>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751ABA" w:rsidRPr="00751ABA">
                <w:rPr>
                  <w:rStyle w:val="BContentControl"/>
                </w:rPr>
                <w:t>enter text</w:t>
              </w:r>
            </w:sdtContent>
          </w:sdt>
          <w:r w:rsidR="00751ABA" w:rsidRPr="00751ABA">
            <w:rPr>
              <w:rStyle w:val="BContentControl"/>
            </w:rPr>
            <w:t xml:space="preserve"> </w:t>
          </w:r>
          <w:sdt>
            <w:sdtPr>
              <w:rPr>
                <w:rStyle w:val="BContentControl"/>
              </w:rPr>
              <w:alias w:val="date"/>
              <w:tag w:val="date"/>
              <w:id w:val="-371931049"/>
              <w:lock w:val="sdtLocked"/>
              <w:placeholder>
                <w:docPart w:val="ACBD4DA39BA44EC9B9C6BAE18014B301"/>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751ABA">
                <w:rPr>
                  <w:rStyle w:val="BContentControl"/>
                </w:rPr>
                <w:t>2025-04-02</w:t>
              </w:r>
            </w:sdtContent>
          </w:sdt>
          <w:r w:rsidR="00751ABA" w:rsidRPr="00751ABA">
            <w:rPr>
              <w:rStyle w:val="BContentControl"/>
            </w:rPr>
            <w:t xml:space="preserve"> </w:t>
          </w:r>
          <w:sdt>
            <w:sdtPr>
              <w:rPr>
                <w:rStyle w:val="BContentControl"/>
              </w:rPr>
              <w:alias w:val="folio"/>
              <w:tag w:val="folio"/>
              <w:id w:val="-509686948"/>
              <w:lock w:val="sdtLocked"/>
              <w:placeholder>
                <w:docPart w:val="A5FE7880B4BA4F4B8FBE4714A550AA64"/>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751ABA">
                <w:rPr>
                  <w:rStyle w:val="BContentControl"/>
                </w:rPr>
                <w:t>18-1</w:t>
              </w:r>
            </w:sdtContent>
          </w:sdt>
          <w:r w:rsidR="00751ABA" w:rsidRPr="00751ABA">
            <w:rPr>
              <w:rStyle w:val="BContentControl"/>
            </w:rPr>
            <w:t xml:space="preserve"> </w:t>
          </w:r>
          <w:sdt>
            <w:sdtPr>
              <w:rPr>
                <w:rStyle w:val="BContentControl"/>
              </w:rPr>
              <w:alias w:val="part.name"/>
              <w:tag w:val="part.name"/>
              <w:id w:val="431085789"/>
              <w:lock w:val="sdtLocked"/>
              <w:placeholder>
                <w:docPart w:val="D29B1B630A334A958738928DA6FADB16"/>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751ABA" w:rsidRPr="00751ABA">
                <w:rPr>
                  <w:rStyle w:val="BContentControl"/>
                </w:rPr>
                <w:t>enter text</w:t>
              </w:r>
            </w:sdtContent>
          </w:sdt>
          <w:r w:rsidR="00751ABA" w:rsidRPr="00751ABA">
            <w:rPr>
              <w:rStyle w:val="BContentControl"/>
            </w:rPr>
            <w:t xml:space="preserve"> </w:t>
          </w:r>
          <w:sdt>
            <w:sdtPr>
              <w:rPr>
                <w:rStyle w:val="BContentControl"/>
              </w:rPr>
              <w:alias w:val="part.num"/>
              <w:tag w:val="part.num"/>
              <w:id w:val="786170456"/>
              <w:lock w:val="sdtLocked"/>
              <w:placeholder>
                <w:docPart w:val="63ECA57D7D60416FA54C83E12D47D1F4"/>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751ABA" w:rsidRPr="00751ABA">
                <w:rPr>
                  <w:rStyle w:val="BContentControl"/>
                </w:rPr>
                <w:t>enter text</w:t>
              </w:r>
            </w:sdtContent>
          </w:sdt>
          <w:r w:rsidR="00751ABA" w:rsidRPr="00751ABA">
            <w:rPr>
              <w:rStyle w:val="BContentControl"/>
            </w:rPr>
            <w:t xml:space="preserve"> </w:t>
          </w:r>
          <w:sdt>
            <w:sdtPr>
              <w:rPr>
                <w:rStyle w:val="BContentControl"/>
              </w:rPr>
              <w:alias w:val="subpart.name"/>
              <w:tag w:val="subpart.name"/>
              <w:id w:val="620726267"/>
              <w:lock w:val="sdtLocked"/>
              <w:placeholder>
                <w:docPart w:val="523D796B025F4D87BB2584B19ECE42E0"/>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751ABA" w:rsidRPr="00751ABA">
                <w:rPr>
                  <w:rStyle w:val="BContentControl"/>
                </w:rPr>
                <w:t>enter text</w:t>
              </w:r>
            </w:sdtContent>
          </w:sdt>
          <w:r w:rsidR="00751ABA" w:rsidRPr="00751ABA">
            <w:rPr>
              <w:rStyle w:val="BContentControl"/>
            </w:rPr>
            <w:t xml:space="preserve"> </w:t>
          </w:r>
          <w:sdt>
            <w:sdtPr>
              <w:rPr>
                <w:rStyle w:val="BContentControl"/>
              </w:rPr>
              <w:alias w:val="pdm.name"/>
              <w:tag w:val="pdm.name"/>
              <w:id w:val="1072079403"/>
              <w:lock w:val="sdtLocked"/>
              <w:placeholder>
                <w:docPart w:val="96F72A58ABB24E9D82330A11C7C3DC02"/>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751ABA">
                <w:rPr>
                  <w:rStyle w:val="BContentControl"/>
                </w:rPr>
                <w:t>Chap18</w:t>
              </w:r>
            </w:sdtContent>
          </w:sdt>
          <w:r w:rsidR="00751ABA" w:rsidRPr="00751ABA">
            <w:rPr>
              <w:rStyle w:val="BContentControl"/>
            </w:rPr>
            <w:t xml:space="preserve"> </w:t>
          </w:r>
          <w:sdt>
            <w:sdtPr>
              <w:rPr>
                <w:rStyle w:val="BContentControl"/>
              </w:rPr>
              <w:alias w:val="publication.name"/>
              <w:tag w:val="publication.name"/>
              <w:id w:val="256333974"/>
              <w:lock w:val="sdtLocked"/>
              <w:placeholder>
                <w:docPart w:val="F6FEC491BD23449FA2611A57059D6DA6"/>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751ABA">
                <w:rPr>
                  <w:rStyle w:val="BContentControl"/>
                </w:rPr>
                <w:t>The Fair Labor Standards Act Fourth Edition</w:t>
              </w:r>
            </w:sdtContent>
          </w:sdt>
          <w:r w:rsidR="00751ABA" w:rsidRPr="00751ABA">
            <w:rPr>
              <w:rStyle w:val="BContentControl"/>
            </w:rPr>
            <w:t xml:space="preserve"> </w:t>
          </w:r>
          <w:sdt>
            <w:sdtPr>
              <w:rPr>
                <w:rStyle w:val="BContentControl"/>
              </w:rPr>
              <w:alias w:val="service.code*"/>
              <w:tag w:val="mUnit1"/>
              <w:id w:val="-1346011726"/>
              <w:lock w:val="sdtLocked"/>
              <w:placeholder>
                <w:docPart w:val="EEC401E56D1649B1A749A5A7EBD643C0"/>
              </w:placeholder>
              <w:dataBinding w:prefixMappings="xmlns:ns0='http://www.bna.com/gateway/unit.start' " w:xpath="/ns0:document[1]/ns0:unit.start[1]/@service.code" w:storeItemID="{B04FCA99-13B0-422B-ADC9-9491644FA79D}"/>
              <w15:appearance w15:val="tags"/>
              <w:dropDownList w:lastValue="flsa-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751ABA">
                <w:rPr>
                  <w:rStyle w:val="BContentControl"/>
                </w:rPr>
                <w:t>flsa-book</w:t>
              </w:r>
            </w:sdtContent>
          </w:sdt>
          <w:r w:rsidR="00751ABA" w:rsidRPr="00751ABA">
            <w:rPr>
              <w:rStyle w:val="BContentControl"/>
            </w:rPr>
            <w:t xml:space="preserve"> </w:t>
          </w:r>
          <w:sdt>
            <w:sdtPr>
              <w:rPr>
                <w:rStyle w:val="BContentControl"/>
              </w:rPr>
              <w:alias w:val="supplement"/>
              <w:tag w:val="supplement"/>
              <w:id w:val="1766036483"/>
              <w:lock w:val="sdtLocked"/>
              <w:placeholder>
                <w:docPart w:val="B261580A4470487D9B700379E1082949"/>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751ABA">
                <w:rPr>
                  <w:rStyle w:val="BContentControl"/>
                </w:rPr>
                <w:t>0</w:t>
              </w:r>
            </w:sdtContent>
          </w:sdt>
          <w:r w:rsidR="00751ABA" w:rsidRPr="00751ABA">
            <w:rPr>
              <w:rStyle w:val="BContentControl"/>
            </w:rPr>
            <w:t xml:space="preserve"> </w:t>
          </w:r>
          <w:sdt>
            <w:sdtPr>
              <w:rPr>
                <w:rStyle w:val="BContentControl"/>
              </w:rPr>
              <w:alias w:val="unit.code"/>
              <w:tag w:val="unit.code"/>
              <w:id w:val="1740600813"/>
              <w:lock w:val="sdtLocked"/>
              <w:placeholder>
                <w:docPart w:val="78AE2887BE55446F8962D72EB1B76797"/>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751ABA">
                <w:rPr>
                  <w:rStyle w:val="BContentControl"/>
                </w:rPr>
                <w:t>main0018</w:t>
              </w:r>
            </w:sdtContent>
          </w:sdt>
          <w:r w:rsidR="00751ABA" w:rsidRPr="00751ABA">
            <w:rPr>
              <w:rStyle w:val="BContentControl"/>
            </w:rPr>
            <w:t xml:space="preserve"> </w:t>
          </w:r>
          <w:sdt>
            <w:sdtPr>
              <w:rPr>
                <w:rStyle w:val="BContentControl"/>
              </w:rPr>
              <w:alias w:val="unit.name*"/>
              <w:tag w:val="unit.name"/>
              <w:id w:val="1193730061"/>
              <w:lock w:val="sdtLocked"/>
              <w:placeholder>
                <w:docPart w:val="074CA23D2207440B913475CF1B9E88D5"/>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3C3C13" w:rsidRPr="003C3C13">
                <w:rPr>
                  <w:rStyle w:val="BContentControl"/>
                </w:rPr>
                <w:t>Chapter 18. Settlement of FLSA Litigation</w:t>
              </w:r>
            </w:sdtContent>
          </w:sdt>
          <w:r w:rsidR="00751ABA" w:rsidRPr="00751ABA">
            <w:rPr>
              <w:rStyle w:val="BContentControl"/>
            </w:rPr>
            <w:t xml:space="preserve"> </w:t>
          </w:r>
          <w:sdt>
            <w:sdtPr>
              <w:rPr>
                <w:rStyle w:val="BContentControl"/>
              </w:rPr>
              <w:alias w:val="volume.num"/>
              <w:tag w:val="volume.num"/>
              <w:id w:val="-497803191"/>
              <w:lock w:val="sdtLocked"/>
              <w:placeholder>
                <w:docPart w:val="F3B32E1920C4493CB107EF3F5997866A"/>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751ABA">
                <w:rPr>
                  <w:rStyle w:val="BContentControl"/>
                </w:rPr>
                <w:t>I</w:t>
              </w:r>
            </w:sdtContent>
          </w:sdt>
        </w:p>
        <w:bookmarkEnd w:id="0" w:displacedByCustomXml="next"/>
      </w:sdtContent>
    </w:sdt>
    <w:p w14:paraId="2512A5BD" w14:textId="77777777" w:rsidR="003C3C13" w:rsidRPr="003C3C13" w:rsidRDefault="00B62F02" w:rsidP="00751ABA">
      <w:pPr>
        <w:pStyle w:val="BDocStart"/>
      </w:pPr>
      <w:sdt>
        <w:sdtPr>
          <w:tag w:val="DocStart"/>
          <w:id w:val="-2116128405"/>
          <w:lock w:val="sdtLocked"/>
          <w:placeholder>
            <w:docPart w:val="DACD5F09455947379980EBEF1FA74F17"/>
          </w:placeholder>
          <w15:appearance w15:val="hidden"/>
        </w:sdtPr>
        <w:sdtEndPr/>
        <w:sdtContent>
          <w:r w:rsidR="00751ABA">
            <w:t>Document</w:t>
          </w:r>
        </w:sdtContent>
      </w:sdt>
    </w:p>
    <w:p w14:paraId="5D49C9F0" w14:textId="1D2E38E4" w:rsidR="003C3C13" w:rsidRPr="003C3C13" w:rsidRDefault="003C3C13" w:rsidP="003C3C13">
      <w:pPr>
        <w:pStyle w:val="BChapterName"/>
        <w:rPr>
          <w:smallCaps/>
        </w:rPr>
      </w:pPr>
      <w:r w:rsidRPr="003C3C13">
        <w:rPr>
          <w:smallCaps/>
        </w:rPr>
        <w:t>Chapter 18</w:t>
      </w:r>
      <w:r>
        <w:rPr>
          <w:smallCaps/>
        </w:rPr>
        <w:t xml:space="preserve"> </w:t>
      </w:r>
      <w:r w:rsidRPr="003C3C13">
        <w:t>SETTLEMENT OF FLSA LITIGATION</w:t>
      </w:r>
    </w:p>
    <w:p w14:paraId="2377F9FD" w14:textId="731C802B" w:rsidR="003C3C13" w:rsidRPr="003C3C13" w:rsidRDefault="003C3C13" w:rsidP="003C3C13">
      <w:pPr>
        <w:pStyle w:val="BNormal"/>
        <w:rPr>
          <w:rFonts w:eastAsiaTheme="minorHAnsi"/>
        </w:rPr>
      </w:pPr>
      <w:r w:rsidRPr="003C3C13">
        <w:rPr>
          <w:rFonts w:eastAsiaTheme="minorHAnsi"/>
          <w:i/>
        </w:rPr>
        <w:t xml:space="preserve">Lead Authors: </w:t>
      </w:r>
      <w:hyperlink r:id="rId13" w:history="1">
        <w:r w:rsidRPr="003C3C13">
          <w:rPr>
            <w:rStyle w:val="Hyperlink"/>
            <w:rFonts w:eastAsiaTheme="minorHAnsi"/>
            <w:b/>
            <w:i/>
          </w:rPr>
          <w:t>Douglas M. Werman,</w:t>
        </w:r>
      </w:hyperlink>
      <w:r w:rsidR="00A85C8E" w:rsidRPr="003C3C13">
        <w:rPr>
          <w:rFonts w:eastAsiaTheme="minorHAnsi"/>
        </w:rPr>
        <w:t xml:space="preserve"> Werman Salas PC, Chicago, IL (Fourth Edition, 2022 Update, 2023 Update</w:t>
      </w:r>
      <w:r w:rsidRPr="003C3C13">
        <w:rPr>
          <w:rFonts w:eastAsiaTheme="minorHAnsi"/>
        </w:rPr>
        <w:t>; 2</w:t>
      </w:r>
      <w:r w:rsidR="00A85C8E" w:rsidRPr="003C3C13">
        <w:rPr>
          <w:rFonts w:eastAsiaTheme="minorHAnsi"/>
        </w:rPr>
        <w:t xml:space="preserve">024 Update); </w:t>
      </w:r>
      <w:hyperlink r:id="rId14" w:history="1">
        <w:proofErr w:type="spellStart"/>
        <w:r w:rsidRPr="003C3C13">
          <w:rPr>
            <w:rStyle w:val="Hyperlink"/>
            <w:rFonts w:eastAsiaTheme="minorHAnsi"/>
            <w:b/>
          </w:rPr>
          <w:t>Nantiya</w:t>
        </w:r>
        <w:proofErr w:type="spellEnd"/>
        <w:r w:rsidRPr="003C3C13">
          <w:rPr>
            <w:rStyle w:val="Hyperlink"/>
            <w:rFonts w:eastAsiaTheme="minorHAnsi"/>
            <w:b/>
          </w:rPr>
          <w:t xml:space="preserve"> Ruan,</w:t>
        </w:r>
      </w:hyperlink>
      <w:r w:rsidR="00A85C8E" w:rsidRPr="003C3C13">
        <w:rPr>
          <w:rFonts w:eastAsiaTheme="minorHAnsi"/>
        </w:rPr>
        <w:t xml:space="preserve"> University of Nevada, Las Vegas, Williams S</w:t>
      </w:r>
      <w:r w:rsidRPr="003C3C13">
        <w:rPr>
          <w:rFonts w:eastAsiaTheme="minorHAnsi"/>
        </w:rPr>
        <w:t>. B</w:t>
      </w:r>
      <w:r w:rsidR="00A85C8E" w:rsidRPr="003C3C13">
        <w:rPr>
          <w:rFonts w:eastAsiaTheme="minorHAnsi"/>
        </w:rPr>
        <w:t>oyd School of Law, Counsel, Outten &amp; Golden LLP, Denver, CO (2021 Update, 2022 Update)</w:t>
      </w:r>
    </w:p>
    <w:p w14:paraId="36270B5B" w14:textId="3D9B7794" w:rsidR="003C3C13" w:rsidRPr="003C3C13" w:rsidRDefault="003C3C13" w:rsidP="003C3C13">
      <w:pPr>
        <w:pStyle w:val="BNormal"/>
        <w:rPr>
          <w:rFonts w:eastAsiaTheme="minorHAnsi"/>
        </w:rPr>
      </w:pPr>
      <w:r w:rsidRPr="003C3C13">
        <w:rPr>
          <w:rFonts w:eastAsiaTheme="minorHAnsi"/>
          <w:i/>
        </w:rPr>
        <w:t xml:space="preserve">Authors: </w:t>
      </w:r>
      <w:hyperlink r:id="rId15" w:history="1">
        <w:r w:rsidRPr="003C3C13">
          <w:rPr>
            <w:rStyle w:val="Hyperlink"/>
            <w:rFonts w:eastAsiaTheme="minorHAnsi"/>
            <w:b/>
            <w:i/>
          </w:rPr>
          <w:t>Ellen C. Kearns,</w:t>
        </w:r>
      </w:hyperlink>
      <w:r w:rsidR="00A85C8E" w:rsidRPr="003C3C13">
        <w:rPr>
          <w:rFonts w:eastAsiaTheme="minorHAnsi"/>
        </w:rPr>
        <w:t xml:space="preserve"> </w:t>
      </w:r>
      <w:proofErr w:type="spellStart"/>
      <w:r w:rsidR="00A85C8E" w:rsidRPr="003C3C13">
        <w:rPr>
          <w:rFonts w:eastAsiaTheme="minorHAnsi"/>
        </w:rPr>
        <w:t>Constangy</w:t>
      </w:r>
      <w:proofErr w:type="spellEnd"/>
      <w:r w:rsidR="00A85C8E" w:rsidRPr="003C3C13">
        <w:rPr>
          <w:rFonts w:eastAsiaTheme="minorHAnsi"/>
        </w:rPr>
        <w:t xml:space="preserve"> Brooks Smith &amp; Prophete, LLP, Boston, MA (Fourth Edition); </w:t>
      </w:r>
      <w:hyperlink r:id="rId16" w:history="1">
        <w:r w:rsidRPr="003C3C13">
          <w:rPr>
            <w:rStyle w:val="Hyperlink"/>
            <w:b/>
          </w:rPr>
          <w:t>Aaron D. Kaufmann,</w:t>
        </w:r>
      </w:hyperlink>
      <w:r w:rsidR="00A85C8E" w:rsidRPr="003C3C13">
        <w:t xml:space="preserve"> Kaufmann &amp; </w:t>
      </w:r>
      <w:proofErr w:type="spellStart"/>
      <w:r w:rsidR="00A85C8E" w:rsidRPr="003C3C13">
        <w:t>Gropman</w:t>
      </w:r>
      <w:proofErr w:type="spellEnd"/>
      <w:r w:rsidR="00A85C8E" w:rsidRPr="003C3C13">
        <w:t xml:space="preserve"> LLP, </w:t>
      </w:r>
      <w:r w:rsidR="00A85C8E" w:rsidRPr="003C3C13">
        <w:rPr>
          <w:rFonts w:eastAsiaTheme="minorHAnsi"/>
        </w:rPr>
        <w:t>Oakland, CA (Fourth Edition)</w:t>
      </w:r>
    </w:p>
    <w:p w14:paraId="7016AB8D" w14:textId="37B7D90E" w:rsidR="003C3C13" w:rsidRPr="003C3C13" w:rsidRDefault="003C3C13" w:rsidP="003C3C13">
      <w:pPr>
        <w:pStyle w:val="BNormal"/>
        <w:rPr>
          <w:rFonts w:eastAsiaTheme="minorHAnsi"/>
        </w:rPr>
      </w:pPr>
      <w:r w:rsidRPr="003C3C13">
        <w:rPr>
          <w:rFonts w:eastAsiaTheme="minorHAnsi"/>
          <w:i/>
        </w:rPr>
        <w:t xml:space="preserve">Primary Editor: </w:t>
      </w:r>
      <w:hyperlink r:id="rId17" w:history="1">
        <w:r w:rsidRPr="003C3C13">
          <w:rPr>
            <w:rStyle w:val="Hyperlink"/>
            <w:rFonts w:eastAsiaTheme="minorHAnsi"/>
            <w:b/>
            <w:i/>
          </w:rPr>
          <w:t>Jason C. Marsili,</w:t>
        </w:r>
      </w:hyperlink>
      <w:r w:rsidR="00A85C8E" w:rsidRPr="003C3C13">
        <w:rPr>
          <w:rFonts w:eastAsiaTheme="minorHAnsi"/>
        </w:rPr>
        <w:t xml:space="preserve"> Rosen Marsili Rapp LLP, Los Angeles, CA (2021 Update, 2022 Update, 2023 Update); </w:t>
      </w:r>
      <w:hyperlink r:id="rId18" w:history="1">
        <w:r w:rsidRPr="003C3C13">
          <w:rPr>
            <w:rStyle w:val="Hyperlink"/>
            <w:rFonts w:eastAsiaTheme="minorHAnsi"/>
            <w:b/>
          </w:rPr>
          <w:t>Sheehan Sullivan,</w:t>
        </w:r>
      </w:hyperlink>
      <w:r w:rsidR="00A85C8E" w:rsidRPr="003C3C13">
        <w:rPr>
          <w:rFonts w:eastAsiaTheme="minorHAnsi"/>
        </w:rPr>
        <w:t xml:space="preserve"> Davis Wright Tremaine LLP, Seattle, WA (2024 Update); </w:t>
      </w:r>
      <w:hyperlink r:id="rId19" w:history="1">
        <w:r w:rsidRPr="003C3C13">
          <w:rPr>
            <w:rStyle w:val="Hyperlink"/>
            <w:rFonts w:eastAsiaTheme="minorHAnsi"/>
            <w:b/>
          </w:rPr>
          <w:t>Juno Turner,</w:t>
        </w:r>
      </w:hyperlink>
      <w:r w:rsidR="00A85C8E" w:rsidRPr="003C3C13">
        <w:rPr>
          <w:rFonts w:eastAsiaTheme="minorHAnsi"/>
        </w:rPr>
        <w:t xml:space="preserve"> Towards Justice, Denver, CO (2024 Update)</w:t>
      </w:r>
    </w:p>
    <w:p w14:paraId="575B0B0A" w14:textId="238766FB" w:rsidR="003C3C13" w:rsidRPr="003C3C13" w:rsidRDefault="003C3C13" w:rsidP="003C3C13">
      <w:pPr>
        <w:pStyle w:val="BNormal"/>
      </w:pPr>
      <w:r w:rsidRPr="003C3C13">
        <w:rPr>
          <w:i/>
        </w:rPr>
        <w:t>This chapter is current through May 2023, with major case law developments through May 2024 and regulatory developments through August 2024.</w:t>
      </w:r>
    </w:p>
    <w:p w14:paraId="121A97A9" w14:textId="77777777" w:rsidR="003C3C13" w:rsidRPr="003C3C13" w:rsidRDefault="00A85C8E" w:rsidP="003C3C13">
      <w:pPr>
        <w:pStyle w:val="BNormal"/>
      </w:pPr>
      <w:r w:rsidRPr="003C3C13">
        <w:t>I.</w:t>
      </w:r>
      <w:r w:rsidRPr="003C3C13">
        <w:tab/>
        <w:t>Overview</w:t>
      </w:r>
    </w:p>
    <w:p w14:paraId="1D225D35" w14:textId="77777777" w:rsidR="003C3C13" w:rsidRPr="003C3C13" w:rsidRDefault="00A85C8E" w:rsidP="003C3C13">
      <w:pPr>
        <w:pStyle w:val="BNormal"/>
      </w:pPr>
      <w:r w:rsidRPr="003C3C13">
        <w:t>II.</w:t>
      </w:r>
      <w:r w:rsidRPr="003C3C13">
        <w:tab/>
        <w:t>General Principles Relating to the Settlement of Private FLSA Claims</w:t>
      </w:r>
    </w:p>
    <w:p w14:paraId="02522975" w14:textId="1E2C1B5C" w:rsidR="003C3C13" w:rsidRPr="003C3C13" w:rsidRDefault="00A85C8E" w:rsidP="003C3C13">
      <w:pPr>
        <w:pStyle w:val="BNormal"/>
      </w:pPr>
      <w:r w:rsidRPr="003C3C13">
        <w:t>A.</w:t>
      </w:r>
      <w:r w:rsidRPr="003C3C13">
        <w:tab/>
        <w:t>Validity of Waivers and Releases</w:t>
      </w:r>
    </w:p>
    <w:p w14:paraId="27EE7F34" w14:textId="77777777" w:rsidR="003C3C13" w:rsidRPr="003C3C13" w:rsidRDefault="00A85C8E" w:rsidP="003C3C13">
      <w:pPr>
        <w:pStyle w:val="BNormal"/>
      </w:pPr>
      <w:r w:rsidRPr="003C3C13">
        <w:t>B.</w:t>
      </w:r>
      <w:r w:rsidRPr="003C3C13">
        <w:tab/>
        <w:t>Validity of Settlements Without Court Approval</w:t>
      </w:r>
    </w:p>
    <w:p w14:paraId="30C025B6" w14:textId="77777777" w:rsidR="003C3C13" w:rsidRPr="003C3C13" w:rsidRDefault="00A85C8E" w:rsidP="003C3C13">
      <w:pPr>
        <w:pStyle w:val="BNormal"/>
      </w:pPr>
      <w:r w:rsidRPr="003C3C13">
        <w:t>III.</w:t>
      </w:r>
      <w:r w:rsidRPr="003C3C13">
        <w:tab/>
        <w:t xml:space="preserve">Stipulated and Voluntary Dismissal of FLSA Claims and Rule 68 Offers of Judgment </w:t>
      </w:r>
    </w:p>
    <w:p w14:paraId="280EB563" w14:textId="77777777" w:rsidR="003C3C13" w:rsidRPr="003C3C13" w:rsidRDefault="00A85C8E" w:rsidP="003C3C13">
      <w:pPr>
        <w:pStyle w:val="BNormal"/>
      </w:pPr>
      <w:r w:rsidRPr="003C3C13">
        <w:t>IV.</w:t>
      </w:r>
      <w:r w:rsidRPr="003C3C13">
        <w:tab/>
        <w:t>Factors in Court Approval of FLSA Settlements</w:t>
      </w:r>
    </w:p>
    <w:p w14:paraId="0BFD947D" w14:textId="56738052" w:rsidR="003C3C13" w:rsidRPr="003C3C13" w:rsidRDefault="00A85C8E" w:rsidP="003C3C13">
      <w:pPr>
        <w:pStyle w:val="BNormal"/>
      </w:pPr>
      <w:r w:rsidRPr="003C3C13">
        <w:t>A.</w:t>
      </w:r>
      <w:r w:rsidRPr="003C3C13">
        <w:tab/>
        <w:t>Is the Settlement the Product of a Bona Fide Dispute?</w:t>
      </w:r>
    </w:p>
    <w:p w14:paraId="5975F106" w14:textId="712AA4B4" w:rsidR="003C3C13" w:rsidRPr="003C3C13" w:rsidRDefault="00A85C8E" w:rsidP="003C3C13">
      <w:pPr>
        <w:pStyle w:val="BNormal"/>
      </w:pPr>
      <w:r w:rsidRPr="003C3C13">
        <w:t>B.</w:t>
      </w:r>
      <w:r w:rsidRPr="003C3C13">
        <w:tab/>
        <w:t>Is the Settlement Fair and Reasonable?</w:t>
      </w:r>
    </w:p>
    <w:p w14:paraId="696FEB5E" w14:textId="77777777" w:rsidR="003C3C13" w:rsidRPr="003C3C13" w:rsidRDefault="00A85C8E" w:rsidP="003C3C13">
      <w:pPr>
        <w:pStyle w:val="BNormal"/>
      </w:pPr>
      <w:r w:rsidRPr="003C3C13">
        <w:t>V.</w:t>
      </w:r>
      <w:r w:rsidRPr="003C3C13">
        <w:tab/>
        <w:t>Settlement Provisions Common in FLSA Settlements</w:t>
      </w:r>
    </w:p>
    <w:p w14:paraId="37A50E98" w14:textId="77777777" w:rsidR="003C3C13" w:rsidRPr="003C3C13" w:rsidRDefault="00A85C8E" w:rsidP="003C3C13">
      <w:pPr>
        <w:pStyle w:val="BNormal"/>
      </w:pPr>
      <w:r w:rsidRPr="003C3C13">
        <w:t>A.</w:t>
      </w:r>
      <w:r w:rsidRPr="003C3C13">
        <w:tab/>
        <w:t>Confidentiality</w:t>
      </w:r>
    </w:p>
    <w:p w14:paraId="0E74AD36" w14:textId="05A575CE" w:rsidR="003C3C13" w:rsidRPr="003C3C13" w:rsidRDefault="00A85C8E" w:rsidP="003C3C13">
      <w:pPr>
        <w:pStyle w:val="BNormal"/>
      </w:pPr>
      <w:r w:rsidRPr="003C3C13">
        <w:t>B.</w:t>
      </w:r>
      <w:r w:rsidRPr="003C3C13">
        <w:tab/>
        <w:t>Scope of Release</w:t>
      </w:r>
    </w:p>
    <w:p w14:paraId="16435358" w14:textId="77777777" w:rsidR="003C3C13" w:rsidRPr="003C3C13" w:rsidRDefault="00A85C8E" w:rsidP="003C3C13">
      <w:pPr>
        <w:pStyle w:val="BNormal"/>
      </w:pPr>
      <w:r w:rsidRPr="003C3C13">
        <w:t>C.</w:t>
      </w:r>
      <w:r w:rsidRPr="003C3C13">
        <w:tab/>
      </w:r>
      <w:proofErr w:type="spellStart"/>
      <w:r w:rsidRPr="003C3C13">
        <w:t>Nondisparagement</w:t>
      </w:r>
      <w:proofErr w:type="spellEnd"/>
      <w:r w:rsidRPr="003C3C13">
        <w:t xml:space="preserve"> and Social Media Clauses</w:t>
      </w:r>
    </w:p>
    <w:p w14:paraId="58CC3E89" w14:textId="2D2597F5" w:rsidR="003C3C13" w:rsidRPr="003C3C13" w:rsidRDefault="00A85C8E" w:rsidP="003C3C13">
      <w:pPr>
        <w:pStyle w:val="BNormal"/>
      </w:pPr>
      <w:r w:rsidRPr="003C3C13">
        <w:t>D.</w:t>
      </w:r>
      <w:r w:rsidRPr="003C3C13">
        <w:tab/>
        <w:t>Severability Clause</w:t>
      </w:r>
    </w:p>
    <w:p w14:paraId="3B0EB793" w14:textId="77777777" w:rsidR="003C3C13" w:rsidRPr="003C3C13" w:rsidRDefault="00A85C8E" w:rsidP="003C3C13">
      <w:pPr>
        <w:pStyle w:val="BNormal"/>
      </w:pPr>
      <w:r w:rsidRPr="003C3C13">
        <w:t>VI.</w:t>
      </w:r>
      <w:r w:rsidRPr="003C3C13">
        <w:tab/>
        <w:t>Collective Action Settlements</w:t>
      </w:r>
    </w:p>
    <w:p w14:paraId="1D502862" w14:textId="522D9DE2" w:rsidR="003C3C13" w:rsidRPr="003C3C13" w:rsidRDefault="00A85C8E" w:rsidP="003C3C13">
      <w:pPr>
        <w:pStyle w:val="BNormal"/>
      </w:pPr>
      <w:r w:rsidRPr="003C3C13">
        <w:t>A.</w:t>
      </w:r>
      <w:r w:rsidRPr="003C3C13">
        <w:tab/>
        <w:t>Settlement of Class Actions Versus Collective Actions</w:t>
      </w:r>
    </w:p>
    <w:p w14:paraId="694942C3" w14:textId="77777777" w:rsidR="003C3C13" w:rsidRPr="003C3C13" w:rsidRDefault="00A85C8E" w:rsidP="003C3C13">
      <w:pPr>
        <w:pStyle w:val="BNormal"/>
      </w:pPr>
      <w:r w:rsidRPr="003C3C13">
        <w:t>1.</w:t>
      </w:r>
      <w:r w:rsidRPr="003C3C13">
        <w:tab/>
        <w:t>FLSA Collective Actions</w:t>
      </w:r>
    </w:p>
    <w:p w14:paraId="3917A154" w14:textId="77777777" w:rsidR="003C3C13" w:rsidRPr="003C3C13" w:rsidRDefault="00A85C8E" w:rsidP="003C3C13">
      <w:pPr>
        <w:pStyle w:val="BNormal"/>
      </w:pPr>
      <w:r w:rsidRPr="003C3C13">
        <w:t>2.</w:t>
      </w:r>
      <w:r w:rsidRPr="003C3C13">
        <w:tab/>
        <w:t>Combined FLSA Collective Actions and Rule 23 Class Actions</w:t>
      </w:r>
    </w:p>
    <w:p w14:paraId="5B51DD6C" w14:textId="3A931EF6" w:rsidR="003C3C13" w:rsidRPr="003C3C13" w:rsidRDefault="00A85C8E" w:rsidP="003C3C13">
      <w:pPr>
        <w:pStyle w:val="BNormal"/>
      </w:pPr>
      <w:r w:rsidRPr="003C3C13">
        <w:t>B.</w:t>
      </w:r>
      <w:r w:rsidRPr="003C3C13">
        <w:tab/>
        <w:t>Settlement Terms for Consideration That Are Unique to Class and Collective</w:t>
      </w:r>
      <w:r w:rsidR="003C3C13" w:rsidRPr="003C3C13">
        <w:tab/>
      </w:r>
      <w:r w:rsidRPr="003C3C13">
        <w:t>Actions</w:t>
      </w:r>
    </w:p>
    <w:p w14:paraId="4A7E3348" w14:textId="77777777" w:rsidR="003C3C13" w:rsidRPr="003C3C13" w:rsidRDefault="00A85C8E" w:rsidP="003C3C13">
      <w:pPr>
        <w:pStyle w:val="BNormal"/>
      </w:pPr>
      <w:r w:rsidRPr="003C3C13">
        <w:t>1.</w:t>
      </w:r>
      <w:r w:rsidRPr="003C3C13">
        <w:tab/>
        <w:t>Incentive Awards or Service Payments</w:t>
      </w:r>
    </w:p>
    <w:p w14:paraId="2A39D000" w14:textId="77777777" w:rsidR="003C3C13" w:rsidRPr="003C3C13" w:rsidRDefault="00A85C8E" w:rsidP="003C3C13">
      <w:pPr>
        <w:pStyle w:val="BNormal"/>
      </w:pPr>
      <w:r w:rsidRPr="003C3C13">
        <w:t>2.</w:t>
      </w:r>
      <w:r w:rsidRPr="003C3C13">
        <w:tab/>
        <w:t>Whether Negotiating a Check Is Sufficient Consent Under Section 216(b)</w:t>
      </w:r>
    </w:p>
    <w:p w14:paraId="5B5E81A8" w14:textId="77777777" w:rsidR="003C3C13" w:rsidRPr="003C3C13" w:rsidRDefault="00A85C8E" w:rsidP="003C3C13">
      <w:pPr>
        <w:pStyle w:val="BNormal"/>
      </w:pPr>
      <w:r w:rsidRPr="003C3C13">
        <w:t>3.</w:t>
      </w:r>
      <w:r w:rsidRPr="003C3C13">
        <w:tab/>
        <w:t>Reversion of Settlement Funds</w:t>
      </w:r>
    </w:p>
    <w:p w14:paraId="67454AEC" w14:textId="06ED5EE7" w:rsidR="003C3C13" w:rsidRPr="003C3C13" w:rsidRDefault="00A85C8E" w:rsidP="003C3C13">
      <w:pPr>
        <w:pStyle w:val="BNormal"/>
      </w:pPr>
      <w:r w:rsidRPr="003C3C13">
        <w:t>4.</w:t>
      </w:r>
      <w:r w:rsidRPr="003C3C13">
        <w:tab/>
        <w:t>Authority to Bind Proposed Settlement Participants</w:t>
      </w:r>
    </w:p>
    <w:p w14:paraId="622F8732" w14:textId="77777777" w:rsidR="003C3C13" w:rsidRPr="003C3C13" w:rsidRDefault="00A85C8E" w:rsidP="003C3C13">
      <w:pPr>
        <w:pStyle w:val="BNormal"/>
      </w:pPr>
      <w:r w:rsidRPr="003C3C13">
        <w:t>VII.</w:t>
      </w:r>
      <w:r w:rsidRPr="003C3C13">
        <w:tab/>
        <w:t>Settlement of Attorneys’ Fees and Costs</w:t>
      </w:r>
    </w:p>
    <w:p w14:paraId="1D1ADC7A" w14:textId="77777777" w:rsidR="003C3C13" w:rsidRPr="003C3C13" w:rsidRDefault="00A85C8E" w:rsidP="003C3C13">
      <w:pPr>
        <w:pStyle w:val="BNormal"/>
      </w:pPr>
      <w:r w:rsidRPr="003C3C13">
        <w:t>A.</w:t>
      </w:r>
      <w:r w:rsidRPr="003C3C13">
        <w:tab/>
        <w:t>General</w:t>
      </w:r>
    </w:p>
    <w:p w14:paraId="3AA29645" w14:textId="5A94E4D0" w:rsidR="003C3C13" w:rsidRPr="003C3C13" w:rsidRDefault="00A85C8E" w:rsidP="003C3C13">
      <w:pPr>
        <w:pStyle w:val="BNormal"/>
      </w:pPr>
      <w:r w:rsidRPr="003C3C13">
        <w:t>B.</w:t>
      </w:r>
      <w:r w:rsidRPr="003C3C13">
        <w:tab/>
        <w:t>Court Approval of Fees</w:t>
      </w:r>
    </w:p>
    <w:p w14:paraId="60050D3F" w14:textId="77777777" w:rsidR="003C3C13" w:rsidRPr="003C3C13" w:rsidRDefault="00A85C8E" w:rsidP="003C3C13">
      <w:pPr>
        <w:pStyle w:val="BNormal"/>
      </w:pPr>
      <w:r w:rsidRPr="003C3C13">
        <w:t>C.</w:t>
      </w:r>
      <w:r w:rsidRPr="003C3C13">
        <w:tab/>
        <w:t>Standards for Evaluating the Reasonableness of a Fee Settlement</w:t>
      </w:r>
    </w:p>
    <w:p w14:paraId="1329C41B" w14:textId="77777777" w:rsidR="003C3C13" w:rsidRPr="003C3C13" w:rsidRDefault="00A85C8E" w:rsidP="003C3C13">
      <w:pPr>
        <w:pStyle w:val="BNormal"/>
      </w:pPr>
      <w:r w:rsidRPr="003C3C13">
        <w:t>1.</w:t>
      </w:r>
      <w:r w:rsidRPr="003C3C13">
        <w:tab/>
        <w:t>Percentage of the Recovery Method</w:t>
      </w:r>
    </w:p>
    <w:p w14:paraId="0D30A4BA" w14:textId="77777777" w:rsidR="003C3C13" w:rsidRPr="003C3C13" w:rsidRDefault="00A85C8E" w:rsidP="003C3C13">
      <w:pPr>
        <w:pStyle w:val="BNormal"/>
      </w:pPr>
      <w:r w:rsidRPr="003C3C13">
        <w:t>2.</w:t>
      </w:r>
      <w:r w:rsidRPr="003C3C13">
        <w:tab/>
      </w:r>
      <w:proofErr w:type="spellStart"/>
      <w:r w:rsidRPr="003C3C13">
        <w:t>Nonpercentage</w:t>
      </w:r>
      <w:proofErr w:type="spellEnd"/>
      <w:r w:rsidRPr="003C3C13">
        <w:t xml:space="preserve"> of the Recovery</w:t>
      </w:r>
    </w:p>
    <w:p w14:paraId="714EB85F" w14:textId="4455086A" w:rsidR="003C3C13" w:rsidRPr="003C3C13" w:rsidRDefault="00A85C8E" w:rsidP="003C3C13">
      <w:pPr>
        <w:pStyle w:val="BNormal"/>
      </w:pPr>
      <w:r w:rsidRPr="003C3C13">
        <w:t>D.</w:t>
      </w:r>
      <w:r w:rsidRPr="003C3C13">
        <w:tab/>
        <w:t>Recovery of Costs</w:t>
      </w:r>
    </w:p>
    <w:p w14:paraId="3672C4F2" w14:textId="5BA68056" w:rsidR="003C3C13" w:rsidRPr="003C3C13" w:rsidRDefault="003C3C13" w:rsidP="003C3C13">
      <w:pPr>
        <w:pStyle w:val="BNormal"/>
        <w:rPr>
          <w:smallCaps/>
        </w:rPr>
      </w:pPr>
      <w:r w:rsidRPr="003C3C13">
        <w:rPr>
          <w:smallCaps/>
        </w:rPr>
        <w:t>I. Overview</w:t>
      </w:r>
    </w:p>
    <w:p w14:paraId="628A3F43" w14:textId="438BBEE4" w:rsidR="003C3C13" w:rsidRPr="003C3C13" w:rsidRDefault="00A85C8E" w:rsidP="003C3C13">
      <w:pPr>
        <w:pStyle w:val="BNormal"/>
      </w:pPr>
      <w:r w:rsidRPr="003C3C13">
        <w:t>This chapter covers the topic of Fair Labor Standards Act (FLSA) settlements in private individual and collective action litigation</w:t>
      </w:r>
      <w:r w:rsidR="003C3C13" w:rsidRPr="003C3C13">
        <w:t>. S</w:t>
      </w:r>
      <w:r w:rsidRPr="003C3C13">
        <w:t>ettlement issues involving U.S</w:t>
      </w:r>
      <w:r w:rsidR="003C3C13" w:rsidRPr="003C3C13">
        <w:t>. D</w:t>
      </w:r>
      <w:r w:rsidRPr="003C3C13">
        <w:t>epartment of Labor (DOL)–supervised settlements are found in Chapter 15, Department of Labor Enforcement and Remedies, §II.C [Department of Labor Investigations</w:t>
      </w:r>
      <w:r w:rsidR="003C3C13" w:rsidRPr="003C3C13">
        <w:t>; V</w:t>
      </w:r>
      <w:r w:rsidRPr="003C3C13">
        <w:t>oluntary Compliance and Supervised Settlements]</w:t>
      </w:r>
      <w:r w:rsidR="003C3C13" w:rsidRPr="003C3C13">
        <w:t>. S</w:t>
      </w:r>
      <w:r w:rsidRPr="003C3C13">
        <w:t>ince 1945, courts have, with some exceptions,</w:t>
      </w:r>
      <w:r w:rsidR="003C3C13" w:rsidRPr="003C3C13">
        <w:rPr>
          <w:vertAlign w:val="superscript"/>
        </w:rPr>
        <w:footnoteReference w:id="1"/>
      </w:r>
      <w:r w:rsidRPr="003C3C13">
        <w:t xml:space="preserve"> generally held that employers and employees cannot agree that the employees will receive less than they are entitled to under the FLSA without authorization from the U.S</w:t>
      </w:r>
      <w:r w:rsidR="003C3C13" w:rsidRPr="003C3C13">
        <w:t>. S</w:t>
      </w:r>
      <w:r w:rsidRPr="003C3C13">
        <w:t>ecretary of Labor or judicial approval.</w:t>
      </w:r>
      <w:r w:rsidR="003C3C13" w:rsidRPr="003C3C13">
        <w:rPr>
          <w:vertAlign w:val="superscript"/>
        </w:rPr>
        <w:footnoteReference w:id="2"/>
      </w:r>
      <w:r w:rsidRPr="003C3C13">
        <w:t xml:space="preserve"> When employees bring a lawsuit under the FLSA for back wages, a court may issue a judgment approving the settlement, as the suit “provides some assurance of an adversarial context.”</w:t>
      </w:r>
      <w:r w:rsidR="003C3C13" w:rsidRPr="003C3C13">
        <w:rPr>
          <w:vertAlign w:val="superscript"/>
        </w:rPr>
        <w:footnoteReference w:id="3"/>
      </w:r>
    </w:p>
    <w:p w14:paraId="74D271A8" w14:textId="2A88F0CA" w:rsidR="003C3C13" w:rsidRPr="003C3C13" w:rsidRDefault="00A85C8E" w:rsidP="003C3C13">
      <w:pPr>
        <w:pStyle w:val="BNormal"/>
      </w:pPr>
      <w:r w:rsidRPr="003C3C13">
        <w:t>The chapter sets forth the general principles applicable in settling private FLSA claims, the standards used for reviewing the provisions of a settlement to ensure that the settlement is the product of a bona fide dispute and is fair and reasonable, the unresolved issue in the circuit courts as to whether a private FLSA claim can be settled without court approval, and attorneys’ fees and expenses paid as part of the settlement.</w:t>
      </w:r>
    </w:p>
    <w:p w14:paraId="48DABAEB" w14:textId="77777777" w:rsidR="003C3C13" w:rsidRPr="003C3C13" w:rsidRDefault="00A85C8E" w:rsidP="003C3C13">
      <w:pPr>
        <w:pStyle w:val="BNormal"/>
      </w:pPr>
      <w:r w:rsidRPr="003C3C13">
        <w:t>This chapter addresses the differences between the settlement of individual FLSA claims and the settlement of FLSA collective action claims, and describes the distinct differences between the settlement of an FLSA collective action versus the settlement of a Rule 23 class action.</w:t>
      </w:r>
    </w:p>
    <w:p w14:paraId="75CC1A0F" w14:textId="3260EAC9" w:rsidR="003C3C13" w:rsidRPr="003C3C13" w:rsidRDefault="00A85C8E" w:rsidP="003C3C13">
      <w:pPr>
        <w:pStyle w:val="BNormal"/>
      </w:pPr>
      <w:r w:rsidRPr="003C3C13">
        <w:t>The chapter also identifies the standards frequently applied, and cites illustrative case law detailing the various issues courts often consider, in determining FLSA settlement approval, including whether settlements may be confidential, the scope of a release, and whether additional compensation paid for the general release was reasonable</w:t>
      </w:r>
      <w:r w:rsidR="003C3C13" w:rsidRPr="003C3C13">
        <w:t>. T</w:t>
      </w:r>
      <w:r w:rsidRPr="003C3C13">
        <w:t>he illustrative cases cited also discuss provisions unique to class and collective action settlements, such as incentive awards, whether negotiating a check is sufficient consent to join the litigation, and the reversion of settlement funds</w:t>
      </w:r>
      <w:r w:rsidR="003C3C13" w:rsidRPr="003C3C13">
        <w:t>. B</w:t>
      </w:r>
      <w:r w:rsidRPr="003C3C13">
        <w:t>ecause there is little controlling circuit court authority on the reasonableness and propriety of these and other settlement terms, judicial approval often turns on a particular judge, the court’s judicial temperament, and the specific details of the underlying litigation</w:t>
      </w:r>
      <w:r w:rsidR="003C3C13" w:rsidRPr="003C3C13">
        <w:t>. C</w:t>
      </w:r>
      <w:r w:rsidRPr="003C3C13">
        <w:t>are should always be taken when submitting an FLSA settlement for approval.</w:t>
      </w:r>
    </w:p>
    <w:p w14:paraId="10EBB9A4" w14:textId="5F3E7BD1" w:rsidR="003C3C13" w:rsidRPr="003C3C13" w:rsidRDefault="00A85C8E" w:rsidP="003C3C13">
      <w:pPr>
        <w:pStyle w:val="BNormal"/>
      </w:pPr>
      <w:r w:rsidRPr="003C3C13">
        <w:t>The chapter concludes with the issue of attorneys’ fees in an FLSA settlement</w:t>
      </w:r>
      <w:r w:rsidR="003C3C13" w:rsidRPr="003C3C13">
        <w:t>. I</w:t>
      </w:r>
      <w:r w:rsidRPr="003C3C13">
        <w:t>n general, courts have held that where the plaintiffs obtain a favorable settlement, they are entitled to an award of attorneys’ fees.</w:t>
      </w:r>
      <w:r w:rsidR="003C3C13" w:rsidRPr="003C3C13">
        <w:rPr>
          <w:vertAlign w:val="superscript"/>
        </w:rPr>
        <w:footnoteReference w:id="4"/>
      </w:r>
      <w:r w:rsidRPr="003C3C13">
        <w:t xml:space="preserve"> This chapter focuses on settlements that incorporate attorneys’ fees and costs into a lump-sum settlement amount or as a stipulated amount separate from the funds to be paid to the employees.</w:t>
      </w:r>
      <w:r w:rsidR="003C3C13" w:rsidRPr="003C3C13">
        <w:rPr>
          <w:vertAlign w:val="superscript"/>
        </w:rPr>
        <w:footnoteReference w:id="5"/>
      </w:r>
    </w:p>
    <w:p w14:paraId="3FF4DCD4" w14:textId="1D963CA2" w:rsidR="003C3C13" w:rsidRPr="003C3C13" w:rsidRDefault="003C3C13" w:rsidP="003C3C13">
      <w:pPr>
        <w:pStyle w:val="BNormal"/>
        <w:rPr>
          <w:smallCaps/>
        </w:rPr>
      </w:pPr>
      <w:r w:rsidRPr="003C3C13">
        <w:rPr>
          <w:smallCaps/>
        </w:rPr>
        <w:t>II. General Principles Relating to the Settlement of Private FLSA Claims</w:t>
      </w:r>
    </w:p>
    <w:p w14:paraId="473780C3" w14:textId="323C6B35" w:rsidR="003C3C13" w:rsidRPr="003C3C13" w:rsidRDefault="003C3C13" w:rsidP="003C3C13">
      <w:pPr>
        <w:pStyle w:val="BQuotelong"/>
      </w:pPr>
      <w:r w:rsidRPr="003C3C13">
        <w:t>A.</w:t>
      </w:r>
      <w:r w:rsidRPr="003C3C13">
        <w:tab/>
        <w:t>Validity of Waivers and Releases</w:t>
      </w:r>
    </w:p>
    <w:p w14:paraId="01876C31" w14:textId="6F428D81" w:rsidR="003C3C13" w:rsidRPr="003C3C13" w:rsidRDefault="00A85C8E" w:rsidP="003C3C13">
      <w:pPr>
        <w:pStyle w:val="BNormal"/>
      </w:pPr>
      <w:r w:rsidRPr="003C3C13">
        <w:t>The U.S</w:t>
      </w:r>
      <w:r w:rsidR="003C3C13" w:rsidRPr="003C3C13">
        <w:t>. S</w:t>
      </w:r>
      <w:r w:rsidRPr="003C3C13">
        <w:t xml:space="preserve">upreme Court first addressed the validity of private waivers under the FLSA in </w:t>
      </w:r>
      <w:r w:rsidR="003C3C13" w:rsidRPr="003C3C13">
        <w:rPr>
          <w:i/>
        </w:rPr>
        <w:t>Brooklyn Savings Bank v</w:t>
      </w:r>
      <w:r w:rsidR="003C3C13" w:rsidRPr="003C3C13">
        <w:t xml:space="preserve">. </w:t>
      </w:r>
      <w:r w:rsidR="003C3C13" w:rsidRPr="003C3C13">
        <w:rPr>
          <w:i/>
        </w:rPr>
        <w:t>O’Neil</w:t>
      </w:r>
      <w:r w:rsidRPr="003C3C13">
        <w:t>,</w:t>
      </w:r>
      <w:r w:rsidR="003C3C13" w:rsidRPr="003C3C13">
        <w:rPr>
          <w:vertAlign w:val="superscript"/>
        </w:rPr>
        <w:footnoteReference w:id="6"/>
      </w:r>
      <w:r w:rsidRPr="003C3C13">
        <w:t xml:space="preserve"> in which the court granted writs of certiorari in three cases involving “similar problems relating to the interpretation of Section 216(b) and the Congressional policy behind its adoption.”</w:t>
      </w:r>
      <w:r w:rsidR="003C3C13" w:rsidRPr="003C3C13">
        <w:rPr>
          <w:vertAlign w:val="superscript"/>
        </w:rPr>
        <w:footnoteReference w:id="7"/>
      </w:r>
      <w:r w:rsidRPr="003C3C13">
        <w:t xml:space="preserve"> In the case identified as Case No</w:t>
      </w:r>
      <w:r w:rsidR="003C3C13" w:rsidRPr="003C3C13">
        <w:t>. 4</w:t>
      </w:r>
      <w:r w:rsidRPr="003C3C13">
        <w:t>45, a Brooklyn Savings Bank employee had signed a release of FLSA rights in exchange for stipulated sums for unpaid overtime wages, prior to filing his lawsuit.</w:t>
      </w:r>
      <w:r w:rsidR="003C3C13" w:rsidRPr="003C3C13">
        <w:rPr>
          <w:vertAlign w:val="superscript"/>
        </w:rPr>
        <w:footnoteReference w:id="8"/>
      </w:r>
      <w:r w:rsidRPr="003C3C13">
        <w:t xml:space="preserve"> The employee later brought a Section 216(b) action against his employer for liquidated damages</w:t>
      </w:r>
      <w:r w:rsidR="003C3C13" w:rsidRPr="003C3C13">
        <w:t>. T</w:t>
      </w:r>
      <w:r w:rsidRPr="003C3C13">
        <w:t>he employer argued that the release barred the liquidated damage claim</w:t>
      </w:r>
      <w:r w:rsidR="003C3C13" w:rsidRPr="003C3C13">
        <w:t>. T</w:t>
      </w:r>
      <w:r w:rsidRPr="003C3C13">
        <w:t>he Court held that any private agreement to waive FLSA rights was invalid and void as against public policy, concluding that “the same policy considerations which forbid waiver of basic minimum and overtime wages under the Act also prohibit waiver of the employee’s right to liquidated damages,” despite the fact that the employee had been paid his full wages prior to instituting the lawsuit.</w:t>
      </w:r>
      <w:r w:rsidR="003C3C13" w:rsidRPr="003C3C13">
        <w:rPr>
          <w:vertAlign w:val="superscript"/>
        </w:rPr>
        <w:footnoteReference w:id="9"/>
      </w:r>
      <w:r w:rsidRPr="003C3C13">
        <w:t xml:space="preserve"> The Court explained that, “where a private right is granted in the public interest to effectuate a legislative policy, waiver of a right so charged or colored with the public interest will not be allowed where it would thwart the legislative policy which it was designed to effectuate.”</w:t>
      </w:r>
      <w:r w:rsidR="003C3C13" w:rsidRPr="003C3C13">
        <w:rPr>
          <w:vertAlign w:val="superscript"/>
        </w:rPr>
        <w:footnoteReference w:id="10"/>
      </w:r>
      <w:r w:rsidRPr="003C3C13">
        <w:t xml:space="preserve"> According to the Court, the purpose of the FLSA was to remedy the unequal bargaining power between employer and employee, and thus “[t]o permit an employer to secure a release from the worker who needs his wages promptly will tend to nullify the deterrent effect which Congress plainly intended that Section 216(b) should have.”</w:t>
      </w:r>
      <w:r w:rsidR="003C3C13" w:rsidRPr="003C3C13">
        <w:rPr>
          <w:vertAlign w:val="superscript"/>
        </w:rPr>
        <w:footnoteReference w:id="11"/>
      </w:r>
    </w:p>
    <w:p w14:paraId="46647C56" w14:textId="334D6F62" w:rsidR="003C3C13" w:rsidRPr="003C3C13" w:rsidRDefault="00A85C8E" w:rsidP="003C3C13">
      <w:pPr>
        <w:pStyle w:val="BNormal"/>
      </w:pPr>
      <w:r w:rsidRPr="003C3C13">
        <w:t xml:space="preserve">Shortly after deciding </w:t>
      </w:r>
      <w:r w:rsidR="003C3C13" w:rsidRPr="003C3C13">
        <w:rPr>
          <w:i/>
        </w:rPr>
        <w:t>Brooklyn Savings Bank</w:t>
      </w:r>
      <w:r w:rsidRPr="003C3C13">
        <w:t xml:space="preserve">, the Supreme Court, in </w:t>
      </w:r>
      <w:r w:rsidR="003C3C13" w:rsidRPr="003C3C13">
        <w:rPr>
          <w:i/>
        </w:rPr>
        <w:t>D</w:t>
      </w:r>
      <w:r w:rsidRPr="003C3C13">
        <w:t>.</w:t>
      </w:r>
      <w:r w:rsidR="003C3C13" w:rsidRPr="003C3C13">
        <w:rPr>
          <w:i/>
        </w:rPr>
        <w:t>A</w:t>
      </w:r>
      <w:r w:rsidR="003C3C13" w:rsidRPr="003C3C13">
        <w:t xml:space="preserve">. </w:t>
      </w:r>
      <w:r w:rsidR="003C3C13" w:rsidRPr="003C3C13">
        <w:rPr>
          <w:i/>
        </w:rPr>
        <w:t>Schulte, Inc</w:t>
      </w:r>
      <w:r w:rsidR="003C3C13" w:rsidRPr="003C3C13">
        <w:t xml:space="preserve">. </w:t>
      </w:r>
      <w:r w:rsidR="003C3C13" w:rsidRPr="003C3C13">
        <w:rPr>
          <w:i/>
        </w:rPr>
        <w:t>v</w:t>
      </w:r>
      <w:r w:rsidR="003C3C13" w:rsidRPr="003C3C13">
        <w:t xml:space="preserve">. </w:t>
      </w:r>
      <w:r w:rsidR="003C3C13" w:rsidRPr="003C3C13">
        <w:rPr>
          <w:i/>
        </w:rPr>
        <w:t>Gangi,</w:t>
      </w:r>
      <w:r w:rsidR="003C3C13" w:rsidRPr="003C3C13">
        <w:rPr>
          <w:vertAlign w:val="superscript"/>
        </w:rPr>
        <w:footnoteReference w:id="12"/>
      </w:r>
      <w:r w:rsidRPr="003C3C13">
        <w:t xml:space="preserve"> once again examined the validity of private employee waivers of FLSA rights to minimum wages, overtime, and liquidated damages</w:t>
      </w:r>
      <w:r w:rsidR="003C3C13" w:rsidRPr="003C3C13">
        <w:t>. I</w:t>
      </w:r>
      <w:r w:rsidRPr="003C3C13">
        <w:t xml:space="preserve">n its discussion of </w:t>
      </w:r>
      <w:r w:rsidR="003C3C13" w:rsidRPr="003C3C13">
        <w:rPr>
          <w:i/>
        </w:rPr>
        <w:t>Gangi</w:t>
      </w:r>
      <w:r w:rsidRPr="003C3C13">
        <w:t xml:space="preserve">, the Second Circuit, in </w:t>
      </w:r>
      <w:r w:rsidR="003C3C13" w:rsidRPr="003C3C13">
        <w:rPr>
          <w:rStyle w:val="BCasenamefull"/>
        </w:rPr>
        <w:t xml:space="preserve">Mei Xing Yu v. </w:t>
      </w:r>
      <w:proofErr w:type="spellStart"/>
      <w:r w:rsidR="003C3C13" w:rsidRPr="003C3C13">
        <w:rPr>
          <w:rStyle w:val="BCasenamefull"/>
        </w:rPr>
        <w:t>Hasaki</w:t>
      </w:r>
      <w:proofErr w:type="spellEnd"/>
      <w:r w:rsidR="003C3C13" w:rsidRPr="003C3C13">
        <w:rPr>
          <w:rStyle w:val="BCasenamefull"/>
        </w:rPr>
        <w:t xml:space="preserve"> Restaurant, Inc.,</w:t>
      </w:r>
      <w:r w:rsidR="003C3C13" w:rsidRPr="003C3C13">
        <w:rPr>
          <w:vertAlign w:val="superscript"/>
        </w:rPr>
        <w:footnoteReference w:id="13"/>
      </w:r>
      <w:r w:rsidRPr="003C3C13">
        <w:t xml:space="preserve"> recognized that,</w:t>
      </w:r>
    </w:p>
    <w:p w14:paraId="3BAFD5E8" w14:textId="52E9A48C" w:rsidR="003C3C13" w:rsidRPr="003C3C13" w:rsidRDefault="00A85C8E" w:rsidP="003C3C13">
      <w:pPr>
        <w:pStyle w:val="BQuotelong"/>
      </w:pPr>
      <w:r w:rsidRPr="003C3C13">
        <w:t>[u]</w:t>
      </w:r>
      <w:proofErr w:type="spellStart"/>
      <w:r w:rsidRPr="003C3C13">
        <w:t>nlike</w:t>
      </w:r>
      <w:proofErr w:type="spellEnd"/>
      <w:r w:rsidRPr="003C3C13">
        <w:t xml:space="preserve"> in </w:t>
      </w:r>
      <w:r w:rsidR="003C3C13" w:rsidRPr="003C3C13">
        <w:rPr>
          <w:i/>
        </w:rPr>
        <w:t>Brooklyn Savings</w:t>
      </w:r>
      <w:r w:rsidRPr="003C3C13">
        <w:t xml:space="preserve">, the employees in </w:t>
      </w:r>
      <w:r w:rsidR="003C3C13" w:rsidRPr="003C3C13">
        <w:rPr>
          <w:i/>
        </w:rPr>
        <w:t>Gangi</w:t>
      </w:r>
      <w:r w:rsidRPr="003C3C13">
        <w:t xml:space="preserve"> did not simply sign away their rights</w:t>
      </w:r>
      <w:r w:rsidR="003C3C13" w:rsidRPr="003C3C13">
        <w:t>. U</w:t>
      </w:r>
      <w:r w:rsidRPr="003C3C13">
        <w:t>nder threat of suit by the employees, the employer paid the full amount of back pay and, in return, obtained a release of the employees’ statutory right to liquidated damages, notwithstanding the employer’s sincere belief that the employees were not covered by the FLSA because the interstate commerce nexus was minimal. … The primary issue presented [was] whether the [FLSA] precludes a bona fide settlement of a bona fide dispute over the coverage of the Act on a claim for overtime compensation and liquidated damages where the employees receive the overtime compensation in full.</w:t>
      </w:r>
      <w:r w:rsidR="003C3C13" w:rsidRPr="003C3C13">
        <w:rPr>
          <w:vertAlign w:val="superscript"/>
        </w:rPr>
        <w:footnoteReference w:id="14"/>
      </w:r>
    </w:p>
    <w:p w14:paraId="339719DD" w14:textId="1DDB9599" w:rsidR="003C3C13" w:rsidRPr="003C3C13" w:rsidRDefault="00A85C8E" w:rsidP="003C3C13">
      <w:pPr>
        <w:pStyle w:val="BNormal"/>
      </w:pPr>
      <w:r w:rsidRPr="003C3C13">
        <w:t xml:space="preserve">In </w:t>
      </w:r>
      <w:r w:rsidR="003C3C13" w:rsidRPr="003C3C13">
        <w:rPr>
          <w:i/>
        </w:rPr>
        <w:t xml:space="preserve">Gangi, </w:t>
      </w:r>
      <w:r w:rsidRPr="003C3C13">
        <w:t>the Supreme Court found the settlement to be unenforceable:</w:t>
      </w:r>
    </w:p>
    <w:p w14:paraId="00E37660" w14:textId="685A75F5" w:rsidR="003C3C13" w:rsidRPr="003C3C13" w:rsidRDefault="00A85C8E" w:rsidP="003C3C13">
      <w:pPr>
        <w:pStyle w:val="BQuotelong"/>
      </w:pPr>
      <w:r w:rsidRPr="003C3C13">
        <w:t>In a bona fide adjustment on coverage, there are the same threats to the public purposes of the Wage-Hour Act that exist when the liquidated damages are waived</w:t>
      </w:r>
      <w:r w:rsidR="003C3C13" w:rsidRPr="003C3C13">
        <w:t>. T</w:t>
      </w:r>
      <w:r w:rsidRPr="003C3C13">
        <w:t>he damages are at the same time compensatory and an aid to enforcement</w:t>
      </w:r>
      <w:r w:rsidR="003C3C13" w:rsidRPr="003C3C13">
        <w:t>. I</w:t>
      </w:r>
      <w:r w:rsidRPr="003C3C13">
        <w:t>t is quite true that the liquidated damage provision acts harshly upon employers whose violations are not deliberate but arise from uncertainties or mistakes as to coverage</w:t>
      </w:r>
      <w:r w:rsidR="003C3C13" w:rsidRPr="003C3C13">
        <w:t>. S</w:t>
      </w:r>
      <w:r w:rsidRPr="003C3C13">
        <w:t>ince the possibility of violations inheres in every instance of employment that is covered by the Act, Congress evidently felt it should not provide for variable compensation to fit the degree of blame in each infraction</w:t>
      </w:r>
      <w:r w:rsidR="003C3C13" w:rsidRPr="003C3C13">
        <w:t>. I</w:t>
      </w:r>
      <w:r w:rsidRPr="003C3C13">
        <w:t>nstead Congress adopted a mandatory requirement that the employer pay a sum in ­liquidated damages equal to the unpaid wages so as to compensate the injured employee for the retention of his pay.</w:t>
      </w:r>
      <w:r w:rsidR="003C3C13" w:rsidRPr="003C3C13">
        <w:rPr>
          <w:vertAlign w:val="superscript"/>
        </w:rPr>
        <w:footnoteReference w:id="15"/>
      </w:r>
    </w:p>
    <w:p w14:paraId="269C88DD" w14:textId="0C06C4D5" w:rsidR="003C3C13" w:rsidRPr="003C3C13" w:rsidRDefault="00A85C8E" w:rsidP="003C3C13">
      <w:pPr>
        <w:pStyle w:val="BNormal"/>
      </w:pPr>
      <w:r w:rsidRPr="003C3C13">
        <w:t xml:space="preserve">The Court in </w:t>
      </w:r>
      <w:r w:rsidR="003C3C13" w:rsidRPr="003C3C13">
        <w:rPr>
          <w:i/>
        </w:rPr>
        <w:t>Gangi</w:t>
      </w:r>
      <w:r w:rsidRPr="003C3C13">
        <w:t xml:space="preserve"> expressly reserved the question of whether waiver or compromise of FLSA rights is permissible “in other situations which may arise, such as a dispute over the number of hours worked or the regular rate of employment.”</w:t>
      </w:r>
      <w:r w:rsidR="003C3C13" w:rsidRPr="003C3C13">
        <w:rPr>
          <w:vertAlign w:val="superscript"/>
        </w:rPr>
        <w:footnoteReference w:id="16"/>
      </w:r>
      <w:r w:rsidRPr="003C3C13">
        <w:t xml:space="preserve"> In dicta, the Court suggested that “other situations” might warrant private settlement</w:t>
      </w:r>
      <w:r w:rsidR="003C3C13" w:rsidRPr="003C3C13">
        <w:t>; h</w:t>
      </w:r>
      <w:r w:rsidRPr="003C3C13">
        <w:t>owever, the Court declined to examine the issue further.</w:t>
      </w:r>
      <w:r w:rsidR="003C3C13" w:rsidRPr="003C3C13">
        <w:rPr>
          <w:vertAlign w:val="superscript"/>
        </w:rPr>
        <w:footnoteReference w:id="17"/>
      </w:r>
    </w:p>
    <w:p w14:paraId="389C06FB" w14:textId="7A4F558B" w:rsidR="003C3C13" w:rsidRPr="003C3C13" w:rsidRDefault="00A85C8E" w:rsidP="003C3C13">
      <w:pPr>
        <w:pStyle w:val="BNormal"/>
      </w:pPr>
      <w:r w:rsidRPr="003C3C13">
        <w:t xml:space="preserve">Since </w:t>
      </w:r>
      <w:r w:rsidR="003C3C13" w:rsidRPr="003C3C13">
        <w:rPr>
          <w:i/>
        </w:rPr>
        <w:t>Gangi</w:t>
      </w:r>
      <w:r w:rsidRPr="003C3C13">
        <w:t>, the Supreme Court has not resolved the open questions about when and how employees can release their FLSA rights</w:t>
      </w:r>
      <w:r w:rsidR="003C3C13" w:rsidRPr="003C3C13">
        <w:t>. I</w:t>
      </w:r>
      <w:r w:rsidRPr="003C3C13">
        <w:t xml:space="preserve">n 1981, in </w:t>
      </w:r>
      <w:r w:rsidR="003C3C13" w:rsidRPr="003C3C13">
        <w:rPr>
          <w:rStyle w:val="BCasenamefull"/>
        </w:rPr>
        <w:t>Barrentine v. Arkansas-Best Freight System, Inc.</w:t>
      </w:r>
      <w:r w:rsidRPr="003C3C13">
        <w:t>,</w:t>
      </w:r>
      <w:r w:rsidR="003C3C13" w:rsidRPr="003C3C13">
        <w:rPr>
          <w:vertAlign w:val="superscript"/>
        </w:rPr>
        <w:footnoteReference w:id="18"/>
      </w:r>
      <w:r w:rsidRPr="003C3C13">
        <w:t xml:space="preserve"> the Court wrote</w:t>
      </w:r>
      <w:r w:rsidR="003C3C13" w:rsidRPr="003C3C13">
        <w:t>: “</w:t>
      </w:r>
      <w:r w:rsidRPr="003C3C13">
        <w:t>[W]e have held that FLSA rights cannot be abridged by contract or otherwise waived because this would ‘nullify the purposes’ of the statute and thwart the legislative policies it was designed to effectuate.”</w:t>
      </w:r>
      <w:r w:rsidR="003C3C13" w:rsidRPr="003C3C13">
        <w:rPr>
          <w:vertAlign w:val="superscript"/>
        </w:rPr>
        <w:footnoteReference w:id="19"/>
      </w:r>
      <w:r w:rsidRPr="003C3C13">
        <w:t xml:space="preserve"> In 2019, in </w:t>
      </w:r>
      <w:proofErr w:type="spellStart"/>
      <w:r w:rsidR="003C3C13" w:rsidRPr="003C3C13">
        <w:rPr>
          <w:i/>
        </w:rPr>
        <w:t>Hasaki</w:t>
      </w:r>
      <w:proofErr w:type="spellEnd"/>
      <w:r w:rsidR="003C3C13" w:rsidRPr="003C3C13">
        <w:rPr>
          <w:i/>
        </w:rPr>
        <w:t xml:space="preserve"> Restaurant,</w:t>
      </w:r>
      <w:r w:rsidR="003C3C13" w:rsidRPr="003C3C13">
        <w:rPr>
          <w:vertAlign w:val="superscript"/>
        </w:rPr>
        <w:footnoteReference w:id="20"/>
      </w:r>
      <w:r w:rsidRPr="003C3C13">
        <w:t xml:space="preserve"> the Second Circuit noted that in </w:t>
      </w:r>
      <w:r w:rsidR="003C3C13" w:rsidRPr="003C3C13">
        <w:rPr>
          <w:i/>
        </w:rPr>
        <w:t>Barrentine,</w:t>
      </w:r>
      <w:r w:rsidRPr="003C3C13">
        <w:t xml:space="preserve"> the Supreme Court “did not expand the holdings from those earlier decisions or otherwise consider the questions those decisions left open.”</w:t>
      </w:r>
      <w:r w:rsidR="003C3C13" w:rsidRPr="003C3C13">
        <w:rPr>
          <w:vertAlign w:val="superscript"/>
        </w:rPr>
        <w:footnoteReference w:id="21"/>
      </w:r>
    </w:p>
    <w:p w14:paraId="03CF9B5E" w14:textId="716C35CE" w:rsidR="003C3C13" w:rsidRPr="003C3C13" w:rsidRDefault="003C3C13" w:rsidP="003C3C13">
      <w:pPr>
        <w:pStyle w:val="BQuotelong"/>
      </w:pPr>
      <w:r w:rsidRPr="003C3C13">
        <w:rPr>
          <w:b/>
        </w:rPr>
        <w:t>B.</w:t>
      </w:r>
      <w:r w:rsidRPr="003C3C13">
        <w:rPr>
          <w:b/>
        </w:rPr>
        <w:tab/>
        <w:t>Validity of Settlements Without Court Approval</w:t>
      </w:r>
    </w:p>
    <w:p w14:paraId="717DFA7B" w14:textId="1DF33A76" w:rsidR="003C3C13" w:rsidRPr="003C3C13" w:rsidRDefault="00A85C8E" w:rsidP="003C3C13">
      <w:pPr>
        <w:pStyle w:val="BNormal"/>
      </w:pPr>
      <w:r w:rsidRPr="003C3C13">
        <w:t xml:space="preserve">Thirty-six years after the </w:t>
      </w:r>
      <w:r w:rsidR="003C3C13" w:rsidRPr="003C3C13">
        <w:rPr>
          <w:i/>
        </w:rPr>
        <w:t>Gangi</w:t>
      </w:r>
      <w:r w:rsidRPr="003C3C13">
        <w:t xml:space="preserve"> decision, the Eleventh Circuit, in </w:t>
      </w:r>
      <w:r w:rsidR="003C3C13" w:rsidRPr="003C3C13">
        <w:rPr>
          <w:i/>
        </w:rPr>
        <w:t>Lynn’s Food Stores, Inc</w:t>
      </w:r>
      <w:r w:rsidR="003C3C13" w:rsidRPr="003C3C13">
        <w:t xml:space="preserve">. </w:t>
      </w:r>
      <w:r w:rsidR="003C3C13" w:rsidRPr="003C3C13">
        <w:rPr>
          <w:i/>
        </w:rPr>
        <w:t>v</w:t>
      </w:r>
      <w:r w:rsidR="003C3C13" w:rsidRPr="003C3C13">
        <w:t xml:space="preserve">. </w:t>
      </w:r>
      <w:r w:rsidR="003C3C13" w:rsidRPr="003C3C13">
        <w:rPr>
          <w:i/>
        </w:rPr>
        <w:t>United States</w:t>
      </w:r>
      <w:r w:rsidRPr="003C3C13">
        <w:t>,</w:t>
      </w:r>
      <w:r w:rsidR="003C3C13" w:rsidRPr="003C3C13">
        <w:rPr>
          <w:vertAlign w:val="superscript"/>
        </w:rPr>
        <w:footnoteReference w:id="22"/>
      </w:r>
      <w:r w:rsidRPr="003C3C13">
        <w:t xml:space="preserve"> concluded:</w:t>
      </w:r>
    </w:p>
    <w:p w14:paraId="415DEDC0" w14:textId="5F591F10" w:rsidR="003C3C13" w:rsidRPr="003C3C13" w:rsidRDefault="00A85C8E" w:rsidP="003C3C13">
      <w:pPr>
        <w:pStyle w:val="BQuotelong"/>
      </w:pPr>
      <w:r w:rsidRPr="003C3C13">
        <w:t>Other than a section 216(c) payment supervised by the Department of Labor, there is only one context in which compromises of FLSA back wage or liquidated damage claims may be allowed</w:t>
      </w:r>
      <w:r w:rsidR="003C3C13" w:rsidRPr="003C3C13">
        <w:t>: a</w:t>
      </w:r>
      <w:r w:rsidRPr="003C3C13">
        <w:t xml:space="preserve"> stipulated judgment entered by a court which has determined that a settlement proposed by an employer and employees, in a suit brought by the employees under the FLSA, is a </w:t>
      </w:r>
      <w:r w:rsidR="003C3C13" w:rsidRPr="003C3C13">
        <w:rPr>
          <w:i/>
        </w:rPr>
        <w:t>fair and reasonable resolution of a bona fide dispute over FLSA provisions</w:t>
      </w:r>
      <w:r w:rsidRPr="003C3C13">
        <w:t>.</w:t>
      </w:r>
      <w:r w:rsidR="003C3C13" w:rsidRPr="003C3C13">
        <w:rPr>
          <w:vertAlign w:val="superscript"/>
        </w:rPr>
        <w:footnoteReference w:id="23"/>
      </w:r>
    </w:p>
    <w:p w14:paraId="0798685C" w14:textId="58486E4A" w:rsidR="003C3C13" w:rsidRPr="003C3C13" w:rsidRDefault="00A85C8E" w:rsidP="003C3C13">
      <w:pPr>
        <w:pStyle w:val="BNormal"/>
      </w:pPr>
      <w:r w:rsidRPr="003C3C13">
        <w:t xml:space="preserve">Most courts that have addressed the issue have followed </w:t>
      </w:r>
      <w:r w:rsidR="003C3C13" w:rsidRPr="003C3C13">
        <w:rPr>
          <w:i/>
        </w:rPr>
        <w:t>Lynn’s Food Stores</w:t>
      </w:r>
      <w:r w:rsidRPr="003C3C13">
        <w:t xml:space="preserve"> and have refused to enforce an unsupervised waiver of FLSA rights.</w:t>
      </w:r>
      <w:r w:rsidR="003C3C13" w:rsidRPr="003C3C13">
        <w:rPr>
          <w:vertAlign w:val="superscript"/>
        </w:rPr>
        <w:footnoteReference w:id="24"/>
      </w:r>
    </w:p>
    <w:p w14:paraId="7385D5CC" w14:textId="0FC5D3E6" w:rsidR="003C3C13" w:rsidRPr="003C3C13" w:rsidRDefault="00A85C8E" w:rsidP="003C3C13">
      <w:pPr>
        <w:pStyle w:val="BNormal"/>
      </w:pPr>
      <w:r w:rsidRPr="003C3C13">
        <w:t xml:space="preserve">But not all courts agree that the decisions in </w:t>
      </w:r>
      <w:r w:rsidR="003C3C13" w:rsidRPr="003C3C13">
        <w:rPr>
          <w:i/>
        </w:rPr>
        <w:t>Brooklyn Savings Bank</w:t>
      </w:r>
      <w:r w:rsidRPr="003C3C13">
        <w:t xml:space="preserve"> and </w:t>
      </w:r>
      <w:r w:rsidR="003C3C13" w:rsidRPr="003C3C13">
        <w:rPr>
          <w:i/>
        </w:rPr>
        <w:t>Gangi</w:t>
      </w:r>
      <w:r w:rsidRPr="003C3C13">
        <w:t xml:space="preserve"> strictly prohibit all private settlements of bona fide FLSA disputes.</w:t>
      </w:r>
      <w:r w:rsidR="003C3C13" w:rsidRPr="003C3C13">
        <w:rPr>
          <w:vertAlign w:val="superscript"/>
        </w:rPr>
        <w:footnoteReference w:id="25"/>
      </w:r>
      <w:r w:rsidRPr="003C3C13">
        <w:t xml:space="preserve"> For example, in </w:t>
      </w:r>
      <w:r w:rsidR="003C3C13" w:rsidRPr="003C3C13">
        <w:rPr>
          <w:i/>
        </w:rPr>
        <w:t>Martinez v</w:t>
      </w:r>
      <w:r w:rsidR="003C3C13" w:rsidRPr="003C3C13">
        <w:t xml:space="preserve">. </w:t>
      </w:r>
      <w:r w:rsidR="003C3C13" w:rsidRPr="003C3C13">
        <w:rPr>
          <w:i/>
        </w:rPr>
        <w:t>Bohls Bearing Equipment Co</w:t>
      </w:r>
      <w:r w:rsidRPr="003C3C13">
        <w:t>.,</w:t>
      </w:r>
      <w:r w:rsidR="003C3C13" w:rsidRPr="003C3C13">
        <w:rPr>
          <w:vertAlign w:val="superscript"/>
        </w:rPr>
        <w:footnoteReference w:id="26"/>
      </w:r>
      <w:r w:rsidRPr="003C3C13">
        <w:t xml:space="preserve"> a district court in the Fifth Circuit discussed at length the viability of private FLSA settlements after </w:t>
      </w:r>
      <w:r w:rsidR="003C3C13" w:rsidRPr="003C3C13">
        <w:rPr>
          <w:i/>
        </w:rPr>
        <w:t>Brooklyn Savings Bank</w:t>
      </w:r>
      <w:r w:rsidRPr="003C3C13">
        <w:t xml:space="preserve"> and </w:t>
      </w:r>
      <w:r w:rsidR="003C3C13" w:rsidRPr="003C3C13">
        <w:rPr>
          <w:i/>
        </w:rPr>
        <w:t xml:space="preserve">Gangi </w:t>
      </w:r>
      <w:r w:rsidRPr="003C3C13">
        <w:t xml:space="preserve">and whether settlement approval, as required in </w:t>
      </w:r>
      <w:r w:rsidR="003C3C13" w:rsidRPr="003C3C13">
        <w:rPr>
          <w:i/>
        </w:rPr>
        <w:t>Lynn’s Food Stores</w:t>
      </w:r>
      <w:r w:rsidRPr="003C3C13">
        <w:t>, should be required.</w:t>
      </w:r>
      <w:r w:rsidR="003C3C13" w:rsidRPr="003C3C13">
        <w:rPr>
          <w:vertAlign w:val="superscript"/>
        </w:rPr>
        <w:footnoteReference w:id="27"/>
      </w:r>
      <w:r w:rsidRPr="003C3C13">
        <w:t xml:space="preserve"> In </w:t>
      </w:r>
      <w:r w:rsidR="003C3C13" w:rsidRPr="003C3C13">
        <w:rPr>
          <w:i/>
        </w:rPr>
        <w:t>Martinez</w:t>
      </w:r>
      <w:r w:rsidRPr="003C3C13">
        <w:t>, the employee complained of unpaid overtime compensation and the employer offered him $1,000 in full satisfaction of his claim (which amounted to some $3,500), which the employee accepted.</w:t>
      </w:r>
      <w:r w:rsidR="003C3C13" w:rsidRPr="003C3C13">
        <w:rPr>
          <w:vertAlign w:val="superscript"/>
        </w:rPr>
        <w:footnoteReference w:id="28"/>
      </w:r>
      <w:r w:rsidRPr="003C3C13">
        <w:t xml:space="preserve"> Later, the employee asserted his FLSA claim as part of a federal discrimination lawsuit and the employer moved for summary judgment on that claim, citing the employee’s previous release of the FLSA claims.</w:t>
      </w:r>
      <w:r w:rsidR="003C3C13" w:rsidRPr="003C3C13">
        <w:rPr>
          <w:vertAlign w:val="superscript"/>
        </w:rPr>
        <w:footnoteReference w:id="29"/>
      </w:r>
      <w:r w:rsidRPr="003C3C13">
        <w:t xml:space="preserve"> The court, relying on Section 3 of the Portal-to-Portal Act of 1947</w:t>
      </w:r>
      <w:r w:rsidR="003C3C13" w:rsidRPr="003C3C13">
        <w:rPr>
          <w:vertAlign w:val="superscript"/>
        </w:rPr>
        <w:footnoteReference w:id="30"/>
      </w:r>
      <w:r w:rsidRPr="003C3C13">
        <w:t xml:space="preserve"> and the Fair Labor Standards Act Amendments of 1949,</w:t>
      </w:r>
      <w:r w:rsidR="003C3C13" w:rsidRPr="003C3C13">
        <w:rPr>
          <w:vertAlign w:val="superscript"/>
        </w:rPr>
        <w:footnoteReference w:id="31"/>
      </w:r>
      <w:r w:rsidRPr="003C3C13">
        <w:t xml:space="preserve"> held that a private settlement was not barred by the FLSA.</w:t>
      </w:r>
      <w:r w:rsidR="003C3C13" w:rsidRPr="003C3C13">
        <w:rPr>
          <w:vertAlign w:val="superscript"/>
        </w:rPr>
        <w:footnoteReference w:id="32"/>
      </w:r>
      <w:r w:rsidRPr="003C3C13">
        <w:t xml:space="preserve"> In reaching its conclusion, the court explained that the </w:t>
      </w:r>
      <w:r w:rsidR="003C3C13" w:rsidRPr="003C3C13">
        <w:rPr>
          <w:i/>
        </w:rPr>
        <w:t>Lynn’s Food Stores</w:t>
      </w:r>
      <w:r w:rsidRPr="003C3C13">
        <w:t xml:space="preserve"> requirement for judicial approval of voluntary settlements was driven by its facts––the employer overreached in inducing the employees to settle unasserted and unevaluated claims for a small amount of money.</w:t>
      </w:r>
      <w:r w:rsidR="003C3C13" w:rsidRPr="003C3C13">
        <w:rPr>
          <w:vertAlign w:val="superscript"/>
        </w:rPr>
        <w:footnoteReference w:id="33"/>
      </w:r>
      <w:r w:rsidRPr="003C3C13">
        <w:t xml:space="preserve"> “The affected employees were largely unaware of the fact that they had rights under the FLSA, had not been advised by an attorney before signing the agreements</w:t>
      </w:r>
      <w:r w:rsidR="003C3C13" w:rsidRPr="003C3C13">
        <w:t>; i</w:t>
      </w:r>
      <w:r w:rsidRPr="003C3C13">
        <w:t>ndeed, many did not speak English.”</w:t>
      </w:r>
      <w:r w:rsidR="003C3C13" w:rsidRPr="003C3C13">
        <w:rPr>
          <w:vertAlign w:val="superscript"/>
        </w:rPr>
        <w:footnoteReference w:id="34"/>
      </w:r>
      <w:r w:rsidRPr="003C3C13">
        <w:t xml:space="preserve"> The court in </w:t>
      </w:r>
      <w:r w:rsidR="003C3C13" w:rsidRPr="003C3C13">
        <w:rPr>
          <w:i/>
        </w:rPr>
        <w:t>Martinez</w:t>
      </w:r>
      <w:r w:rsidRPr="003C3C13">
        <w:t xml:space="preserve"> also cited </w:t>
      </w:r>
      <w:r w:rsidR="003C3C13" w:rsidRPr="003C3C13">
        <w:rPr>
          <w:i/>
        </w:rPr>
        <w:t>United States v</w:t>
      </w:r>
      <w:r w:rsidR="003C3C13" w:rsidRPr="003C3C13">
        <w:t xml:space="preserve">. </w:t>
      </w:r>
      <w:r w:rsidR="003C3C13" w:rsidRPr="003C3C13">
        <w:rPr>
          <w:i/>
        </w:rPr>
        <w:t>Allegheny-Ludlum Industries, Inc</w:t>
      </w:r>
      <w:r w:rsidRPr="003C3C13">
        <w:t>.,</w:t>
      </w:r>
      <w:r w:rsidR="003C3C13" w:rsidRPr="003C3C13">
        <w:rPr>
          <w:vertAlign w:val="superscript"/>
        </w:rPr>
        <w:footnoteReference w:id="35"/>
      </w:r>
      <w:r w:rsidRPr="003C3C13">
        <w:t xml:space="preserve"> in which the Fifth Circuit, in dicta, stated that its position was that the Portal-to-Portal Act was meant to overrule </w:t>
      </w:r>
      <w:r w:rsidR="003C3C13" w:rsidRPr="003C3C13">
        <w:rPr>
          <w:i/>
        </w:rPr>
        <w:t>Brooklyn Savings Bank</w:t>
      </w:r>
      <w:r w:rsidRPr="003C3C13">
        <w:t xml:space="preserve"> and </w:t>
      </w:r>
      <w:r w:rsidR="003C3C13" w:rsidRPr="003C3C13">
        <w:rPr>
          <w:i/>
        </w:rPr>
        <w:t>Gangi</w:t>
      </w:r>
      <w:r w:rsidRPr="003C3C13">
        <w:t>, and was meant to allow such compromises.</w:t>
      </w:r>
      <w:r w:rsidR="003C3C13" w:rsidRPr="003C3C13">
        <w:rPr>
          <w:vertAlign w:val="superscript"/>
        </w:rPr>
        <w:footnoteReference w:id="36"/>
      </w:r>
    </w:p>
    <w:p w14:paraId="5B78BDA4" w14:textId="72DAF62D" w:rsidR="003C3C13" w:rsidRPr="003C3C13" w:rsidRDefault="00A85C8E" w:rsidP="003C3C13">
      <w:pPr>
        <w:pStyle w:val="BNormal"/>
      </w:pPr>
      <w:r w:rsidRPr="003C3C13">
        <w:t xml:space="preserve">Subsequently, in </w:t>
      </w:r>
      <w:r w:rsidR="003C3C13" w:rsidRPr="003C3C13">
        <w:rPr>
          <w:i/>
        </w:rPr>
        <w:t>Martin v</w:t>
      </w:r>
      <w:r w:rsidR="003C3C13" w:rsidRPr="003C3C13">
        <w:t xml:space="preserve">. </w:t>
      </w:r>
      <w:r w:rsidR="003C3C13" w:rsidRPr="003C3C13">
        <w:rPr>
          <w:i/>
        </w:rPr>
        <w:t>Spring Break ’83 Productions</w:t>
      </w:r>
      <w:r w:rsidRPr="003C3C13">
        <w:t xml:space="preserve">, </w:t>
      </w:r>
      <w:r w:rsidR="003C3C13" w:rsidRPr="003C3C13">
        <w:rPr>
          <w:i/>
        </w:rPr>
        <w:t>LLC</w:t>
      </w:r>
      <w:r w:rsidRPr="003C3C13">
        <w:t>,</w:t>
      </w:r>
      <w:r w:rsidR="003C3C13" w:rsidRPr="003C3C13">
        <w:rPr>
          <w:vertAlign w:val="superscript"/>
        </w:rPr>
        <w:footnoteReference w:id="37"/>
      </w:r>
      <w:r w:rsidRPr="003C3C13">
        <w:t xml:space="preserve"> the Fifth Circuit held that if a bona fide dispute as to FLSA liability existed and the employees’ interests have been represented by counsel, a private settlement would be enforced</w:t>
      </w:r>
      <w:r w:rsidR="003C3C13" w:rsidRPr="003C3C13">
        <w:t>. T</w:t>
      </w:r>
      <w:r w:rsidRPr="003C3C13">
        <w:t>he plaintiffs in that case were union-represented production grips on a film set</w:t>
      </w:r>
      <w:r w:rsidR="003C3C13" w:rsidRPr="003C3C13">
        <w:t>. A</w:t>
      </w:r>
      <w:r w:rsidRPr="003C3C13">
        <w:t>fter filing a grievance regarding a dispute over hours worked, the union entered into a settlement with the employer, which provided that, in exchange for a compromise payment of wages, the union and the employees would waive future claims on this matter.</w:t>
      </w:r>
      <w:r w:rsidR="003C3C13" w:rsidRPr="003C3C13">
        <w:rPr>
          <w:vertAlign w:val="superscript"/>
        </w:rPr>
        <w:footnoteReference w:id="38"/>
      </w:r>
      <w:r w:rsidRPr="003C3C13">
        <w:t xml:space="preserve"> Before the settlement was signed, the employees filed an FLSA action in court</w:t>
      </w:r>
      <w:r w:rsidR="003C3C13" w:rsidRPr="003C3C13">
        <w:t>. U</w:t>
      </w:r>
      <w:r w:rsidRPr="003C3C13">
        <w:t>ltimately, the union signed the settlement, and the plaintiffs received and cashed settlement checks</w:t>
      </w:r>
      <w:r w:rsidR="003C3C13" w:rsidRPr="003C3C13">
        <w:t>. T</w:t>
      </w:r>
      <w:r w:rsidRPr="003C3C13">
        <w:t xml:space="preserve">he Fifth Circuit distinguished the </w:t>
      </w:r>
      <w:r w:rsidR="003C3C13" w:rsidRPr="003C3C13">
        <w:rPr>
          <w:i/>
        </w:rPr>
        <w:t>Lynn’s Food Stores</w:t>
      </w:r>
      <w:r w:rsidRPr="003C3C13">
        <w:t xml:space="preserve"> rule that private settlements require court approval by noting that there was a bona fide dispute as to whether the FLSA had been violated in this case and that the employees were represented by the union and the union attorney in reaching the settlement.</w:t>
      </w:r>
      <w:r w:rsidR="003C3C13" w:rsidRPr="003C3C13">
        <w:rPr>
          <w:vertAlign w:val="superscript"/>
        </w:rPr>
        <w:footnoteReference w:id="39"/>
      </w:r>
    </w:p>
    <w:p w14:paraId="3A6252CA" w14:textId="79FD78A6" w:rsidR="003C3C13" w:rsidRPr="003C3C13" w:rsidRDefault="00A85C8E" w:rsidP="003C3C13">
      <w:pPr>
        <w:pStyle w:val="BNormal"/>
      </w:pPr>
      <w:r w:rsidRPr="003C3C13">
        <w:t xml:space="preserve">The Fifth Circuit declined to extend the </w:t>
      </w:r>
      <w:r w:rsidR="003C3C13" w:rsidRPr="003C3C13">
        <w:rPr>
          <w:i/>
        </w:rPr>
        <w:t>Martin</w:t>
      </w:r>
      <w:r w:rsidRPr="003C3C13">
        <w:t xml:space="preserve"> holding in </w:t>
      </w:r>
      <w:r w:rsidR="003C3C13" w:rsidRPr="003C3C13">
        <w:rPr>
          <w:i/>
        </w:rPr>
        <w:t>Bodle v</w:t>
      </w:r>
      <w:r w:rsidR="003C3C13" w:rsidRPr="003C3C13">
        <w:t xml:space="preserve">. </w:t>
      </w:r>
      <w:r w:rsidR="003C3C13" w:rsidRPr="003C3C13">
        <w:rPr>
          <w:i/>
        </w:rPr>
        <w:t>TXL Mortgage Corp</w:t>
      </w:r>
      <w:r w:rsidRPr="003C3C13">
        <w:t>.</w:t>
      </w:r>
      <w:r w:rsidR="003C3C13" w:rsidRPr="003C3C13">
        <w:rPr>
          <w:vertAlign w:val="superscript"/>
        </w:rPr>
        <w:footnoteReference w:id="40"/>
      </w:r>
      <w:r w:rsidRPr="003C3C13">
        <w:t xml:space="preserve"> In </w:t>
      </w:r>
      <w:r w:rsidR="003C3C13" w:rsidRPr="003C3C13">
        <w:rPr>
          <w:i/>
        </w:rPr>
        <w:t>Bodle</w:t>
      </w:r>
      <w:r w:rsidRPr="003C3C13">
        <w:t xml:space="preserve">, the district court relied on </w:t>
      </w:r>
      <w:r w:rsidR="003C3C13" w:rsidRPr="003C3C13">
        <w:rPr>
          <w:i/>
        </w:rPr>
        <w:t>Martin</w:t>
      </w:r>
      <w:r w:rsidRPr="003C3C13">
        <w:t xml:space="preserve"> and enforced a “generic, broad release against the plaintiffs’ subsequent FLSA claims, even though the release was obtained through the private settlement of a prior state court action that did not involve the FLSA or any claim of unpaid wages.”</w:t>
      </w:r>
      <w:r w:rsidR="003C3C13" w:rsidRPr="003C3C13">
        <w:rPr>
          <w:vertAlign w:val="superscript"/>
        </w:rPr>
        <w:footnoteReference w:id="41"/>
      </w:r>
      <w:r w:rsidRPr="003C3C13">
        <w:t xml:space="preserve"> The Fifth Circuit reversed:</w:t>
      </w:r>
    </w:p>
    <w:p w14:paraId="7BA8C64A" w14:textId="79099322" w:rsidR="003C3C13" w:rsidRPr="003C3C13" w:rsidRDefault="00A85C8E" w:rsidP="003C3C13">
      <w:pPr>
        <w:pStyle w:val="BQuotelong"/>
      </w:pPr>
      <w:r w:rsidRPr="003C3C13">
        <w:t xml:space="preserve">The </w:t>
      </w:r>
      <w:r w:rsidR="003C3C13" w:rsidRPr="003C3C13">
        <w:rPr>
          <w:i/>
        </w:rPr>
        <w:t>Martin</w:t>
      </w:r>
      <w:r w:rsidRPr="003C3C13">
        <w:t xml:space="preserve"> exception does not apply to the instant case because not only did the prior state court action not involve the FLSA, the parties never discussed overtime compensation or the FLSA in their settlement negotiations</w:t>
      </w:r>
      <w:r w:rsidR="003C3C13" w:rsidRPr="003C3C13">
        <w:t>. T</w:t>
      </w:r>
      <w:r w:rsidRPr="003C3C13">
        <w:t>herefore, there was no factual development of the number of unpaid overtime hours nor of compensation due for unpaid overtime</w:t>
      </w:r>
      <w:r w:rsidR="003C3C13" w:rsidRPr="003C3C13">
        <w:t>. T</w:t>
      </w:r>
      <w:r w:rsidRPr="003C3C13">
        <w:t>o deem the plaintiffs as having fairly bargained away unmentioned overtime pay based on a settlement that involves a compromise over wages due for commissions and salary would subvert the purpose of the FLSA</w:t>
      </w:r>
      <w:r w:rsidR="003C3C13" w:rsidRPr="003C3C13">
        <w:t>: n</w:t>
      </w:r>
      <w:r w:rsidRPr="003C3C13">
        <w:t>amely, in this case, the protection of the right to overtime pay.</w:t>
      </w:r>
      <w:r w:rsidR="003C3C13" w:rsidRPr="003C3C13">
        <w:rPr>
          <w:vertAlign w:val="superscript"/>
        </w:rPr>
        <w:footnoteReference w:id="42"/>
      </w:r>
    </w:p>
    <w:p w14:paraId="7FB44778" w14:textId="075F34C1" w:rsidR="003C3C13" w:rsidRPr="003C3C13" w:rsidRDefault="00A85C8E" w:rsidP="003C3C13">
      <w:pPr>
        <w:pStyle w:val="BNormal"/>
      </w:pPr>
      <w:r w:rsidRPr="003C3C13">
        <w:t xml:space="preserve">After </w:t>
      </w:r>
      <w:r w:rsidR="003C3C13" w:rsidRPr="003C3C13">
        <w:rPr>
          <w:i/>
        </w:rPr>
        <w:t>Martin</w:t>
      </w:r>
      <w:r w:rsidRPr="003C3C13">
        <w:t>, some district courts have held that settlements where the plaintiffs are represented by counsel no longer need court approval to be binding.</w:t>
      </w:r>
      <w:r w:rsidR="003C3C13" w:rsidRPr="003C3C13">
        <w:rPr>
          <w:vertAlign w:val="superscript"/>
        </w:rPr>
        <w:footnoteReference w:id="43"/>
      </w:r>
      <w:r w:rsidRPr="003C3C13">
        <w:t xml:space="preserve"> A district court in Arkansas found that because each of the following three criteria was met, the court would not engage in a reasonableness review:</w:t>
      </w:r>
    </w:p>
    <w:p w14:paraId="638B9E87" w14:textId="7F5E75E2" w:rsidR="003C3C13" w:rsidRPr="003C3C13" w:rsidRDefault="00A85C8E" w:rsidP="003C3C13">
      <w:pPr>
        <w:pStyle w:val="BQuotelong"/>
      </w:pPr>
      <w:r w:rsidRPr="003C3C13">
        <w:t>(1) the lawsuit is not a collective action</w:t>
      </w:r>
      <w:r w:rsidR="003C3C13" w:rsidRPr="003C3C13">
        <w:t>; (</w:t>
      </w:r>
      <w:r w:rsidRPr="003C3C13">
        <w:t>2) all individual plaintiffs were represented by an attorney from the time of the filing of the complaint through the conclusion of subsequent settlement negotiations</w:t>
      </w:r>
      <w:r w:rsidR="003C3C13" w:rsidRPr="003C3C13">
        <w:t>; a</w:t>
      </w:r>
      <w:r w:rsidRPr="003C3C13">
        <w:t>nd (3) all parties have indicated to the Court in writing through their attorneys that they wish for their settlements to remain private and that they do not wish for any reasonableness review of their settlement to occur.</w:t>
      </w:r>
      <w:r w:rsidR="003C3C13" w:rsidRPr="003C3C13">
        <w:rPr>
          <w:vertAlign w:val="superscript"/>
        </w:rPr>
        <w:footnoteReference w:id="44"/>
      </w:r>
    </w:p>
    <w:p w14:paraId="0172339C" w14:textId="6A778E27" w:rsidR="003C3C13" w:rsidRPr="003C3C13" w:rsidRDefault="00A85C8E" w:rsidP="003C3C13">
      <w:pPr>
        <w:pStyle w:val="BNormal"/>
      </w:pPr>
      <w:r w:rsidRPr="003C3C13">
        <w:t xml:space="preserve">Other courts have rejected </w:t>
      </w:r>
      <w:r w:rsidR="003C3C13" w:rsidRPr="003C3C13">
        <w:rPr>
          <w:i/>
        </w:rPr>
        <w:t>Martin</w:t>
      </w:r>
      <w:r w:rsidRPr="003C3C13">
        <w:t xml:space="preserve"> or limited the Fifth Circuit’s holding to its particular facts, noting that without judicial scrutiny it is impossible to determine whether a bona fide dispute existed and that the plaintiffs’ interests were, in fact, fairly represented.</w:t>
      </w:r>
      <w:r w:rsidR="003C3C13" w:rsidRPr="003C3C13">
        <w:rPr>
          <w:vertAlign w:val="superscript"/>
        </w:rPr>
        <w:footnoteReference w:id="45"/>
      </w:r>
    </w:p>
    <w:p w14:paraId="2BC92256" w14:textId="23CDF224" w:rsidR="003C3C13" w:rsidRPr="003C3C13" w:rsidRDefault="00A85C8E" w:rsidP="003C3C13">
      <w:pPr>
        <w:pStyle w:val="BNormal"/>
      </w:pPr>
      <w:r w:rsidRPr="003C3C13">
        <w:t xml:space="preserve">In 2018, in </w:t>
      </w:r>
      <w:r w:rsidR="003C3C13" w:rsidRPr="003C3C13">
        <w:rPr>
          <w:rStyle w:val="BCasenamefull"/>
        </w:rPr>
        <w:t>Melgar v. OK Foods</w:t>
      </w:r>
      <w:r w:rsidRPr="003C3C13">
        <w:t>,</w:t>
      </w:r>
      <w:r w:rsidR="003C3C13" w:rsidRPr="003C3C13">
        <w:rPr>
          <w:vertAlign w:val="superscript"/>
        </w:rPr>
        <w:footnoteReference w:id="46"/>
      </w:r>
      <w:r w:rsidRPr="003C3C13">
        <w:t xml:space="preserve"> the Eighth Circuit recognized an “apparent circuit split” as to whether private settlements relating to FLSA claims require district court review (citing </w:t>
      </w:r>
      <w:r w:rsidR="003C3C13" w:rsidRPr="003C3C13">
        <w:rPr>
          <w:rStyle w:val="BCasenamefull"/>
        </w:rPr>
        <w:t>Cheeks v. Freeport Pancake House, Inc.</w:t>
      </w:r>
      <w:r w:rsidR="003C3C13" w:rsidRPr="003C3C13">
        <w:rPr>
          <w:vertAlign w:val="superscript"/>
        </w:rPr>
        <w:footnoteReference w:id="47"/>
      </w:r>
      <w:r w:rsidRPr="003C3C13">
        <w:t xml:space="preserve"> and </w:t>
      </w:r>
      <w:r w:rsidR="003C3C13" w:rsidRPr="003C3C13">
        <w:rPr>
          <w:i/>
        </w:rPr>
        <w:t>Martin</w:t>
      </w:r>
      <w:r w:rsidRPr="003C3C13">
        <w:t>), but since neither party had discussed whether district court approval was required, the circuit court assumed without deciding that a district court has “a duty to exercise some level or review of the Agreement and the attorneys’ fee award.”</w:t>
      </w:r>
      <w:r w:rsidR="003C3C13" w:rsidRPr="003C3C13">
        <w:rPr>
          <w:vertAlign w:val="superscript"/>
        </w:rPr>
        <w:footnoteReference w:id="48"/>
      </w:r>
      <w:r w:rsidRPr="003C3C13">
        <w:t xml:space="preserve"> Decisions from district courts in Colorado are illustrative that “the law with respect to requiring court approval of FLSA actions is somewhat in flux.”</w:t>
      </w:r>
      <w:r w:rsidR="003C3C13" w:rsidRPr="003C3C13">
        <w:rPr>
          <w:vertAlign w:val="superscript"/>
        </w:rPr>
        <w:footnoteReference w:id="49"/>
      </w:r>
      <w:r w:rsidRPr="003C3C13">
        <w:t xml:space="preserve"> Several Colorado decisions have held that, absent special circumstances, FLSA settlements do not require court approval.</w:t>
      </w:r>
      <w:r w:rsidR="003C3C13" w:rsidRPr="003C3C13">
        <w:rPr>
          <w:vertAlign w:val="superscript"/>
        </w:rPr>
        <w:footnoteReference w:id="50"/>
      </w:r>
      <w:r w:rsidRPr="003C3C13">
        <w:t xml:space="preserve"> These circumstances include when “not all opt-in plaintiffs can be contacted to obtain consent to a settlement agreement or where a party alleges that an agreement does not actually pertain to a bona fide dispute—which is to say that there is evidence of malfeasance or overreaching in obtaining a settlement agreement … .”</w:t>
      </w:r>
      <w:r w:rsidR="003C3C13" w:rsidRPr="003C3C13">
        <w:rPr>
          <w:vertAlign w:val="superscript"/>
        </w:rPr>
        <w:footnoteReference w:id="51"/>
      </w:r>
      <w:r w:rsidRPr="003C3C13">
        <w:t xml:space="preserve"> According to these courts, if these factors are not present, “nothing in the text of the FLSA expressly requires court review and approval of settlements” and that “such settlement will be legally effective regardless of whether [the settlement is] submitted to or approved by the trial court.”</w:t>
      </w:r>
      <w:r w:rsidR="003C3C13" w:rsidRPr="003C3C13">
        <w:rPr>
          <w:vertAlign w:val="superscript"/>
        </w:rPr>
        <w:footnoteReference w:id="52"/>
      </w:r>
      <w:r w:rsidRPr="003C3C13">
        <w:t xml:space="preserve"> Other Colorado district courts have explained that while “there is disagreement over whether FLSA settlements </w:t>
      </w:r>
      <w:r w:rsidR="003C3C13" w:rsidRPr="003C3C13">
        <w:rPr>
          <w:i/>
        </w:rPr>
        <w:t>must</w:t>
      </w:r>
      <w:r w:rsidRPr="003C3C13">
        <w:t xml:space="preserve"> be approved by the Court, there does not appear to be disagreement at this time over whether FLSA settlements </w:t>
      </w:r>
      <w:r w:rsidR="003C3C13" w:rsidRPr="003C3C13">
        <w:rPr>
          <w:i/>
        </w:rPr>
        <w:t>may</w:t>
      </w:r>
      <w:r w:rsidRPr="003C3C13">
        <w:t xml:space="preserve"> be approved by the Court” and then have proceeded to apply the “factors traditionally considered in the District of Colorado” in considering settlement approval.</w:t>
      </w:r>
      <w:r w:rsidR="003C3C13" w:rsidRPr="003C3C13">
        <w:rPr>
          <w:vertAlign w:val="superscript"/>
        </w:rPr>
        <w:footnoteReference w:id="53"/>
      </w:r>
      <w:r w:rsidRPr="003C3C13">
        <w:t xml:space="preserve"> Still other Colorado district courts have continued to conclude that settlement approval is required.</w:t>
      </w:r>
      <w:r w:rsidR="003C3C13" w:rsidRPr="003C3C13">
        <w:rPr>
          <w:vertAlign w:val="superscript"/>
        </w:rPr>
        <w:footnoteReference w:id="54"/>
      </w:r>
    </w:p>
    <w:p w14:paraId="4F65EA46" w14:textId="5F54AA31" w:rsidR="003C3C13" w:rsidRPr="003C3C13" w:rsidRDefault="00A85C8E" w:rsidP="003C3C13">
      <w:pPr>
        <w:pStyle w:val="BNormal"/>
      </w:pPr>
      <w:r w:rsidRPr="003C3C13">
        <w:t>One court denied as moot a motion for court approval of an FLSA retaliation settlement because judicial approval was not required unless the claim involved unpaid wages.</w:t>
      </w:r>
      <w:r w:rsidR="003C3C13" w:rsidRPr="003C3C13">
        <w:rPr>
          <w:vertAlign w:val="superscript"/>
        </w:rPr>
        <w:footnoteReference w:id="55"/>
      </w:r>
      <w:r w:rsidRPr="003C3C13">
        <w:t xml:space="preserve"> Another district court held that the requirement for judicial approval cannot be used to renege from an otherwise binding agreement to settle prior to court approval.</w:t>
      </w:r>
      <w:r w:rsidR="003C3C13" w:rsidRPr="003C3C13">
        <w:rPr>
          <w:vertAlign w:val="superscript"/>
        </w:rPr>
        <w:footnoteReference w:id="56"/>
      </w:r>
    </w:p>
    <w:p w14:paraId="1968658F" w14:textId="2B1B903E" w:rsidR="003C3C13" w:rsidRPr="003C3C13" w:rsidRDefault="00A85C8E" w:rsidP="003C3C13">
      <w:pPr>
        <w:pStyle w:val="BNormal"/>
      </w:pPr>
      <w:r w:rsidRPr="003C3C13">
        <w:t>Given the proliferation of arbitration agreements, some FLSA collective action settlements are approved by arbitrators</w:t>
      </w:r>
      <w:r w:rsidR="003C3C13" w:rsidRPr="003C3C13">
        <w:t>. A</w:t>
      </w:r>
      <w:r w:rsidRPr="003C3C13">
        <w:t>lthough courts generally defer to an arbitrator’s decision, one district court refused to confirm an arbitration award approving an FLSA collective action because the parties did not submit the settlement agreement or any evidence allowing the district court to review the award.</w:t>
      </w:r>
      <w:r w:rsidR="003C3C13" w:rsidRPr="003C3C13">
        <w:rPr>
          <w:vertAlign w:val="superscript"/>
        </w:rPr>
        <w:footnoteReference w:id="57"/>
      </w:r>
      <w:r w:rsidRPr="003C3C13">
        <w:t xml:space="preserve"> The court stated that it may not “rubber stamp” an arbitration order but must confirm the fairness and reasonableness of the resolution of the FLSA claims.</w:t>
      </w:r>
      <w:r w:rsidR="003C3C13" w:rsidRPr="003C3C13">
        <w:rPr>
          <w:vertAlign w:val="superscript"/>
        </w:rPr>
        <w:footnoteReference w:id="58"/>
      </w:r>
    </w:p>
    <w:p w14:paraId="52CB5F3B" w14:textId="27A0E114" w:rsidR="003C3C13" w:rsidRPr="003C3C13" w:rsidRDefault="003C3C13" w:rsidP="003C3C13">
      <w:pPr>
        <w:pStyle w:val="BNormal"/>
        <w:rPr>
          <w:smallCaps/>
        </w:rPr>
      </w:pPr>
      <w:r w:rsidRPr="003C3C13">
        <w:rPr>
          <w:smallCaps/>
        </w:rPr>
        <w:t>III. Stipulated And Voluntary Dismissal of FLSA Claims And Rule 68 Offers of Judgment</w:t>
      </w:r>
    </w:p>
    <w:p w14:paraId="28DEB479" w14:textId="5867DC70" w:rsidR="003C3C13" w:rsidRPr="003C3C13" w:rsidRDefault="00A85C8E" w:rsidP="003C3C13">
      <w:pPr>
        <w:pStyle w:val="BNormal"/>
      </w:pPr>
      <w:r w:rsidRPr="003C3C13">
        <w:t>Courts have reached different conclusions whether parties to FLSA litigation may stipulate to dismiss a lawsuit with or without prejudice as part of a private settlement, without first seeking court approval</w:t>
      </w:r>
      <w:r w:rsidR="003C3C13" w:rsidRPr="003C3C13">
        <w:t>. I</w:t>
      </w:r>
      <w:r w:rsidRPr="003C3C13">
        <w:t xml:space="preserve">n </w:t>
      </w:r>
      <w:r w:rsidR="003C3C13" w:rsidRPr="003C3C13">
        <w:rPr>
          <w:rStyle w:val="BCasenamefull"/>
        </w:rPr>
        <w:t>Cheeks v. Freeport Pancake House, Inc.</w:t>
      </w:r>
      <w:r w:rsidRPr="003C3C13">
        <w:t>,</w:t>
      </w:r>
      <w:r w:rsidR="003C3C13" w:rsidRPr="003C3C13">
        <w:rPr>
          <w:vertAlign w:val="superscript"/>
        </w:rPr>
        <w:footnoteReference w:id="59"/>
      </w:r>
      <w:r w:rsidRPr="003C3C13">
        <w:t xml:space="preserve"> the Second Circuit became the first appellate court to consider whether parties could enter a “stipulated dismissal of FLSA claims with prejudice, without the involvement of the district court or DOL” pursuant to Federal Rule of Civil Procedure 41(a)(1)(A)(ii).</w:t>
      </w:r>
      <w:r w:rsidR="003C3C13" w:rsidRPr="003C3C13">
        <w:rPr>
          <w:vertAlign w:val="superscript"/>
        </w:rPr>
        <w:footnoteReference w:id="60"/>
      </w:r>
      <w:r w:rsidRPr="003C3C13">
        <w:t xml:space="preserve"> Rule 41(a)(1)(A)(ii) states that “[s]</w:t>
      </w:r>
      <w:proofErr w:type="spellStart"/>
      <w:r w:rsidRPr="003C3C13">
        <w:t>ubject</w:t>
      </w:r>
      <w:proofErr w:type="spellEnd"/>
      <w:r w:rsidRPr="003C3C13">
        <w:t xml:space="preserve"> to Rules 23(e), 23.1(c), 23.2, and 66 and </w:t>
      </w:r>
      <w:r w:rsidR="003C3C13" w:rsidRPr="003C3C13">
        <w:rPr>
          <w:i/>
        </w:rPr>
        <w:t>any applicable federal</w:t>
      </w:r>
      <w:r w:rsidRPr="003C3C13">
        <w:t xml:space="preserve"> </w:t>
      </w:r>
      <w:r w:rsidR="003C3C13" w:rsidRPr="003C3C13">
        <w:rPr>
          <w:i/>
        </w:rPr>
        <w:t>statute</w:t>
      </w:r>
      <w:r w:rsidRPr="003C3C13">
        <w:t>, the plaintiff may dismiss an action without a court order by filing … a stipulation of dismissal signed by all parties who have appeared.”</w:t>
      </w:r>
      <w:r w:rsidR="003C3C13" w:rsidRPr="003C3C13">
        <w:rPr>
          <w:vertAlign w:val="superscript"/>
        </w:rPr>
        <w:footnoteReference w:id="61"/>
      </w:r>
      <w:r w:rsidRPr="003C3C13">
        <w:t xml:space="preserve"> </w:t>
      </w:r>
      <w:r w:rsidR="003C3C13" w:rsidRPr="003C3C13">
        <w:rPr>
          <w:i/>
        </w:rPr>
        <w:t>Cheeks</w:t>
      </w:r>
      <w:r w:rsidRPr="003C3C13">
        <w:t xml:space="preserve"> thus turned on whether the FLSA was an “applicable federal statute,” without narrowing that reference to the text of the statute, such that court approval was necessary before FLSA claims could be dismissed with prejudice by stipulation of the parties.</w:t>
      </w:r>
      <w:r w:rsidR="003C3C13" w:rsidRPr="003C3C13">
        <w:rPr>
          <w:vertAlign w:val="superscript"/>
        </w:rPr>
        <w:footnoteReference w:id="62"/>
      </w:r>
      <w:r w:rsidRPr="003C3C13">
        <w:t xml:space="preserve"> The Second Circuit concluded that the FLSA met the “applicable federal statute” exception to Rule 41(a)(1)(A)(ii) because of “the unique policy considerations underlying the FLSA” and the “underlying purpose” of the Act.</w:t>
      </w:r>
      <w:r w:rsidR="003C3C13" w:rsidRPr="003C3C13">
        <w:rPr>
          <w:vertAlign w:val="superscript"/>
        </w:rPr>
        <w:footnoteReference w:id="63"/>
      </w:r>
      <w:r w:rsidRPr="003C3C13">
        <w:t xml:space="preserve"> Therefore, it held that stipulated dismissals settling FLSA claims with prejudice pursuant to Rule 41(a)(1)(A)(ii) required approval of either the district court or the DOL to take effect.</w:t>
      </w:r>
      <w:r w:rsidR="003C3C13" w:rsidRPr="003C3C13">
        <w:rPr>
          <w:vertAlign w:val="superscript"/>
        </w:rPr>
        <w:footnoteReference w:id="64"/>
      </w:r>
      <w:r w:rsidRPr="003C3C13">
        <w:t xml:space="preserve"> In reaching its decision, the </w:t>
      </w:r>
      <w:r w:rsidR="003C3C13" w:rsidRPr="003C3C13">
        <w:rPr>
          <w:i/>
        </w:rPr>
        <w:t>Cheeks</w:t>
      </w:r>
      <w:r w:rsidRPr="003C3C13">
        <w:t xml:space="preserve"> court considered the potential for abuse in FLSA settlements against the FLSA’s underlying purpose “to extend the frontiers of social progress by insuring to all our able-bodied working men and women a fair day’s pay for a fair day’s work,” and the Supreme Court’s consistent efforts to “interpret[ ] the Act liberally and afford[] its protections exceptionally broad coverage.”</w:t>
      </w:r>
      <w:r w:rsidR="003C3C13" w:rsidRPr="003C3C13">
        <w:rPr>
          <w:vertAlign w:val="superscript"/>
        </w:rPr>
        <w:footnoteReference w:id="65"/>
      </w:r>
      <w:r w:rsidRPr="003C3C13">
        <w:t xml:space="preserve"> The holding in </w:t>
      </w:r>
      <w:r w:rsidR="003C3C13" w:rsidRPr="003C3C13">
        <w:rPr>
          <w:i/>
        </w:rPr>
        <w:t>Cheeks</w:t>
      </w:r>
      <w:r w:rsidRPr="003C3C13">
        <w:t xml:space="preserve"> was limited to Rule 41(a)(1)(A)(ii) dismissals with prejudice.</w:t>
      </w:r>
      <w:r w:rsidR="003C3C13" w:rsidRPr="003C3C13">
        <w:rPr>
          <w:vertAlign w:val="superscript"/>
        </w:rPr>
        <w:footnoteReference w:id="66"/>
      </w:r>
      <w:r w:rsidRPr="003C3C13">
        <w:t xml:space="preserve"> The court “[left] for another day the question of whether parties may settle such cases without court approval or DOL supervision by entering into a Rule 41(a)(1)(A) stipulation </w:t>
      </w:r>
      <w:r w:rsidR="003C3C13" w:rsidRPr="003C3C13">
        <w:rPr>
          <w:i/>
        </w:rPr>
        <w:t xml:space="preserve">without </w:t>
      </w:r>
      <w:r w:rsidRPr="003C3C13">
        <w:t>prejudice.”</w:t>
      </w:r>
      <w:r w:rsidR="003C3C13" w:rsidRPr="003C3C13">
        <w:rPr>
          <w:vertAlign w:val="superscript"/>
        </w:rPr>
        <w:footnoteReference w:id="67"/>
      </w:r>
      <w:r w:rsidRPr="003C3C13">
        <w:t xml:space="preserve"> Nor did it address other avenues for dismissal or settlement of claims, including Rule 68(a) offers of judgment.</w:t>
      </w:r>
    </w:p>
    <w:p w14:paraId="6DAC8DB9" w14:textId="0965D7D6" w:rsidR="003C3C13" w:rsidRPr="003C3C13" w:rsidRDefault="00A85C8E" w:rsidP="003C3C13">
      <w:pPr>
        <w:pStyle w:val="BNormal"/>
      </w:pPr>
      <w:r w:rsidRPr="003C3C13">
        <w:t xml:space="preserve">However, the Second Circuit soon answered both questions left open in </w:t>
      </w:r>
      <w:r w:rsidR="003C3C13" w:rsidRPr="003C3C13">
        <w:rPr>
          <w:i/>
        </w:rPr>
        <w:t>Cheeks</w:t>
      </w:r>
      <w:r w:rsidR="003C3C13" w:rsidRPr="003C3C13">
        <w:t>. I</w:t>
      </w:r>
      <w:r w:rsidRPr="003C3C13">
        <w:t xml:space="preserve">n </w:t>
      </w:r>
      <w:r w:rsidR="003C3C13" w:rsidRPr="003C3C13">
        <w:rPr>
          <w:rStyle w:val="BCasenamefull"/>
        </w:rPr>
        <w:t xml:space="preserve">Mei Xing Yu v. </w:t>
      </w:r>
      <w:proofErr w:type="spellStart"/>
      <w:r w:rsidR="003C3C13" w:rsidRPr="003C3C13">
        <w:rPr>
          <w:rStyle w:val="BCasenamefull"/>
        </w:rPr>
        <w:t>Hasaki</w:t>
      </w:r>
      <w:proofErr w:type="spellEnd"/>
      <w:r w:rsidR="003C3C13" w:rsidRPr="003C3C13">
        <w:rPr>
          <w:rStyle w:val="BCasenamefull"/>
        </w:rPr>
        <w:t xml:space="preserve"> Restaurant, Inc</w:t>
      </w:r>
      <w:r w:rsidRPr="003C3C13">
        <w:t xml:space="preserve">., the Second Circuit held that Rule 68 offers of judgment in the FLSA context do not require court approval and explained that “while </w:t>
      </w:r>
      <w:r w:rsidR="003C3C13" w:rsidRPr="003C3C13">
        <w:rPr>
          <w:i/>
        </w:rPr>
        <w:t>Cheeks</w:t>
      </w:r>
      <w:r w:rsidRPr="003C3C13">
        <w:t xml:space="preserve"> may provide some support for the proposition that Rule 68(a) offers of judgment also require judicial approval, it is not directly controlling, and we are not required to adopt its reasoning.”</w:t>
      </w:r>
      <w:r w:rsidR="003C3C13" w:rsidRPr="003C3C13">
        <w:rPr>
          <w:vertAlign w:val="superscript"/>
        </w:rPr>
        <w:footnoteReference w:id="68"/>
      </w:r>
      <w:r w:rsidRPr="003C3C13">
        <w:t xml:space="preserve"> In </w:t>
      </w:r>
      <w:r w:rsidR="003C3C13" w:rsidRPr="003C3C13">
        <w:rPr>
          <w:i/>
        </w:rPr>
        <w:t>Samake v. Thunder Lube, Inc.</w:t>
      </w:r>
      <w:r w:rsidRPr="003C3C13">
        <w:t>,</w:t>
      </w:r>
      <w:r w:rsidR="003C3C13" w:rsidRPr="003C3C13">
        <w:rPr>
          <w:vertAlign w:val="superscript"/>
        </w:rPr>
        <w:footnoteReference w:id="69"/>
      </w:r>
      <w:r w:rsidRPr="003C3C13">
        <w:t> the Second Circuit held that “the FLSA limits the automatic operation of Rule 41(a)(1)(A)(</w:t>
      </w:r>
      <w:proofErr w:type="spellStart"/>
      <w:r w:rsidRPr="003C3C13">
        <w:t>i</w:t>
      </w:r>
      <w:proofErr w:type="spellEnd"/>
      <w:r w:rsidRPr="003C3C13">
        <w:t>), which concerns unilateral dismissals, as well as (ii), which concerns stipulated dismissals.”</w:t>
      </w:r>
      <w:r w:rsidR="003C3C13" w:rsidRPr="003C3C13">
        <w:rPr>
          <w:vertAlign w:val="superscript"/>
        </w:rPr>
        <w:footnoteReference w:id="70"/>
      </w:r>
      <w:r w:rsidRPr="003C3C13">
        <w:t xml:space="preserve"> As a result, in the Second Circuit, when a plaintiff files a notice of voluntary dismissal “under Rule 41(a)(1)(A)”—whether “with prejudice” or “without prejudice”—a district court is to “</w:t>
      </w:r>
      <w:proofErr w:type="spellStart"/>
      <w:r w:rsidRPr="003C3C13">
        <w:t>inquir</w:t>
      </w:r>
      <w:proofErr w:type="spellEnd"/>
      <w:r w:rsidRPr="003C3C13">
        <w:t>[e] as to the existence of any FLSA settlement.”</w:t>
      </w:r>
      <w:r w:rsidR="003C3C13" w:rsidRPr="003C3C13">
        <w:rPr>
          <w:vertAlign w:val="superscript"/>
        </w:rPr>
        <w:footnoteReference w:id="71"/>
      </w:r>
      <w:r w:rsidRPr="003C3C13">
        <w:t xml:space="preserve"> If a settlement exists, a district court is to “engage in a </w:t>
      </w:r>
      <w:r w:rsidR="003C3C13" w:rsidRPr="003C3C13">
        <w:rPr>
          <w:i/>
        </w:rPr>
        <w:t>Cheeks</w:t>
      </w:r>
      <w:r w:rsidRPr="003C3C13">
        <w:t> fairness review,” and if not, “the notice of dismissal should be so ordered.”</w:t>
      </w:r>
      <w:r w:rsidR="003C3C13" w:rsidRPr="003C3C13">
        <w:rPr>
          <w:vertAlign w:val="superscript"/>
        </w:rPr>
        <w:footnoteReference w:id="72"/>
      </w:r>
    </w:p>
    <w:p w14:paraId="5754E17E" w14:textId="2F2D8F75" w:rsidR="003C3C13" w:rsidRPr="003C3C13" w:rsidRDefault="00A85C8E" w:rsidP="003C3C13">
      <w:pPr>
        <w:pStyle w:val="BNormal"/>
      </w:pPr>
      <w:r w:rsidRPr="003C3C13">
        <w:rPr>
          <w:rFonts w:eastAsiaTheme="minorEastAsia"/>
        </w:rPr>
        <w:t>Other courts have likewise determined that the FLSA is one of the “applicable federal statutes” that limits Rule 41(a)(1) dismissals of FLSA litigation with prejudice.</w:t>
      </w:r>
      <w:r w:rsidR="003C3C13" w:rsidRPr="003C3C13">
        <w:rPr>
          <w:rFonts w:eastAsiaTheme="minorEastAsia"/>
          <w:vertAlign w:val="superscript"/>
        </w:rPr>
        <w:footnoteReference w:id="73"/>
      </w:r>
      <w:r w:rsidRPr="003C3C13">
        <w:rPr>
          <w:rFonts w:eastAsiaTheme="minorEastAsia"/>
        </w:rPr>
        <w:t xml:space="preserve"> Still other courts have not permitted the dismissal of FLSA litigation pursuant to a settlement even if the dismissal is without prejudice.</w:t>
      </w:r>
      <w:r w:rsidR="003C3C13" w:rsidRPr="003C3C13">
        <w:rPr>
          <w:rFonts w:eastAsiaTheme="minorEastAsia"/>
          <w:vertAlign w:val="superscript"/>
        </w:rPr>
        <w:footnoteReference w:id="74"/>
      </w:r>
      <w:r w:rsidRPr="003C3C13">
        <w:rPr>
          <w:rFonts w:eastAsiaTheme="minorEastAsia"/>
        </w:rPr>
        <w:t xml:space="preserve"> Some district courts, primarily in the Second and Eleventh Circuits, have viewed such a dismissal as an end run around the requirement of court approval and have required the parties to submit sufficient information surrounding a plaintiff’s decision to dismiss his or her FLSA claim before entering a stipulated dism</w:t>
      </w:r>
      <w:r w:rsidRPr="003C3C13">
        <w:t>issal.</w:t>
      </w:r>
      <w:r w:rsidR="003C3C13" w:rsidRPr="003C3C13">
        <w:rPr>
          <w:vertAlign w:val="superscript"/>
        </w:rPr>
        <w:footnoteReference w:id="75"/>
      </w:r>
    </w:p>
    <w:p w14:paraId="4A8A5588" w14:textId="260BA13C" w:rsidR="003C3C13" w:rsidRPr="003C3C13" w:rsidRDefault="00A85C8E" w:rsidP="003C3C13">
      <w:pPr>
        <w:pStyle w:val="BNormal"/>
      </w:pPr>
      <w:r w:rsidRPr="003C3C13">
        <w:t>However, other courts have held that the parties’ stipulation of dismissal with prejudice was sufficient to terminate the litigation because the text of the FLSA does not provide that FLSA claims are exempt from Rule 41.</w:t>
      </w:r>
      <w:r w:rsidR="003C3C13" w:rsidRPr="003C3C13">
        <w:rPr>
          <w:vertAlign w:val="superscript"/>
        </w:rPr>
        <w:footnoteReference w:id="76"/>
      </w:r>
      <w:r w:rsidRPr="003C3C13">
        <w:t xml:space="preserve"> Some courts have permitted dismissals without prejudice pursuant to Rule 41(a)(1),</w:t>
      </w:r>
      <w:r w:rsidR="003C3C13" w:rsidRPr="003C3C13">
        <w:rPr>
          <w:vertAlign w:val="superscript"/>
        </w:rPr>
        <w:footnoteReference w:id="77"/>
      </w:r>
      <w:r w:rsidRPr="003C3C13">
        <w:t xml:space="preserve"> while other courts have suggested stipulations to dismiss with or without prejudice may be permissible, but, because the lack of review might leave the parties in an uncertain position, have proceeded to review the settlements for fairness as a matter of discretion.</w:t>
      </w:r>
      <w:r w:rsidR="003C3C13" w:rsidRPr="003C3C13">
        <w:rPr>
          <w:vertAlign w:val="superscript"/>
        </w:rPr>
        <w:footnoteReference w:id="78"/>
      </w:r>
    </w:p>
    <w:p w14:paraId="7ED3966D" w14:textId="5F9EBED9" w:rsidR="003C3C13" w:rsidRPr="003C3C13" w:rsidRDefault="00A85C8E" w:rsidP="003C3C13">
      <w:pPr>
        <w:pStyle w:val="BNormal"/>
      </w:pPr>
      <w:r w:rsidRPr="003C3C13">
        <w:t>In the Rule 68 context, one district court withheld the entry of judgment following an acceptance of an offer of judgment and while a motion for settlement approval was pending.</w:t>
      </w:r>
      <w:r w:rsidR="003C3C13" w:rsidRPr="003C3C13">
        <w:rPr>
          <w:vertAlign w:val="superscript"/>
        </w:rPr>
        <w:footnoteReference w:id="79"/>
      </w:r>
      <w:r w:rsidR="003C3C13" w:rsidRPr="003C3C13">
        <w:t xml:space="preserve"> </w:t>
      </w:r>
      <w:r w:rsidRPr="003C3C13">
        <w:t>The court reasoned that offers of judgment in FLSA cases are an exception to Rule 68(a) because courts are required to determine whether a compromise of FLSA claims is fair and reasonable.</w:t>
      </w:r>
      <w:r w:rsidR="003C3C13" w:rsidRPr="003C3C13">
        <w:rPr>
          <w:vertAlign w:val="superscript"/>
        </w:rPr>
        <w:footnoteReference w:id="80"/>
      </w:r>
    </w:p>
    <w:p w14:paraId="77B5A9A4" w14:textId="18AF3CDF" w:rsidR="003C3C13" w:rsidRPr="003C3C13" w:rsidRDefault="00A85C8E" w:rsidP="003C3C13">
      <w:pPr>
        <w:pStyle w:val="BNormal"/>
        <w:rPr>
          <w:rFonts w:eastAsiaTheme="minorEastAsia"/>
        </w:rPr>
      </w:pPr>
      <w:r w:rsidRPr="003C3C13">
        <w:rPr>
          <w:rFonts w:eastAsiaTheme="minorEastAsia"/>
        </w:rPr>
        <w:t>In New York,  agreements to bifurcate the settlements of FLSA and state law wage and hour claims may also be subject to review</w:t>
      </w:r>
      <w:r w:rsidR="003C3C13" w:rsidRPr="003C3C13">
        <w:rPr>
          <w:rFonts w:eastAsiaTheme="minorEastAsia"/>
        </w:rPr>
        <w:t>. I</w:t>
      </w:r>
      <w:r w:rsidRPr="003C3C13">
        <w:rPr>
          <w:rFonts w:eastAsiaTheme="minorEastAsia"/>
        </w:rPr>
        <w:t xml:space="preserve">n </w:t>
      </w:r>
      <w:r w:rsidR="003C3C13" w:rsidRPr="003C3C13">
        <w:rPr>
          <w:rStyle w:val="BCasenamefull"/>
          <w:rFonts w:eastAsiaTheme="minorEastAsia"/>
        </w:rPr>
        <w:t>Bazile v. Asset Protection Group LLC</w:t>
      </w:r>
      <w:r w:rsidRPr="003C3C13">
        <w:rPr>
          <w:rFonts w:eastAsiaTheme="minorEastAsia"/>
        </w:rPr>
        <w:t>,</w:t>
      </w:r>
      <w:r w:rsidR="003C3C13" w:rsidRPr="003C3C13">
        <w:rPr>
          <w:rFonts w:eastAsiaTheme="minorEastAsia"/>
          <w:vertAlign w:val="superscript"/>
        </w:rPr>
        <w:footnoteReference w:id="81"/>
      </w:r>
      <w:r w:rsidRPr="003C3C13">
        <w:rPr>
          <w:rFonts w:eastAsiaTheme="minorEastAsia"/>
        </w:rPr>
        <w:t xml:space="preserve"> the parties settled a wage and hour action through two contemporaneously executed settlement agreements, one that resolved all claims brought under the FLSA and the other that resolved claims brought under the New York Labor Law (NYLL)</w:t>
      </w:r>
      <w:r w:rsidR="003C3C13" w:rsidRPr="003C3C13">
        <w:rPr>
          <w:rFonts w:eastAsiaTheme="minorEastAsia"/>
        </w:rPr>
        <w:t>. T</w:t>
      </w:r>
      <w:r w:rsidRPr="003C3C13">
        <w:rPr>
          <w:rFonts w:eastAsiaTheme="minorEastAsia"/>
        </w:rPr>
        <w:t>he NYLL settlement was filed under seal.</w:t>
      </w:r>
      <w:r w:rsidR="003C3C13" w:rsidRPr="003C3C13">
        <w:rPr>
          <w:rFonts w:eastAsiaTheme="minorEastAsia"/>
          <w:vertAlign w:val="superscript"/>
        </w:rPr>
        <w:footnoteReference w:id="82"/>
      </w:r>
      <w:r w:rsidRPr="003C3C13">
        <w:rPr>
          <w:rFonts w:eastAsiaTheme="minorEastAsia"/>
        </w:rPr>
        <w:t xml:space="preserve"> The parties asked the court to approve the FLSA settlement in this bifurcated fashion and argued that doing so was consistent with </w:t>
      </w:r>
      <w:r w:rsidR="003C3C13" w:rsidRPr="003C3C13">
        <w:rPr>
          <w:rFonts w:eastAsiaTheme="minorEastAsia"/>
          <w:i/>
        </w:rPr>
        <w:t>Cheeks</w:t>
      </w:r>
      <w:r w:rsidRPr="003C3C13">
        <w:rPr>
          <w:rFonts w:eastAsiaTheme="minorEastAsia"/>
        </w:rPr>
        <w:t>.</w:t>
      </w:r>
      <w:r w:rsidR="003C3C13" w:rsidRPr="003C3C13">
        <w:rPr>
          <w:rFonts w:eastAsiaTheme="minorEastAsia"/>
          <w:vertAlign w:val="superscript"/>
        </w:rPr>
        <w:footnoteReference w:id="83"/>
      </w:r>
      <w:r w:rsidRPr="003C3C13">
        <w:rPr>
          <w:rFonts w:eastAsiaTheme="minorEastAsia"/>
        </w:rPr>
        <w:t xml:space="preserve"> The federal magistrate judge did not agree</w:t>
      </w:r>
      <w:r w:rsidR="003C3C13" w:rsidRPr="003C3C13">
        <w:rPr>
          <w:rFonts w:eastAsiaTheme="minorEastAsia"/>
        </w:rPr>
        <w:t>: “</w:t>
      </w:r>
      <w:r w:rsidRPr="003C3C13">
        <w:rPr>
          <w:rFonts w:eastAsiaTheme="minorEastAsia"/>
        </w:rPr>
        <w:t xml:space="preserve">[I]n reviewing the fairness of the FLSA settlement, the Court must, for the reasons explained, consider the terms of the NYLL settlement in conducting its </w:t>
      </w:r>
      <w:r w:rsidR="003C3C13" w:rsidRPr="003C3C13">
        <w:rPr>
          <w:rFonts w:eastAsiaTheme="minorEastAsia"/>
          <w:i/>
        </w:rPr>
        <w:t>Cheeks</w:t>
      </w:r>
      <w:r w:rsidRPr="003C3C13">
        <w:rPr>
          <w:rFonts w:eastAsiaTheme="minorEastAsia"/>
        </w:rPr>
        <w:t xml:space="preserve"> fairness review</w:t>
      </w:r>
      <w:r w:rsidR="003C3C13" w:rsidRPr="003C3C13">
        <w:rPr>
          <w:rFonts w:eastAsiaTheme="minorEastAsia"/>
        </w:rPr>
        <w:t>. …</w:t>
      </w:r>
      <w:r w:rsidRPr="003C3C13">
        <w:rPr>
          <w:rFonts w:eastAsiaTheme="minorEastAsia"/>
        </w:rPr>
        <w:t xml:space="preserve"> [Thus] that document must be filed publicly.”</w:t>
      </w:r>
      <w:r w:rsidR="003C3C13" w:rsidRPr="003C3C13">
        <w:rPr>
          <w:rFonts w:eastAsiaTheme="minorEastAsia"/>
          <w:vertAlign w:val="superscript"/>
        </w:rPr>
        <w:footnoteReference w:id="84"/>
      </w:r>
    </w:p>
    <w:p w14:paraId="39100D7E" w14:textId="61E78804" w:rsidR="003C3C13" w:rsidRPr="003C3C13" w:rsidRDefault="003C3C13" w:rsidP="003C3C13">
      <w:pPr>
        <w:pStyle w:val="BNormal"/>
        <w:rPr>
          <w:smallCaps/>
        </w:rPr>
      </w:pPr>
      <w:r w:rsidRPr="003C3C13">
        <w:rPr>
          <w:smallCaps/>
        </w:rPr>
        <w:t>IV. Factors in Court Approval of FLSA Settlements</w:t>
      </w:r>
    </w:p>
    <w:p w14:paraId="297AB7AA" w14:textId="15BF04A4" w:rsidR="003C3C13" w:rsidRPr="003C3C13" w:rsidRDefault="00A85C8E" w:rsidP="003C3C13">
      <w:pPr>
        <w:pStyle w:val="BNormal"/>
      </w:pPr>
      <w:r w:rsidRPr="003C3C13">
        <w:t xml:space="preserve">As noted earlier, under </w:t>
      </w:r>
      <w:r w:rsidR="003C3C13" w:rsidRPr="003C3C13">
        <w:rPr>
          <w:i/>
        </w:rPr>
        <w:t>Lynn’s Food Stores, Inc.</w:t>
      </w:r>
      <w:r w:rsidRPr="003C3C13">
        <w:t>,</w:t>
      </w:r>
      <w:r w:rsidR="003C3C13" w:rsidRPr="003C3C13">
        <w:rPr>
          <w:vertAlign w:val="superscript"/>
        </w:rPr>
        <w:footnoteReference w:id="85"/>
      </w:r>
      <w:r w:rsidRPr="003C3C13">
        <w:t xml:space="preserve"> court approval of a settlement agreement is generally warranted if (1) the litigation involves a bona fide dispute and (2) the proposed settlement is fair and reasonable to all parties concerned.</w:t>
      </w:r>
      <w:r w:rsidR="003C3C13" w:rsidRPr="003C3C13">
        <w:rPr>
          <w:vertAlign w:val="superscript"/>
        </w:rPr>
        <w:footnoteReference w:id="86"/>
      </w:r>
      <w:r w:rsidRPr="003C3C13">
        <w:t xml:space="preserve"> One court has held that such court approval is permitted only if the FLSA litigation is commenced by an employee against an employer, and not when an employer seeks a declaration that its proposed payments of unpaid wages and liquidated damages were fair and reasonable settlement payments.</w:t>
      </w:r>
      <w:r w:rsidR="003C3C13" w:rsidRPr="003C3C13">
        <w:rPr>
          <w:vertAlign w:val="superscript"/>
        </w:rPr>
        <w:footnoteReference w:id="87"/>
      </w:r>
    </w:p>
    <w:p w14:paraId="3187162D" w14:textId="65DD6D17" w:rsidR="003C3C13" w:rsidRPr="003C3C13" w:rsidRDefault="003C3C13" w:rsidP="003C3C13">
      <w:pPr>
        <w:pStyle w:val="BQuotelong"/>
      </w:pPr>
      <w:r w:rsidRPr="003C3C13">
        <w:rPr>
          <w:b/>
        </w:rPr>
        <w:t>A.</w:t>
      </w:r>
      <w:r w:rsidRPr="003C3C13">
        <w:rPr>
          <w:b/>
        </w:rPr>
        <w:tab/>
        <w:t>Is the Settlement the Product of a Bona Fide Dispute?</w:t>
      </w:r>
    </w:p>
    <w:p w14:paraId="6647C6AF" w14:textId="174D681A" w:rsidR="003C3C13" w:rsidRPr="003C3C13" w:rsidRDefault="00A85C8E" w:rsidP="003C3C13">
      <w:pPr>
        <w:pStyle w:val="BNormal"/>
      </w:pPr>
      <w:r w:rsidRPr="003C3C13">
        <w:t>The first of the two primary factors a court considers in approving an FLSA settlement is whether the settlement is a product of a bona fide dispute over the application of the FLSA’s provisions, rather than a waiver of statutory rights.</w:t>
      </w:r>
      <w:r w:rsidR="003C3C13" w:rsidRPr="003C3C13">
        <w:rPr>
          <w:vertAlign w:val="superscript"/>
        </w:rPr>
        <w:footnoteReference w:id="88"/>
      </w:r>
      <w:r w:rsidRPr="003C3C13">
        <w:t xml:space="preserve"> “In deciding whether a bona fide dispute exists as to a defendant’s liability under the FLSA, courts examine the pleadings in the case, along with the representations and recitals in the proposed settlement agreement.”</w:t>
      </w:r>
      <w:r w:rsidR="003C3C13" w:rsidRPr="003C3C13">
        <w:rPr>
          <w:vertAlign w:val="superscript"/>
        </w:rPr>
        <w:footnoteReference w:id="89"/>
      </w:r>
      <w:r w:rsidRPr="003C3C13">
        <w:t xml:space="preserve"> One district court has held that this requirement is not met merely by filing a lawsuit because otherwise the court’s role in finding that there is a bona fide dispute would be superfluous.</w:t>
      </w:r>
      <w:r w:rsidR="003C3C13" w:rsidRPr="003C3C13">
        <w:rPr>
          <w:vertAlign w:val="superscript"/>
        </w:rPr>
        <w:footnoteReference w:id="90"/>
      </w:r>
      <w:r w:rsidRPr="003C3C13">
        <w:t xml:space="preserve"> On the other hand, there is a “strong presumption in favor of finding the settlement fair” and the bona fide dispute inquiry “must not be turned into a trial or a rehearsal of the trial.”</w:t>
      </w:r>
      <w:r w:rsidR="003C3C13" w:rsidRPr="003C3C13">
        <w:rPr>
          <w:vertAlign w:val="superscript"/>
        </w:rPr>
        <w:footnoteReference w:id="91"/>
      </w:r>
    </w:p>
    <w:p w14:paraId="16415FF1" w14:textId="7AAEED49" w:rsidR="003C3C13" w:rsidRPr="003C3C13" w:rsidRDefault="003C3C13" w:rsidP="003C3C13">
      <w:pPr>
        <w:pStyle w:val="BQuotelong"/>
      </w:pPr>
      <w:r w:rsidRPr="003C3C13">
        <w:rPr>
          <w:b/>
        </w:rPr>
        <w:t>B.</w:t>
      </w:r>
      <w:r w:rsidRPr="003C3C13">
        <w:rPr>
          <w:b/>
        </w:rPr>
        <w:tab/>
        <w:t>Is the Settlement Fair and Reasonable?</w:t>
      </w:r>
    </w:p>
    <w:p w14:paraId="0E257D14" w14:textId="0F9F5B4E" w:rsidR="003C3C13" w:rsidRPr="003C3C13" w:rsidRDefault="00A85C8E" w:rsidP="003C3C13">
      <w:pPr>
        <w:pStyle w:val="BNormal"/>
      </w:pPr>
      <w:r w:rsidRPr="003C3C13">
        <w:t>If a bona fide dispute is found to exist, then the second factor courts must evaluate is the fairness and reasonableness of the settlement.</w:t>
      </w:r>
      <w:r w:rsidR="003C3C13" w:rsidRPr="003C3C13">
        <w:rPr>
          <w:vertAlign w:val="superscript"/>
        </w:rPr>
        <w:footnoteReference w:id="92"/>
      </w:r>
      <w:r w:rsidRPr="003C3C13">
        <w:t xml:space="preserve"> The ultimate question is whether the proposed settlement reflects a fair and “reasonable compromise of disputed issues rather than a mere waiver of statutory rights brought about by an employer’s overreaching.”</w:t>
      </w:r>
      <w:r w:rsidR="003C3C13" w:rsidRPr="003C3C13">
        <w:rPr>
          <w:vertAlign w:val="superscript"/>
        </w:rPr>
        <w:footnoteReference w:id="93"/>
      </w:r>
    </w:p>
    <w:p w14:paraId="5C2151E4" w14:textId="77777777" w:rsidR="003C3C13" w:rsidRPr="003C3C13" w:rsidRDefault="00A85C8E" w:rsidP="003C3C13">
      <w:pPr>
        <w:pStyle w:val="BNormal"/>
      </w:pPr>
      <w:r w:rsidRPr="003C3C13">
        <w:t>In determining whether a proposed settlement is fair and reasonable, courts often consider “the totality of circumstances,” including, but not limited to, the following factors:</w:t>
      </w:r>
    </w:p>
    <w:p w14:paraId="54E7F1DC" w14:textId="23D1F2DF" w:rsidR="003C3C13" w:rsidRPr="003C3C13" w:rsidRDefault="00A85C8E" w:rsidP="003C3C13">
      <w:pPr>
        <w:pStyle w:val="BQuotelong"/>
      </w:pPr>
      <w:r w:rsidRPr="003C3C13">
        <w:t>(1) the plaintiff’s range of possible recovery</w:t>
      </w:r>
      <w:r w:rsidR="003C3C13" w:rsidRPr="003C3C13">
        <w:t>; (</w:t>
      </w:r>
      <w:r w:rsidRPr="003C3C13">
        <w:t>2) the extent to which the settlement will enable the parties to avoid anticipated burdens and expenses in establishing their respective claims and defenses</w:t>
      </w:r>
      <w:r w:rsidR="003C3C13" w:rsidRPr="003C3C13">
        <w:t>; (</w:t>
      </w:r>
      <w:r w:rsidRPr="003C3C13">
        <w:t>3) the seriousness of the litigation risks faced by the parties</w:t>
      </w:r>
      <w:r w:rsidR="003C3C13" w:rsidRPr="003C3C13">
        <w:t>; (</w:t>
      </w:r>
      <w:r w:rsidRPr="003C3C13">
        <w:t>4) whether the settlement agreement is the product of arm’s-length bargaining between experienced counsel</w:t>
      </w:r>
      <w:r w:rsidR="003C3C13" w:rsidRPr="003C3C13">
        <w:t>; a</w:t>
      </w:r>
      <w:r w:rsidRPr="003C3C13">
        <w:t>nd (5) the possibility of fraud or collusion.</w:t>
      </w:r>
      <w:r w:rsidR="003C3C13" w:rsidRPr="003C3C13">
        <w:rPr>
          <w:vertAlign w:val="superscript"/>
        </w:rPr>
        <w:footnoteReference w:id="94"/>
      </w:r>
    </w:p>
    <w:p w14:paraId="7F486037" w14:textId="171788B1" w:rsidR="003C3C13" w:rsidRPr="003C3C13" w:rsidRDefault="00A85C8E" w:rsidP="003C3C13">
      <w:pPr>
        <w:pStyle w:val="BNormal"/>
      </w:pPr>
      <w:r w:rsidRPr="003C3C13">
        <w:t>This list is not exhaustive and the factors that courts examine often vary.</w:t>
      </w:r>
      <w:r w:rsidR="003C3C13" w:rsidRPr="003C3C13">
        <w:rPr>
          <w:vertAlign w:val="superscript"/>
        </w:rPr>
        <w:footnoteReference w:id="95"/>
      </w:r>
      <w:r w:rsidRPr="003C3C13">
        <w:t xml:space="preserve"> Rather, the factors are guideposts used to scrutinize the fairness of a proposed settlement</w:t>
      </w:r>
      <w:r w:rsidR="003C3C13" w:rsidRPr="003C3C13">
        <w:t>. A</w:t>
      </w:r>
      <w:r w:rsidRPr="003C3C13">
        <w:t>nother consideration in determining whether a settlement is fair and reasonable is whether the settlement includes payment for liquidated damages.</w:t>
      </w:r>
      <w:r w:rsidR="003C3C13" w:rsidRPr="003C3C13">
        <w:rPr>
          <w:vertAlign w:val="superscript"/>
        </w:rPr>
        <w:footnoteReference w:id="96"/>
      </w:r>
    </w:p>
    <w:p w14:paraId="148DE709" w14:textId="38ACA213" w:rsidR="003C3C13" w:rsidRPr="003C3C13" w:rsidRDefault="00A85C8E" w:rsidP="003C3C13">
      <w:pPr>
        <w:pStyle w:val="BNormal"/>
      </w:pPr>
      <w:r w:rsidRPr="003C3C13">
        <w:t>Some courts have identified factors that, “[g]</w:t>
      </w:r>
      <w:proofErr w:type="spellStart"/>
      <w:r w:rsidRPr="003C3C13">
        <w:t>iven</w:t>
      </w:r>
      <w:proofErr w:type="spellEnd"/>
      <w:r w:rsidRPr="003C3C13">
        <w:t xml:space="preserve"> the purposes of the FLSA,” militate against approving a settlement.</w:t>
      </w:r>
      <w:r w:rsidR="003C3C13" w:rsidRPr="003C3C13">
        <w:rPr>
          <w:vertAlign w:val="superscript"/>
        </w:rPr>
        <w:footnoteReference w:id="97"/>
      </w:r>
      <w:r w:rsidRPr="003C3C13">
        <w:t xml:space="preserve"> These factors include</w:t>
      </w:r>
    </w:p>
    <w:p w14:paraId="7AAA628B" w14:textId="485F1779" w:rsidR="003C3C13" w:rsidRPr="003C3C13" w:rsidRDefault="00A85C8E" w:rsidP="003C3C13">
      <w:pPr>
        <w:pStyle w:val="BQuotelong"/>
      </w:pPr>
      <w:r w:rsidRPr="003C3C13">
        <w:t>(1) “the presence of other employees situated similarly to the claimant”</w:t>
      </w:r>
      <w:r w:rsidR="003C3C13" w:rsidRPr="003C3C13">
        <w:t>; (</w:t>
      </w:r>
      <w:r w:rsidRPr="003C3C13">
        <w:t>2) “a likelihood that the claimant’s circumstance will recur”</w:t>
      </w:r>
      <w:r w:rsidR="003C3C13" w:rsidRPr="003C3C13">
        <w:t>; (</w:t>
      </w:r>
      <w:r w:rsidRPr="003C3C13">
        <w:t>3) “a history of FLSA non-compliance by the same employer or others in the same industry or geographic region”</w:t>
      </w:r>
      <w:r w:rsidR="003C3C13" w:rsidRPr="003C3C13">
        <w:t>; a</w:t>
      </w:r>
      <w:r w:rsidRPr="003C3C13">
        <w:t>nd (4) the desirability of “a mature record” and “a pointed determination of the governing factual or legal issue to further the development of the law either in general or in an industry or in a workplace.”</w:t>
      </w:r>
      <w:r w:rsidR="003C3C13" w:rsidRPr="003C3C13">
        <w:rPr>
          <w:vertAlign w:val="superscript"/>
        </w:rPr>
        <w:footnoteReference w:id="98"/>
      </w:r>
    </w:p>
    <w:p w14:paraId="25ABFBC2" w14:textId="0A59F3CC" w:rsidR="003C3C13" w:rsidRPr="003C3C13" w:rsidRDefault="003C3C13" w:rsidP="003C3C13">
      <w:pPr>
        <w:pStyle w:val="BNormal"/>
        <w:rPr>
          <w:smallCaps/>
        </w:rPr>
      </w:pPr>
      <w:r w:rsidRPr="003C3C13">
        <w:rPr>
          <w:smallCaps/>
        </w:rPr>
        <w:t>V. Settlement Provisions Common in FLSA Settlements</w:t>
      </w:r>
    </w:p>
    <w:p w14:paraId="2F7C1415" w14:textId="6F7E791A" w:rsidR="003C3C13" w:rsidRPr="003C3C13" w:rsidRDefault="00A85C8E" w:rsidP="003C3C13">
      <w:pPr>
        <w:pStyle w:val="BNormal"/>
      </w:pPr>
      <w:r w:rsidRPr="003C3C13">
        <w:t>If the parties establish that their settlement involves a bona fide dispute and is fair and reasonable to all parties concerned, some courts still engage in a review of the FLSA settlement’s other terms to assess their legality and fairness in deciding whether to approve the settlement</w:t>
      </w:r>
      <w:r w:rsidR="003C3C13" w:rsidRPr="003C3C13">
        <w:t>. T</w:t>
      </w:r>
      <w:r w:rsidRPr="003C3C13">
        <w:t>his section discusses some terms that courts frequently review and exemplar case law</w:t>
      </w:r>
      <w:r w:rsidR="003C3C13" w:rsidRPr="003C3C13">
        <w:t>. A</w:t>
      </w:r>
      <w:r w:rsidRPr="003C3C13">
        <w:t>s noted earlier, because there is little to no controlling circuit authority on the permissibility of particular settlement clauses, judicial review and approval of the same settlement terms can vary widely between different judicial districts and even within the same federal district</w:t>
      </w:r>
      <w:r w:rsidR="003C3C13" w:rsidRPr="003C3C13">
        <w:t>. T</w:t>
      </w:r>
      <w:r w:rsidRPr="003C3C13">
        <w:t>hus, issues that are commonly flagged by certain judges and courts as objectionable may routinely be approved by other judges and courts.</w:t>
      </w:r>
    </w:p>
    <w:p w14:paraId="042BF1F7" w14:textId="03145B39" w:rsidR="003C3C13" w:rsidRPr="003C3C13" w:rsidRDefault="003C3C13" w:rsidP="003C3C13">
      <w:pPr>
        <w:pStyle w:val="BQuotelong"/>
      </w:pPr>
      <w:r w:rsidRPr="003C3C13">
        <w:rPr>
          <w:b/>
        </w:rPr>
        <w:t>A.</w:t>
      </w:r>
      <w:r w:rsidRPr="003C3C13">
        <w:rPr>
          <w:b/>
        </w:rPr>
        <w:tab/>
        <w:t>Confidentiality</w:t>
      </w:r>
    </w:p>
    <w:p w14:paraId="12733A50" w14:textId="61F8DC5F" w:rsidR="003C3C13" w:rsidRPr="003C3C13" w:rsidRDefault="00A85C8E" w:rsidP="003C3C13">
      <w:pPr>
        <w:pStyle w:val="BNormal"/>
      </w:pPr>
      <w:r w:rsidRPr="003C3C13">
        <w:t>Whether a confidentiality provision should be included in an FLSA settlement agreement and the appropriate scope of such a provision is often an issue for the parties and a reviewing court</w:t>
      </w:r>
      <w:r w:rsidR="003C3C13" w:rsidRPr="003C3C13">
        <w:t>. A</w:t>
      </w:r>
      <w:r w:rsidRPr="003C3C13">
        <w:t>lthough scores of courts may approve confidentiality provisions without any rigorous review, the two most common issues that courts find problematic are requests to seal the settlement agreement from public view and/or a settlement clause that requires general confidentiality.</w:t>
      </w:r>
    </w:p>
    <w:p w14:paraId="66CBE3F2" w14:textId="612197EC" w:rsidR="003C3C13" w:rsidRPr="003C3C13" w:rsidRDefault="00A85C8E" w:rsidP="003C3C13">
      <w:pPr>
        <w:pStyle w:val="BNormal"/>
      </w:pPr>
      <w:r w:rsidRPr="003C3C13">
        <w:t>Many courts refuse to allow settlements of FLSA claims to be filed under seal.</w:t>
      </w:r>
      <w:r w:rsidR="003C3C13" w:rsidRPr="003C3C13">
        <w:rPr>
          <w:vertAlign w:val="superscript"/>
        </w:rPr>
        <w:footnoteReference w:id="99"/>
      </w:r>
      <w:r w:rsidRPr="003C3C13">
        <w:t xml:space="preserve"> Although other courts have permitted the filing of FLSA settlements under seal or submitted in camera,</w:t>
      </w:r>
      <w:r w:rsidR="003C3C13" w:rsidRPr="003C3C13">
        <w:rPr>
          <w:vertAlign w:val="superscript"/>
        </w:rPr>
        <w:footnoteReference w:id="100"/>
      </w:r>
      <w:r w:rsidRPr="003C3C13">
        <w:t xml:space="preserve"> many courts that have considered the issue have held that an FLSA settlement cannot be sealed absent a “substantial showing” that the parties’ need for confidentiality outweighs the public’s right of access, which is something that employers rarely can demonstrate.</w:t>
      </w:r>
      <w:r w:rsidR="003C3C13" w:rsidRPr="003C3C13">
        <w:rPr>
          <w:vertAlign w:val="superscript"/>
        </w:rPr>
        <w:footnoteReference w:id="101"/>
      </w:r>
      <w:r w:rsidRPr="003C3C13">
        <w:t xml:space="preserve"> Courts that have required the public filing of FLSA settlements have offered two principal rationales</w:t>
      </w:r>
      <w:r w:rsidR="003C3C13" w:rsidRPr="003C3C13">
        <w:t>: (</w:t>
      </w:r>
      <w:r w:rsidRPr="003C3C13">
        <w:t>1) the general public interest in the content of documents on which a court’s decision is based (which includes the determination of whether to approve a settlement), and (2) the “private-public character” of employee rights under the FLSA and the public’s interest in ensuring that employees are paid appropriate wages.</w:t>
      </w:r>
      <w:r w:rsidR="003C3C13" w:rsidRPr="003C3C13">
        <w:rPr>
          <w:vertAlign w:val="superscript"/>
        </w:rPr>
        <w:footnoteReference w:id="102"/>
      </w:r>
      <w:r w:rsidRPr="003C3C13">
        <w:t xml:space="preserve"> One court permitted a confidentiality provision and allowed the payment amounts in the settlement agreement to be redacted in the public filing of the agreement based on the parties’ representation that the litigation was “an isolated case involving only three employees and that all of the managers who were involved in the payment dispute had left the company.”</w:t>
      </w:r>
      <w:r w:rsidR="003C3C13" w:rsidRPr="003C3C13">
        <w:rPr>
          <w:vertAlign w:val="superscript"/>
        </w:rPr>
        <w:footnoteReference w:id="103"/>
      </w:r>
      <w:r w:rsidRPr="003C3C13">
        <w:t xml:space="preserve"> Another court approved a settlement despite the inclusion of a confidentiality provision governing the amounts paid because “[p]</w:t>
      </w:r>
      <w:proofErr w:type="spellStart"/>
      <w:r w:rsidRPr="003C3C13">
        <w:t>ublishing</w:t>
      </w:r>
      <w:proofErr w:type="spellEnd"/>
      <w:r w:rsidRPr="003C3C13">
        <w:t xml:space="preserve"> the agreement on the docket and redacting only the specific settlement amounts strikes a balance between [the defendant’s] interests and the desire to inform future workers of their rights under the FLSA and the potential for recovery when those rights are violated.”</w:t>
      </w:r>
      <w:r w:rsidR="003C3C13" w:rsidRPr="003C3C13">
        <w:rPr>
          <w:vertAlign w:val="superscript"/>
        </w:rPr>
        <w:footnoteReference w:id="104"/>
      </w:r>
    </w:p>
    <w:p w14:paraId="6200EA81" w14:textId="3FB1B50B" w:rsidR="003C3C13" w:rsidRPr="003C3C13" w:rsidRDefault="00A85C8E" w:rsidP="003C3C13">
      <w:pPr>
        <w:pStyle w:val="BNormal"/>
      </w:pPr>
      <w:r w:rsidRPr="003C3C13">
        <w:t>Some settlements include terms that prevent the parties from revealing or otherwise discussing the terms of the settlement</w:t>
      </w:r>
      <w:r w:rsidR="003C3C13" w:rsidRPr="003C3C13">
        <w:t>. M</w:t>
      </w:r>
      <w:r w:rsidRPr="003C3C13">
        <w:t>any courts have rejected such provisions on the basis that they operate unequally to the benefit of the employer alone and frustrate the FLSA goals of ensuring that employees are paid appropriate wages.</w:t>
      </w:r>
      <w:r w:rsidR="003C3C13" w:rsidRPr="003C3C13">
        <w:rPr>
          <w:vertAlign w:val="superscript"/>
        </w:rPr>
        <w:footnoteReference w:id="105"/>
      </w:r>
      <w:r w:rsidRPr="003C3C13">
        <w:t xml:space="preserve"> Courts also have found that confidentiality provisions in FLSA settlements contravene the legislative intent of the FLSA, which is to ensure that workers are aware of their rights.</w:t>
      </w:r>
      <w:r w:rsidR="003C3C13" w:rsidRPr="003C3C13">
        <w:rPr>
          <w:vertAlign w:val="superscript"/>
        </w:rPr>
        <w:footnoteReference w:id="106"/>
      </w:r>
      <w:r w:rsidRPr="003C3C13">
        <w:t xml:space="preserve"> In fact, one district court dismissed a lawsuit filed by an employer seeking to enforce a confidentiality provision of an FLSA settlement.</w:t>
      </w:r>
      <w:r w:rsidR="003C3C13" w:rsidRPr="003C3C13">
        <w:rPr>
          <w:vertAlign w:val="superscript"/>
        </w:rPr>
        <w:footnoteReference w:id="107"/>
      </w:r>
      <w:r w:rsidRPr="003C3C13">
        <w:t xml:space="preserve"> The court explained that although in some circumstances confidentiality clauses may be acceptable, the at-issue confidentiality clause was intended to reduce the employer’s exposure to FLSA liability by preventing other employees from learning of their rights, which is contrary to the public policy objectives of the FLSA.</w:t>
      </w:r>
      <w:r w:rsidR="003C3C13" w:rsidRPr="003C3C13">
        <w:rPr>
          <w:vertAlign w:val="superscript"/>
        </w:rPr>
        <w:footnoteReference w:id="108"/>
      </w:r>
    </w:p>
    <w:p w14:paraId="75E64FDD" w14:textId="31083E97" w:rsidR="003C3C13" w:rsidRPr="003C3C13" w:rsidRDefault="00A85C8E" w:rsidP="003C3C13">
      <w:pPr>
        <w:pStyle w:val="BNormal"/>
      </w:pPr>
      <w:r w:rsidRPr="003C3C13">
        <w:t>A number of courts, however, have approved confidentiality provisions in FLSA settlements, in particular when such provisions were</w:t>
      </w:r>
      <w:r w:rsidR="003C3C13" w:rsidRPr="003C3C13">
        <w:rPr>
          <w:vertAlign w:val="superscript"/>
        </w:rPr>
        <w:t xml:space="preserve"> </w:t>
      </w:r>
      <w:r w:rsidRPr="003C3C13">
        <w:t>“limited” or narrowly drawn and did not prevent the plaintiffs from discussing the settlements with the defendants’ employees.</w:t>
      </w:r>
      <w:r w:rsidR="003C3C13" w:rsidRPr="003C3C13">
        <w:rPr>
          <w:vertAlign w:val="superscript"/>
        </w:rPr>
        <w:footnoteReference w:id="109"/>
      </w:r>
      <w:r w:rsidRPr="003C3C13">
        <w:t xml:space="preserve"> One court approved a “non-cooperation” clause that </w:t>
      </w:r>
      <w:r w:rsidRPr="003C3C13">
        <w:rPr>
          <w:rFonts w:eastAsia="Calibri"/>
        </w:rPr>
        <w:t>allowed the settling employee to discuss the litigation with current and former employees of the employer, so long as he did not encourage them to litigate their own claims.</w:t>
      </w:r>
      <w:r w:rsidR="003C3C13" w:rsidRPr="003C3C13">
        <w:rPr>
          <w:rFonts w:eastAsia="Calibri"/>
          <w:vertAlign w:val="superscript"/>
        </w:rPr>
        <w:footnoteReference w:id="110"/>
      </w:r>
      <w:r w:rsidRPr="003C3C13">
        <w:rPr>
          <w:rFonts w:eastAsia="Calibri"/>
        </w:rPr>
        <w:t xml:space="preserve"> Another court rejected a settlement provision that required the employee </w:t>
      </w:r>
      <w:r w:rsidRPr="003C3C13">
        <w:t>not to “participate voluntarily in …any lawsuit or proceeding of any kind brought or asserted by any person against” the employer.</w:t>
      </w:r>
      <w:r w:rsidR="003C3C13" w:rsidRPr="003C3C13">
        <w:rPr>
          <w:vertAlign w:val="superscript"/>
        </w:rPr>
        <w:footnoteReference w:id="111"/>
      </w:r>
      <w:r w:rsidRPr="003C3C13">
        <w:t xml:space="preserve"> According to the court such a provision would effectively “bar a[n] FLSA plaintiff from cooperating with other claimants” and is the sort of provision “courts routinely reject” in FLSA settlements.</w:t>
      </w:r>
      <w:r w:rsidR="003C3C13" w:rsidRPr="003C3C13">
        <w:rPr>
          <w:vertAlign w:val="superscript"/>
        </w:rPr>
        <w:footnoteReference w:id="112"/>
      </w:r>
    </w:p>
    <w:p w14:paraId="5F1C72EA" w14:textId="69E70AA3" w:rsidR="003C3C13" w:rsidRPr="003C3C13" w:rsidRDefault="00A85C8E" w:rsidP="003C3C13">
      <w:pPr>
        <w:pStyle w:val="BNormal"/>
      </w:pPr>
      <w:r w:rsidRPr="003C3C13">
        <w:t>With regard to FLSA retaliation claims, some courts have held that confidentiality agreements might not implicate that same public interest concern.</w:t>
      </w:r>
      <w:r w:rsidR="003C3C13" w:rsidRPr="003C3C13">
        <w:rPr>
          <w:vertAlign w:val="superscript"/>
        </w:rPr>
        <w:footnoteReference w:id="113"/>
      </w:r>
      <w:r w:rsidRPr="003C3C13">
        <w:t xml:space="preserve"> One court concluded that a nondisclosure provision was reasonable because it did not restrict the employees’ general ability to discuss the settlement, but only restricted their right to contact the media or utilize social media to discuss the settlement.</w:t>
      </w:r>
      <w:r w:rsidR="003C3C13" w:rsidRPr="003C3C13">
        <w:rPr>
          <w:vertAlign w:val="superscript"/>
        </w:rPr>
        <w:footnoteReference w:id="114"/>
      </w:r>
      <w:r w:rsidRPr="003C3C13">
        <w:t xml:space="preserve"> However, a different court in the same judicial district held impermissible a provision prohibiting the plaintiffs from assisting other individuals who may have claims against the defendants, and preventing the plaintiffs or their attorneys from contacting the media regarding the case or settlement.</w:t>
      </w:r>
      <w:r w:rsidR="003C3C13" w:rsidRPr="003C3C13">
        <w:rPr>
          <w:vertAlign w:val="superscript"/>
        </w:rPr>
        <w:footnoteReference w:id="115"/>
      </w:r>
    </w:p>
    <w:p w14:paraId="54B3F049" w14:textId="2DF7079C" w:rsidR="003C3C13" w:rsidRPr="003C3C13" w:rsidRDefault="00A85C8E" w:rsidP="003C3C13">
      <w:pPr>
        <w:pStyle w:val="BNormal"/>
      </w:pPr>
      <w:r w:rsidRPr="003C3C13">
        <w:t>Liquidated damages provisions that come into effect upon the breach of a confidentiality provision also have been found to undermine the purposes of the FLSA.</w:t>
      </w:r>
      <w:r w:rsidR="003C3C13" w:rsidRPr="003C3C13">
        <w:rPr>
          <w:vertAlign w:val="superscript"/>
        </w:rPr>
        <w:footnoteReference w:id="116"/>
      </w:r>
      <w:r w:rsidRPr="003C3C13">
        <w:t xml:space="preserve"> As one court noted, such provisions have “the insalubrious effect of threatening to penalize an FLSA plaintiff who discusses his or her efforts to enforce statutory rights to fair pay.”</w:t>
      </w:r>
      <w:r w:rsidR="003C3C13" w:rsidRPr="003C3C13">
        <w:rPr>
          <w:vertAlign w:val="superscript"/>
        </w:rPr>
        <w:footnoteReference w:id="117"/>
      </w:r>
    </w:p>
    <w:p w14:paraId="3B3160EE" w14:textId="3EFC3A27" w:rsidR="003C3C13" w:rsidRPr="003C3C13" w:rsidRDefault="003C3C13" w:rsidP="003C3C13">
      <w:pPr>
        <w:pStyle w:val="BQuotelong"/>
      </w:pPr>
      <w:r w:rsidRPr="003C3C13">
        <w:rPr>
          <w:b/>
        </w:rPr>
        <w:t>B.</w:t>
      </w:r>
      <w:r w:rsidRPr="003C3C13">
        <w:rPr>
          <w:b/>
        </w:rPr>
        <w:tab/>
        <w:t>Scope of Release</w:t>
      </w:r>
    </w:p>
    <w:p w14:paraId="69A38381" w14:textId="43D80A70" w:rsidR="003C3C13" w:rsidRPr="003C3C13" w:rsidRDefault="00A85C8E" w:rsidP="003C3C13">
      <w:pPr>
        <w:pStyle w:val="BNormal"/>
      </w:pPr>
      <w:r w:rsidRPr="003C3C13">
        <w:t>Some FLSA settlements contain general or global releases in which the plaintiffs release all claims and causes of action that they had or may have against their employer</w:t>
      </w:r>
      <w:r w:rsidR="003C3C13" w:rsidRPr="003C3C13">
        <w:t>. S</w:t>
      </w:r>
      <w:r w:rsidRPr="003C3C13">
        <w:t>everal courts have rejected such releases.</w:t>
      </w:r>
      <w:r w:rsidR="003C3C13" w:rsidRPr="003C3C13">
        <w:rPr>
          <w:vertAlign w:val="superscript"/>
        </w:rPr>
        <w:footnoteReference w:id="118"/>
      </w:r>
      <w:r w:rsidRPr="003C3C13">
        <w:t xml:space="preserve"> Other courts have rejected a per se rule that such releases are unfair, but have cautioned that they must be reviewed carefully before approving them in an FLSA settlement.</w:t>
      </w:r>
      <w:r w:rsidR="003C3C13" w:rsidRPr="003C3C13">
        <w:rPr>
          <w:vertAlign w:val="superscript"/>
        </w:rPr>
        <w:footnoteReference w:id="119"/>
      </w:r>
      <w:r w:rsidRPr="003C3C13">
        <w:t xml:space="preserve"> As one court explained, “because of the risk that an employee would unknowingly make a valuable concession to the employer simply to recover wages that should never have been withheld in the first place,” releases should be approved only where “the employee has a full understanding of what he is releasing in exchange for a settlement award.”</w:t>
      </w:r>
      <w:r w:rsidR="003C3C13" w:rsidRPr="003C3C13">
        <w:rPr>
          <w:vertAlign w:val="superscript"/>
        </w:rPr>
        <w:footnoteReference w:id="120"/>
      </w:r>
    </w:p>
    <w:p w14:paraId="28C17722" w14:textId="52153949" w:rsidR="003C3C13" w:rsidRPr="003C3C13" w:rsidRDefault="00A85C8E" w:rsidP="003C3C13">
      <w:pPr>
        <w:pStyle w:val="BNormal"/>
      </w:pPr>
      <w:r w:rsidRPr="003C3C13">
        <w:t>When non-FLSA claims are settled in the same agreement as FLSA claims, some courts have held that a broad release is not subject to the court’s scrutiny.</w:t>
      </w:r>
      <w:r w:rsidR="003C3C13" w:rsidRPr="003C3C13">
        <w:rPr>
          <w:vertAlign w:val="superscript"/>
        </w:rPr>
        <w:footnoteReference w:id="121"/>
      </w:r>
      <w:r w:rsidRPr="003C3C13">
        <w:t xml:space="preserve"> Similarly, in a case where the majority of the settlement monies were apportioned to claims other than FLSA claims, and the plaintiff was not at significant risk of waiving unknown rights as she had brought many other claims that were distinct from her wage claims in her original complaint, the court approved a general release clause in the settlement agreement.</w:t>
      </w:r>
      <w:r w:rsidR="003C3C13" w:rsidRPr="003C3C13">
        <w:rPr>
          <w:vertAlign w:val="superscript"/>
        </w:rPr>
        <w:footnoteReference w:id="122"/>
      </w:r>
      <w:r w:rsidRPr="003C3C13">
        <w:t xml:space="preserve"> In </w:t>
      </w:r>
      <w:r w:rsidR="003C3C13" w:rsidRPr="003C3C13">
        <w:rPr>
          <w:rStyle w:val="BCasenamefull"/>
        </w:rPr>
        <w:t xml:space="preserve">Beauford v. </w:t>
      </w:r>
      <w:proofErr w:type="spellStart"/>
      <w:r w:rsidR="003C3C13" w:rsidRPr="003C3C13">
        <w:rPr>
          <w:rStyle w:val="BCasenamefull"/>
        </w:rPr>
        <w:t>ActionLink</w:t>
      </w:r>
      <w:proofErr w:type="spellEnd"/>
      <w:r w:rsidR="003C3C13" w:rsidRPr="003C3C13">
        <w:rPr>
          <w:rStyle w:val="BCasenamefull"/>
        </w:rPr>
        <w:t>, LLC</w:t>
      </w:r>
      <w:r w:rsidRPr="003C3C13">
        <w:t>,</w:t>
      </w:r>
      <w:r w:rsidR="003C3C13" w:rsidRPr="003C3C13">
        <w:rPr>
          <w:vertAlign w:val="superscript"/>
        </w:rPr>
        <w:footnoteReference w:id="123"/>
      </w:r>
      <w:r w:rsidRPr="003C3C13">
        <w:t xml:space="preserve"> the Eighth Circuit found the method that the release was communicated to collective action members was insufficient to provide adequate notice of the statutory claims being released</w:t>
      </w:r>
      <w:r w:rsidR="003C3C13" w:rsidRPr="003C3C13">
        <w:t>. W</w:t>
      </w:r>
      <w:r w:rsidRPr="003C3C13">
        <w:t>hile declining to specify the “magic words” necessary to constitute a valid release, it expressed concern that the language “made no mention of the FLSA, waiving legal claims, or any additional damages to which employees may be entitled.”</w:t>
      </w:r>
      <w:r w:rsidR="003C3C13" w:rsidRPr="003C3C13">
        <w:rPr>
          <w:vertAlign w:val="superscript"/>
        </w:rPr>
        <w:footnoteReference w:id="124"/>
      </w:r>
    </w:p>
    <w:p w14:paraId="70842550" w14:textId="3400C279" w:rsidR="003C3C13" w:rsidRPr="003C3C13" w:rsidRDefault="00A85C8E" w:rsidP="003C3C13">
      <w:pPr>
        <w:pStyle w:val="BNormal"/>
      </w:pPr>
      <w:r w:rsidRPr="003C3C13">
        <w:t>Courts have, in narrow circumstances, approved FLSA settlements where the plaintiff is receiving full compensation for his or her FLSA claim, as well as additional consideration for a general release, confidentiality provision, and waiver of future employment.</w:t>
      </w:r>
      <w:r w:rsidR="003C3C13" w:rsidRPr="003C3C13">
        <w:rPr>
          <w:vertAlign w:val="superscript"/>
        </w:rPr>
        <w:footnoteReference w:id="125"/>
      </w:r>
      <w:r w:rsidRPr="003C3C13">
        <w:t xml:space="preserve"> However, other courts have not looked favorably on such arrangements.</w:t>
      </w:r>
      <w:r w:rsidR="003C3C13" w:rsidRPr="003C3C13">
        <w:rPr>
          <w:vertAlign w:val="superscript"/>
        </w:rPr>
        <w:footnoteReference w:id="126"/>
      </w:r>
    </w:p>
    <w:p w14:paraId="061C79C8" w14:textId="3ED46D30" w:rsidR="003C3C13" w:rsidRPr="003C3C13" w:rsidRDefault="00A85C8E" w:rsidP="003C3C13">
      <w:pPr>
        <w:pStyle w:val="BNormal"/>
      </w:pPr>
      <w:r w:rsidRPr="003C3C13">
        <w:t>As explained in §VI.A.2 [Collective Action Settlements</w:t>
      </w:r>
      <w:r w:rsidR="003C3C13" w:rsidRPr="003C3C13">
        <w:t>; S</w:t>
      </w:r>
      <w:r w:rsidRPr="003C3C13">
        <w:t>ettlement of Class Actions Versus Collective Actions</w:t>
      </w:r>
      <w:r w:rsidR="003C3C13" w:rsidRPr="003C3C13">
        <w:t>; C</w:t>
      </w:r>
      <w:r w:rsidRPr="003C3C13">
        <w:t>ombined FLSA Collective Actions and Rule 23 Class Actions] of this chapter, several courts have permitted a broad release of FLSA claims as part of a judicially supervised class action settlement under Rule 23 using an opt-out procedure.</w:t>
      </w:r>
      <w:r w:rsidR="003C3C13" w:rsidRPr="003C3C13">
        <w:rPr>
          <w:vertAlign w:val="superscript"/>
        </w:rPr>
        <w:footnoteReference w:id="127"/>
      </w:r>
      <w:r w:rsidRPr="003C3C13">
        <w:t xml:space="preserve"> Other courts have likewise held the FLSA “does not bar the release of unasserted FLSA claims in Rule 23 class actions.”</w:t>
      </w:r>
      <w:r w:rsidR="003C3C13" w:rsidRPr="003C3C13">
        <w:rPr>
          <w:vertAlign w:val="superscript"/>
        </w:rPr>
        <w:footnoteReference w:id="128"/>
      </w:r>
      <w:r w:rsidRPr="003C3C13">
        <w:t xml:space="preserve"> But because “[t]he FLSA prohibits traditional class actions and authorizes only an opt-in collective action,”</w:t>
      </w:r>
      <w:r w:rsidR="003C3C13" w:rsidRPr="003C3C13">
        <w:rPr>
          <w:vertAlign w:val="superscript"/>
        </w:rPr>
        <w:footnoteReference w:id="129"/>
      </w:r>
      <w:r w:rsidRPr="003C3C13">
        <w:t xml:space="preserve"> other courts reject settlements that seek to release FLSA claims for putative plaintiffs who never joined the litigation.</w:t>
      </w:r>
      <w:r w:rsidR="003C3C13" w:rsidRPr="003C3C13">
        <w:rPr>
          <w:vertAlign w:val="superscript"/>
        </w:rPr>
        <w:footnoteReference w:id="130"/>
      </w:r>
    </w:p>
    <w:p w14:paraId="2E29DE50" w14:textId="6D4FB698" w:rsidR="003C3C13" w:rsidRPr="003C3C13" w:rsidRDefault="003C3C13" w:rsidP="003C3C13">
      <w:pPr>
        <w:pStyle w:val="BQuotelong"/>
      </w:pPr>
      <w:r w:rsidRPr="003C3C13">
        <w:rPr>
          <w:b/>
        </w:rPr>
        <w:t>C.</w:t>
      </w:r>
      <w:r w:rsidRPr="003C3C13">
        <w:rPr>
          <w:b/>
        </w:rPr>
        <w:tab/>
      </w:r>
      <w:proofErr w:type="spellStart"/>
      <w:r w:rsidRPr="003C3C13">
        <w:rPr>
          <w:b/>
        </w:rPr>
        <w:t>Nondisparagement</w:t>
      </w:r>
      <w:proofErr w:type="spellEnd"/>
      <w:r w:rsidRPr="003C3C13">
        <w:rPr>
          <w:b/>
        </w:rPr>
        <w:t xml:space="preserve"> and Social Media Clauses</w:t>
      </w:r>
    </w:p>
    <w:p w14:paraId="3F788029" w14:textId="0A29CED0" w:rsidR="003C3C13" w:rsidRPr="003C3C13" w:rsidRDefault="00A85C8E" w:rsidP="003C3C13">
      <w:pPr>
        <w:pStyle w:val="BNormal"/>
      </w:pPr>
      <w:r w:rsidRPr="003C3C13">
        <w:t xml:space="preserve">Although not every </w:t>
      </w:r>
      <w:proofErr w:type="spellStart"/>
      <w:r w:rsidRPr="003C3C13">
        <w:t>nondisparagement</w:t>
      </w:r>
      <w:proofErr w:type="spellEnd"/>
      <w:r w:rsidRPr="003C3C13">
        <w:t xml:space="preserve"> clause is per se objectionable, and few courts have focused on such provisions in reviewing FLSA settlements, courts have denied approval of a proposed settlement agreement on the sole ground that the proposed agreement contained a </w:t>
      </w:r>
      <w:proofErr w:type="spellStart"/>
      <w:r w:rsidRPr="003C3C13">
        <w:t>nondisparagement</w:t>
      </w:r>
      <w:proofErr w:type="spellEnd"/>
      <w:r w:rsidRPr="003C3C13">
        <w:t xml:space="preserve"> clause.</w:t>
      </w:r>
      <w:r w:rsidR="003C3C13" w:rsidRPr="003C3C13">
        <w:rPr>
          <w:vertAlign w:val="superscript"/>
        </w:rPr>
        <w:footnoteReference w:id="131"/>
      </w:r>
      <w:r w:rsidRPr="003C3C13">
        <w:t xml:space="preserve"> The clause barred the plaintiff from “publishing or communicating to any person any disparaging remarks, comments, or statements concerning Defendants.”</w:t>
      </w:r>
      <w:r w:rsidR="003C3C13" w:rsidRPr="003C3C13">
        <w:rPr>
          <w:vertAlign w:val="superscript"/>
        </w:rPr>
        <w:footnoteReference w:id="132"/>
      </w:r>
      <w:r w:rsidRPr="003C3C13">
        <w:t xml:space="preserve"> The court found that </w:t>
      </w:r>
      <w:proofErr w:type="spellStart"/>
      <w:r w:rsidRPr="003C3C13">
        <w:t>nondisparagement</w:t>
      </w:r>
      <w:proofErr w:type="spellEnd"/>
      <w:r w:rsidRPr="003C3C13">
        <w:t xml:space="preserve"> clauses, although typically more limited than confidentiality clauses, can be objectionable in FLSA cases for the same reasons</w:t>
      </w:r>
      <w:r w:rsidR="003C3C13" w:rsidRPr="003C3C13">
        <w:t>. C</w:t>
      </w:r>
      <w:r w:rsidRPr="003C3C13">
        <w:t>iting to</w:t>
      </w:r>
      <w:r w:rsidR="003C3C13" w:rsidRPr="003C3C13">
        <w:rPr>
          <w:i/>
        </w:rPr>
        <w:t xml:space="preserve"> Lopez v</w:t>
      </w:r>
      <w:r w:rsidR="003C3C13" w:rsidRPr="003C3C13">
        <w:t xml:space="preserve">. </w:t>
      </w:r>
      <w:r w:rsidR="003C3C13" w:rsidRPr="003C3C13">
        <w:rPr>
          <w:i/>
        </w:rPr>
        <w:t>Nights of Cabiria,</w:t>
      </w:r>
      <w:r w:rsidRPr="003C3C13">
        <w:t xml:space="preserve"> </w:t>
      </w:r>
      <w:r w:rsidR="003C3C13" w:rsidRPr="003C3C13">
        <w:rPr>
          <w:i/>
        </w:rPr>
        <w:t>LLC</w:t>
      </w:r>
      <w:r w:rsidRPr="003C3C13">
        <w:t>,</w:t>
      </w:r>
      <w:r w:rsidR="003C3C13" w:rsidRPr="003C3C13">
        <w:rPr>
          <w:vertAlign w:val="superscript"/>
        </w:rPr>
        <w:footnoteReference w:id="133"/>
      </w:r>
      <w:r w:rsidRPr="003C3C13">
        <w:t xml:space="preserve"> the court wrote</w:t>
      </w:r>
      <w:r w:rsidR="003C3C13" w:rsidRPr="003C3C13">
        <w:t>: “</w:t>
      </w:r>
      <w:r w:rsidRPr="003C3C13">
        <w:t>While ‘not every non-disparagement clause in an FLSA settlement is per se objectionable,’ a clause which bars a plaintiff from making negative statements about a defendant ‘must include a carve-out for truthful statements about [a plaintiff’s] experience in litigating [his] case.’”</w:t>
      </w:r>
      <w:r w:rsidR="003C3C13" w:rsidRPr="003C3C13">
        <w:rPr>
          <w:vertAlign w:val="superscript"/>
        </w:rPr>
        <w:footnoteReference w:id="134"/>
      </w:r>
      <w:r w:rsidRPr="003C3C13">
        <w:t xml:space="preserve"> Other courts, however, find </w:t>
      </w:r>
      <w:proofErr w:type="spellStart"/>
      <w:r w:rsidRPr="003C3C13">
        <w:t>nondisparagement</w:t>
      </w:r>
      <w:proofErr w:type="spellEnd"/>
      <w:r w:rsidRPr="003C3C13">
        <w:t xml:space="preserve"> clauses to be permissible.</w:t>
      </w:r>
      <w:r w:rsidR="003C3C13" w:rsidRPr="003C3C13">
        <w:rPr>
          <w:vertAlign w:val="superscript"/>
        </w:rPr>
        <w:footnoteReference w:id="135"/>
      </w:r>
    </w:p>
    <w:p w14:paraId="0C89DEDF" w14:textId="68365617" w:rsidR="003C3C13" w:rsidRPr="003C3C13" w:rsidRDefault="00A85C8E" w:rsidP="003C3C13">
      <w:pPr>
        <w:pStyle w:val="BNormal"/>
      </w:pPr>
      <w:r w:rsidRPr="003C3C13">
        <w:t xml:space="preserve">In </w:t>
      </w:r>
      <w:r w:rsidR="003C3C13" w:rsidRPr="003C3C13">
        <w:rPr>
          <w:rStyle w:val="BCasenamefull"/>
        </w:rPr>
        <w:t>Rivera v. CO2Meter</w:t>
      </w:r>
      <w:r w:rsidRPr="003C3C13">
        <w:t>,</w:t>
      </w:r>
      <w:r w:rsidR="003C3C13" w:rsidRPr="003C3C13">
        <w:rPr>
          <w:vertAlign w:val="superscript"/>
        </w:rPr>
        <w:footnoteReference w:id="136"/>
      </w:r>
      <w:r w:rsidRPr="003C3C13">
        <w:t xml:space="preserve"> the parties included a social media clause prohibiting the plaintiff from clicking on the defendant’s paid advertisements on social media and requiring the plaintiff to remove the defendant’s name or comments from websites</w:t>
      </w:r>
      <w:r w:rsidR="003C3C13" w:rsidRPr="003C3C13">
        <w:t>. T</w:t>
      </w:r>
      <w:r w:rsidRPr="003C3C13">
        <w:t>he court ordered the clause stricken because it was not mutual and because it was similar to a confidentiality clause that is disfavored, and there was no additional consideration given for the clause.</w:t>
      </w:r>
      <w:r w:rsidR="003C3C13" w:rsidRPr="003C3C13">
        <w:rPr>
          <w:vertAlign w:val="superscript"/>
        </w:rPr>
        <w:footnoteReference w:id="137"/>
      </w:r>
      <w:r w:rsidRPr="003C3C13">
        <w:t xml:space="preserve"> Similarly, if a social media clause places a substantial burden on a plaintiff’s ability to openly discuss experiences litigating the lawsuit on social media, district courts have held those clauses to be incompatible with the FLSA’s remedial purpose and denied approving the settlement.</w:t>
      </w:r>
      <w:r w:rsidR="003C3C13" w:rsidRPr="003C3C13">
        <w:rPr>
          <w:vertAlign w:val="superscript"/>
        </w:rPr>
        <w:footnoteReference w:id="138"/>
      </w:r>
    </w:p>
    <w:p w14:paraId="4C35C74D" w14:textId="261CE08D" w:rsidR="003C3C13" w:rsidRPr="003C3C13" w:rsidRDefault="003C3C13" w:rsidP="003C3C13">
      <w:pPr>
        <w:pStyle w:val="BQuotelong"/>
      </w:pPr>
      <w:r w:rsidRPr="003C3C13">
        <w:rPr>
          <w:b/>
        </w:rPr>
        <w:t>D.</w:t>
      </w:r>
      <w:r w:rsidRPr="003C3C13">
        <w:rPr>
          <w:b/>
        </w:rPr>
        <w:tab/>
        <w:t>Severability Clause</w:t>
      </w:r>
    </w:p>
    <w:p w14:paraId="2832F640" w14:textId="7B6B8CE7" w:rsidR="003C3C13" w:rsidRPr="003C3C13" w:rsidRDefault="00A85C8E" w:rsidP="003C3C13">
      <w:pPr>
        <w:pStyle w:val="BNormal"/>
      </w:pPr>
      <w:r w:rsidRPr="003C3C13">
        <w:t xml:space="preserve">Severability and </w:t>
      </w:r>
      <w:proofErr w:type="spellStart"/>
      <w:r w:rsidRPr="003C3C13">
        <w:t>nonseverability</w:t>
      </w:r>
      <w:proofErr w:type="spellEnd"/>
      <w:r w:rsidRPr="003C3C13">
        <w:t xml:space="preserve"> clauses have been enforced in the FLSA settlement process.</w:t>
      </w:r>
      <w:r w:rsidR="003C3C13" w:rsidRPr="003C3C13">
        <w:rPr>
          <w:vertAlign w:val="superscript"/>
        </w:rPr>
        <w:footnoteReference w:id="139"/>
      </w:r>
      <w:r w:rsidRPr="003C3C13">
        <w:t xml:space="preserve"> For example, in </w:t>
      </w:r>
      <w:r w:rsidR="003C3C13" w:rsidRPr="003C3C13">
        <w:rPr>
          <w:rStyle w:val="BCasenamefull"/>
        </w:rPr>
        <w:t>Rivera v. CO2Meter</w:t>
      </w:r>
      <w:r w:rsidRPr="003C3C13">
        <w:t>,</w:t>
      </w:r>
      <w:r w:rsidR="003C3C13" w:rsidRPr="003C3C13">
        <w:rPr>
          <w:vertAlign w:val="superscript"/>
        </w:rPr>
        <w:footnoteReference w:id="140"/>
      </w:r>
      <w:r w:rsidRPr="003C3C13">
        <w:t xml:space="preserve"> the magistrate recommended that the jury trial waiver and the confidentiality provisions be stricken under the agreement’s severability clause because they were disfavored and no consideration was given to the plaintiff for these terms</w:t>
      </w:r>
      <w:r w:rsidR="003C3C13" w:rsidRPr="003C3C13">
        <w:t>. O</w:t>
      </w:r>
      <w:r w:rsidRPr="003C3C13">
        <w:t>ther courts have approved an FLSA settlement after striking a modification provision that allowed the parties to subsequently modify the settlement agreement without court approval.</w:t>
      </w:r>
      <w:r w:rsidR="003C3C13" w:rsidRPr="003C3C13">
        <w:rPr>
          <w:vertAlign w:val="superscript"/>
        </w:rPr>
        <w:footnoteReference w:id="141"/>
      </w:r>
      <w:r w:rsidRPr="003C3C13">
        <w:t xml:space="preserve"> On the other hand, district courts have denied settlement approval where the parties explicitly agreed the settlement would be null and void if the court were unable to approve the settlement in its entirety,</w:t>
      </w:r>
      <w:r w:rsidR="003C3C13" w:rsidRPr="003C3C13">
        <w:rPr>
          <w:vertAlign w:val="superscript"/>
        </w:rPr>
        <w:footnoteReference w:id="142"/>
      </w:r>
      <w:r w:rsidRPr="003C3C13">
        <w:t xml:space="preserve"> or where the court was unable to strike an overly broad term because the parties had deemed the term “material” in the settlement.</w:t>
      </w:r>
      <w:r w:rsidR="003C3C13" w:rsidRPr="003C3C13">
        <w:rPr>
          <w:vertAlign w:val="superscript"/>
        </w:rPr>
        <w:footnoteReference w:id="143"/>
      </w:r>
      <w:r w:rsidRPr="003C3C13">
        <w:t xml:space="preserve"> Likewise, a district court denied settlement approval without prejudice where controlling circuit precedent precluded it from granting service awards to named plaintiffs and the settlement agreement lacked a severability clause.</w:t>
      </w:r>
      <w:r w:rsidR="003C3C13" w:rsidRPr="003C3C13">
        <w:rPr>
          <w:vertAlign w:val="superscript"/>
        </w:rPr>
        <w:footnoteReference w:id="144"/>
      </w:r>
    </w:p>
    <w:p w14:paraId="2FFF85E0" w14:textId="37EA93A1" w:rsidR="003C3C13" w:rsidRPr="003C3C13" w:rsidRDefault="003C3C13" w:rsidP="003C3C13">
      <w:pPr>
        <w:pStyle w:val="BNormal"/>
        <w:rPr>
          <w:smallCaps/>
        </w:rPr>
      </w:pPr>
      <w:r w:rsidRPr="003C3C13">
        <w:rPr>
          <w:smallCaps/>
        </w:rPr>
        <w:t>VI. Collective Action Settlements</w:t>
      </w:r>
    </w:p>
    <w:p w14:paraId="32D01307" w14:textId="3CDF5A76" w:rsidR="003C3C13" w:rsidRPr="003C3C13" w:rsidRDefault="003C3C13" w:rsidP="003C3C13">
      <w:pPr>
        <w:pStyle w:val="BQuotelong"/>
      </w:pPr>
      <w:r w:rsidRPr="003C3C13">
        <w:t>A.</w:t>
      </w:r>
      <w:r w:rsidRPr="003C3C13">
        <w:tab/>
        <w:t>Settlement of Class Actions Versus Collective Actions</w:t>
      </w:r>
    </w:p>
    <w:p w14:paraId="75659A91" w14:textId="4D14FACD" w:rsidR="003C3C13" w:rsidRPr="003C3C13" w:rsidRDefault="00A85C8E" w:rsidP="003C3C13">
      <w:pPr>
        <w:pStyle w:val="BNormal"/>
      </w:pPr>
      <w:r w:rsidRPr="003C3C13">
        <w:t>Collective actions under Section 216(b) of the FLSA are fundamentally different than class actions raised under Rule 23 of the Federal Rules of Civil Procedure.</w:t>
      </w:r>
      <w:r w:rsidR="003C3C13" w:rsidRPr="003C3C13">
        <w:rPr>
          <w:vertAlign w:val="superscript"/>
        </w:rPr>
        <w:footnoteReference w:id="145"/>
      </w:r>
      <w:r w:rsidRPr="003C3C13">
        <w:t xml:space="preserve"> The due process concerns present in the settlement of Rule 23 class actions are not present in collective actions brought under the FLSA because there are no absent class members who will be bound to a release of their claims.</w:t>
      </w:r>
      <w:r w:rsidR="003C3C13" w:rsidRPr="003C3C13">
        <w:rPr>
          <w:vertAlign w:val="superscript"/>
        </w:rPr>
        <w:footnoteReference w:id="146"/>
      </w:r>
      <w:r w:rsidRPr="003C3C13">
        <w:t xml:space="preserve"> Instead, only persons who, after receiving notice of the lawsuit, elect to affirmatively participate in the settlement, release their FLSA claims.</w:t>
      </w:r>
      <w:r w:rsidR="003C3C13" w:rsidRPr="003C3C13">
        <w:rPr>
          <w:vertAlign w:val="superscript"/>
        </w:rPr>
        <w:footnoteReference w:id="147"/>
      </w:r>
    </w:p>
    <w:p w14:paraId="33532BE6" w14:textId="0A821706" w:rsidR="003C3C13" w:rsidRPr="003C3C13" w:rsidRDefault="00A85C8E" w:rsidP="003C3C13">
      <w:pPr>
        <w:pStyle w:val="BNormal"/>
      </w:pPr>
      <w:r w:rsidRPr="003C3C13">
        <w:t>While courts approving FLSA settlements often draw on Rule 23 case law by analogy, there are important differences between the two types of settlements.</w:t>
      </w:r>
      <w:r w:rsidR="003C3C13" w:rsidRPr="003C3C13">
        <w:rPr>
          <w:vertAlign w:val="superscript"/>
        </w:rPr>
        <w:footnoteReference w:id="148"/>
      </w:r>
      <w:r w:rsidRPr="003C3C13">
        <w:t xml:space="preserve"> The court’s role in a Rule 23 settlement is primarily to protect the constitutional due process rights of absent class members, whereas the court’s role in approving an FLSA settlement is to ensure that the “employer does not take advantage of its employees in settling their claim for wages … the Court’s role is driven at least as much by the substantive labor rights underlying the claims as it is by the collective nature of the lawsuit.”</w:t>
      </w:r>
      <w:r w:rsidR="003C3C13" w:rsidRPr="003C3C13">
        <w:rPr>
          <w:vertAlign w:val="superscript"/>
        </w:rPr>
        <w:footnoteReference w:id="149"/>
      </w:r>
      <w:r w:rsidRPr="003C3C13">
        <w:t xml:space="preserve"> As a result, FLSA settlements generally require court approval, even where only one employee is involved, in order to protect those rights.</w:t>
      </w:r>
      <w:r w:rsidR="003C3C13" w:rsidRPr="003C3C13">
        <w:rPr>
          <w:vertAlign w:val="superscript"/>
        </w:rPr>
        <w:footnoteReference w:id="150"/>
      </w:r>
    </w:p>
    <w:p w14:paraId="1DEE841B" w14:textId="315E58A6" w:rsidR="003C3C13" w:rsidRPr="003C3C13" w:rsidRDefault="00A85C8E" w:rsidP="003C3C13">
      <w:pPr>
        <w:pStyle w:val="BNormal"/>
      </w:pPr>
      <w:r w:rsidRPr="003C3C13">
        <w:t>In proposed settlements under Rule 23 of the Federal Rules of Civil Procedure, a court must make a determination that a settlement is “fair, reasonable and adequate,”</w:t>
      </w:r>
      <w:r w:rsidR="003C3C13" w:rsidRPr="003C3C13">
        <w:rPr>
          <w:vertAlign w:val="superscript"/>
        </w:rPr>
        <w:footnoteReference w:id="151"/>
      </w:r>
      <w:r w:rsidRPr="003C3C13">
        <w:t xml:space="preserve"> unlike in FLSA settlements.</w:t>
      </w:r>
      <w:r w:rsidR="003C3C13" w:rsidRPr="003C3C13">
        <w:rPr>
          <w:vertAlign w:val="superscript"/>
        </w:rPr>
        <w:footnoteReference w:id="152"/>
      </w:r>
      <w:r w:rsidRPr="003C3C13">
        <w:t xml:space="preserve"> Rule 23 requires, as a matter of due process, that notice be given to all putative class action members who would be bound by the settlement so that they have an opportunity to object and, if the settlement class is one that is certified under Rule 23(b)(3), an opportunity to opt out of the settlement.</w:t>
      </w:r>
      <w:r w:rsidR="003C3C13" w:rsidRPr="003C3C13">
        <w:rPr>
          <w:vertAlign w:val="superscript"/>
        </w:rPr>
        <w:footnoteReference w:id="153"/>
      </w:r>
    </w:p>
    <w:p w14:paraId="36C73E42" w14:textId="5F9E4784" w:rsidR="003C3C13" w:rsidRPr="003C3C13" w:rsidRDefault="003C3C13" w:rsidP="003C3C13">
      <w:pPr>
        <w:pStyle w:val="BQuotelong"/>
      </w:pPr>
      <w:r w:rsidRPr="003C3C13">
        <w:rPr>
          <w:b/>
          <w:i/>
        </w:rPr>
        <w:t>1.</w:t>
      </w:r>
      <w:r w:rsidRPr="003C3C13">
        <w:rPr>
          <w:b/>
          <w:i/>
        </w:rPr>
        <w:tab/>
        <w:t>FLSA Collective Actions</w:t>
      </w:r>
    </w:p>
    <w:p w14:paraId="2C5C4837" w14:textId="7A07BE34" w:rsidR="003C3C13" w:rsidRPr="003C3C13" w:rsidRDefault="00A85C8E" w:rsidP="003C3C13">
      <w:pPr>
        <w:pStyle w:val="BNormal"/>
      </w:pPr>
      <w:r w:rsidRPr="003C3C13">
        <w:t>In settlements of FLSA collective action claims that present no resolution of state law wage and hour claims under Rule 23, most courts conclude that a fairness hearing is not required.</w:t>
      </w:r>
      <w:r w:rsidR="003C3C13" w:rsidRPr="003C3C13">
        <w:rPr>
          <w:vertAlign w:val="superscript"/>
        </w:rPr>
        <w:footnoteReference w:id="154"/>
      </w:r>
      <w:r w:rsidRPr="003C3C13">
        <w:t xml:space="preserve"> Thus, a collective action settlement may be brought to the court on a single motion to approve the settlement and enter a stipulated judgment.</w:t>
      </w:r>
      <w:r w:rsidR="003C3C13" w:rsidRPr="003C3C13">
        <w:rPr>
          <w:vertAlign w:val="superscript"/>
        </w:rPr>
        <w:footnoteReference w:id="155"/>
      </w:r>
      <w:r w:rsidRPr="003C3C13">
        <w:t xml:space="preserve"> As a result, FLSA settlements are often approved by district courts as part of a one-step process.</w:t>
      </w:r>
      <w:r w:rsidR="003C3C13" w:rsidRPr="003C3C13">
        <w:rPr>
          <w:vertAlign w:val="superscript"/>
        </w:rPr>
        <w:footnoteReference w:id="156"/>
      </w:r>
      <w:r w:rsidRPr="003C3C13">
        <w:t xml:space="preserve"> Several courts, however, have required “final” certification as part of a two-step process before approving an FLSA settlement.</w:t>
      </w:r>
      <w:r w:rsidR="003C3C13" w:rsidRPr="003C3C13">
        <w:rPr>
          <w:vertAlign w:val="superscript"/>
        </w:rPr>
        <w:footnoteReference w:id="157"/>
      </w:r>
      <w:r w:rsidRPr="003C3C13">
        <w:t xml:space="preserve"> Practitioners should consult any applicable local rules for requirements for settlement approval.</w:t>
      </w:r>
    </w:p>
    <w:p w14:paraId="3D7AF3E3" w14:textId="05E49890" w:rsidR="003C3C13" w:rsidRPr="003C3C13" w:rsidRDefault="00A85C8E" w:rsidP="003C3C13">
      <w:pPr>
        <w:pStyle w:val="BNormal"/>
      </w:pPr>
      <w:r w:rsidRPr="003C3C13">
        <w:t>The opt-in model of an FLSA collective action can present challenges where the defendants seek to settle all possible FLSA claims for a given group of employees</w:t>
      </w:r>
      <w:r w:rsidR="003C3C13" w:rsidRPr="003C3C13">
        <w:t>. T</w:t>
      </w:r>
      <w:r w:rsidRPr="003C3C13">
        <w:t>he opt-in procedure may result in a lower percentage of putative collective action members who participate in the case compared to the size of an opt-out class action under Rule 23.</w:t>
      </w:r>
      <w:r w:rsidR="003C3C13" w:rsidRPr="003C3C13">
        <w:rPr>
          <w:vertAlign w:val="superscript"/>
        </w:rPr>
        <w:footnoteReference w:id="158"/>
      </w:r>
      <w:r w:rsidRPr="003C3C13">
        <w:t xml:space="preserve"> In some cases, it is possible to reach a collective settlement prior to distribution of notice of the collective action to potential opt-in plaintiffs, in which case the notice of the action may disclose the settlement and individual award to putative plaintiffs and offer them the opportunity to participate in the settlement and be bound by its terms.</w:t>
      </w:r>
      <w:r w:rsidR="003C3C13" w:rsidRPr="003C3C13">
        <w:rPr>
          <w:vertAlign w:val="superscript"/>
        </w:rPr>
        <w:footnoteReference w:id="159"/>
      </w:r>
      <w:r w:rsidRPr="003C3C13">
        <w:t xml:space="preserve"> Because a particular employee’s FLSA claims cannot be released in a collective action unless that employee opts in, defendants wishing to settle all potential FLSA claims “must craft a settlement so appealing that a number of putative parties sufficient to allow a global settlement will take the time and trouble to opt in.”</w:t>
      </w:r>
      <w:r w:rsidR="003C3C13" w:rsidRPr="003C3C13">
        <w:rPr>
          <w:vertAlign w:val="superscript"/>
        </w:rPr>
        <w:footnoteReference w:id="160"/>
      </w:r>
      <w:r w:rsidRPr="003C3C13">
        <w:t xml:space="preserve"> As explained below, the settlement must also satisfy the court that its terms are “a fair and reasonable resolution of a bona fide dispute over FLSA provisions.”</w:t>
      </w:r>
      <w:r w:rsidR="003C3C13" w:rsidRPr="003C3C13">
        <w:rPr>
          <w:vertAlign w:val="superscript"/>
        </w:rPr>
        <w:footnoteReference w:id="161"/>
      </w:r>
    </w:p>
    <w:p w14:paraId="49E01D8A" w14:textId="1618D9DD" w:rsidR="003C3C13" w:rsidRPr="003C3C13" w:rsidRDefault="00A85C8E" w:rsidP="003C3C13">
      <w:pPr>
        <w:pStyle w:val="BNormal"/>
      </w:pPr>
      <w:r w:rsidRPr="003C3C13">
        <w:t>Additionally, a court may reject a settlement of a collective action with named and opt-in plaintiffs where the action was conditionally certified but notice has not yet been issued to the putative class</w:t>
      </w:r>
      <w:r w:rsidR="003C3C13" w:rsidRPr="003C3C13">
        <w:t>. F</w:t>
      </w:r>
      <w:r w:rsidRPr="003C3C13">
        <w:t xml:space="preserve">or instance, in </w:t>
      </w:r>
      <w:r w:rsidR="003C3C13" w:rsidRPr="003C3C13">
        <w:rPr>
          <w:rStyle w:val="BCasenamefull"/>
        </w:rPr>
        <w:t xml:space="preserve">Parilla v. </w:t>
      </w:r>
      <w:proofErr w:type="spellStart"/>
      <w:r w:rsidR="003C3C13" w:rsidRPr="003C3C13">
        <w:rPr>
          <w:rStyle w:val="BCasenamefull"/>
        </w:rPr>
        <w:t>Allcom</w:t>
      </w:r>
      <w:proofErr w:type="spellEnd"/>
      <w:r w:rsidR="003C3C13" w:rsidRPr="003C3C13">
        <w:rPr>
          <w:rStyle w:val="BCasenamefull"/>
        </w:rPr>
        <w:t xml:space="preserve"> Construction &amp; Installation Services, LLC</w:t>
      </w:r>
      <w:r w:rsidRPr="003C3C13">
        <w:t>,</w:t>
      </w:r>
      <w:r w:rsidR="003C3C13" w:rsidRPr="003C3C13">
        <w:rPr>
          <w:vertAlign w:val="superscript"/>
        </w:rPr>
        <w:footnoteReference w:id="162"/>
      </w:r>
      <w:r w:rsidRPr="003C3C13">
        <w:t xml:space="preserve"> a district court in Florida refused to approve a settlement that was reached for only the named and precertification opt-in plaintiffs, after conditional certification but before the notice was issued to other putative plaintiffs of their right to opt in</w:t>
      </w:r>
      <w:r w:rsidR="003C3C13" w:rsidRPr="003C3C13">
        <w:t>. T</w:t>
      </w:r>
      <w:r w:rsidRPr="003C3C13">
        <w:t>he court rejected the settlement and ordered the plaintiffs’ counsel to issue the judicial notice of collective action and consent forms.</w:t>
      </w:r>
      <w:r w:rsidR="003C3C13" w:rsidRPr="003C3C13">
        <w:rPr>
          <w:vertAlign w:val="superscript"/>
        </w:rPr>
        <w:footnoteReference w:id="163"/>
      </w:r>
    </w:p>
    <w:p w14:paraId="167D80C0" w14:textId="562A8D4F" w:rsidR="003C3C13" w:rsidRPr="003C3C13" w:rsidRDefault="003C3C13" w:rsidP="003C3C13">
      <w:pPr>
        <w:pStyle w:val="BQuotelong"/>
      </w:pPr>
      <w:r w:rsidRPr="003C3C13">
        <w:rPr>
          <w:b/>
          <w:i/>
        </w:rPr>
        <w:t>2.</w:t>
      </w:r>
      <w:r w:rsidRPr="003C3C13">
        <w:rPr>
          <w:b/>
          <w:i/>
        </w:rPr>
        <w:tab/>
        <w:t>Combined FLSA Collective Actions and Rule 23 Class Actions</w:t>
      </w:r>
    </w:p>
    <w:p w14:paraId="71C628AF" w14:textId="60C5D5EC" w:rsidR="003C3C13" w:rsidRPr="003C3C13" w:rsidRDefault="00A85C8E" w:rsidP="003C3C13">
      <w:pPr>
        <w:pStyle w:val="BNormal"/>
      </w:pPr>
      <w:r w:rsidRPr="003C3C13">
        <w:t>In hybrid actions under Rule 23 and Section 216(b),</w:t>
      </w:r>
      <w:r w:rsidR="003C3C13" w:rsidRPr="003C3C13">
        <w:rPr>
          <w:vertAlign w:val="superscript"/>
        </w:rPr>
        <w:footnoteReference w:id="164"/>
      </w:r>
      <w:r w:rsidRPr="003C3C13">
        <w:t xml:space="preserve"> courts typically apply the two-step Rule 23 process for settlement approval for all claims, including the FLSA claims</w:t>
      </w:r>
      <w:r w:rsidR="003C3C13" w:rsidRPr="003C3C13">
        <w:t>: f</w:t>
      </w:r>
      <w:r w:rsidRPr="003C3C13">
        <w:t>irst, the court grants preliminary approval of the settlement and authorizes the parties to distribute notice of the settlement to the class and collective action members</w:t>
      </w:r>
      <w:r w:rsidR="003C3C13" w:rsidRPr="003C3C13">
        <w:t>; a</w:t>
      </w:r>
      <w:r w:rsidRPr="003C3C13">
        <w:t>nd second, after objectors have had an opportunity to be heard and/or opt out of the settlement, the court grants final approval of the settlement if the finalized terms are “fair, reasonable, and accurate” within the meaning of Rule 23.</w:t>
      </w:r>
      <w:r w:rsidR="003C3C13" w:rsidRPr="003C3C13">
        <w:rPr>
          <w:vertAlign w:val="superscript"/>
        </w:rPr>
        <w:footnoteReference w:id="165"/>
      </w:r>
    </w:p>
    <w:p w14:paraId="3EE7701D" w14:textId="5D5FC179" w:rsidR="003C3C13" w:rsidRPr="003C3C13" w:rsidRDefault="00A85C8E" w:rsidP="003C3C13">
      <w:pPr>
        <w:pStyle w:val="BNormal"/>
      </w:pPr>
      <w:r w:rsidRPr="003C3C13">
        <w:t>The court must scrutinize the fairness of a settlement and must allow the parties to compromise on FLSA claims only when there is a bona fide dispute over the application of the FLSA’s provisions.</w:t>
      </w:r>
      <w:r w:rsidR="003C3C13" w:rsidRPr="003C3C13">
        <w:rPr>
          <w:vertAlign w:val="superscript"/>
        </w:rPr>
        <w:footnoteReference w:id="166"/>
      </w:r>
      <w:r w:rsidRPr="003C3C13">
        <w:t xml:space="preserve"> Even though Rule 23 does not govern Section 216(b) settlements, many courts use Rule 23 factors by analogy when making fairness determinations, including:</w:t>
      </w:r>
    </w:p>
    <w:p w14:paraId="50BCDC92" w14:textId="397C014B" w:rsidR="003C3C13" w:rsidRPr="003C3C13" w:rsidRDefault="00A85C8E" w:rsidP="003C3C13">
      <w:pPr>
        <w:pStyle w:val="BQuotelong"/>
      </w:pPr>
      <w:r w:rsidRPr="003C3C13">
        <w:t>(1)</w:t>
      </w:r>
      <w:r w:rsidRPr="003C3C13">
        <w:tab/>
        <w:t>the complexity, expense and likely duration of the litigation;</w:t>
      </w:r>
    </w:p>
    <w:p w14:paraId="157033AA" w14:textId="654A5BCE" w:rsidR="003C3C13" w:rsidRPr="003C3C13" w:rsidRDefault="00A85C8E" w:rsidP="003C3C13">
      <w:pPr>
        <w:pStyle w:val="BQuotelong"/>
      </w:pPr>
      <w:r w:rsidRPr="003C3C13">
        <w:t>(2)</w:t>
      </w:r>
      <w:r w:rsidRPr="003C3C13">
        <w:tab/>
        <w:t>the reaction of the class to the settlement;</w:t>
      </w:r>
    </w:p>
    <w:p w14:paraId="59A93BBF" w14:textId="70B0EB90" w:rsidR="003C3C13" w:rsidRPr="003C3C13" w:rsidRDefault="00A85C8E" w:rsidP="003C3C13">
      <w:pPr>
        <w:pStyle w:val="BQuotelong"/>
      </w:pPr>
      <w:r w:rsidRPr="003C3C13">
        <w:t>(3)</w:t>
      </w:r>
      <w:r w:rsidRPr="003C3C13">
        <w:tab/>
        <w:t>stage of the proceedings and the amount of discovery completed;</w:t>
      </w:r>
    </w:p>
    <w:p w14:paraId="7BC193CB" w14:textId="4E49EB92" w:rsidR="003C3C13" w:rsidRPr="003C3C13" w:rsidRDefault="00A85C8E" w:rsidP="003C3C13">
      <w:pPr>
        <w:pStyle w:val="BQuotelong"/>
      </w:pPr>
      <w:r w:rsidRPr="003C3C13">
        <w:t>(4)</w:t>
      </w:r>
      <w:r w:rsidRPr="003C3C13">
        <w:tab/>
        <w:t>risks of establishing liability;</w:t>
      </w:r>
    </w:p>
    <w:p w14:paraId="2A88269E" w14:textId="04DF2E6A" w:rsidR="003C3C13" w:rsidRPr="003C3C13" w:rsidRDefault="00A85C8E" w:rsidP="003C3C13">
      <w:pPr>
        <w:pStyle w:val="BQuotelong"/>
      </w:pPr>
      <w:r w:rsidRPr="003C3C13">
        <w:t>(5)</w:t>
      </w:r>
      <w:r w:rsidRPr="003C3C13">
        <w:tab/>
        <w:t>risks of establishing damages;</w:t>
      </w:r>
    </w:p>
    <w:p w14:paraId="21FAA924" w14:textId="01043AFB" w:rsidR="003C3C13" w:rsidRPr="003C3C13" w:rsidRDefault="00A85C8E" w:rsidP="003C3C13">
      <w:pPr>
        <w:pStyle w:val="BQuotelong"/>
      </w:pPr>
      <w:r w:rsidRPr="003C3C13">
        <w:t>(6)</w:t>
      </w:r>
      <w:r w:rsidRPr="003C3C13">
        <w:tab/>
        <w:t>risks of maintaining the class action through the trial;</w:t>
      </w:r>
    </w:p>
    <w:p w14:paraId="784DAEEA" w14:textId="1A575194" w:rsidR="003C3C13" w:rsidRPr="003C3C13" w:rsidRDefault="00A85C8E" w:rsidP="003C3C13">
      <w:pPr>
        <w:pStyle w:val="BQuotelong"/>
      </w:pPr>
      <w:r w:rsidRPr="003C3C13">
        <w:t>(7)</w:t>
      </w:r>
      <w:r w:rsidRPr="003C3C13">
        <w:tab/>
        <w:t>ability of the defendants to withstand a greater judgment;</w:t>
      </w:r>
    </w:p>
    <w:p w14:paraId="3ABC0006" w14:textId="22E15C8E" w:rsidR="003C3C13" w:rsidRPr="003C3C13" w:rsidRDefault="00A85C8E" w:rsidP="003C3C13">
      <w:pPr>
        <w:pStyle w:val="BQuotelong"/>
      </w:pPr>
      <w:r w:rsidRPr="003C3C13">
        <w:t>(8)</w:t>
      </w:r>
      <w:r w:rsidRPr="003C3C13">
        <w:tab/>
        <w:t>the range of reasonableness of the settlement fund in light of the best possible recovery</w:t>
      </w:r>
      <w:r w:rsidR="003C3C13" w:rsidRPr="003C3C13">
        <w:t>; a</w:t>
      </w:r>
      <w:r w:rsidRPr="003C3C13">
        <w:t>nd</w:t>
      </w:r>
    </w:p>
    <w:p w14:paraId="60960F1A" w14:textId="3AA884FF" w:rsidR="003C3C13" w:rsidRPr="003C3C13" w:rsidRDefault="00A85C8E" w:rsidP="003C3C13">
      <w:pPr>
        <w:pStyle w:val="BQuotelong"/>
      </w:pPr>
      <w:r w:rsidRPr="003C3C13">
        <w:t>(9)</w:t>
      </w:r>
      <w:r w:rsidRPr="003C3C13">
        <w:tab/>
        <w:t>the range or reasonableness of the settlement fund to a possible recovery in light of all attendant risks of litigation.</w:t>
      </w:r>
      <w:r w:rsidR="003C3C13" w:rsidRPr="003C3C13">
        <w:rPr>
          <w:vertAlign w:val="superscript"/>
        </w:rPr>
        <w:footnoteReference w:id="167"/>
      </w:r>
    </w:p>
    <w:p w14:paraId="75F431F0" w14:textId="33FB9E96" w:rsidR="003C3C13" w:rsidRPr="003C3C13" w:rsidRDefault="00A85C8E" w:rsidP="003C3C13">
      <w:pPr>
        <w:pStyle w:val="BNormal"/>
      </w:pPr>
      <w:r w:rsidRPr="003C3C13">
        <w:t>Courts have taken different views on whether FLSA claims may be released using Rule 23’s opt-out procedure</w:t>
      </w:r>
      <w:r w:rsidR="003C3C13" w:rsidRPr="003C3C13">
        <w:t>. T</w:t>
      </w:r>
      <w:r w:rsidRPr="003C3C13">
        <w:t>he Fifth Circuit held that the FLSA does not prohibit the release of FLSA claims in a judicially supervised class action settlement using an opt-out procedure.</w:t>
      </w:r>
      <w:r w:rsidR="003C3C13" w:rsidRPr="003C3C13">
        <w:rPr>
          <w:vertAlign w:val="superscript"/>
        </w:rPr>
        <w:footnoteReference w:id="168"/>
      </w:r>
      <w:r w:rsidRPr="003C3C13">
        <w:t xml:space="preserve"> The Ninth Circuit has likewise held that FLSA claims are subject to claim preclusion where the plaintiff conceded that she was subject to a state class action settlement that released all claims arising from the same facts.</w:t>
      </w:r>
      <w:r w:rsidR="003C3C13" w:rsidRPr="003C3C13">
        <w:rPr>
          <w:vertAlign w:val="superscript"/>
        </w:rPr>
        <w:footnoteReference w:id="169"/>
      </w:r>
      <w:r w:rsidRPr="003C3C13">
        <w:t xml:space="preserve"> Other courts have suggested or held that nothing in the statutory language of the FLSA would bar release of unasserted FLSA claims in Rule 23 class actions.</w:t>
      </w:r>
      <w:r w:rsidR="003C3C13" w:rsidRPr="003C3C13">
        <w:rPr>
          <w:vertAlign w:val="superscript"/>
        </w:rPr>
        <w:footnoteReference w:id="170"/>
      </w:r>
      <w:r w:rsidRPr="003C3C13">
        <w:t xml:space="preserve"> However, some courts have concluded that in combined Rule 23 and FLSA collective action settlements, putative collective action members’ individual FLSA claims are not barred unless they opt in to the proceeding and participate in the settlement.</w:t>
      </w:r>
      <w:r w:rsidR="003C3C13" w:rsidRPr="003C3C13">
        <w:rPr>
          <w:vertAlign w:val="superscript"/>
        </w:rPr>
        <w:footnoteReference w:id="171"/>
      </w:r>
    </w:p>
    <w:p w14:paraId="39854FF3" w14:textId="6E02FED1" w:rsidR="003C3C13" w:rsidRPr="003C3C13" w:rsidRDefault="003C3C13" w:rsidP="003C3C13">
      <w:pPr>
        <w:pStyle w:val="BQuotelong"/>
      </w:pPr>
      <w:r w:rsidRPr="003C3C13">
        <w:rPr>
          <w:b/>
        </w:rPr>
        <w:t>B.</w:t>
      </w:r>
      <w:r w:rsidRPr="003C3C13">
        <w:rPr>
          <w:b/>
        </w:rPr>
        <w:tab/>
        <w:t>Settlement Terms for Consideration That Are Unique to Class and Collective Actions</w:t>
      </w:r>
    </w:p>
    <w:p w14:paraId="31F5FED7" w14:textId="20ACB8CB" w:rsidR="003C3C13" w:rsidRPr="003C3C13" w:rsidRDefault="00A85C8E" w:rsidP="003C3C13">
      <w:pPr>
        <w:pStyle w:val="BNormal"/>
      </w:pPr>
      <w:r w:rsidRPr="003C3C13">
        <w:t>For terms that courts may review in FLSA settlements in both individual and class and collective action claims, see the discussion in §V [Settlement Provisions Common in FLSA Settlements] of this chapter</w:t>
      </w:r>
      <w:r w:rsidR="003C3C13" w:rsidRPr="003C3C13">
        <w:t>. T</w:t>
      </w:r>
      <w:r w:rsidRPr="003C3C13">
        <w:t>he terms discussed below are unique to class and collective action settlements.</w:t>
      </w:r>
    </w:p>
    <w:p w14:paraId="76E5EC88" w14:textId="03F687B9" w:rsidR="003C3C13" w:rsidRPr="003C3C13" w:rsidRDefault="003C3C13" w:rsidP="003C3C13">
      <w:pPr>
        <w:pStyle w:val="BQuotelong"/>
      </w:pPr>
      <w:r w:rsidRPr="003C3C13">
        <w:rPr>
          <w:b/>
          <w:i/>
        </w:rPr>
        <w:t>1.</w:t>
      </w:r>
      <w:r w:rsidRPr="003C3C13">
        <w:rPr>
          <w:b/>
          <w:i/>
        </w:rPr>
        <w:tab/>
        <w:t>Incentive Awards or Service Payments</w:t>
      </w:r>
    </w:p>
    <w:p w14:paraId="036D5457" w14:textId="58EFBC47" w:rsidR="003C3C13" w:rsidRPr="003C3C13" w:rsidRDefault="00A85C8E" w:rsidP="003C3C13">
      <w:pPr>
        <w:pStyle w:val="BNormal"/>
      </w:pPr>
      <w:r w:rsidRPr="003C3C13">
        <w:t>Incentive payments are monetary awards that named or certain participating plaintiffs receive in addition to their share of the recovery</w:t>
      </w:r>
      <w:r w:rsidR="003C3C13" w:rsidRPr="003C3C13">
        <w:t>. C</w:t>
      </w:r>
      <w:r w:rsidRPr="003C3C13">
        <w:t>ourts routinely award incentive payments in settlements that resolve FLSA collective action claims.</w:t>
      </w:r>
      <w:r w:rsidR="003C3C13" w:rsidRPr="003C3C13">
        <w:rPr>
          <w:vertAlign w:val="superscript"/>
        </w:rPr>
        <w:footnoteReference w:id="172"/>
      </w:r>
      <w:r w:rsidRPr="003C3C13">
        <w:t xml:space="preserve"> Some courts have held that incentive awards are appropriate in employment litigation where “the plaintiff is often a former or current employee of the defendant, and thus, by lending his name to the litigation, he has, for the benefit of the class as a whole, undertaken the risk of adverse actions by the employer or co-workers.”</w:t>
      </w:r>
      <w:r w:rsidR="003C3C13" w:rsidRPr="003C3C13">
        <w:rPr>
          <w:vertAlign w:val="superscript"/>
        </w:rPr>
        <w:footnoteReference w:id="173"/>
      </w:r>
      <w:r w:rsidRPr="003C3C13">
        <w:t xml:space="preserve"> These payments have been found to compensate the plaintiffs for the time and effort expended in assisting in the prosecution of the litigation, the risks incurred by becoming and continuing as a litigant, and any other burdens sustained.</w:t>
      </w:r>
      <w:r w:rsidR="003C3C13" w:rsidRPr="003C3C13">
        <w:rPr>
          <w:vertAlign w:val="superscript"/>
        </w:rPr>
        <w:footnoteReference w:id="174"/>
      </w:r>
    </w:p>
    <w:p w14:paraId="59EAED72" w14:textId="4E281A0E" w:rsidR="003C3C13" w:rsidRPr="003C3C13" w:rsidRDefault="00A85C8E" w:rsidP="003C3C13">
      <w:pPr>
        <w:pStyle w:val="BNormal"/>
      </w:pPr>
      <w:r w:rsidRPr="003C3C13">
        <w:t>On the other hand, some courts have expressed concern that, because of lucrative incentive payments, “class representatives … may be tempted to accept suboptimal settlements at the expense” of the putative collective action members.</w:t>
      </w:r>
      <w:r w:rsidR="003C3C13" w:rsidRPr="003C3C13">
        <w:rPr>
          <w:vertAlign w:val="superscript"/>
        </w:rPr>
        <w:footnoteReference w:id="175"/>
      </w:r>
      <w:r w:rsidRPr="003C3C13">
        <w:t xml:space="preserve"> In determining whether a service payment was appropriate, one court explained that because incentive payments were to be paid from a common fund, it was obligated to “carefully review” the amounts to ensure fairness for the other class members and that the payments were supported by a “substantial basis” that each named plaintiff provided services for the class and incurred risks during litigation.</w:t>
      </w:r>
      <w:r w:rsidR="003C3C13" w:rsidRPr="003C3C13">
        <w:rPr>
          <w:vertAlign w:val="superscript"/>
        </w:rPr>
        <w:footnoteReference w:id="176"/>
      </w:r>
      <w:r w:rsidRPr="003C3C13">
        <w:t xml:space="preserve"> Generally, although incentive payments are appropriate to compensate representative plaintiffs for “the efforts they have made on behalf of the class” and for “hardships caused by the action,” ultimately representative plaintiffs “are fiduciaries of the absent class members, and are expected to endure the ordinary inconveniences of litigation without special compensation.”</w:t>
      </w:r>
      <w:r w:rsidR="003C3C13" w:rsidRPr="003C3C13">
        <w:rPr>
          <w:vertAlign w:val="superscript"/>
        </w:rPr>
        <w:footnoteReference w:id="177"/>
      </w:r>
      <w:r w:rsidRPr="003C3C13">
        <w:t xml:space="preserve"> Based on the facts of the particular case, courts have awarded incentive payments to named plaintiffs and opt-in plaintiffs who undertook the risk of adverse actions by the employer or coworkers and to declarants who submitted statements in support of conditional certification.</w:t>
      </w:r>
      <w:r w:rsidR="003C3C13" w:rsidRPr="003C3C13">
        <w:rPr>
          <w:vertAlign w:val="superscript"/>
        </w:rPr>
        <w:footnoteReference w:id="178"/>
      </w:r>
      <w:r w:rsidRPr="003C3C13">
        <w:t xml:space="preserve"> Courts have also allowed service awards to the representative plaintiffs but denied service awards to opt-in declarants on the grounds that such payments “create[] inappropriate incentives,”</w:t>
      </w:r>
      <w:r w:rsidR="003C3C13" w:rsidRPr="003C3C13">
        <w:rPr>
          <w:vertAlign w:val="superscript"/>
        </w:rPr>
        <w:footnoteReference w:id="179"/>
      </w:r>
      <w:r w:rsidRPr="003C3C13">
        <w:t> reduced the requested awards to the representative plaintiffs,</w:t>
      </w:r>
      <w:r w:rsidR="003C3C13" w:rsidRPr="003C3C13">
        <w:rPr>
          <w:vertAlign w:val="superscript"/>
        </w:rPr>
        <w:footnoteReference w:id="180"/>
      </w:r>
      <w:r w:rsidRPr="003C3C13">
        <w:t xml:space="preserve"> or declined to award incentive payments.</w:t>
      </w:r>
      <w:r w:rsidR="003C3C13" w:rsidRPr="003C3C13">
        <w:rPr>
          <w:vertAlign w:val="superscript"/>
        </w:rPr>
        <w:footnoteReference w:id="181"/>
      </w:r>
      <w:r w:rsidRPr="003C3C13">
        <w:t xml:space="preserve"> Extending Eleventh Circuit authority disallowing service payments in class action litigation, one district court denied incentive awards on the grounds that controlling precedent also barred such payments in FLSA collective actions.</w:t>
      </w:r>
      <w:r w:rsidR="003C3C13" w:rsidRPr="003C3C13">
        <w:rPr>
          <w:vertAlign w:val="superscript"/>
        </w:rPr>
        <w:footnoteReference w:id="182"/>
      </w:r>
    </w:p>
    <w:p w14:paraId="0B0BE270" w14:textId="23C177FC" w:rsidR="003C3C13" w:rsidRPr="003C3C13" w:rsidRDefault="003C3C13" w:rsidP="003C3C13">
      <w:pPr>
        <w:pStyle w:val="BQuotelong"/>
      </w:pPr>
      <w:r w:rsidRPr="003C3C13">
        <w:rPr>
          <w:b/>
          <w:i/>
        </w:rPr>
        <w:t>2.</w:t>
      </w:r>
      <w:r w:rsidRPr="003C3C13">
        <w:rPr>
          <w:b/>
          <w:i/>
        </w:rPr>
        <w:tab/>
        <w:t>Whether Negotiating a Check Is Sufficient Consent Under Section 216(b)</w:t>
      </w:r>
    </w:p>
    <w:p w14:paraId="458F83C2" w14:textId="04A9C462" w:rsidR="003C3C13" w:rsidRPr="003C3C13" w:rsidRDefault="00A85C8E" w:rsidP="003C3C13">
      <w:pPr>
        <w:pStyle w:val="BNormal"/>
      </w:pPr>
      <w:r w:rsidRPr="003C3C13">
        <w:t>Many FLSA settlements seek to mail settlement payments directly to eligible settlement participants, regardless of whether such persons previously filed a consent form to join the FLSA claims</w:t>
      </w:r>
      <w:r w:rsidR="003C3C13" w:rsidRPr="003C3C13">
        <w:t>. P</w:t>
      </w:r>
      <w:r w:rsidRPr="003C3C13">
        <w:t>artly because an individual’s consent to join an FLSA collective action only need be made in writing and there is no “magic way” to execute a consent to join,</w:t>
      </w:r>
      <w:r w:rsidR="003C3C13" w:rsidRPr="003C3C13">
        <w:rPr>
          <w:vertAlign w:val="superscript"/>
        </w:rPr>
        <w:footnoteReference w:id="183"/>
      </w:r>
      <w:r w:rsidRPr="003C3C13">
        <w:t xml:space="preserve"> the majority of courts to have considered the issue have concluded that negotiating a settlement payment is sufficient consent to join an FLSA collective action and to release FLSA claims.</w:t>
      </w:r>
      <w:r w:rsidR="003C3C13" w:rsidRPr="003C3C13">
        <w:rPr>
          <w:vertAlign w:val="superscript"/>
        </w:rPr>
        <w:footnoteReference w:id="184"/>
      </w:r>
      <w:r w:rsidRPr="003C3C13">
        <w:t xml:space="preserve"> However, some courts have rejected negotiating a check as sufficient consent to join an FLSA settlement, primarily because Section 216(b) requires a consent to join to be filed with the court and the settlement fails to provide a mechanism for doing so.</w:t>
      </w:r>
      <w:r w:rsidR="003C3C13" w:rsidRPr="003C3C13">
        <w:rPr>
          <w:vertAlign w:val="superscript"/>
        </w:rPr>
        <w:footnoteReference w:id="185"/>
      </w:r>
    </w:p>
    <w:p w14:paraId="1153B7F4" w14:textId="5024C5BA" w:rsidR="003C3C13" w:rsidRPr="003C3C13" w:rsidRDefault="003C3C13" w:rsidP="003C3C13">
      <w:pPr>
        <w:pStyle w:val="BQuotelong"/>
      </w:pPr>
      <w:r w:rsidRPr="003C3C13">
        <w:rPr>
          <w:b/>
          <w:i/>
        </w:rPr>
        <w:t>3.</w:t>
      </w:r>
      <w:r w:rsidRPr="003C3C13">
        <w:rPr>
          <w:b/>
          <w:i/>
        </w:rPr>
        <w:tab/>
        <w:t>Reversion of Settlement Funds</w:t>
      </w:r>
    </w:p>
    <w:p w14:paraId="1A05815B" w14:textId="3DDF2EAC" w:rsidR="003C3C13" w:rsidRPr="003C3C13" w:rsidRDefault="00A85C8E" w:rsidP="003C3C13">
      <w:pPr>
        <w:pStyle w:val="BNormal"/>
      </w:pPr>
      <w:r w:rsidRPr="003C3C13">
        <w:t>In a reversionary settlement, the defendant agrees to a certain amount of money from which the opt-in members can receive their share.</w:t>
      </w:r>
      <w:r w:rsidR="003C3C13" w:rsidRPr="003C3C13">
        <w:rPr>
          <w:vertAlign w:val="superscript"/>
        </w:rPr>
        <w:footnoteReference w:id="186"/>
      </w:r>
      <w:r w:rsidRPr="003C3C13">
        <w:t xml:space="preserve"> Any monies that are not claimed from the settlement amount remain with (or revert to) the defendant.</w:t>
      </w:r>
      <w:r w:rsidR="003C3C13" w:rsidRPr="003C3C13">
        <w:rPr>
          <w:vertAlign w:val="superscript"/>
        </w:rPr>
        <w:footnoteReference w:id="187"/>
      </w:r>
      <w:r w:rsidRPr="003C3C13">
        <w:t xml:space="preserve"> Courts have approved reversionary settlements in FLSA settlements where nonparticipating plaintiffs do not release their claims.</w:t>
      </w:r>
      <w:r w:rsidR="003C3C13" w:rsidRPr="003C3C13">
        <w:rPr>
          <w:vertAlign w:val="superscript"/>
        </w:rPr>
        <w:footnoteReference w:id="188"/>
      </w:r>
      <w:r w:rsidRPr="003C3C13">
        <w:t xml:space="preserve"> However, one court rejected a settlement where only persons who elected to opt in to the settlement released FLSA claims because eligible settlement participants were required to submit claim forms to receive a settlement payment, and unclaimed funds reverted to the employer.</w:t>
      </w:r>
      <w:r w:rsidR="003C3C13" w:rsidRPr="003C3C13">
        <w:rPr>
          <w:vertAlign w:val="superscript"/>
        </w:rPr>
        <w:footnoteReference w:id="189"/>
      </w:r>
      <w:r w:rsidRPr="003C3C13">
        <w:t xml:space="preserve"> Other courts have rejected reversionary settlements that seek to extinguish FLSA rights for the plaintiffs who do not receive anything for releasing their claims.</w:t>
      </w:r>
      <w:r w:rsidR="003C3C13" w:rsidRPr="003C3C13">
        <w:rPr>
          <w:vertAlign w:val="superscript"/>
        </w:rPr>
        <w:footnoteReference w:id="190"/>
      </w:r>
      <w:r w:rsidRPr="003C3C13">
        <w:t xml:space="preserve"> Courts also have rejected reversionary settlements on the basis that where “a statute’s objectives include deterrence, as does the FLSA’s, ‘it would contradict these goals to permit the defendant to retain unclaimed funds.’”</w:t>
      </w:r>
      <w:r w:rsidR="003C3C13" w:rsidRPr="003C3C13">
        <w:rPr>
          <w:vertAlign w:val="superscript"/>
        </w:rPr>
        <w:footnoteReference w:id="191"/>
      </w:r>
    </w:p>
    <w:p w14:paraId="2E6C9FED" w14:textId="2DC25FD7" w:rsidR="003C3C13" w:rsidRPr="003C3C13" w:rsidRDefault="003C3C13" w:rsidP="003C3C13">
      <w:pPr>
        <w:pStyle w:val="BQuotelong"/>
      </w:pPr>
      <w:r w:rsidRPr="003C3C13">
        <w:rPr>
          <w:b/>
          <w:i/>
        </w:rPr>
        <w:t>4.</w:t>
      </w:r>
      <w:r w:rsidRPr="003C3C13">
        <w:rPr>
          <w:b/>
          <w:i/>
        </w:rPr>
        <w:tab/>
        <w:t>Authority to Bind Proposed Settlement Participants</w:t>
      </w:r>
    </w:p>
    <w:p w14:paraId="7F6A7B7C" w14:textId="611DA849" w:rsidR="003C3C13" w:rsidRPr="003C3C13" w:rsidRDefault="00A85C8E" w:rsidP="003C3C13">
      <w:pPr>
        <w:pStyle w:val="BNormal"/>
      </w:pPr>
      <w:r w:rsidRPr="003C3C13">
        <w:t>Unlike class actions under Rule 23, Section 216(b) of the FLSA “does not require a district court to notify potential claimants about a proposed settlement,”</w:t>
      </w:r>
      <w:r w:rsidR="003C3C13" w:rsidRPr="003C3C13">
        <w:rPr>
          <w:vertAlign w:val="superscript"/>
        </w:rPr>
        <w:footnoteReference w:id="192"/>
      </w:r>
      <w:r w:rsidRPr="003C3C13">
        <w:t> and the FLSA is silent on whether counsel for opt-in plaintiffs may agree to a “class-wide” settlement without the consent of each opt-in plaintiff.</w:t>
      </w:r>
      <w:r w:rsidR="003C3C13" w:rsidRPr="003C3C13">
        <w:rPr>
          <w:vertAlign w:val="superscript"/>
        </w:rPr>
        <w:footnoteReference w:id="193"/>
      </w:r>
    </w:p>
    <w:p w14:paraId="1CF75188" w14:textId="49CDE324" w:rsidR="003C3C13" w:rsidRPr="003C3C13" w:rsidRDefault="00A85C8E" w:rsidP="003C3C13">
      <w:pPr>
        <w:pStyle w:val="BNormal"/>
      </w:pPr>
      <w:r w:rsidRPr="003C3C13">
        <w:t xml:space="preserve">In </w:t>
      </w:r>
      <w:r w:rsidR="003C3C13" w:rsidRPr="003C3C13">
        <w:rPr>
          <w:rStyle w:val="BCasenamefull"/>
        </w:rPr>
        <w:t>Hood v. Uber Technologies, Inc</w:t>
      </w:r>
      <w:r w:rsidRPr="003C3C13">
        <w:t>.,</w:t>
      </w:r>
      <w:r w:rsidR="003C3C13" w:rsidRPr="003C3C13">
        <w:rPr>
          <w:vertAlign w:val="superscript"/>
        </w:rPr>
        <w:footnoteReference w:id="194"/>
      </w:r>
      <w:r w:rsidRPr="003C3C13">
        <w:t xml:space="preserve"> the Fourth Circuit in an unpublished decision affirmed a district court decision that looked to the applicable rules of professional responsibility in determining that the plaintiffs’ counsel had express or implied authority to settle the claims of opt-in plaintiffs.</w:t>
      </w:r>
      <w:r w:rsidR="003C3C13" w:rsidRPr="003C3C13">
        <w:rPr>
          <w:vertAlign w:val="superscript"/>
        </w:rPr>
        <w:footnoteReference w:id="195"/>
      </w:r>
      <w:r w:rsidRPr="003C3C13">
        <w:t xml:space="preserve"> In determining such authority existed, the district court explained that in collective actions, opt-in class members often authorize class counsel or the named plaintiff to settle the case for them as part of the notice and consent form they receive in electing to join the litigation, and courts have approved such explicit authorizations.</w:t>
      </w:r>
      <w:r w:rsidR="003C3C13" w:rsidRPr="003C3C13">
        <w:rPr>
          <w:vertAlign w:val="superscript"/>
        </w:rPr>
        <w:footnoteReference w:id="196"/>
      </w:r>
      <w:r w:rsidRPr="003C3C13">
        <w:t xml:space="preserve"> The district court also explained that apparent authority can exist where opt-in plaintiffs signed a consent form in which they agreed to be represented by class counsel and agreed to “be bound by any adjudication or ruling of the Court, whether favorable or unfavorable.”</w:t>
      </w:r>
      <w:r w:rsidR="003C3C13" w:rsidRPr="003C3C13">
        <w:rPr>
          <w:vertAlign w:val="superscript"/>
        </w:rPr>
        <w:footnoteReference w:id="197"/>
      </w:r>
      <w:r w:rsidRPr="003C3C13">
        <w:t xml:space="preserve"> In rejecting an opt-in plaintiff’s objection to the settlement, the Fourth Circuit held that the objector “agreed to be bound by the final judgment whether favorable or unfavorable” and “could have commenced his own lawsuit if he did not join the collective.”</w:t>
      </w:r>
      <w:r w:rsidR="003C3C13" w:rsidRPr="003C3C13">
        <w:rPr>
          <w:vertAlign w:val="superscript"/>
        </w:rPr>
        <w:footnoteReference w:id="198"/>
      </w:r>
    </w:p>
    <w:p w14:paraId="10C6CC35" w14:textId="0667C11D" w:rsidR="003C3C13" w:rsidRPr="003C3C13" w:rsidRDefault="00A85C8E" w:rsidP="003C3C13">
      <w:pPr>
        <w:pStyle w:val="BNormal"/>
      </w:pPr>
      <w:r w:rsidRPr="003C3C13">
        <w:t>Several courts have denied approval of collective action settlements on the grounds that named plaintiffs were not authorized to settle claims on behalf of putative class members who had not yet opted in to the lawsuit.</w:t>
      </w:r>
      <w:r w:rsidR="003C3C13" w:rsidRPr="003C3C13">
        <w:rPr>
          <w:vertAlign w:val="superscript"/>
        </w:rPr>
        <w:footnoteReference w:id="199"/>
      </w:r>
      <w:r w:rsidRPr="003C3C13">
        <w:t xml:space="preserve"> The overwhelming majority of courts, however, approve such a settlement structure because an individual’s decision to not participate in the settlement “does not prevent potential members of the collective from bringing their own suits in the future.”</w:t>
      </w:r>
      <w:r w:rsidR="003C3C13" w:rsidRPr="003C3C13">
        <w:rPr>
          <w:vertAlign w:val="superscript"/>
        </w:rPr>
        <w:footnoteReference w:id="200"/>
      </w:r>
    </w:p>
    <w:p w14:paraId="085C2FD2" w14:textId="33CCA287" w:rsidR="003C3C13" w:rsidRPr="003C3C13" w:rsidRDefault="00A85C8E" w:rsidP="003C3C13">
      <w:pPr>
        <w:pStyle w:val="BNormal"/>
      </w:pPr>
      <w:r w:rsidRPr="003C3C13">
        <w:t>In preliminarily approving a combined Rule 23 and FLSA collective action settlement, one district court granted a request to enjoin class members from initiating parallel actions regarding released claims between the preliminary and final settlement approval hearings but narrowed the scope of the injunction to only bar class members who had not affirmatively opted out of the settlement.</w:t>
      </w:r>
      <w:r w:rsidR="003C3C13" w:rsidRPr="003C3C13">
        <w:rPr>
          <w:vertAlign w:val="superscript"/>
        </w:rPr>
        <w:footnoteReference w:id="201"/>
      </w:r>
    </w:p>
    <w:p w14:paraId="7F412A4A" w14:textId="3D2E5C02" w:rsidR="003C3C13" w:rsidRPr="003C3C13" w:rsidRDefault="003C3C13" w:rsidP="003C3C13">
      <w:pPr>
        <w:pStyle w:val="BNormal"/>
        <w:rPr>
          <w:smallCaps/>
        </w:rPr>
      </w:pPr>
      <w:r w:rsidRPr="003C3C13">
        <w:rPr>
          <w:smallCaps/>
        </w:rPr>
        <w:t>VII. Settlement of Attorneys’ Fees and Costs</w:t>
      </w:r>
    </w:p>
    <w:p w14:paraId="12868590" w14:textId="14E38AD5" w:rsidR="003C3C13" w:rsidRPr="003C3C13" w:rsidRDefault="003C3C13" w:rsidP="003C3C13">
      <w:pPr>
        <w:pStyle w:val="BQuotelong"/>
      </w:pPr>
      <w:r w:rsidRPr="003C3C13">
        <w:t>A.</w:t>
      </w:r>
      <w:r w:rsidRPr="003C3C13">
        <w:tab/>
        <w:t>General</w:t>
      </w:r>
    </w:p>
    <w:p w14:paraId="4D3291E6" w14:textId="441E9482" w:rsidR="003C3C13" w:rsidRPr="003C3C13" w:rsidRDefault="00A85C8E" w:rsidP="003C3C13">
      <w:pPr>
        <w:pStyle w:val="BNormal"/>
      </w:pPr>
      <w:r w:rsidRPr="003C3C13">
        <w:t>As discussed more fully in Chapter 16, Litigation Issues, Section IX.F [Remedies</w:t>
      </w:r>
      <w:r w:rsidR="003C3C13" w:rsidRPr="003C3C13">
        <w:t>; A</w:t>
      </w:r>
      <w:r w:rsidRPr="003C3C13">
        <w:t>ttorneys’ Fees], a plaintiff who prevails on an FLSA claim is entitled to an award of reasonable attorneys’ fees and costs, as Section 216(b) of the FLSA provides that the court “</w:t>
      </w:r>
      <w:r w:rsidR="003C3C13" w:rsidRPr="003C3C13">
        <w:rPr>
          <w:i/>
        </w:rPr>
        <w:t>shall</w:t>
      </w:r>
      <w:r w:rsidRPr="003C3C13">
        <w:t>, in addition to any judgment awarded to the plaintiff or plaintiffs, allow a reasonable attorney’s fee to be paid by the defendant, and the costs of the action.”</w:t>
      </w:r>
      <w:r w:rsidR="003C3C13" w:rsidRPr="003C3C13">
        <w:rPr>
          <w:vertAlign w:val="superscript"/>
        </w:rPr>
        <w:footnoteReference w:id="202"/>
      </w:r>
      <w:r w:rsidRPr="003C3C13">
        <w:t xml:space="preserve"> To be a “prevailing” plaintiff entitled to a recovery of fees and costs, there must be a judgment.</w:t>
      </w:r>
      <w:r w:rsidR="003C3C13" w:rsidRPr="003C3C13">
        <w:rPr>
          <w:vertAlign w:val="superscript"/>
        </w:rPr>
        <w:footnoteReference w:id="203"/>
      </w:r>
      <w:r w:rsidRPr="003C3C13">
        <w:t xml:space="preserve"> The judgment may result from a ruling on the merits in the plaintiffs’ favor or by way of settlement.</w:t>
      </w:r>
      <w:r w:rsidR="003C3C13" w:rsidRPr="003C3C13">
        <w:rPr>
          <w:vertAlign w:val="superscript"/>
        </w:rPr>
        <w:footnoteReference w:id="204"/>
      </w:r>
      <w:r w:rsidRPr="003C3C13">
        <w:t xml:space="preserve"> Consequently, attorneys’ fees awards arise in three contexts</w:t>
      </w:r>
      <w:r w:rsidR="003C3C13" w:rsidRPr="003C3C13">
        <w:t>: (</w:t>
      </w:r>
      <w:r w:rsidRPr="003C3C13">
        <w:t>1) fee applications following a ruling that the employer violated the FLSA</w:t>
      </w:r>
      <w:r w:rsidR="003C3C13" w:rsidRPr="003C3C13">
        <w:t>; (</w:t>
      </w:r>
      <w:r w:rsidRPr="003C3C13">
        <w:t>2) fee applications following a settlement that defers the questions of fees and costs for the court</w:t>
      </w:r>
      <w:r w:rsidR="003C3C13" w:rsidRPr="003C3C13">
        <w:t>; a</w:t>
      </w:r>
      <w:r w:rsidRPr="003C3C13">
        <w:t>nd (3) settlements that incorporate attorneys’ fees and costs into a lump-sum settlement amount or as a stipulated amount separate from the funds to be paid to the employees.</w:t>
      </w:r>
      <w:r w:rsidR="003C3C13" w:rsidRPr="003C3C13">
        <w:rPr>
          <w:vertAlign w:val="superscript"/>
        </w:rPr>
        <w:footnoteReference w:id="205"/>
      </w:r>
      <w:r w:rsidRPr="003C3C13">
        <w:t xml:space="preserve"> Chapter 16, Litigation Issues, §IX.F [Remedies</w:t>
      </w:r>
      <w:r w:rsidR="003C3C13" w:rsidRPr="003C3C13">
        <w:t>; A</w:t>
      </w:r>
      <w:r w:rsidRPr="003C3C13">
        <w:t>ttorneys’ Fees] addresses the first two contexts in full</w:t>
      </w:r>
      <w:r w:rsidR="003C3C13" w:rsidRPr="003C3C13">
        <w:t>. T</w:t>
      </w:r>
      <w:r w:rsidRPr="003C3C13">
        <w:t>his section discusses the third context, settlements that incorporate attorneys’ fees and costs</w:t>
      </w:r>
      <w:r w:rsidR="003C3C13" w:rsidRPr="003C3C13">
        <w:t>; h</w:t>
      </w:r>
      <w:r w:rsidRPr="003C3C13">
        <w:t>owever, as many of the principles for awarding fees apply whether fees are contested or settled, this section often refers back to Chapter 16.</w:t>
      </w:r>
    </w:p>
    <w:p w14:paraId="20C8A93D" w14:textId="59D97E26" w:rsidR="003C3C13" w:rsidRPr="003C3C13" w:rsidRDefault="00A85C8E" w:rsidP="003C3C13">
      <w:pPr>
        <w:pStyle w:val="BNormal"/>
      </w:pPr>
      <w:r w:rsidRPr="003C3C13">
        <w:t>As fee awards often turn on the particular details of the settlement and underlying litigation, this section focuses on governing principles set forth in appellate decisions when possible</w:t>
      </w:r>
      <w:r w:rsidR="003C3C13" w:rsidRPr="003C3C13">
        <w:t>. B</w:t>
      </w:r>
      <w:r w:rsidRPr="003C3C13">
        <w:t>ecause of the great number of lower court fee decisions, this section features illustrative lower court opinions and does not attempt to comprehensively gather all relevant cases</w:t>
      </w:r>
      <w:r w:rsidR="003C3C13" w:rsidRPr="003C3C13">
        <w:t>. A</w:t>
      </w:r>
      <w:r w:rsidRPr="003C3C13">
        <w:t>lso, many of the decisions addressing fee and cost awards arise in the context of “hybrid” actions, in which the settlement resolves both FLSA and state law wage and hour claims</w:t>
      </w:r>
      <w:r w:rsidR="003C3C13" w:rsidRPr="003C3C13">
        <w:t>; n</w:t>
      </w:r>
      <w:r w:rsidRPr="003C3C13">
        <w:t>onetheless, whether the cases involve FLSA claims only or are “hybrid,” the considerations for fee and costs approval are generally the same.</w:t>
      </w:r>
    </w:p>
    <w:p w14:paraId="7E60DE4D" w14:textId="7851CB0B" w:rsidR="003C3C13" w:rsidRPr="003C3C13" w:rsidRDefault="003C3C13" w:rsidP="003C3C13">
      <w:pPr>
        <w:pStyle w:val="BQuotelong"/>
      </w:pPr>
      <w:r w:rsidRPr="003C3C13">
        <w:rPr>
          <w:b/>
        </w:rPr>
        <w:t>B.</w:t>
      </w:r>
      <w:r w:rsidRPr="003C3C13">
        <w:rPr>
          <w:b/>
        </w:rPr>
        <w:tab/>
        <w:t>Court Approval of Fees</w:t>
      </w:r>
    </w:p>
    <w:p w14:paraId="2F8F3EF1" w14:textId="173F6269" w:rsidR="003C3C13" w:rsidRPr="003C3C13" w:rsidRDefault="00A85C8E" w:rsidP="003C3C13">
      <w:pPr>
        <w:pStyle w:val="BNormal"/>
      </w:pPr>
      <w:r w:rsidRPr="003C3C13">
        <w:t>Generally, in circuits where court approval of a settlement is required,</w:t>
      </w:r>
      <w:r w:rsidR="003C3C13" w:rsidRPr="003C3C13">
        <w:rPr>
          <w:vertAlign w:val="superscript"/>
        </w:rPr>
        <w:footnoteReference w:id="206"/>
      </w:r>
      <w:r w:rsidRPr="003C3C13">
        <w:t xml:space="preserve"> courts also must review and authorize the payment of attorneys’ fees.</w:t>
      </w:r>
      <w:r w:rsidR="003C3C13" w:rsidRPr="003C3C13">
        <w:rPr>
          <w:vertAlign w:val="superscript"/>
        </w:rPr>
        <w:footnoteReference w:id="207"/>
      </w:r>
      <w:r w:rsidRPr="003C3C13">
        <w:t xml:space="preserve"> However, in a case where the parties negotiated separate sums for back wages and for attorneys’ fees, the Eighth Circuit held that the “authority for judicial approval of FLSA settlements in 29 U.S.C</w:t>
      </w:r>
      <w:r w:rsidR="003C3C13" w:rsidRPr="003C3C13">
        <w:t>. §</w:t>
      </w:r>
      <w:r w:rsidRPr="003C3C13">
        <w:t>216 does not extend to review of settled attorney fees.”</w:t>
      </w:r>
      <w:r w:rsidR="003C3C13" w:rsidRPr="003C3C13">
        <w:rPr>
          <w:vertAlign w:val="superscript"/>
        </w:rPr>
        <w:footnoteReference w:id="208"/>
      </w:r>
    </w:p>
    <w:p w14:paraId="768A8888" w14:textId="3BB3F46A" w:rsidR="003C3C13" w:rsidRPr="003C3C13" w:rsidRDefault="00A85C8E" w:rsidP="003C3C13">
      <w:pPr>
        <w:pStyle w:val="BNormal"/>
      </w:pPr>
      <w:r w:rsidRPr="003C3C13">
        <w:t>Courts have reasoned that review of fee settlements is necessary because recovery of attorneys’ fees, like other aspects of FLSA’s protections, are “mandatory” and not subject to negotiation, and thus the right to fees cannot be compromised without court or DOL approval.</w:t>
      </w:r>
      <w:r w:rsidR="003C3C13" w:rsidRPr="003C3C13">
        <w:rPr>
          <w:vertAlign w:val="superscript"/>
        </w:rPr>
        <w:footnoteReference w:id="209"/>
      </w:r>
      <w:r w:rsidRPr="003C3C13">
        <w:t xml:space="preserve"> Consequently, whatever fee agreed to between the parties, and between the plaintiff and her or his counsel, may not be determinative of what fees are awarded from the settlement, as “FLSA requires judicial review of the reasonableness of counsel’s legal fees to assure both that counsel is compensated adequately and that no conflict of interest taints the amount the wronged employee recovers under a settlement agreement.”</w:t>
      </w:r>
      <w:r w:rsidR="003C3C13" w:rsidRPr="003C3C13">
        <w:rPr>
          <w:vertAlign w:val="superscript"/>
        </w:rPr>
        <w:footnoteReference w:id="210"/>
      </w:r>
      <w:r w:rsidRPr="003C3C13">
        <w:t xml:space="preserve"> Thus, a fee payment cannot exceed what a court deems to be “reasonable” under Section 216(b), regardless of whether the parties agreed to a larger fee.</w:t>
      </w:r>
      <w:r w:rsidR="003C3C13" w:rsidRPr="003C3C13">
        <w:rPr>
          <w:vertAlign w:val="superscript"/>
        </w:rPr>
        <w:footnoteReference w:id="211"/>
      </w:r>
    </w:p>
    <w:p w14:paraId="3A47A952" w14:textId="26C7FA22" w:rsidR="003C3C13" w:rsidRPr="003C3C13" w:rsidRDefault="00A85C8E" w:rsidP="003C3C13">
      <w:pPr>
        <w:pStyle w:val="BNormal"/>
      </w:pPr>
      <w:r w:rsidRPr="003C3C13">
        <w:t>The Eighth Circuit has opined that the parties’ stipulated amount for fees should be given deference and “review need not be a line-by-line, hour-by-hour review of the attorneys’ fees.”</w:t>
      </w:r>
      <w:r w:rsidR="003C3C13" w:rsidRPr="003C3C13">
        <w:rPr>
          <w:vertAlign w:val="superscript"/>
        </w:rPr>
        <w:footnoteReference w:id="212"/>
      </w:r>
      <w:r w:rsidRPr="003C3C13">
        <w:t xml:space="preserve"> However, the Ninth Circuit has found that “clear sailing” provisions––where the defendant agrees not to oppose a fee petition up to a certain amount––“are important warning signs of collusion.”</w:t>
      </w:r>
      <w:r w:rsidR="003C3C13" w:rsidRPr="003C3C13">
        <w:rPr>
          <w:vertAlign w:val="superscript"/>
        </w:rPr>
        <w:footnoteReference w:id="213"/>
      </w:r>
      <w:r w:rsidRPr="003C3C13">
        <w:t xml:space="preserve"> Consequently, the Ninth Circuit has instructed that district courts should review fee settlements subject to clear sailing provisions with “heightened” scrutiny to avoid unreasonably high fees that may result from the fact they are uncontested.</w:t>
      </w:r>
      <w:r w:rsidR="003C3C13" w:rsidRPr="003C3C13">
        <w:rPr>
          <w:vertAlign w:val="superscript"/>
        </w:rPr>
        <w:footnoteReference w:id="214"/>
      </w:r>
    </w:p>
    <w:p w14:paraId="6F0B7F76" w14:textId="64F3326B" w:rsidR="003C3C13" w:rsidRPr="003C3C13" w:rsidRDefault="00A85C8E" w:rsidP="003C3C13">
      <w:pPr>
        <w:pStyle w:val="BNormal"/>
      </w:pPr>
      <w:r w:rsidRPr="003C3C13">
        <w:t>The Second Circuit has instructed that when a court determines that the parties’ settlement allocation for fees is unreasonable, it cannot award a fee amount other than what the parties agreed on, as that would be rewriting the settlement agreement.</w:t>
      </w:r>
      <w:r w:rsidR="003C3C13" w:rsidRPr="003C3C13">
        <w:rPr>
          <w:vertAlign w:val="superscript"/>
        </w:rPr>
        <w:footnoteReference w:id="215"/>
      </w:r>
      <w:r w:rsidRPr="003C3C13">
        <w:t xml:space="preserve"> It distinguished reviewing a settlement fee allocation from considering a contested fee application, where the court has discretion to award whatever fee it deems reasonable.</w:t>
      </w:r>
      <w:r w:rsidR="003C3C13" w:rsidRPr="003C3C13">
        <w:rPr>
          <w:vertAlign w:val="superscript"/>
        </w:rPr>
        <w:footnoteReference w:id="216"/>
      </w:r>
      <w:r w:rsidRPr="003C3C13">
        <w:t xml:space="preserve"> Consequently, the court instructed that where the settlement amount allocated to fees does not merit court approval, then the whole settlement must be rejected and the parties given an opportunity to revise it.</w:t>
      </w:r>
      <w:r w:rsidR="003C3C13" w:rsidRPr="003C3C13">
        <w:rPr>
          <w:vertAlign w:val="superscript"/>
        </w:rPr>
        <w:footnoteReference w:id="217"/>
      </w:r>
      <w:r w:rsidRPr="003C3C13">
        <w:t xml:space="preserve"> Nonetheless, courts have routinely awarded fee amounts that differ from the amounts agreed on by the parties as part of an overall settlement.</w:t>
      </w:r>
      <w:r w:rsidR="003C3C13" w:rsidRPr="003C3C13">
        <w:rPr>
          <w:vertAlign w:val="superscript"/>
        </w:rPr>
        <w:footnoteReference w:id="218"/>
      </w:r>
    </w:p>
    <w:p w14:paraId="354A6C24" w14:textId="74E751A4" w:rsidR="003C3C13" w:rsidRPr="003C3C13" w:rsidRDefault="003C3C13" w:rsidP="003C3C13">
      <w:pPr>
        <w:pStyle w:val="BQuotelong"/>
      </w:pPr>
      <w:r w:rsidRPr="003C3C13">
        <w:rPr>
          <w:b/>
        </w:rPr>
        <w:t>C.</w:t>
      </w:r>
      <w:r w:rsidRPr="003C3C13">
        <w:rPr>
          <w:b/>
        </w:rPr>
        <w:tab/>
        <w:t>Standards for Evaluating the Reasonableness of a Fee Settlement</w:t>
      </w:r>
    </w:p>
    <w:p w14:paraId="175515F8" w14:textId="75AF18FA" w:rsidR="003C3C13" w:rsidRPr="003C3C13" w:rsidRDefault="00A85C8E" w:rsidP="003C3C13">
      <w:pPr>
        <w:pStyle w:val="BNormal"/>
      </w:pPr>
      <w:r w:rsidRPr="003C3C13">
        <w:t>“Reasonableness” is the touchstone for awarding fees under the FLSA, regardless of the method used.</w:t>
      </w:r>
      <w:r w:rsidR="003C3C13" w:rsidRPr="003C3C13">
        <w:rPr>
          <w:vertAlign w:val="superscript"/>
        </w:rPr>
        <w:footnoteReference w:id="219"/>
      </w:r>
      <w:r w:rsidRPr="003C3C13">
        <w:t xml:space="preserve"> Where a settlement creates a common fund from which class and/or collective action members’ or plaintiffs’ payments, as well as fees, are made, the court has the discretion to evaluate the reasonableness of the fees requested under one of two methods</w:t>
      </w:r>
      <w:r w:rsidR="003C3C13" w:rsidRPr="003C3C13">
        <w:t>: (</w:t>
      </w:r>
      <w:r w:rsidRPr="003C3C13">
        <w:t>1) percentage of the recovery</w:t>
      </w:r>
      <w:r w:rsidR="003C3C13" w:rsidRPr="003C3C13">
        <w:t>; o</w:t>
      </w:r>
      <w:r w:rsidRPr="003C3C13">
        <w:t>r (2) lodestar.</w:t>
      </w:r>
      <w:r w:rsidR="003C3C13" w:rsidRPr="003C3C13">
        <w:rPr>
          <w:vertAlign w:val="superscript"/>
        </w:rPr>
        <w:footnoteReference w:id="220"/>
      </w:r>
      <w:r w:rsidRPr="003C3C13">
        <w:t xml:space="preserve"> Generally, under the percentage of the recovery method, the court awards fees as a percentage of the overall recovery obtained for the class</w:t>
      </w:r>
      <w:r w:rsidR="003C3C13" w:rsidRPr="003C3C13">
        <w:t>. C</w:t>
      </w:r>
      <w:r w:rsidRPr="003C3C13">
        <w:t>ourts have also awarded fees paid from a lump-sum settlement based on some other sum certain that is not derived from a percentage of the recovery</w:t>
      </w:r>
      <w:r w:rsidR="003C3C13" w:rsidRPr="003C3C13">
        <w:t>. T</w:t>
      </w:r>
      <w:r w:rsidRPr="003C3C13">
        <w:t>he lodestar method calculates the fee by multiplying the reasonable number of hours spent on the matter by the reasonable hourly market rate for such services, as discussed in full in Chapter 16, Litigation Issues, §IX.F [Remedies</w:t>
      </w:r>
      <w:r w:rsidR="003C3C13" w:rsidRPr="003C3C13">
        <w:t>; A</w:t>
      </w:r>
      <w:r w:rsidRPr="003C3C13">
        <w:t>ttorneys’ Fees]</w:t>
      </w:r>
      <w:r w:rsidR="003C3C13" w:rsidRPr="003C3C13">
        <w:t>. A</w:t>
      </w:r>
      <w:r w:rsidRPr="003C3C13">
        <w:t>s discussed in the following subsection, most courts check the reasonableness of a percentage of the recovery award by comparing it to the lodestar calculation.</w:t>
      </w:r>
    </w:p>
    <w:p w14:paraId="5DAD1F34" w14:textId="6933E91A" w:rsidR="003C3C13" w:rsidRPr="003C3C13" w:rsidRDefault="003C3C13" w:rsidP="003C3C13">
      <w:pPr>
        <w:pStyle w:val="BQuotelong"/>
      </w:pPr>
      <w:r w:rsidRPr="003C3C13">
        <w:rPr>
          <w:b/>
          <w:i/>
        </w:rPr>
        <w:t>1.</w:t>
      </w:r>
      <w:r w:rsidRPr="003C3C13">
        <w:rPr>
          <w:b/>
          <w:i/>
        </w:rPr>
        <w:tab/>
        <w:t>Percentage of the Recovery Method</w:t>
      </w:r>
    </w:p>
    <w:p w14:paraId="300BFC55" w14:textId="0D614961" w:rsidR="003C3C13" w:rsidRPr="003C3C13" w:rsidRDefault="00A85C8E" w:rsidP="003C3C13">
      <w:pPr>
        <w:pStyle w:val="BNormal"/>
      </w:pPr>
      <w:r w:rsidRPr="003C3C13">
        <w:t>Many courts award fees in FLSA and hybrid cases as a percentage of the recovery under the “common fund” doctrine,</w:t>
      </w:r>
      <w:r w:rsidR="003C3C13" w:rsidRPr="003C3C13">
        <w:rPr>
          <w:vertAlign w:val="superscript"/>
        </w:rPr>
        <w:footnoteReference w:id="221"/>
      </w:r>
      <w:r w:rsidRPr="003C3C13">
        <w:t xml:space="preserve"> but some courts award fees on a lodestar basis.</w:t>
      </w:r>
      <w:r w:rsidR="003C3C13" w:rsidRPr="003C3C13">
        <w:rPr>
          <w:vertAlign w:val="superscript"/>
        </w:rPr>
        <w:footnoteReference w:id="222"/>
      </w:r>
      <w:r w:rsidRPr="003C3C13">
        <w:t xml:space="preserve"> The Supreme Court explained that when counsel’s efforts result in the creation of a common fund, counsel is “entitled to a reasonable attorney’s fee from the fund as a whole.”</w:t>
      </w:r>
      <w:r w:rsidR="003C3C13" w:rsidRPr="003C3C13">
        <w:rPr>
          <w:vertAlign w:val="superscript"/>
        </w:rPr>
        <w:footnoteReference w:id="223"/>
      </w:r>
      <w:r w:rsidRPr="003C3C13">
        <w:t xml:space="preserve"> This is “based on the equitable notion that those who have benefited from litigation should share in its costs.”</w:t>
      </w:r>
      <w:r w:rsidR="003C3C13" w:rsidRPr="003C3C13">
        <w:rPr>
          <w:vertAlign w:val="superscript"/>
        </w:rPr>
        <w:footnoteReference w:id="224"/>
      </w:r>
      <w:r w:rsidRPr="003C3C13">
        <w:t xml:space="preserve"> The percentage of the fund method “offers a number of advantages</w:t>
      </w:r>
      <w:r w:rsidR="003C3C13" w:rsidRPr="003C3C13">
        <w:t>: i</w:t>
      </w:r>
      <w:r w:rsidRPr="003C3C13">
        <w:t>t is easy to calculate</w:t>
      </w:r>
      <w:r w:rsidR="003C3C13" w:rsidRPr="003C3C13">
        <w:t>; i</w:t>
      </w:r>
      <w:r w:rsidRPr="003C3C13">
        <w:t>t establishes reasonable expectations on the part of the plaintiffs’ attorneys as to their expected recovery</w:t>
      </w:r>
      <w:r w:rsidR="003C3C13" w:rsidRPr="003C3C13">
        <w:t>; a</w:t>
      </w:r>
      <w:r w:rsidRPr="003C3C13">
        <w:t>nd it encourages early settlement, which avoids protracted litigation.”</w:t>
      </w:r>
      <w:r w:rsidR="003C3C13" w:rsidRPr="003C3C13">
        <w:rPr>
          <w:vertAlign w:val="superscript"/>
        </w:rPr>
        <w:footnoteReference w:id="225"/>
      </w:r>
      <w:r w:rsidRPr="003C3C13">
        <w:t xml:space="preserve"> The common fund approach is further justified in cases based on fee-shifting statutes when the “settlement fund is created in exchange for release of the defendant’s liability both for damages and for statutory attorneys’ fees … .”</w:t>
      </w:r>
      <w:r w:rsidR="003C3C13" w:rsidRPr="003C3C13">
        <w:rPr>
          <w:vertAlign w:val="superscript"/>
        </w:rPr>
        <w:footnoteReference w:id="226"/>
      </w:r>
      <w:r w:rsidRPr="003C3C13">
        <w:t xml:space="preserve"> In FLSA collective actions and hybrid class actions, courts have found that percentage of recovery fee awards can effectively provide a reasonable fee where individual claims on their own may be relatively small and private enforcement serves a public purpose.</w:t>
      </w:r>
      <w:r w:rsidR="003C3C13" w:rsidRPr="003C3C13">
        <w:rPr>
          <w:vertAlign w:val="superscript"/>
        </w:rPr>
        <w:footnoteReference w:id="227"/>
      </w:r>
    </w:p>
    <w:p w14:paraId="3CBAAFEC" w14:textId="50E43E35" w:rsidR="003C3C13" w:rsidRPr="003C3C13" w:rsidRDefault="00A85C8E" w:rsidP="003C3C13">
      <w:pPr>
        <w:pStyle w:val="BNormal"/>
      </w:pPr>
      <w:r w:rsidRPr="003C3C13">
        <w:t>In determining the size of the fund for purposes of a percentage of the recovery award, courts include all amounts benefiting the class or opt-ins.</w:t>
      </w:r>
      <w:r w:rsidR="003C3C13" w:rsidRPr="003C3C13">
        <w:rPr>
          <w:vertAlign w:val="superscript"/>
        </w:rPr>
        <w:footnoteReference w:id="228"/>
      </w:r>
      <w:r w:rsidRPr="003C3C13">
        <w:t xml:space="preserve"> This includes attorneys’ fees and costs and settlement administration fees.</w:t>
      </w:r>
      <w:r w:rsidR="003C3C13" w:rsidRPr="003C3C13">
        <w:rPr>
          <w:vertAlign w:val="superscript"/>
        </w:rPr>
        <w:footnoteReference w:id="229"/>
      </w:r>
      <w:r w:rsidRPr="003C3C13">
        <w:t xml:space="preserve"> The total benefit is measured by what is available to the class, not what amount is ultimately claimed by class members.</w:t>
      </w:r>
      <w:r w:rsidR="003C3C13" w:rsidRPr="003C3C13">
        <w:rPr>
          <w:vertAlign w:val="superscript"/>
        </w:rPr>
        <w:footnoteReference w:id="230"/>
      </w:r>
      <w:r w:rsidRPr="003C3C13">
        <w:t xml:space="preserve"> The value of relief other than cash payouts may be considered in determining the percentage of the fund to be awarded for fees.</w:t>
      </w:r>
      <w:r w:rsidR="003C3C13" w:rsidRPr="003C3C13">
        <w:rPr>
          <w:vertAlign w:val="superscript"/>
        </w:rPr>
        <w:footnoteReference w:id="231"/>
      </w:r>
      <w:r w:rsidRPr="003C3C13">
        <w:t xml:space="preserve"> However, the Ninth Circuit has instructed that where the fee is taken as a percentage of a fund that includes noncash components, such as coupons or injunctive relief, courts should be “particularly careful” in evaluating the value of the noncash components so as to avoid awarding too high of a fee.</w:t>
      </w:r>
      <w:r w:rsidR="003C3C13" w:rsidRPr="003C3C13">
        <w:rPr>
          <w:vertAlign w:val="superscript"/>
        </w:rPr>
        <w:footnoteReference w:id="232"/>
      </w:r>
    </w:p>
    <w:p w14:paraId="357AA7E1" w14:textId="005E9FC4" w:rsidR="003C3C13" w:rsidRPr="003C3C13" w:rsidRDefault="00A85C8E" w:rsidP="003C3C13">
      <w:pPr>
        <w:pStyle w:val="BNormal"/>
      </w:pPr>
      <w:r w:rsidRPr="003C3C13">
        <w:t>While the parties may stipulate that a certain percentage of the settlement be allocated for attorneys’ fees, that percentage is subject to the court’s review in most circuits, as noted earlier.</w:t>
      </w:r>
      <w:r w:rsidR="003C3C13" w:rsidRPr="003C3C13">
        <w:rPr>
          <w:vertAlign w:val="superscript"/>
        </w:rPr>
        <w:footnoteReference w:id="233"/>
      </w:r>
      <w:r w:rsidRPr="003C3C13">
        <w:t xml:space="preserve"> Courts commonly award from 25–40 percent of the settlement fund for fees where adequately supported,</w:t>
      </w:r>
      <w:r w:rsidR="003C3C13" w:rsidRPr="003C3C13">
        <w:rPr>
          <w:vertAlign w:val="superscript"/>
        </w:rPr>
        <w:footnoteReference w:id="234"/>
      </w:r>
      <w:r w:rsidRPr="003C3C13">
        <w:t xml:space="preserve"> with many courts noting a 30 percent to a one-third fee recovery as the norm.</w:t>
      </w:r>
      <w:r w:rsidR="003C3C13" w:rsidRPr="003C3C13">
        <w:rPr>
          <w:vertAlign w:val="superscript"/>
        </w:rPr>
        <w:footnoteReference w:id="235"/>
      </w:r>
      <w:r w:rsidRPr="003C3C13">
        <w:t xml:space="preserve"> However, the Second Circuit held that it was error to conclude that a 33 percent fee was the maximum amount recoverable.</w:t>
      </w:r>
      <w:r w:rsidR="003C3C13" w:rsidRPr="003C3C13">
        <w:rPr>
          <w:vertAlign w:val="superscript"/>
        </w:rPr>
        <w:footnoteReference w:id="236"/>
      </w:r>
      <w:r w:rsidRPr="003C3C13">
        <w:t xml:space="preserve"> The Sixth Circuit agreed, recognizing that “neither the text nor the purpose of the FLSA supports imposing a proportionality limit on recoverable attorneys’ fees” and holding it an abuse of discretion for a district court to limit fees awardable under the FLSA to a percentage of the plaintiffs’ recovery.</w:t>
      </w:r>
      <w:r w:rsidR="003C3C13" w:rsidRPr="003C3C13">
        <w:rPr>
          <w:vertAlign w:val="superscript"/>
        </w:rPr>
        <w:footnoteReference w:id="237"/>
      </w:r>
    </w:p>
    <w:p w14:paraId="5626FEC6" w14:textId="2AEF3A03" w:rsidR="003C3C13" w:rsidRPr="003C3C13" w:rsidRDefault="00A85C8E" w:rsidP="003C3C13">
      <w:pPr>
        <w:pStyle w:val="BNormal"/>
      </w:pPr>
      <w:r w:rsidRPr="003C3C13">
        <w:t>While the Ninth Circuit has stated that 25 percent is the “benchmark” for a reasonable fee in a common fund case, it has observed that the usual range for percentage of the recovery attorneys’ fee awards is between 20 and 30 percent;</w:t>
      </w:r>
      <w:r w:rsidR="003C3C13" w:rsidRPr="003C3C13">
        <w:rPr>
          <w:vertAlign w:val="superscript"/>
        </w:rPr>
        <w:footnoteReference w:id="238"/>
      </w:r>
      <w:r w:rsidRPr="003C3C13">
        <w:t xml:space="preserve"> however, the Ninth Circuit and district courts therein have awarded more than the benchmark in FLSA and hybrid actions when adequately justified.</w:t>
      </w:r>
      <w:r w:rsidR="003C3C13" w:rsidRPr="003C3C13">
        <w:rPr>
          <w:vertAlign w:val="superscript"/>
        </w:rPr>
        <w:footnoteReference w:id="239"/>
      </w:r>
    </w:p>
    <w:p w14:paraId="1298935C" w14:textId="05B33A6E" w:rsidR="003C3C13" w:rsidRPr="003C3C13" w:rsidRDefault="00A85C8E" w:rsidP="003C3C13">
      <w:pPr>
        <w:pStyle w:val="BNormal"/>
      </w:pPr>
      <w:r w:rsidRPr="003C3C13">
        <w:t xml:space="preserve">In evaluating what percentage of the settlement fund should be awarded for fees, some courts have used many of the same so-called </w:t>
      </w:r>
      <w:r w:rsidR="003C3C13" w:rsidRPr="003C3C13">
        <w:rPr>
          <w:i/>
        </w:rPr>
        <w:t xml:space="preserve">Johnson </w:t>
      </w:r>
      <w:r w:rsidRPr="003C3C13">
        <w:t>factors,</w:t>
      </w:r>
      <w:r w:rsidR="003C3C13" w:rsidRPr="003C3C13">
        <w:rPr>
          <w:vertAlign w:val="superscript"/>
        </w:rPr>
        <w:footnoteReference w:id="240"/>
      </w:r>
      <w:r w:rsidRPr="003C3C13">
        <w:t xml:space="preserve"> as articulated by the Fifth Circuit in </w:t>
      </w:r>
      <w:r w:rsidR="003C3C13" w:rsidRPr="003C3C13">
        <w:rPr>
          <w:i/>
        </w:rPr>
        <w:t>Johnson</w:t>
      </w:r>
      <w:r w:rsidRPr="003C3C13">
        <w:t xml:space="preserve"> </w:t>
      </w:r>
      <w:r w:rsidR="003C3C13" w:rsidRPr="003C3C13">
        <w:rPr>
          <w:i/>
        </w:rPr>
        <w:t>v. Georgia Highway Express, Inc.</w:t>
      </w:r>
      <w:r w:rsidRPr="003C3C13">
        <w:t>,</w:t>
      </w:r>
      <w:r w:rsidR="003C3C13" w:rsidRPr="003C3C13">
        <w:rPr>
          <w:vertAlign w:val="superscript"/>
        </w:rPr>
        <w:footnoteReference w:id="241"/>
      </w:r>
      <w:r w:rsidRPr="003C3C13">
        <w:t xml:space="preserve"> that courts consider when evaluating whether to deviate from the lodestar amount in awarding fees.</w:t>
      </w:r>
      <w:r w:rsidR="003C3C13" w:rsidRPr="003C3C13">
        <w:rPr>
          <w:vertAlign w:val="superscript"/>
        </w:rPr>
        <w:footnoteReference w:id="242"/>
      </w:r>
      <w:r w:rsidRPr="003C3C13">
        <w:t xml:space="preserve"> Other courts have applied similar sets of factors for evaluating what percentage of the recovery should be awarded in common fund cases</w:t>
      </w:r>
      <w:r w:rsidR="003C3C13" w:rsidRPr="003C3C13">
        <w:t>. T</w:t>
      </w:r>
      <w:r w:rsidRPr="003C3C13">
        <w:t>he factors most commonly considered in common fund fee requests include</w:t>
      </w:r>
    </w:p>
    <w:p w14:paraId="4F8E28F2" w14:textId="07827346" w:rsidR="003C3C13" w:rsidRPr="003C3C13" w:rsidRDefault="00A85C8E" w:rsidP="003C3C13">
      <w:pPr>
        <w:pStyle w:val="BQuotelong"/>
      </w:pPr>
      <w:r w:rsidRPr="003C3C13">
        <w:t>(1)</w:t>
      </w:r>
      <w:r w:rsidRPr="003C3C13">
        <w:tab/>
        <w:t>hours and effort invested in the litigation, usually measured by the lodestar;</w:t>
      </w:r>
    </w:p>
    <w:p w14:paraId="0C34DA99" w14:textId="328CFC54" w:rsidR="003C3C13" w:rsidRPr="003C3C13" w:rsidRDefault="00A85C8E" w:rsidP="003C3C13">
      <w:pPr>
        <w:pStyle w:val="BQuotelong"/>
      </w:pPr>
      <w:r w:rsidRPr="003C3C13">
        <w:t>(2)</w:t>
      </w:r>
      <w:r w:rsidRPr="003C3C13">
        <w:tab/>
        <w:t>complexity of the litigation;</w:t>
      </w:r>
    </w:p>
    <w:p w14:paraId="009CE088" w14:textId="65B8E952" w:rsidR="003C3C13" w:rsidRPr="003C3C13" w:rsidRDefault="00A85C8E" w:rsidP="003C3C13">
      <w:pPr>
        <w:pStyle w:val="BQuotelong"/>
      </w:pPr>
      <w:r w:rsidRPr="003C3C13">
        <w:t>(3)</w:t>
      </w:r>
      <w:r w:rsidRPr="003C3C13">
        <w:tab/>
        <w:t>risk of nonpayment;</w:t>
      </w:r>
    </w:p>
    <w:p w14:paraId="4B8BB5B7" w14:textId="01DBE195" w:rsidR="003C3C13" w:rsidRPr="003C3C13" w:rsidRDefault="00A85C8E" w:rsidP="003C3C13">
      <w:pPr>
        <w:pStyle w:val="BQuotelong"/>
      </w:pPr>
      <w:r w:rsidRPr="003C3C13">
        <w:t>(4)</w:t>
      </w:r>
      <w:r w:rsidRPr="003C3C13">
        <w:tab/>
        <w:t>awards in similar cases;</w:t>
      </w:r>
    </w:p>
    <w:p w14:paraId="72DC9D15" w14:textId="6B69CF18" w:rsidR="003C3C13" w:rsidRPr="003C3C13" w:rsidRDefault="00A85C8E" w:rsidP="003C3C13">
      <w:pPr>
        <w:pStyle w:val="BQuotelong"/>
      </w:pPr>
      <w:r w:rsidRPr="003C3C13">
        <w:t>(5)</w:t>
      </w:r>
      <w:r w:rsidRPr="003C3C13">
        <w:tab/>
        <w:t>skill level and reputations of both sides’ counsel</w:t>
      </w:r>
      <w:r w:rsidR="003C3C13" w:rsidRPr="003C3C13">
        <w:t>; a</w:t>
      </w:r>
      <w:r w:rsidRPr="003C3C13">
        <w:t>nd</w:t>
      </w:r>
    </w:p>
    <w:p w14:paraId="45CAE165" w14:textId="553AADE0" w:rsidR="003C3C13" w:rsidRPr="003C3C13" w:rsidRDefault="00A85C8E" w:rsidP="003C3C13">
      <w:pPr>
        <w:pStyle w:val="BQuotelong"/>
        <w:rPr>
          <w:vertAlign w:val="superscript"/>
        </w:rPr>
      </w:pPr>
      <w:r w:rsidRPr="003C3C13">
        <w:t>(6)</w:t>
      </w:r>
      <w:r w:rsidRPr="003C3C13">
        <w:tab/>
        <w:t>public policy interests in incentivizing prosecution of FLSA claims.</w:t>
      </w:r>
      <w:r w:rsidR="003C3C13" w:rsidRPr="003C3C13">
        <w:rPr>
          <w:vertAlign w:val="superscript"/>
        </w:rPr>
        <w:footnoteReference w:id="243"/>
      </w:r>
    </w:p>
    <w:p w14:paraId="7A1D7C71" w14:textId="2B95DFCF" w:rsidR="003C3C13" w:rsidRPr="003C3C13" w:rsidRDefault="00A85C8E" w:rsidP="003C3C13">
      <w:pPr>
        <w:pStyle w:val="BNormal"/>
      </w:pPr>
      <w:r w:rsidRPr="003C3C13">
        <w:t>Courts often use a lodestar cross-check to assess the efforts of the plaintiffs’ counsel whereby courts compare the percentage fee requested against the lodestar attributable to the case.</w:t>
      </w:r>
      <w:r w:rsidR="003C3C13" w:rsidRPr="003C3C13">
        <w:rPr>
          <w:vertAlign w:val="superscript"/>
        </w:rPr>
        <w:footnoteReference w:id="244"/>
      </w:r>
      <w:r w:rsidRPr="003C3C13">
        <w:t xml:space="preserve"> Plaintiffs’ counsel must provide adequate documentation to support the lodestar analysis.</w:t>
      </w:r>
      <w:r w:rsidR="003C3C13" w:rsidRPr="003C3C13">
        <w:rPr>
          <w:vertAlign w:val="superscript"/>
        </w:rPr>
        <w:footnoteReference w:id="245"/>
      </w:r>
      <w:r w:rsidRPr="003C3C13">
        <w:t xml:space="preserve"> Courts have approved percentage of recovery fee awards resulting in a wide range of lodestar multipliers from 1 to 5 or more.</w:t>
      </w:r>
      <w:r w:rsidR="003C3C13" w:rsidRPr="003C3C13">
        <w:rPr>
          <w:vertAlign w:val="superscript"/>
        </w:rPr>
        <w:footnoteReference w:id="246"/>
      </w:r>
      <w:r w:rsidRPr="003C3C13">
        <w:t xml:space="preserve"> However, not all circuits apply a lodestar cross-check in assessing the reasonableness of attorneys’ fees.</w:t>
      </w:r>
      <w:r w:rsidR="003C3C13" w:rsidRPr="003C3C13">
        <w:rPr>
          <w:vertAlign w:val="superscript"/>
        </w:rPr>
        <w:footnoteReference w:id="247"/>
      </w:r>
    </w:p>
    <w:p w14:paraId="0CF542E3" w14:textId="2FB7C498" w:rsidR="003C3C13" w:rsidRPr="003C3C13" w:rsidRDefault="00A85C8E" w:rsidP="003C3C13">
      <w:pPr>
        <w:pStyle w:val="BNormal"/>
      </w:pPr>
      <w:r w:rsidRPr="003C3C13">
        <w:t xml:space="preserve">In </w:t>
      </w:r>
      <w:r w:rsidR="003C3C13" w:rsidRPr="003C3C13">
        <w:rPr>
          <w:rStyle w:val="BCasenamefull"/>
        </w:rPr>
        <w:t>Barrentine v. Arkansas-Best Freight System</w:t>
      </w:r>
      <w:r w:rsidRPr="003C3C13">
        <w:t>,</w:t>
      </w:r>
      <w:r w:rsidR="003C3C13" w:rsidRPr="003C3C13">
        <w:rPr>
          <w:vertAlign w:val="superscript"/>
        </w:rPr>
        <w:footnoteReference w:id="248"/>
      </w:r>
      <w:r w:rsidRPr="003C3C13">
        <w:t xml:space="preserve"> the Supreme Court observed that “FLSA claims typically involve complex mixed questions of fact and law.”</w:t>
      </w:r>
      <w:r w:rsidR="003C3C13" w:rsidRPr="003C3C13">
        <w:rPr>
          <w:vertAlign w:val="superscript"/>
        </w:rPr>
        <w:footnoteReference w:id="249"/>
      </w:r>
      <w:r w:rsidRPr="003C3C13">
        <w:t xml:space="preserve"> Accordingly, courts have often noted the complexity of FLSA litigation, particularly in the context of collective actions or hybrid class actions, as supporting a substantial fee award.</w:t>
      </w:r>
      <w:r w:rsidR="003C3C13" w:rsidRPr="003C3C13">
        <w:rPr>
          <w:vertAlign w:val="superscript"/>
        </w:rPr>
        <w:footnoteReference w:id="250"/>
      </w:r>
    </w:p>
    <w:p w14:paraId="30EAB389" w14:textId="3197B3CB" w:rsidR="003C3C13" w:rsidRPr="003C3C13" w:rsidRDefault="00A85C8E" w:rsidP="003C3C13">
      <w:pPr>
        <w:pStyle w:val="BNormal"/>
      </w:pPr>
      <w:r w:rsidRPr="003C3C13">
        <w:t>In cases where the plaintiffs’ counsel take the FLSA matter on a contingency basis, which is often the case, courts cite the arrangement as further justifying a certain fee award, because it shows that counsel bore significant risk of not being paid or reimbursed for their expenses.</w:t>
      </w:r>
      <w:r w:rsidR="003C3C13" w:rsidRPr="003C3C13">
        <w:rPr>
          <w:vertAlign w:val="superscript"/>
        </w:rPr>
        <w:footnoteReference w:id="251"/>
      </w:r>
      <w:r w:rsidRPr="003C3C13">
        <w:t xml:space="preserve"> On the other hand, the stipulated fee may not be supported where the claims are relatively straightforward.</w:t>
      </w:r>
      <w:r w:rsidR="003C3C13" w:rsidRPr="003C3C13">
        <w:rPr>
          <w:vertAlign w:val="superscript"/>
        </w:rPr>
        <w:footnoteReference w:id="252"/>
      </w:r>
      <w:r w:rsidRPr="003C3C13">
        <w:t xml:space="preserve"> Risk and undesirability should be measured at the time the suit is commenced, rather than when it settles.</w:t>
      </w:r>
      <w:r w:rsidR="003C3C13" w:rsidRPr="003C3C13">
        <w:rPr>
          <w:vertAlign w:val="superscript"/>
        </w:rPr>
        <w:footnoteReference w:id="253"/>
      </w:r>
    </w:p>
    <w:p w14:paraId="578955A8" w14:textId="628920BD" w:rsidR="003C3C13" w:rsidRPr="003C3C13" w:rsidRDefault="00A85C8E" w:rsidP="003C3C13">
      <w:pPr>
        <w:pStyle w:val="BNormal"/>
      </w:pPr>
      <w:r w:rsidRPr="003C3C13">
        <w:t>Courts also consider the contingency percentage agreed on between the plaintiffs and their counsel when assessing what percentage of recovery is appropriate for a fee award.</w:t>
      </w:r>
      <w:r w:rsidR="003C3C13" w:rsidRPr="003C3C13">
        <w:rPr>
          <w:vertAlign w:val="superscript"/>
        </w:rPr>
        <w:footnoteReference w:id="254"/>
      </w:r>
      <w:r w:rsidRPr="003C3C13">
        <w:t xml:space="preserve"> And, as noted earlier, courts compare the requested fee with awards in other cases.</w:t>
      </w:r>
    </w:p>
    <w:p w14:paraId="2890AF80" w14:textId="61F2D065" w:rsidR="003C3C13" w:rsidRPr="003C3C13" w:rsidRDefault="00A85C8E" w:rsidP="003C3C13">
      <w:pPr>
        <w:pStyle w:val="BNormal"/>
      </w:pPr>
      <w:r w:rsidRPr="003C3C13">
        <w:t>In assessing the quality of the representation by plaintiffs’ counsel, courts have also looked at the quality of the opposing counsel and the resources that they could bring to contest the claims.</w:t>
      </w:r>
      <w:r w:rsidR="003C3C13" w:rsidRPr="003C3C13">
        <w:rPr>
          <w:vertAlign w:val="superscript"/>
        </w:rPr>
        <w:footnoteReference w:id="255"/>
      </w:r>
    </w:p>
    <w:p w14:paraId="722690DF" w14:textId="0E382E73" w:rsidR="003C3C13" w:rsidRPr="003C3C13" w:rsidRDefault="00A85C8E" w:rsidP="003C3C13">
      <w:pPr>
        <w:pStyle w:val="BNormal"/>
      </w:pPr>
      <w:r w:rsidRPr="003C3C13">
        <w:t>Courts often note that fee requests should be viewed in light of the public interest served by private enforcement of the FLSA, especially where the individual damages under the FLSA are relatively modest and thus may result in inadequate fees if awards were limited to traditional contingency fee ranges.</w:t>
      </w:r>
      <w:r w:rsidR="003C3C13" w:rsidRPr="003C3C13">
        <w:rPr>
          <w:vertAlign w:val="superscript"/>
        </w:rPr>
        <w:footnoteReference w:id="256"/>
      </w:r>
      <w:r w:rsidRPr="003C3C13">
        <w:t xml:space="preserve"> In </w:t>
      </w:r>
      <w:r w:rsidR="003C3C13" w:rsidRPr="003C3C13">
        <w:rPr>
          <w:rStyle w:val="BCasenamefull"/>
        </w:rPr>
        <w:t>Fisher v. SD Protection Inc.</w:t>
      </w:r>
      <w:r w:rsidRPr="003C3C13">
        <w:t>,</w:t>
      </w:r>
      <w:r w:rsidR="003C3C13" w:rsidRPr="003C3C13">
        <w:rPr>
          <w:vertAlign w:val="superscript"/>
        </w:rPr>
        <w:footnoteReference w:id="257"/>
      </w:r>
      <w:r w:rsidR="003C3C13" w:rsidRPr="003C3C13">
        <w:rPr>
          <w:vertAlign w:val="superscript"/>
        </w:rPr>
        <w:t xml:space="preserve"> </w:t>
      </w:r>
      <w:r w:rsidRPr="003C3C13">
        <w:t>the Second Circuit ruled that “proportionality”––that is, comparing the fee to the settlement amount allocated for payment to the plaintiffs––should not be applied as a rigid cap on fees.</w:t>
      </w:r>
      <w:r w:rsidR="003C3C13" w:rsidRPr="003C3C13">
        <w:rPr>
          <w:vertAlign w:val="superscript"/>
        </w:rPr>
        <w:footnoteReference w:id="258"/>
      </w:r>
      <w:r w:rsidRPr="003C3C13">
        <w:t xml:space="preserve"> The court observed that even in a “‘run of the mill’ FLSA action involving modest damages,” it serves the public interest underlying the FLSA to not apply “proportionality” to limit recoverable fees in the settlement context.</w:t>
      </w:r>
      <w:r w:rsidR="003C3C13" w:rsidRPr="003C3C13">
        <w:rPr>
          <w:vertAlign w:val="superscript"/>
        </w:rPr>
        <w:footnoteReference w:id="259"/>
      </w:r>
    </w:p>
    <w:p w14:paraId="4C2D1E4F" w14:textId="472D5958" w:rsidR="003C3C13" w:rsidRPr="003C3C13" w:rsidRDefault="003C3C13" w:rsidP="003C3C13">
      <w:pPr>
        <w:pStyle w:val="BQuotelong"/>
      </w:pPr>
      <w:r w:rsidRPr="003C3C13">
        <w:rPr>
          <w:b/>
          <w:i/>
        </w:rPr>
        <w:t>2.</w:t>
      </w:r>
      <w:r w:rsidRPr="003C3C13">
        <w:rPr>
          <w:b/>
          <w:i/>
        </w:rPr>
        <w:tab/>
      </w:r>
      <w:proofErr w:type="spellStart"/>
      <w:r w:rsidRPr="003C3C13">
        <w:rPr>
          <w:b/>
          <w:i/>
        </w:rPr>
        <w:t>Nonpercentage</w:t>
      </w:r>
      <w:proofErr w:type="spellEnd"/>
      <w:r w:rsidRPr="003C3C13">
        <w:rPr>
          <w:b/>
          <w:i/>
        </w:rPr>
        <w:t xml:space="preserve"> of the Recovery</w:t>
      </w:r>
    </w:p>
    <w:p w14:paraId="26968BA9" w14:textId="5A36A320" w:rsidR="003C3C13" w:rsidRPr="003C3C13" w:rsidRDefault="00A85C8E" w:rsidP="003C3C13">
      <w:pPr>
        <w:pStyle w:val="BNormal"/>
      </w:pPr>
      <w:r w:rsidRPr="003C3C13">
        <w:t>Courts have also awarded fees paid from a lump-sum settlement based on a stipulated lodestar</w:t>
      </w:r>
      <w:r w:rsidR="003C3C13" w:rsidRPr="003C3C13">
        <w:rPr>
          <w:vertAlign w:val="superscript"/>
        </w:rPr>
        <w:footnoteReference w:id="260"/>
      </w:r>
      <w:r w:rsidRPr="003C3C13">
        <w:t xml:space="preserve"> or as some other sum certain that is not derived from a percentage of the recovery.</w:t>
      </w:r>
      <w:r w:rsidR="003C3C13" w:rsidRPr="003C3C13">
        <w:rPr>
          <w:vertAlign w:val="superscript"/>
        </w:rPr>
        <w:footnoteReference w:id="261"/>
      </w:r>
      <w:r w:rsidRPr="003C3C13">
        <w:t xml:space="preserve"> As with percentage of recovery awards and contested fee awards, discussed in Chapter 16, Litigation Issues, courts will check the reasonableness of the lodestar or stipulated sum request against the </w:t>
      </w:r>
      <w:r w:rsidR="003C3C13" w:rsidRPr="003C3C13">
        <w:rPr>
          <w:i/>
        </w:rPr>
        <w:t>Johnson</w:t>
      </w:r>
      <w:r w:rsidRPr="003C3C13">
        <w:t xml:space="preserve"> or similar factors.</w:t>
      </w:r>
      <w:r w:rsidR="003C3C13" w:rsidRPr="003C3C13">
        <w:rPr>
          <w:vertAlign w:val="superscript"/>
        </w:rPr>
        <w:footnoteReference w:id="262"/>
      </w:r>
      <w:r w:rsidRPr="003C3C13">
        <w:t xml:space="preserve"> Fee settlements may be reasonable, even where they </w:t>
      </w:r>
      <w:proofErr w:type="spellStart"/>
      <w:r w:rsidRPr="003C3C13">
        <w:t>well</w:t>
      </w:r>
      <w:proofErr w:type="spellEnd"/>
      <w:r w:rsidRPr="003C3C13">
        <w:t xml:space="preserve"> exceed the damages obtained by the plaintiffs in the settlement.</w:t>
      </w:r>
      <w:r w:rsidR="003C3C13" w:rsidRPr="003C3C13">
        <w:rPr>
          <w:vertAlign w:val="superscript"/>
        </w:rPr>
        <w:footnoteReference w:id="263"/>
      </w:r>
      <w:r w:rsidRPr="003C3C13">
        <w:t xml:space="preserve"> </w:t>
      </w:r>
      <w:r w:rsidRPr="003C3C13">
        <w:rPr>
          <w:rFonts w:eastAsia="Calibri"/>
        </w:rPr>
        <w:t xml:space="preserve">In </w:t>
      </w:r>
      <w:r w:rsidR="003C3C13" w:rsidRPr="003C3C13">
        <w:rPr>
          <w:rStyle w:val="BCasenamefull"/>
        </w:rPr>
        <w:t>Rembert v. A Plus Home Health Agency LLC</w:t>
      </w:r>
      <w:r w:rsidRPr="003C3C13">
        <w:t>,</w:t>
      </w:r>
      <w:r w:rsidR="003C3C13" w:rsidRPr="003C3C13">
        <w:rPr>
          <w:vertAlign w:val="superscript"/>
        </w:rPr>
        <w:footnoteReference w:id="264"/>
      </w:r>
      <w:r w:rsidRPr="003C3C13">
        <w:t xml:space="preserve"> </w:t>
      </w:r>
      <w:r w:rsidRPr="003C3C13">
        <w:rPr>
          <w:rFonts w:eastAsia="Calibri"/>
        </w:rPr>
        <w:t>the Sixth Circuit held that “a district court abuses its discretion if it limits the fees awardable under the FLSA to a percentage of the plaintiff’s recovery.”</w:t>
      </w:r>
      <w:r w:rsidR="003C3C13" w:rsidRPr="003C3C13">
        <w:rPr>
          <w:rFonts w:eastAsia="Calibri"/>
          <w:vertAlign w:val="superscript"/>
        </w:rPr>
        <w:footnoteReference w:id="265"/>
      </w:r>
    </w:p>
    <w:p w14:paraId="176EE013" w14:textId="3FAFBFF4" w:rsidR="003C3C13" w:rsidRPr="003C3C13" w:rsidRDefault="00A85C8E" w:rsidP="003C3C13">
      <w:pPr>
        <w:pStyle w:val="BNormal"/>
      </w:pPr>
      <w:r w:rsidRPr="003C3C13">
        <w:t>One district court declined to award fees on a percentage of the recovery basis where it thought it resulted in an unreasonably high fee, and instead awarded 90 percent of the lodestar.</w:t>
      </w:r>
      <w:r w:rsidR="003C3C13" w:rsidRPr="003C3C13">
        <w:rPr>
          <w:vertAlign w:val="superscript"/>
        </w:rPr>
        <w:footnoteReference w:id="266"/>
      </w:r>
      <w:r w:rsidRPr="003C3C13">
        <w:t xml:space="preserve"> Another court refused to award a stipulated “statutory” fee in addition to a percentage of the settlement fund amount</w:t>
      </w:r>
      <w:r w:rsidR="003C3C13" w:rsidRPr="003C3C13">
        <w:t>; t</w:t>
      </w:r>
      <w:r w:rsidRPr="003C3C13">
        <w:t>he court awarded only the “statutory” fee.</w:t>
      </w:r>
      <w:r w:rsidR="003C3C13" w:rsidRPr="003C3C13">
        <w:rPr>
          <w:vertAlign w:val="superscript"/>
        </w:rPr>
        <w:footnoteReference w:id="267"/>
      </w:r>
      <w:r w:rsidRPr="003C3C13">
        <w:t xml:space="preserve"> A district court in Florida advised that the parties first settle on the recovery for the plaintiffs before negotiating the fees for the plaintiffs’ counsel.</w:t>
      </w:r>
      <w:r w:rsidR="003C3C13" w:rsidRPr="003C3C13">
        <w:rPr>
          <w:vertAlign w:val="superscript"/>
        </w:rPr>
        <w:footnoteReference w:id="268"/>
      </w:r>
      <w:r w:rsidRPr="003C3C13">
        <w:t xml:space="preserve"> Finally, a district court in Arizona held that attorneys’ fees should be determined using the lodestar method, where the fees totaled 58 percent of the settlement fund, because “[u]</w:t>
      </w:r>
      <w:proofErr w:type="spellStart"/>
      <w:r w:rsidRPr="003C3C13">
        <w:t>tilizing</w:t>
      </w:r>
      <w:proofErr w:type="spellEnd"/>
      <w:r w:rsidRPr="003C3C13">
        <w:t xml:space="preserve"> the percentage of a common fund approach shifts the burden of the cost of litigation back to the plaintiffs in contravention of the [FLSA]”).</w:t>
      </w:r>
      <w:r w:rsidR="003C3C13" w:rsidRPr="003C3C13">
        <w:rPr>
          <w:vertAlign w:val="superscript"/>
        </w:rPr>
        <w:footnoteReference w:id="269"/>
      </w:r>
    </w:p>
    <w:p w14:paraId="2C5D132A" w14:textId="31C95F2F" w:rsidR="003C3C13" w:rsidRPr="003C3C13" w:rsidRDefault="003C3C13" w:rsidP="003C3C13">
      <w:pPr>
        <w:pStyle w:val="BQuotelong"/>
      </w:pPr>
      <w:r w:rsidRPr="003C3C13">
        <w:rPr>
          <w:b/>
        </w:rPr>
        <w:t>D.</w:t>
      </w:r>
      <w:r w:rsidRPr="003C3C13">
        <w:rPr>
          <w:b/>
        </w:rPr>
        <w:tab/>
        <w:t>Recovery of Costs</w:t>
      </w:r>
    </w:p>
    <w:p w14:paraId="42D9EC01" w14:textId="66B65772" w:rsidR="003C3C13" w:rsidRPr="003C3C13" w:rsidRDefault="00A85C8E" w:rsidP="003C3C13">
      <w:pPr>
        <w:pStyle w:val="BNormal"/>
      </w:pPr>
      <w:r w:rsidRPr="003C3C13">
        <w:t>As explained in Chapter 16, Litigation Issues, §IX.G [Remedies</w:t>
      </w:r>
      <w:r w:rsidR="003C3C13" w:rsidRPr="003C3C13">
        <w:t>; C</w:t>
      </w:r>
      <w:r w:rsidRPr="003C3C13">
        <w:t>osts], most courts limit the recovery of costs in an FLSA case to the items explicitly permitted under Rule 68 of the Federal Rules of Civil Procedure</w:t>
      </w:r>
      <w:r w:rsidR="003C3C13" w:rsidRPr="003C3C13">
        <w:t>. H</w:t>
      </w:r>
      <w:r w:rsidRPr="003C3C13">
        <w:t>owever, under the common fund doctrine, courts have allowed an allocation of the settlement to reimburse the plaintiffs’ counsel for reasonable out-of-pocket expenses––the type ordinarily charged to clients.</w:t>
      </w:r>
      <w:r w:rsidR="003C3C13" w:rsidRPr="003C3C13">
        <w:rPr>
          <w:vertAlign w:val="superscript"/>
        </w:rPr>
        <w:footnoteReference w:id="270"/>
      </w:r>
      <w:r w:rsidRPr="003C3C13">
        <w:t xml:space="preserve"> Thus, courts have awarded reimbursement of expenses for plaintiffs’ counsel directly related to the litigation, including filing fees, electronic research, postage, transportation, courier costs, working meals, photocopies, and mediation fees.</w:t>
      </w:r>
      <w:r w:rsidR="003C3C13" w:rsidRPr="003C3C13">
        <w:rPr>
          <w:vertAlign w:val="superscript"/>
        </w:rPr>
        <w:footnoteReference w:id="271"/>
      </w:r>
    </w:p>
    <w:p w14:paraId="629B1E96" w14:textId="787886D7" w:rsidR="00494245" w:rsidRPr="003C3C13" w:rsidRDefault="00494245" w:rsidP="003C3C13">
      <w:pPr>
        <w:pStyle w:val="BNormal"/>
      </w:pPr>
    </w:p>
    <w:sectPr w:rsidR="00494245" w:rsidRPr="003C3C13" w:rsidSect="009A1AB3">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FD234" w14:textId="77777777" w:rsidR="00751ABA" w:rsidRDefault="00751ABA" w:rsidP="002A47A4">
      <w:r>
        <w:separator/>
      </w:r>
    </w:p>
    <w:p w14:paraId="289FDE19" w14:textId="77777777" w:rsidR="00751ABA" w:rsidRDefault="00751ABA"/>
    <w:p w14:paraId="18182A52" w14:textId="77777777" w:rsidR="00751ABA" w:rsidRDefault="00751ABA"/>
  </w:endnote>
  <w:endnote w:type="continuationSeparator" w:id="0">
    <w:p w14:paraId="3FC2703D" w14:textId="77777777" w:rsidR="00751ABA" w:rsidRDefault="00751ABA" w:rsidP="002A47A4">
      <w:r>
        <w:continuationSeparator/>
      </w:r>
    </w:p>
    <w:p w14:paraId="2158AE9A" w14:textId="77777777" w:rsidR="00751ABA" w:rsidRDefault="00751ABA"/>
    <w:p w14:paraId="622F06A3" w14:textId="77777777" w:rsidR="00751ABA" w:rsidRDefault="00751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ITC New Baskerville Std">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auto"/>
    <w:notTrueType/>
    <w:pitch w:val="variable"/>
    <w:sig w:usb0="E00002FF" w:usb1="5000205A" w:usb2="00000000" w:usb3="00000000" w:csb0="0000019F" w:csb1="00000000"/>
  </w:font>
  <w:font w:name="Times SC">
    <w:panose1 w:val="00000000000000000000"/>
    <w:charset w:val="00"/>
    <w:family w:val="auto"/>
    <w:notTrueType/>
    <w:pitch w:val="variable"/>
    <w:sig w:usb0="E00002FF" w:usb1="5000205A"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auto"/>
    <w:notTrueType/>
    <w:pitch w:val="variable"/>
    <w:sig w:usb0="E00002FF" w:usb1="5000205A" w:usb2="00000000" w:usb3="00000000" w:csb0="0000019F" w:csb1="00000000"/>
  </w:font>
  <w:font w:name="FreeSans">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C46E" w14:textId="77777777" w:rsidR="003C3C13" w:rsidRPr="003C3C13" w:rsidRDefault="003C3C13" w:rsidP="003C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A0FD" w14:textId="77777777" w:rsidR="003C3C13" w:rsidRPr="003C3C13" w:rsidRDefault="003C3C13" w:rsidP="003C3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6C97" w14:textId="77777777" w:rsidR="003C3C13" w:rsidRPr="003C3C13" w:rsidRDefault="003C3C13" w:rsidP="003C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789D9" w14:textId="77777777" w:rsidR="00751ABA" w:rsidRDefault="00751ABA" w:rsidP="002A47A4">
      <w:r>
        <w:separator/>
      </w:r>
    </w:p>
    <w:p w14:paraId="5B101270" w14:textId="77777777" w:rsidR="00751ABA" w:rsidRDefault="00751ABA"/>
    <w:p w14:paraId="12A02CE7" w14:textId="77777777" w:rsidR="00751ABA" w:rsidRDefault="00751ABA"/>
  </w:footnote>
  <w:footnote w:type="continuationSeparator" w:id="0">
    <w:p w14:paraId="39903F53" w14:textId="77777777" w:rsidR="00751ABA" w:rsidRDefault="00751ABA" w:rsidP="002A47A4">
      <w:r>
        <w:continuationSeparator/>
      </w:r>
    </w:p>
    <w:p w14:paraId="6DDA2340" w14:textId="77777777" w:rsidR="00751ABA" w:rsidRDefault="00751ABA"/>
    <w:p w14:paraId="64872EC1" w14:textId="77777777" w:rsidR="00751ABA" w:rsidRDefault="00751ABA"/>
  </w:footnote>
  <w:footnote w:id="1">
    <w:p w14:paraId="1FE84ECD" w14:textId="2FA85A16" w:rsidR="003C3C13" w:rsidRPr="00CE2995" w:rsidRDefault="003C3C13" w:rsidP="003C3C13">
      <w:pPr>
        <w:pStyle w:val="FootnoteText"/>
      </w:pPr>
      <w:r w:rsidRPr="003C3C13">
        <w:rPr>
          <w:rStyle w:val="FootnoteReference"/>
        </w:rPr>
        <w:footnoteRef/>
      </w:r>
      <w:r w:rsidRPr="003C3C13">
        <w:t>See the exceptions noted in §II.B [General Principles Relating to the Settlement of Private FLSA Claims; Validity of Settlements Without Court Approval] of this chapter.</w:t>
      </w:r>
    </w:p>
  </w:footnote>
  <w:footnote w:id="2">
    <w:p w14:paraId="4E7618EA" w14:textId="5C82E9D0" w:rsidR="003C3C13" w:rsidRPr="00CE2995" w:rsidRDefault="003C3C13" w:rsidP="003C3C13">
      <w:pPr>
        <w:pStyle w:val="FootnoteText"/>
      </w:pPr>
      <w:r w:rsidRPr="003C3C13">
        <w:rPr>
          <w:rStyle w:val="FootnoteReference"/>
        </w:rPr>
        <w:footnoteRef/>
      </w:r>
      <w:r w:rsidRPr="003C3C13">
        <w:rPr>
          <w:i/>
        </w:rPr>
        <w:t>See</w:t>
      </w:r>
      <w:r w:rsidRPr="003C3C13">
        <w:t xml:space="preserve"> Brooklyn Sav. Bank v. O’Neil, 324 U.S. 697 (1945).</w:t>
      </w:r>
    </w:p>
  </w:footnote>
  <w:footnote w:id="3">
    <w:p w14:paraId="7E5DBC09" w14:textId="12FC39CC" w:rsidR="003C3C13" w:rsidRPr="003C3C13" w:rsidRDefault="003C3C13" w:rsidP="003C3C13">
      <w:pPr>
        <w:pStyle w:val="FootnoteText"/>
      </w:pPr>
      <w:r w:rsidRPr="003C3C13">
        <w:rPr>
          <w:rStyle w:val="FootnoteReference"/>
        </w:rPr>
        <w:footnoteRef/>
      </w:r>
      <w:r w:rsidRPr="003C3C13">
        <w:t>Lynn’s Food Stores, Inc. v. United States, 679 F.2d 1350, 1354 (11th Cir. 1981).</w:t>
      </w:r>
    </w:p>
    <w:p w14:paraId="6D03A3E5" w14:textId="77777777" w:rsidR="003C3C13" w:rsidRPr="00CE2995" w:rsidRDefault="003C3C13" w:rsidP="005B4CE4">
      <w:pPr>
        <w:pStyle w:val="14Footnote"/>
      </w:pPr>
    </w:p>
  </w:footnote>
  <w:footnote w:id="4">
    <w:p w14:paraId="2A39FADF" w14:textId="2550B0FF" w:rsidR="003C3C13" w:rsidRPr="00CE2995" w:rsidRDefault="003C3C13" w:rsidP="003C3C13">
      <w:pPr>
        <w:pStyle w:val="FootnoteText"/>
      </w:pPr>
      <w:r w:rsidRPr="003C3C13">
        <w:rPr>
          <w:rStyle w:val="FootnoteReference"/>
        </w:rPr>
        <w:footnoteRef/>
      </w:r>
      <w:r w:rsidRPr="003C3C13">
        <w:rPr>
          <w:i/>
        </w:rPr>
        <w:t>See</w:t>
      </w:r>
      <w:r w:rsidRPr="003C3C13">
        <w:t xml:space="preserve"> Kahlil v. Original Old Homestead Rest., Inc., 657 F. Supp. 2d 470, 474 (S.D.N.Y. 2009) (“Plaintiffs surely obtained some of the relief sought and no court in this circuit has indicated that relief obtained in settlement must exactly match relief sought in the complaint.”).</w:t>
      </w:r>
    </w:p>
  </w:footnote>
  <w:footnote w:id="5">
    <w:p w14:paraId="7B20EF11" w14:textId="229CCE8E" w:rsidR="003C3C13" w:rsidRPr="00CE2995" w:rsidRDefault="003C3C13" w:rsidP="003C3C13">
      <w:pPr>
        <w:pStyle w:val="FootnoteText"/>
      </w:pPr>
      <w:r w:rsidRPr="003C3C13">
        <w:rPr>
          <w:rStyle w:val="FootnoteReference"/>
        </w:rPr>
        <w:footnoteRef/>
      </w:r>
      <w:r w:rsidRPr="003C3C13">
        <w:t>Fisher v. SD Prot. Inc., 948 F.3d 593, 600 (2d Cir. 2020).</w:t>
      </w:r>
    </w:p>
  </w:footnote>
  <w:footnote w:id="6">
    <w:p w14:paraId="1B28AC4C" w14:textId="79A0B55F" w:rsidR="003C3C13" w:rsidRPr="003C3C13" w:rsidRDefault="003C3C13" w:rsidP="003C3C13">
      <w:pPr>
        <w:pStyle w:val="FootnoteText"/>
      </w:pPr>
      <w:r w:rsidRPr="003C3C13">
        <w:rPr>
          <w:rStyle w:val="FootnoteReference"/>
        </w:rPr>
        <w:footnoteRef/>
      </w:r>
      <w:r w:rsidRPr="003C3C13">
        <w:t>324 U.S. 697 (1945).</w:t>
      </w:r>
    </w:p>
    <w:p w14:paraId="026690D7" w14:textId="77777777" w:rsidR="003C3C13" w:rsidRPr="00CE2995" w:rsidRDefault="003C3C13" w:rsidP="005B4CE4">
      <w:pPr>
        <w:pStyle w:val="14Footnote"/>
      </w:pPr>
    </w:p>
  </w:footnote>
  <w:footnote w:id="7">
    <w:p w14:paraId="39DCEF03" w14:textId="23A2F7B6" w:rsidR="003C3C13" w:rsidRPr="00CE2995" w:rsidRDefault="003C3C13" w:rsidP="003C3C13">
      <w:pPr>
        <w:pStyle w:val="FootnoteText"/>
      </w:pPr>
      <w:r w:rsidRPr="003C3C13">
        <w:rPr>
          <w:rStyle w:val="FootnoteReference"/>
        </w:rPr>
        <w:footnoteRef/>
      </w:r>
      <w:r w:rsidRPr="003C3C13">
        <w:rPr>
          <w:i/>
        </w:rPr>
        <w:t xml:space="preserve">Id. </w:t>
      </w:r>
      <w:r w:rsidRPr="003C3C13">
        <w:t>at 699.</w:t>
      </w:r>
    </w:p>
  </w:footnote>
  <w:footnote w:id="8">
    <w:p w14:paraId="164BDAEF" w14:textId="3E05C920" w:rsidR="003C3C13" w:rsidRPr="003C3C13" w:rsidRDefault="003C3C13" w:rsidP="003C3C13">
      <w:pPr>
        <w:pStyle w:val="FootnoteText"/>
      </w:pPr>
      <w:r w:rsidRPr="003C3C13">
        <w:rPr>
          <w:rStyle w:val="FootnoteReference"/>
        </w:rPr>
        <w:footnoteRef/>
      </w:r>
      <w:r w:rsidRPr="003C3C13">
        <w:rPr>
          <w:i/>
        </w:rPr>
        <w:t xml:space="preserve">Id. </w:t>
      </w:r>
      <w:r w:rsidRPr="003C3C13">
        <w:t>at 700.</w:t>
      </w:r>
    </w:p>
    <w:p w14:paraId="771AC1B0" w14:textId="77777777" w:rsidR="003C3C13" w:rsidRPr="00CE2995" w:rsidRDefault="003C3C13" w:rsidP="005B4CE4">
      <w:pPr>
        <w:pStyle w:val="14Footnote"/>
      </w:pPr>
    </w:p>
  </w:footnote>
  <w:footnote w:id="9">
    <w:p w14:paraId="35222BFB" w14:textId="7F019974" w:rsidR="003C3C13" w:rsidRPr="00CE2995" w:rsidRDefault="003C3C13" w:rsidP="003C3C13">
      <w:pPr>
        <w:pStyle w:val="FootnoteText"/>
      </w:pPr>
      <w:r w:rsidRPr="003C3C13">
        <w:rPr>
          <w:rStyle w:val="FootnoteReference"/>
        </w:rPr>
        <w:footnoteRef/>
      </w:r>
      <w:r w:rsidRPr="003C3C13">
        <w:rPr>
          <w:i/>
        </w:rPr>
        <w:t xml:space="preserve">Id. </w:t>
      </w:r>
      <w:r w:rsidRPr="003C3C13">
        <w:t>at 707.</w:t>
      </w:r>
    </w:p>
  </w:footnote>
  <w:footnote w:id="10">
    <w:p w14:paraId="1240712D" w14:textId="7B68E642" w:rsidR="003C3C13" w:rsidRPr="003C3C13" w:rsidRDefault="003C3C13" w:rsidP="003C3C13">
      <w:pPr>
        <w:pStyle w:val="FootnoteText"/>
      </w:pPr>
      <w:r w:rsidRPr="003C3C13">
        <w:rPr>
          <w:rStyle w:val="FootnoteReference"/>
        </w:rPr>
        <w:footnoteRef/>
      </w:r>
      <w:r w:rsidRPr="003C3C13">
        <w:rPr>
          <w:i/>
        </w:rPr>
        <w:t>Id</w:t>
      </w:r>
      <w:r w:rsidRPr="003C3C13">
        <w:t>. at 704 (in Case No. 445, holding that in absence of bona fide dispute between parties as to liability, plaintiff’s written waiver of his right to liquidated damages under §216(b) did not bar subsequent action to recover liquidated damages).</w:t>
      </w:r>
    </w:p>
    <w:p w14:paraId="4D427622" w14:textId="77777777" w:rsidR="003C3C13" w:rsidRPr="00CE2995" w:rsidRDefault="003C3C13" w:rsidP="005B4CE4">
      <w:pPr>
        <w:pStyle w:val="14Footnote"/>
      </w:pPr>
    </w:p>
  </w:footnote>
  <w:footnote w:id="11">
    <w:p w14:paraId="66F31660" w14:textId="02565A35" w:rsidR="003C3C13" w:rsidRPr="003C3C13" w:rsidRDefault="003C3C13" w:rsidP="003C3C13">
      <w:pPr>
        <w:pStyle w:val="FootnoteText"/>
      </w:pPr>
      <w:r w:rsidRPr="003C3C13">
        <w:rPr>
          <w:rStyle w:val="FootnoteReference"/>
        </w:rPr>
        <w:footnoteRef/>
      </w:r>
      <w:r w:rsidRPr="003C3C13">
        <w:rPr>
          <w:i/>
        </w:rPr>
        <w:t>Id</w:t>
      </w:r>
      <w:r w:rsidRPr="003C3C13">
        <w:t>. at 709–10.</w:t>
      </w:r>
    </w:p>
    <w:p w14:paraId="16AE425C" w14:textId="77777777" w:rsidR="003C3C13" w:rsidRPr="00CE2995" w:rsidRDefault="003C3C13" w:rsidP="005B4CE4">
      <w:pPr>
        <w:pStyle w:val="14Footnote"/>
      </w:pPr>
    </w:p>
  </w:footnote>
  <w:footnote w:id="12">
    <w:p w14:paraId="1C7F3535" w14:textId="4A2B5700" w:rsidR="003C3C13" w:rsidRPr="003C3C13" w:rsidRDefault="003C3C13" w:rsidP="003C3C13">
      <w:pPr>
        <w:pStyle w:val="FootnoteText"/>
      </w:pPr>
      <w:r w:rsidRPr="003C3C13">
        <w:rPr>
          <w:rStyle w:val="FootnoteReference"/>
        </w:rPr>
        <w:footnoteRef/>
      </w:r>
      <w:r w:rsidRPr="003C3C13">
        <w:t>328 U.S. 108, 6 WH Cases 2 (1946).</w:t>
      </w:r>
    </w:p>
    <w:p w14:paraId="57290220" w14:textId="77777777" w:rsidR="003C3C13" w:rsidRPr="00CE2995" w:rsidRDefault="003C3C13" w:rsidP="005B4CE4">
      <w:pPr>
        <w:pStyle w:val="14Footnote"/>
      </w:pPr>
    </w:p>
  </w:footnote>
  <w:footnote w:id="13">
    <w:p w14:paraId="6C719061" w14:textId="76CB23E9" w:rsidR="003C3C13" w:rsidRPr="003C3C13" w:rsidRDefault="003C3C13" w:rsidP="003C3C13">
      <w:pPr>
        <w:pStyle w:val="FootnoteText"/>
      </w:pPr>
      <w:r w:rsidRPr="003C3C13">
        <w:rPr>
          <w:rStyle w:val="FootnoteReference"/>
        </w:rPr>
        <w:footnoteRef/>
      </w:r>
      <w:r w:rsidRPr="003C3C13">
        <w:t>944 F.3d 395 (2d Cir. 2019).</w:t>
      </w:r>
    </w:p>
    <w:p w14:paraId="5BBCDCE3" w14:textId="77777777" w:rsidR="003C3C13" w:rsidRPr="00CE2995" w:rsidRDefault="003C3C13" w:rsidP="005B4CE4">
      <w:pPr>
        <w:pStyle w:val="14Footnote"/>
      </w:pPr>
    </w:p>
  </w:footnote>
  <w:footnote w:id="14">
    <w:p w14:paraId="70EDB54A" w14:textId="3C50ABDA" w:rsidR="003C3C13" w:rsidRPr="003C3C13" w:rsidRDefault="003C3C13" w:rsidP="003C3C13">
      <w:pPr>
        <w:pStyle w:val="FootnoteText"/>
      </w:pPr>
      <w:r w:rsidRPr="003C3C13">
        <w:rPr>
          <w:rStyle w:val="FootnoteReference"/>
        </w:rPr>
        <w:footnoteRef/>
      </w:r>
      <w:r w:rsidRPr="003C3C13">
        <w:rPr>
          <w:i/>
        </w:rPr>
        <w:t xml:space="preserve">Id. </w:t>
      </w:r>
      <w:r w:rsidRPr="003C3C13">
        <w:t xml:space="preserve">at 404–05 (citing </w:t>
      </w:r>
      <w:r w:rsidRPr="003C3C13">
        <w:rPr>
          <w:i/>
        </w:rPr>
        <w:t>Gangi</w:t>
      </w:r>
      <w:r w:rsidRPr="003C3C13">
        <w:t>, 328 U.S. 108, 110).</w:t>
      </w:r>
    </w:p>
    <w:p w14:paraId="6A50D430" w14:textId="77777777" w:rsidR="003C3C13" w:rsidRPr="00CE2995" w:rsidRDefault="003C3C13" w:rsidP="005B4CE4">
      <w:pPr>
        <w:pStyle w:val="14Footnote"/>
      </w:pPr>
    </w:p>
  </w:footnote>
  <w:footnote w:id="15">
    <w:p w14:paraId="50E73D45" w14:textId="7DDDA681" w:rsidR="003C3C13" w:rsidRPr="00CE2995" w:rsidRDefault="003C3C13" w:rsidP="003C3C13">
      <w:pPr>
        <w:pStyle w:val="FootnoteText"/>
      </w:pPr>
      <w:r w:rsidRPr="003C3C13">
        <w:rPr>
          <w:rStyle w:val="FootnoteReference"/>
        </w:rPr>
        <w:footnoteRef/>
      </w:r>
      <w:r w:rsidRPr="003C3C13">
        <w:rPr>
          <w:i/>
        </w:rPr>
        <w:t>Gangi</w:t>
      </w:r>
      <w:r w:rsidRPr="003C3C13">
        <w:t>, 328 U.S. at 116.</w:t>
      </w:r>
    </w:p>
  </w:footnote>
  <w:footnote w:id="16">
    <w:p w14:paraId="6BD64B56" w14:textId="3B499AAD" w:rsidR="003C3C13" w:rsidRPr="00CE2995" w:rsidRDefault="003C3C13" w:rsidP="003C3C13">
      <w:pPr>
        <w:pStyle w:val="FootnoteText"/>
      </w:pPr>
      <w:r w:rsidRPr="003C3C13">
        <w:rPr>
          <w:rStyle w:val="FootnoteReference"/>
        </w:rPr>
        <w:footnoteRef/>
      </w:r>
      <w:r w:rsidRPr="003C3C13">
        <w:rPr>
          <w:i/>
        </w:rPr>
        <w:t>Id.</w:t>
      </w:r>
    </w:p>
  </w:footnote>
  <w:footnote w:id="17">
    <w:p w14:paraId="6B9AC301" w14:textId="54BCD976" w:rsidR="003C3C13" w:rsidRPr="003C3C13" w:rsidRDefault="003C3C13" w:rsidP="003C3C13">
      <w:pPr>
        <w:pStyle w:val="FootnoteText"/>
      </w:pPr>
      <w:r w:rsidRPr="003C3C13">
        <w:rPr>
          <w:rStyle w:val="FootnoteReference"/>
        </w:rPr>
        <w:footnoteRef/>
      </w:r>
      <w:r w:rsidRPr="003C3C13">
        <w:rPr>
          <w:i/>
        </w:rPr>
        <w:t xml:space="preserve">Id. </w:t>
      </w:r>
      <w:r w:rsidRPr="003C3C13">
        <w:t xml:space="preserve">at 114–15; </w:t>
      </w:r>
      <w:r w:rsidRPr="003C3C13">
        <w:rPr>
          <w:i/>
        </w:rPr>
        <w:t>see also</w:t>
      </w:r>
      <w:r w:rsidRPr="003C3C13">
        <w:t xml:space="preserve"> Hohnke v. United States, 69 Fed. Cl. 170 (2005) (explicating </w:t>
      </w:r>
      <w:r w:rsidRPr="003C3C13">
        <w:rPr>
          <w:i/>
        </w:rPr>
        <w:t xml:space="preserve">Gangi </w:t>
      </w:r>
      <w:r w:rsidRPr="003C3C13">
        <w:t xml:space="preserve">and </w:t>
      </w:r>
      <w:r w:rsidRPr="003C3C13">
        <w:rPr>
          <w:i/>
        </w:rPr>
        <w:t>Brooklyn Savings</w:t>
      </w:r>
      <w:r w:rsidRPr="003C3C13">
        <w:t xml:space="preserve"> </w:t>
      </w:r>
      <w:r w:rsidRPr="003C3C13">
        <w:rPr>
          <w:i/>
        </w:rPr>
        <w:t>Bank</w:t>
      </w:r>
      <w:r w:rsidRPr="003C3C13">
        <w:t xml:space="preserve"> in holding waiver of FLSA claims unenforceable because no bona fide dispute existed as to FLSA claims at time of settlement).</w:t>
      </w:r>
    </w:p>
    <w:p w14:paraId="2B37E225" w14:textId="77777777" w:rsidR="003C3C13" w:rsidRPr="00CE2995" w:rsidRDefault="003C3C13" w:rsidP="005B4CE4">
      <w:pPr>
        <w:pStyle w:val="14Footnote"/>
      </w:pPr>
    </w:p>
  </w:footnote>
  <w:footnote w:id="18">
    <w:p w14:paraId="69AA6F8A" w14:textId="5DD8BCA4" w:rsidR="003C3C13" w:rsidRPr="00CE2995" w:rsidRDefault="003C3C13" w:rsidP="003C3C13">
      <w:pPr>
        <w:pStyle w:val="FootnoteText"/>
      </w:pPr>
      <w:r w:rsidRPr="003C3C13">
        <w:rPr>
          <w:rStyle w:val="FootnoteReference"/>
        </w:rPr>
        <w:footnoteRef/>
      </w:r>
      <w:r w:rsidRPr="003C3C13">
        <w:t>450 U.S. 728, 740 (1981) (addressing unrelated question of whether employees’ FLSA claim was barred after they had unsuccessfully submitted claim based on same underlying facts to joint grievance committee under collective bargaining agreement, answering question in negative).</w:t>
      </w:r>
    </w:p>
  </w:footnote>
  <w:footnote w:id="19">
    <w:p w14:paraId="2A1BB12B" w14:textId="6BEF6067" w:rsidR="003C3C13" w:rsidRPr="00CE2995" w:rsidRDefault="003C3C13" w:rsidP="003C3C13">
      <w:pPr>
        <w:pStyle w:val="FootnoteText"/>
      </w:pPr>
      <w:r w:rsidRPr="003C3C13">
        <w:rPr>
          <w:rStyle w:val="FootnoteReference"/>
        </w:rPr>
        <w:footnoteRef/>
      </w:r>
      <w:r w:rsidRPr="003C3C13">
        <w:rPr>
          <w:i/>
        </w:rPr>
        <w:t>Id</w:t>
      </w:r>
      <w:r w:rsidRPr="003C3C13">
        <w:t>. (citing Brooklyn Sav. Bank v. O’Neil, 324 U.S. 697, 707 (1945); D.A. Schulte, Inc. v. Gangi, 328 U.S. 108, 114–16, 6 WH Cases 2 (1946)).</w:t>
      </w:r>
    </w:p>
  </w:footnote>
  <w:footnote w:id="20">
    <w:p w14:paraId="11258CC1" w14:textId="03A05FBF" w:rsidR="003C3C13" w:rsidRPr="003C3C13" w:rsidRDefault="003C3C13" w:rsidP="003C3C13">
      <w:pPr>
        <w:pStyle w:val="FootnoteText"/>
      </w:pPr>
      <w:r w:rsidRPr="003C3C13">
        <w:rPr>
          <w:rStyle w:val="FootnoteReference"/>
        </w:rPr>
        <w:footnoteRef/>
      </w:r>
      <w:r w:rsidRPr="003C3C13">
        <w:t>Mei Xing Yu v. Hasaki Rest., Inc., 944 F.3d 395 (2d Cir. 2019).</w:t>
      </w:r>
    </w:p>
    <w:p w14:paraId="68958075" w14:textId="77777777" w:rsidR="003C3C13" w:rsidRPr="00CE2995" w:rsidRDefault="003C3C13" w:rsidP="005B4CE4">
      <w:pPr>
        <w:pStyle w:val="14Footnote"/>
      </w:pPr>
    </w:p>
  </w:footnote>
  <w:footnote w:id="21">
    <w:p w14:paraId="0A648BE4" w14:textId="595235C5" w:rsidR="003C3C13" w:rsidRPr="003C3C13" w:rsidRDefault="003C3C13" w:rsidP="003C3C13">
      <w:pPr>
        <w:pStyle w:val="FootnoteText"/>
      </w:pPr>
      <w:r w:rsidRPr="003C3C13">
        <w:rPr>
          <w:rStyle w:val="FootnoteReference"/>
        </w:rPr>
        <w:footnoteRef/>
      </w:r>
      <w:r w:rsidRPr="003C3C13">
        <w:rPr>
          <w:i/>
        </w:rPr>
        <w:t xml:space="preserve">Id. </w:t>
      </w:r>
      <w:r w:rsidRPr="003C3C13">
        <w:t>at 405.</w:t>
      </w:r>
    </w:p>
    <w:p w14:paraId="4E5766D2" w14:textId="77777777" w:rsidR="003C3C13" w:rsidRPr="00CE2995" w:rsidRDefault="003C3C13" w:rsidP="005B4CE4">
      <w:pPr>
        <w:pStyle w:val="14Footnote"/>
      </w:pPr>
    </w:p>
  </w:footnote>
  <w:footnote w:id="22">
    <w:p w14:paraId="1EACB00A" w14:textId="67F13738" w:rsidR="003C3C13" w:rsidRPr="003C3C13" w:rsidRDefault="003C3C13" w:rsidP="003C3C13">
      <w:pPr>
        <w:pStyle w:val="FootnoteText"/>
      </w:pPr>
      <w:r w:rsidRPr="003C3C13">
        <w:rPr>
          <w:rStyle w:val="FootnoteReference"/>
        </w:rPr>
        <w:footnoteRef/>
      </w:r>
      <w:r w:rsidRPr="003C3C13">
        <w:t>679 F.2d 1350 (11th Cir. 1982).</w:t>
      </w:r>
    </w:p>
    <w:p w14:paraId="61EA42E0" w14:textId="77777777" w:rsidR="003C3C13" w:rsidRPr="00CE2995" w:rsidRDefault="003C3C13" w:rsidP="005B4CE4">
      <w:pPr>
        <w:pStyle w:val="14Footnote"/>
      </w:pPr>
    </w:p>
  </w:footnote>
  <w:footnote w:id="23">
    <w:p w14:paraId="08DE41AD" w14:textId="41E5A533" w:rsidR="003C3C13" w:rsidRPr="003C3C13" w:rsidRDefault="003C3C13" w:rsidP="003C3C13">
      <w:pPr>
        <w:pStyle w:val="FootnoteText"/>
      </w:pPr>
      <w:r w:rsidRPr="003C3C13">
        <w:rPr>
          <w:rStyle w:val="FootnoteReference"/>
        </w:rPr>
        <w:footnoteRef/>
      </w:r>
      <w:r w:rsidRPr="003C3C13">
        <w:rPr>
          <w:i/>
        </w:rPr>
        <w:t>Id</w:t>
      </w:r>
      <w:r w:rsidRPr="003C3C13">
        <w:t>. at 1355 (emphasis added).</w:t>
      </w:r>
    </w:p>
    <w:p w14:paraId="518A2D96" w14:textId="77777777" w:rsidR="003C3C13" w:rsidRPr="00CE2995" w:rsidRDefault="003C3C13" w:rsidP="005B4CE4">
      <w:pPr>
        <w:pStyle w:val="14Footnote"/>
      </w:pPr>
    </w:p>
  </w:footnote>
  <w:footnote w:id="24">
    <w:p w14:paraId="12CEE5A0" w14:textId="21FF7F2E" w:rsidR="003C3C13" w:rsidRPr="003C3C13" w:rsidRDefault="003C3C13" w:rsidP="003C3C13">
      <w:pPr>
        <w:pStyle w:val="FootnoteText"/>
      </w:pPr>
      <w:r w:rsidRPr="003C3C13">
        <w:rPr>
          <w:rStyle w:val="FootnoteReference"/>
        </w:rPr>
        <w:footnoteRef/>
      </w:r>
      <w:r w:rsidRPr="003C3C13">
        <w:rPr>
          <w:i/>
        </w:rPr>
        <w:t>See, e.g.</w:t>
      </w:r>
      <w:r w:rsidRPr="003C3C13">
        <w:t>,</w:t>
      </w:r>
    </w:p>
    <w:p w14:paraId="264BD6F6" w14:textId="61BEBF88" w:rsidR="003C3C13" w:rsidRPr="003C3C13" w:rsidRDefault="003C3C13" w:rsidP="003C3C13">
      <w:pPr>
        <w:pStyle w:val="FootnoteText"/>
      </w:pPr>
      <w:r w:rsidRPr="003C3C13">
        <w:rPr>
          <w:i/>
        </w:rPr>
        <w:t xml:space="preserve">Second Circuit: </w:t>
      </w:r>
      <w:r w:rsidRPr="003C3C13">
        <w:t>Gomez v. MLB Enters., Corp., 2018 WL 3019102, at *14 (S.D.N.Y. June 5, 2018) (refusing to enforce settlements where agreements were not approved by court or DOL as is required under FLSA); Chao v. Vidtape, Inc., 196 F. Supp. 2d 218, 8 WH Cases2d 1327 (E.D.N.Y. 2002) (holding waiver of FLSA claims unenforceable).</w:t>
      </w:r>
    </w:p>
    <w:p w14:paraId="468258CF" w14:textId="6DC6AA9B" w:rsidR="003C3C13" w:rsidRPr="003C3C13" w:rsidRDefault="003C3C13" w:rsidP="003C3C13">
      <w:pPr>
        <w:pStyle w:val="FootnoteText"/>
      </w:pPr>
      <w:r w:rsidRPr="003C3C13">
        <w:rPr>
          <w:i/>
        </w:rPr>
        <w:t xml:space="preserve">Third Circuit: </w:t>
      </w:r>
      <w:r w:rsidRPr="003C3C13">
        <w:t>PBA Local 183 v. County of Essex, 2019 WL 5168688, at *7 (D.N.J. Oct. 15, 2019) (determining that FLSA claims must be settled with supervision from DOL or approval from district court, noting that Third Circuit has yet to address this issue).</w:t>
      </w:r>
    </w:p>
    <w:p w14:paraId="1195D4F2" w14:textId="798BF337" w:rsidR="003C3C13" w:rsidRPr="003C3C13" w:rsidRDefault="003C3C13" w:rsidP="003C3C13">
      <w:pPr>
        <w:pStyle w:val="FootnoteText"/>
      </w:pPr>
      <w:r w:rsidRPr="003C3C13">
        <w:rPr>
          <w:i/>
        </w:rPr>
        <w:t xml:space="preserve">Fourth Circuit: </w:t>
      </w:r>
      <w:r w:rsidRPr="003C3C13">
        <w:t>Taylor v. Progress Energy, Inc., 493 F.3d 454, 460 (4th Cir. 2007) (stating in dicta that “under the FLSA … there is a judicial prohibition against the unsupervised waiver or settlement of claims”).</w:t>
      </w:r>
    </w:p>
    <w:p w14:paraId="3C16EFED" w14:textId="08FE8F60" w:rsidR="003C3C13" w:rsidRPr="003C3C13" w:rsidRDefault="003C3C13" w:rsidP="003C3C13">
      <w:pPr>
        <w:pStyle w:val="FootnoteText"/>
      </w:pPr>
      <w:r w:rsidRPr="003C3C13">
        <w:rPr>
          <w:i/>
        </w:rPr>
        <w:t>Sixth Circuit</w:t>
      </w:r>
      <w:r w:rsidRPr="003C3C13">
        <w:t>: Welch v. Big Boy Rest. Int’l, LLC, 2018 WL 4745502 (E.D. Mich. Oct. 2, 2018) (refusing to enforce release obtained by employer from employee one week after employee filed FLSA lawsuit where release had not been approved by court, was not result of arm’s-length negotiations, was entered into without advice of counsel, was unreasonable resolution of dispute, and contained broad general release); Nasrallah v. Lakefront Lines, Inc., 2017 WL 2291657 (N.D. Ohio May 25, 2017) (settlement of Equal Employment Opportunity Commission charge that included release from FLSA claims and stated plaintiff had been paid for all hours worked did not bar plaintiff’s FLSA claim, as there was no factual development of number of unpaid overtime hours nor of compensation due for overtime).</w:t>
      </w:r>
    </w:p>
    <w:p w14:paraId="56FF30C9" w14:textId="28CF1C3C" w:rsidR="003C3C13" w:rsidRPr="003C3C13" w:rsidRDefault="003C3C13" w:rsidP="003C3C13">
      <w:pPr>
        <w:pStyle w:val="FootnoteText"/>
      </w:pPr>
      <w:r w:rsidRPr="003C3C13">
        <w:rPr>
          <w:i/>
        </w:rPr>
        <w:t xml:space="preserve">Seventh Circuit: </w:t>
      </w:r>
      <w:r w:rsidRPr="003C3C13">
        <w:t>Koch v. Jerry W. Bailey Trucking, Inc., 51 F.4th 748, 752 (7th Cir. 2022) (explaining that “the FLSA restricts one’s ability to contract for wages below the minimum wage, so any settlement of an FLSA claim requires a judicial imprimatur”); Walton v. United Consumers Club, Inc., 786 F.2d 303, 306 (7th Cir. 1986) (finding that employee accepting employer’s payment of back wages did not bar employee’s subsequent FLSA suit; FLSA “is designed to prevent consenting adults from transacting about minimum wages and overtime pay. Once the Act makes it impossible to agree on the amount of pay, it is necessary to ban private settlements of disputes about pay.”); O’Brien v. Enocotech Constr. Serv., Inc., 203 F.R.D. 346 (N.D. Ill. 2001) (holding waivers of FLSA claims obtained by employer after filing of collective action invalid and ordering notice to putative class regarding unenforceability as to FLSA claims).</w:t>
      </w:r>
    </w:p>
    <w:p w14:paraId="16FF791F" w14:textId="03C092FD" w:rsidR="003C3C13" w:rsidRPr="003C3C13" w:rsidRDefault="003C3C13" w:rsidP="003C3C13">
      <w:pPr>
        <w:pStyle w:val="FootnoteText"/>
      </w:pPr>
      <w:r w:rsidRPr="003C3C13">
        <w:rPr>
          <w:i/>
        </w:rPr>
        <w:t xml:space="preserve">Eleventh Circuit: </w:t>
      </w:r>
      <w:r w:rsidRPr="003C3C13">
        <w:t xml:space="preserve">Nall v. Mal-Motels, Inc., 723 F.3d 1304, 1306–07 (11th Cir. 2013) (following </w:t>
      </w:r>
      <w:r w:rsidRPr="003C3C13">
        <w:rPr>
          <w:i/>
        </w:rPr>
        <w:t>Lynn’s Food Stores</w:t>
      </w:r>
      <w:r w:rsidRPr="003C3C13">
        <w:t>); O’Connor v. United States, 308 F.3d 1233, 1243 (11th Cir. 2002) (holding that public employees’ FLSA claims were barred on ground of accord and satisfaction, but noting that “a private sector employee cannot waive or release his right to back wage compensation and liquidated damages under the FLSA”); Molnoski v. Batmasian, 265 F. Supp. 3d 1355 (S.D. Fla. 2017) (acknowledging that parties may not bargain away FLSA protections, including right to liquidated damages; rejecting settlement where parties’ agreement did not indicate what portion of payment corresponded to liquidated damages); Hogan v. Allstate Beverage Co., Inc., 821 F. Supp. 2d 1274 (M.D. Ala. 2011) (holding that, even where bona fide dispute over coverage exists, agreement that required plaintiff to waive all claims against employer and demanded confidentiality did not relate to settlement of bona fide dispute and could not be enforced under FLSA if it was not deemed fair after close scrutiny); Fuentes v. CAI Int’l, Inc., 728 F. Supp. 2d 1347, 1352–54 (S.D. Fla. 2010) (holding release of claims invalid as to FLSA claims and rejecting argument of employer that release was “more generous than the FLSA requirements regarding compensation”).</w:t>
      </w:r>
    </w:p>
    <w:p w14:paraId="61D65587" w14:textId="29BB91C0" w:rsidR="003C3C13" w:rsidRPr="003C3C13" w:rsidRDefault="003C3C13" w:rsidP="003C3C13">
      <w:pPr>
        <w:pStyle w:val="FootnoteText"/>
      </w:pPr>
      <w:r w:rsidRPr="003C3C13">
        <w:rPr>
          <w:i/>
        </w:rPr>
        <w:t>D</w:t>
      </w:r>
      <w:r w:rsidRPr="003C3C13">
        <w:t>.</w:t>
      </w:r>
      <w:r w:rsidRPr="003C3C13">
        <w:rPr>
          <w:i/>
        </w:rPr>
        <w:t>C</w:t>
      </w:r>
      <w:r w:rsidRPr="003C3C13">
        <w:t xml:space="preserve">. </w:t>
      </w:r>
      <w:r w:rsidRPr="003C3C13">
        <w:rPr>
          <w:i/>
        </w:rPr>
        <w:t xml:space="preserve">Circuit: </w:t>
      </w:r>
      <w:r w:rsidRPr="003C3C13">
        <w:t>Abrego v. Yu Lin, Corp., 317 F. Supp. 3d 298, 303 (D.D.C. 2018) (denying motion to dismiss lawsuit on basis of settlement where there was nothing in record that showed bona fide dispute between parties as defendant had not challenged applicability of FLSA to plaintiff, number of hours plaintiff worked, or wages owed to him; holding that in absence of bona fide dispute, settlement agreement was “mere waiver” of FLSA rights that is prohibited under law); Beard v. District of Columbia Hous. Auth., 584 F. Supp. 2d 139, 142–43 (D.D.C. 2008) (holding release of claims and principles of accord and satisfaction unenforceable as to all FLSA claims).</w:t>
      </w:r>
    </w:p>
    <w:p w14:paraId="769C0FE1" w14:textId="1BD338F6" w:rsidR="003C3C13" w:rsidRPr="00CE2995" w:rsidRDefault="003C3C13" w:rsidP="003C3C13">
      <w:pPr>
        <w:pStyle w:val="FootnoteText"/>
      </w:pPr>
      <w:r w:rsidRPr="003C3C13">
        <w:rPr>
          <w:i/>
        </w:rPr>
        <w:t>Federal Circuit</w:t>
      </w:r>
      <w:r w:rsidRPr="003C3C13">
        <w:t>: Almanza v. United States, 135 Fed. Cl. 113 (2017) (recognizing that employees could not settle or compromise their rights under FLSA unless Secretary supervised payment or district court reviewed and approved settlement for fairness; reasoning that requirements were necessary because of unequal bargaining power of parties and public policies underlying FLSA).</w:t>
      </w:r>
    </w:p>
  </w:footnote>
  <w:footnote w:id="25">
    <w:p w14:paraId="5F477DE8" w14:textId="69DFCB14" w:rsidR="003C3C13" w:rsidRPr="003C3C13" w:rsidRDefault="003C3C13" w:rsidP="003C3C13">
      <w:pPr>
        <w:pStyle w:val="FootnoteText"/>
      </w:pPr>
      <w:r w:rsidRPr="003C3C13">
        <w:rPr>
          <w:rStyle w:val="FootnoteReference"/>
        </w:rPr>
        <w:footnoteRef/>
      </w:r>
      <w:r w:rsidRPr="003C3C13">
        <w:t xml:space="preserve">Martin v. Spring Break ’83 Prods., LLC, 688 F.3d 247 (5th Cir. 2012) (affirming district court ruling that union-negotiated settlement agreements prohibited plaintiffs from pursuing FLSA action, as settlement resolved bona fide dispute about hours worked); Martinez v. Bohls Bearing Equip. Co., 361 F. Supp. 2d 608, 618–34 (W.D. Tex. 2005) (discussing viability of private FLSA settlements after </w:t>
      </w:r>
      <w:r w:rsidRPr="003C3C13">
        <w:rPr>
          <w:i/>
        </w:rPr>
        <w:t>Brooklyn Savings Bank</w:t>
      </w:r>
      <w:r w:rsidRPr="003C3C13">
        <w:t xml:space="preserve"> and </w:t>
      </w:r>
      <w:r w:rsidRPr="003C3C13">
        <w:rPr>
          <w:i/>
        </w:rPr>
        <w:t>Gangi</w:t>
      </w:r>
      <w:r w:rsidRPr="003C3C13">
        <w:t xml:space="preserve"> and finding private settlements of bona fide disputes enforceable); Slaughter v. Sykes Enters., Inc., 2019 WL 529512, at *1 (D. Colo. Feb. 11, 2019) (collecting district court decisions from within Tenth Circuit and explaining that “absent special circumstances, FLSA settlements do not require court approval”).</w:t>
      </w:r>
    </w:p>
    <w:p w14:paraId="54B62757" w14:textId="77777777" w:rsidR="003C3C13" w:rsidRPr="00CE2995" w:rsidRDefault="003C3C13" w:rsidP="005B4CE4">
      <w:pPr>
        <w:pStyle w:val="14Footnote"/>
      </w:pPr>
    </w:p>
  </w:footnote>
  <w:footnote w:id="26">
    <w:p w14:paraId="1A86A041" w14:textId="4586D41F" w:rsidR="003C3C13" w:rsidRPr="003C3C13" w:rsidRDefault="003C3C13" w:rsidP="003C3C13">
      <w:pPr>
        <w:pStyle w:val="FootnoteText"/>
      </w:pPr>
      <w:r w:rsidRPr="003C3C13">
        <w:rPr>
          <w:rStyle w:val="FootnoteReference"/>
        </w:rPr>
        <w:footnoteRef/>
      </w:r>
      <w:r w:rsidRPr="003C3C13">
        <w:t>361 F. Supp. 2d 608 (W.D. Tex. 2005).</w:t>
      </w:r>
    </w:p>
    <w:p w14:paraId="39BEA6F8" w14:textId="77777777" w:rsidR="003C3C13" w:rsidRPr="00CE2995" w:rsidRDefault="003C3C13" w:rsidP="005B4CE4">
      <w:pPr>
        <w:pStyle w:val="14Footnote"/>
      </w:pPr>
    </w:p>
  </w:footnote>
  <w:footnote w:id="27">
    <w:p w14:paraId="3DF01098" w14:textId="497E9D6D" w:rsidR="003C3C13" w:rsidRPr="00CE2995" w:rsidRDefault="003C3C13" w:rsidP="003C3C13">
      <w:pPr>
        <w:pStyle w:val="FootnoteText"/>
      </w:pPr>
      <w:r w:rsidRPr="003C3C13">
        <w:rPr>
          <w:rStyle w:val="FootnoteReference"/>
        </w:rPr>
        <w:footnoteRef/>
      </w:r>
      <w:r w:rsidRPr="003C3C13">
        <w:rPr>
          <w:i/>
        </w:rPr>
        <w:t>Id</w:t>
      </w:r>
      <w:r w:rsidRPr="003C3C13">
        <w:t>. at 618–34.</w:t>
      </w:r>
    </w:p>
  </w:footnote>
  <w:footnote w:id="28">
    <w:p w14:paraId="5F1AF2A8" w14:textId="196A2C4D" w:rsidR="003C3C13" w:rsidRPr="00CE2995" w:rsidRDefault="003C3C13" w:rsidP="003C3C13">
      <w:pPr>
        <w:pStyle w:val="FootnoteText"/>
      </w:pPr>
      <w:r w:rsidRPr="003C3C13">
        <w:rPr>
          <w:rStyle w:val="FootnoteReference"/>
        </w:rPr>
        <w:footnoteRef/>
      </w:r>
      <w:r w:rsidRPr="003C3C13">
        <w:rPr>
          <w:i/>
        </w:rPr>
        <w:t xml:space="preserve">Id. </w:t>
      </w:r>
      <w:r w:rsidRPr="003C3C13">
        <w:t>at 612.</w:t>
      </w:r>
    </w:p>
  </w:footnote>
  <w:footnote w:id="29">
    <w:p w14:paraId="12361A0F" w14:textId="19324750" w:rsidR="003C3C13" w:rsidRPr="00CE2995" w:rsidRDefault="003C3C13" w:rsidP="003C3C13">
      <w:pPr>
        <w:pStyle w:val="FootnoteText"/>
      </w:pPr>
      <w:r w:rsidRPr="003C3C13">
        <w:rPr>
          <w:rStyle w:val="FootnoteReference"/>
        </w:rPr>
        <w:footnoteRef/>
      </w:r>
      <w:r w:rsidRPr="003C3C13">
        <w:rPr>
          <w:i/>
        </w:rPr>
        <w:t xml:space="preserve">Id. </w:t>
      </w:r>
      <w:r w:rsidRPr="003C3C13">
        <w:t>at 613.</w:t>
      </w:r>
    </w:p>
  </w:footnote>
  <w:footnote w:id="30">
    <w:p w14:paraId="4BAE0EE2" w14:textId="0F92FC39" w:rsidR="003C3C13" w:rsidRPr="003C3C13" w:rsidRDefault="003C3C13" w:rsidP="003C3C13">
      <w:pPr>
        <w:pStyle w:val="FootnoteText"/>
      </w:pPr>
      <w:r w:rsidRPr="003C3C13">
        <w:rPr>
          <w:rStyle w:val="FootnoteReference"/>
        </w:rPr>
        <w:footnoteRef/>
      </w:r>
      <w:r w:rsidRPr="003C3C13">
        <w:t>29 U.S.C. §253.</w:t>
      </w:r>
    </w:p>
    <w:p w14:paraId="6F7DD428" w14:textId="77777777" w:rsidR="003C3C13" w:rsidRPr="00CE2995" w:rsidRDefault="003C3C13" w:rsidP="005B4CE4">
      <w:pPr>
        <w:pStyle w:val="14Footnote"/>
      </w:pPr>
    </w:p>
  </w:footnote>
  <w:footnote w:id="31">
    <w:p w14:paraId="01CAC4B4" w14:textId="7710911A" w:rsidR="003C3C13" w:rsidRPr="003C3C13" w:rsidRDefault="003C3C13" w:rsidP="003C3C13">
      <w:pPr>
        <w:pStyle w:val="FootnoteText"/>
      </w:pPr>
      <w:r w:rsidRPr="003C3C13">
        <w:rPr>
          <w:rStyle w:val="FootnoteReference"/>
        </w:rPr>
        <w:footnoteRef/>
      </w:r>
      <w:r w:rsidRPr="003C3C13">
        <w:t xml:space="preserve">Fair Labor Standards Amendments of 1949, </w:t>
      </w:r>
      <w:r w:rsidRPr="003C3C13">
        <w:rPr>
          <w:smallCaps/>
        </w:rPr>
        <w:t xml:space="preserve">S. Rep. No. </w:t>
      </w:r>
      <w:r w:rsidRPr="003C3C13">
        <w:t xml:space="preserve">640, 81st Cong., </w:t>
      </w:r>
      <w:r w:rsidRPr="003C3C13">
        <w:rPr>
          <w:i/>
        </w:rPr>
        <w:t>reprinted in</w:t>
      </w:r>
      <w:r w:rsidRPr="003C3C13">
        <w:t xml:space="preserve"> 1949 U.S. Code Cong. Serv. 2241, 2247.</w:t>
      </w:r>
    </w:p>
    <w:p w14:paraId="5AE8E25D" w14:textId="77777777" w:rsidR="003C3C13" w:rsidRPr="00CE2995" w:rsidRDefault="003C3C13" w:rsidP="005B4CE4">
      <w:pPr>
        <w:pStyle w:val="14Footnote"/>
      </w:pPr>
    </w:p>
  </w:footnote>
  <w:footnote w:id="32">
    <w:p w14:paraId="594AE05B" w14:textId="30023A6D" w:rsidR="003C3C13" w:rsidRPr="003C3C13" w:rsidRDefault="003C3C13" w:rsidP="003C3C13">
      <w:pPr>
        <w:pStyle w:val="FootnoteText"/>
      </w:pPr>
      <w:r w:rsidRPr="003C3C13">
        <w:rPr>
          <w:rStyle w:val="FootnoteReference"/>
        </w:rPr>
        <w:footnoteRef/>
      </w:r>
      <w:r w:rsidRPr="003C3C13">
        <w:t>361 F.3d at 631.</w:t>
      </w:r>
    </w:p>
    <w:p w14:paraId="288DE36B" w14:textId="77777777" w:rsidR="003C3C13" w:rsidRPr="00CE2995" w:rsidRDefault="003C3C13" w:rsidP="005B4CE4">
      <w:pPr>
        <w:pStyle w:val="14Footnote"/>
      </w:pPr>
    </w:p>
  </w:footnote>
  <w:footnote w:id="33">
    <w:p w14:paraId="44B987E3" w14:textId="7F5D14F0" w:rsidR="003C3C13" w:rsidRPr="00CE2995" w:rsidRDefault="003C3C13" w:rsidP="003C3C13">
      <w:pPr>
        <w:pStyle w:val="FootnoteText"/>
      </w:pPr>
      <w:r w:rsidRPr="003C3C13">
        <w:rPr>
          <w:rStyle w:val="FootnoteReference"/>
        </w:rPr>
        <w:footnoteRef/>
      </w:r>
      <w:r w:rsidRPr="003C3C13">
        <w:rPr>
          <w:i/>
        </w:rPr>
        <w:t xml:space="preserve">Id. </w:t>
      </w:r>
      <w:r w:rsidRPr="003C3C13">
        <w:t>at 627–28.</w:t>
      </w:r>
    </w:p>
  </w:footnote>
  <w:footnote w:id="34">
    <w:p w14:paraId="40979A50" w14:textId="30F9285C" w:rsidR="003C3C13" w:rsidRPr="003C3C13" w:rsidRDefault="003C3C13" w:rsidP="003C3C13">
      <w:pPr>
        <w:pStyle w:val="FootnoteText"/>
      </w:pPr>
      <w:r w:rsidRPr="003C3C13">
        <w:rPr>
          <w:rStyle w:val="FootnoteReference"/>
        </w:rPr>
        <w:footnoteRef/>
      </w:r>
      <w:r w:rsidRPr="003C3C13">
        <w:rPr>
          <w:i/>
        </w:rPr>
        <w:t xml:space="preserve">Id. </w:t>
      </w:r>
      <w:r w:rsidRPr="003C3C13">
        <w:t>at 628.</w:t>
      </w:r>
    </w:p>
    <w:p w14:paraId="1307C409" w14:textId="77777777" w:rsidR="003C3C13" w:rsidRPr="00CE2995" w:rsidRDefault="003C3C13" w:rsidP="005B4CE4">
      <w:pPr>
        <w:pStyle w:val="14Footnote"/>
      </w:pPr>
    </w:p>
  </w:footnote>
  <w:footnote w:id="35">
    <w:p w14:paraId="3764598F" w14:textId="4175E35E" w:rsidR="003C3C13" w:rsidRPr="003C3C13" w:rsidRDefault="003C3C13" w:rsidP="003C3C13">
      <w:pPr>
        <w:pStyle w:val="FootnoteText"/>
      </w:pPr>
      <w:r w:rsidRPr="003C3C13">
        <w:rPr>
          <w:rStyle w:val="FootnoteReference"/>
        </w:rPr>
        <w:footnoteRef/>
      </w:r>
      <w:r w:rsidRPr="003C3C13">
        <w:t>517 F.2d 826 (5th Cir. 1975).</w:t>
      </w:r>
    </w:p>
    <w:p w14:paraId="1FCC8437" w14:textId="77777777" w:rsidR="003C3C13" w:rsidRPr="00CE2995" w:rsidRDefault="003C3C13" w:rsidP="005B4CE4">
      <w:pPr>
        <w:pStyle w:val="14Footnote"/>
      </w:pPr>
    </w:p>
  </w:footnote>
  <w:footnote w:id="36">
    <w:p w14:paraId="408E454F" w14:textId="796AA9BA" w:rsidR="003C3C13" w:rsidRPr="00CE2995" w:rsidRDefault="003C3C13" w:rsidP="003C3C13">
      <w:pPr>
        <w:pStyle w:val="FootnoteText"/>
      </w:pPr>
      <w:r w:rsidRPr="003C3C13">
        <w:rPr>
          <w:rStyle w:val="FootnoteReference"/>
        </w:rPr>
        <w:footnoteRef/>
      </w:r>
      <w:r w:rsidRPr="003C3C13">
        <w:t>Martinez Bohls Bearing Equip. Co., 361 F. Supp. 2d 608, 627 (W.D. Tex. 2005).</w:t>
      </w:r>
    </w:p>
  </w:footnote>
  <w:footnote w:id="37">
    <w:p w14:paraId="3F45EF02" w14:textId="04653EF0" w:rsidR="003C3C13" w:rsidRPr="003C3C13" w:rsidRDefault="003C3C13" w:rsidP="003C3C13">
      <w:pPr>
        <w:pStyle w:val="FootnoteText"/>
      </w:pPr>
      <w:r w:rsidRPr="003C3C13">
        <w:rPr>
          <w:rStyle w:val="FootnoteReference"/>
        </w:rPr>
        <w:footnoteRef/>
      </w:r>
      <w:r w:rsidRPr="003C3C13">
        <w:t>688 F.3d 247 (5th Cir. 2012).</w:t>
      </w:r>
    </w:p>
    <w:p w14:paraId="78EEE7BB" w14:textId="77777777" w:rsidR="003C3C13" w:rsidRPr="00CE2995" w:rsidRDefault="003C3C13" w:rsidP="005B4CE4">
      <w:pPr>
        <w:pStyle w:val="14Footnote"/>
      </w:pPr>
    </w:p>
  </w:footnote>
  <w:footnote w:id="38">
    <w:p w14:paraId="36B7C89C" w14:textId="2ED7D5B8" w:rsidR="003C3C13" w:rsidRPr="003C3C13" w:rsidRDefault="003C3C13" w:rsidP="003C3C13">
      <w:pPr>
        <w:pStyle w:val="FootnoteText"/>
      </w:pPr>
      <w:r w:rsidRPr="003C3C13">
        <w:rPr>
          <w:rStyle w:val="FootnoteReference"/>
        </w:rPr>
        <w:footnoteRef/>
      </w:r>
      <w:r w:rsidRPr="003C3C13">
        <w:rPr>
          <w:i/>
        </w:rPr>
        <w:t>Id</w:t>
      </w:r>
      <w:r w:rsidRPr="003C3C13">
        <w:t xml:space="preserve">. at 254. The Fifth Circuit also distinguished an earlier Supreme Court decision, </w:t>
      </w:r>
      <w:r w:rsidRPr="003C3C13">
        <w:rPr>
          <w:i/>
        </w:rPr>
        <w:t>Barrentine v</w:t>
      </w:r>
      <w:r w:rsidRPr="003C3C13">
        <w:t xml:space="preserve">. </w:t>
      </w:r>
      <w:r w:rsidRPr="003C3C13">
        <w:rPr>
          <w:i/>
        </w:rPr>
        <w:t>Arkansas-Best Freight System</w:t>
      </w:r>
      <w:r w:rsidRPr="003C3C13">
        <w:t xml:space="preserve">, 450 U.S. 728 (1981), which held that a union may not waive an employee’s FLSA rights. </w:t>
      </w:r>
      <w:r w:rsidRPr="003C3C13">
        <w:rPr>
          <w:i/>
        </w:rPr>
        <w:t>Martin</w:t>
      </w:r>
      <w:r w:rsidRPr="003C3C13">
        <w:t xml:space="preserve">, 688 F.3d at 256. The Fifth Circuit stated that the plaintiffs’ rights in this case were not waived because the union settled claims that were unquestionably in dispute. </w:t>
      </w:r>
      <w:r w:rsidRPr="003C3C13">
        <w:rPr>
          <w:i/>
        </w:rPr>
        <w:t>Id</w:t>
      </w:r>
      <w:r w:rsidRPr="003C3C13">
        <w:t>.</w:t>
      </w:r>
    </w:p>
    <w:p w14:paraId="4397D373" w14:textId="77777777" w:rsidR="003C3C13" w:rsidRPr="00CE2995" w:rsidRDefault="003C3C13" w:rsidP="005B4CE4">
      <w:pPr>
        <w:pStyle w:val="14Footnote"/>
      </w:pPr>
    </w:p>
  </w:footnote>
  <w:footnote w:id="39">
    <w:p w14:paraId="117D699C" w14:textId="292EB0B0" w:rsidR="003C3C13" w:rsidRPr="003C3C13" w:rsidRDefault="003C3C13" w:rsidP="003C3C13">
      <w:pPr>
        <w:pStyle w:val="FootnoteText"/>
      </w:pPr>
      <w:r w:rsidRPr="003C3C13">
        <w:rPr>
          <w:rStyle w:val="FootnoteReference"/>
        </w:rPr>
        <w:footnoteRef/>
      </w:r>
      <w:r w:rsidRPr="003C3C13">
        <w:rPr>
          <w:i/>
        </w:rPr>
        <w:t>Martin</w:t>
      </w:r>
      <w:r w:rsidRPr="003C3C13">
        <w:t>, 688 F.3d at 255 n.10 (citing Lynn’s Food Stores v. United States, 679 F.2d 1350, 1353–54 (11th Cir. 1982) (“the employees seemed unaware that the Department of Labor had determined that Lynn’s owed them back wages under the FLSA, or that they had any rights at all under the statute. There is no evidence that any of the employees consulted an attorney before signing the agreements. Some of the employees who signed the agreement could not speak English.”).</w:t>
      </w:r>
    </w:p>
    <w:p w14:paraId="13495373" w14:textId="77777777" w:rsidR="003C3C13" w:rsidRPr="00CE2995" w:rsidRDefault="003C3C13" w:rsidP="005B4CE4">
      <w:pPr>
        <w:pStyle w:val="14Footnote"/>
      </w:pPr>
    </w:p>
  </w:footnote>
  <w:footnote w:id="40">
    <w:p w14:paraId="1B12AF89" w14:textId="4B73F439" w:rsidR="003C3C13" w:rsidRPr="003C3C13" w:rsidRDefault="003C3C13" w:rsidP="003C3C13">
      <w:pPr>
        <w:pStyle w:val="FootnoteText"/>
      </w:pPr>
      <w:r w:rsidRPr="003C3C13">
        <w:rPr>
          <w:rStyle w:val="FootnoteReference"/>
        </w:rPr>
        <w:footnoteRef/>
      </w:r>
      <w:r w:rsidRPr="003C3C13">
        <w:t>788 F.3d 159 (5th Cir. 2015).</w:t>
      </w:r>
    </w:p>
    <w:p w14:paraId="36E4D85D" w14:textId="77777777" w:rsidR="003C3C13" w:rsidRPr="00CE2995" w:rsidRDefault="003C3C13" w:rsidP="005B4CE4">
      <w:pPr>
        <w:pStyle w:val="14Footnote"/>
      </w:pPr>
    </w:p>
  </w:footnote>
  <w:footnote w:id="41">
    <w:p w14:paraId="421EBA31" w14:textId="7F3D164B" w:rsidR="003C3C13" w:rsidRPr="003C3C13" w:rsidRDefault="003C3C13" w:rsidP="003C3C13">
      <w:pPr>
        <w:pStyle w:val="FootnoteText"/>
      </w:pPr>
      <w:r w:rsidRPr="003C3C13">
        <w:rPr>
          <w:rStyle w:val="FootnoteReference"/>
        </w:rPr>
        <w:footnoteRef/>
      </w:r>
      <w:r w:rsidRPr="003C3C13">
        <w:rPr>
          <w:i/>
        </w:rPr>
        <w:t>Id</w:t>
      </w:r>
      <w:r w:rsidRPr="003C3C13">
        <w:t>. at 161.</w:t>
      </w:r>
    </w:p>
    <w:p w14:paraId="2FD9D0C1" w14:textId="77777777" w:rsidR="003C3C13" w:rsidRPr="00CE2995" w:rsidRDefault="003C3C13" w:rsidP="005B4CE4">
      <w:pPr>
        <w:pStyle w:val="14Footnote"/>
      </w:pPr>
    </w:p>
  </w:footnote>
  <w:footnote w:id="42">
    <w:p w14:paraId="5FE6EB45" w14:textId="02A49329" w:rsidR="003C3C13" w:rsidRPr="003C3C13" w:rsidRDefault="003C3C13" w:rsidP="003C3C13">
      <w:pPr>
        <w:pStyle w:val="FootnoteText"/>
      </w:pPr>
      <w:r w:rsidRPr="003C3C13">
        <w:rPr>
          <w:rStyle w:val="FootnoteReference"/>
        </w:rPr>
        <w:footnoteRef/>
      </w:r>
      <w:r w:rsidRPr="003C3C13">
        <w:rPr>
          <w:i/>
        </w:rPr>
        <w:t>Id</w:t>
      </w:r>
      <w:r w:rsidRPr="003C3C13">
        <w:t xml:space="preserve">. at 165; </w:t>
      </w:r>
      <w:r w:rsidRPr="003C3C13">
        <w:rPr>
          <w:i/>
        </w:rPr>
        <w:t>see also</w:t>
      </w:r>
      <w:r w:rsidRPr="003C3C13">
        <w:t xml:space="preserve"> Alawar v. Trican Well Serv., L.P., 397 F. Supp. 3d 873, 885 (W.D. Tex. 2019) (citing </w:t>
      </w:r>
      <w:r w:rsidRPr="003C3C13">
        <w:rPr>
          <w:i/>
        </w:rPr>
        <w:t>Bodle</w:t>
      </w:r>
      <w:r w:rsidRPr="003C3C13">
        <w:t xml:space="preserve">, denying defendant’s summary judgment motion where severance agreements made no mention of number of unpaid overtime hours or compensation due prior to release and no evidence established that parties had negotiated overtime compensation when agreeing to severance amounts); Lopez v. Southern Arch, LLC, 2016 WL 3617671, at *5 (E.D. La. July 6, 2016) (following </w:t>
      </w:r>
      <w:r w:rsidRPr="003C3C13">
        <w:rPr>
          <w:i/>
        </w:rPr>
        <w:t>Bodle</w:t>
      </w:r>
      <w:r w:rsidRPr="003C3C13">
        <w:t>, severance agreement did not bar FLSA claims, where: “Defendants allege[d] no facts from which the Court could conclude that a bona fide dispute arose, was negotiated and eventually was resolved regarding the number of hours Lopez worked or the pay he received. Defendants even admit that the Agreement in question is simply offered to workers who leave Southern Arch to shield the Company from liability.”).</w:t>
      </w:r>
    </w:p>
    <w:p w14:paraId="38DCAF14" w14:textId="77777777" w:rsidR="003C3C13" w:rsidRPr="00CE2995" w:rsidRDefault="003C3C13" w:rsidP="005B4CE4">
      <w:pPr>
        <w:pStyle w:val="14Footnote"/>
      </w:pPr>
    </w:p>
  </w:footnote>
  <w:footnote w:id="43">
    <w:p w14:paraId="3467877B" w14:textId="7EAE32B4" w:rsidR="003C3C13" w:rsidRPr="003C3C13" w:rsidRDefault="003C3C13" w:rsidP="003C3C13">
      <w:pPr>
        <w:pStyle w:val="FootnoteText"/>
      </w:pPr>
      <w:r w:rsidRPr="003C3C13">
        <w:rPr>
          <w:rStyle w:val="FootnoteReference"/>
        </w:rPr>
        <w:footnoteRef/>
      </w:r>
      <w:r w:rsidRPr="003C3C13">
        <w:rPr>
          <w:i/>
        </w:rPr>
        <w:t>See, e.g.</w:t>
      </w:r>
      <w:r w:rsidRPr="003C3C13">
        <w:t>,</w:t>
      </w:r>
    </w:p>
    <w:p w14:paraId="02C54990" w14:textId="7BDC270A" w:rsidR="003C3C13" w:rsidRPr="003C3C13" w:rsidRDefault="003C3C13" w:rsidP="003C3C13">
      <w:pPr>
        <w:pStyle w:val="FootnoteText"/>
      </w:pPr>
      <w:r w:rsidRPr="003C3C13">
        <w:rPr>
          <w:rFonts w:eastAsiaTheme="minorEastAsia"/>
          <w:i/>
        </w:rPr>
        <w:t>Eighth Circuit</w:t>
      </w:r>
      <w:r w:rsidRPr="003C3C13">
        <w:rPr>
          <w:i/>
        </w:rPr>
        <w:t xml:space="preserve">: </w:t>
      </w:r>
      <w:r w:rsidRPr="003C3C13">
        <w:rPr>
          <w:rFonts w:eastAsiaTheme="minorEastAsia"/>
        </w:rPr>
        <w:t>Bogart v. Biggs, 2021 BL 491949, 2021 WL 6101900</w:t>
      </w:r>
      <w:r w:rsidRPr="003C3C13">
        <w:t xml:space="preserve"> </w:t>
      </w:r>
      <w:r w:rsidRPr="003C3C13">
        <w:rPr>
          <w:rFonts w:eastAsiaTheme="minorEastAsia"/>
        </w:rPr>
        <w:t xml:space="preserve">(W.D. Ark. Oct. 21, 2021) (parties to FLSA action may file stipulation of dismissal, with or without prejudice, under Rule 41(a)(1)(A)(ii), </w:t>
      </w:r>
      <w:r w:rsidRPr="003C3C13">
        <w:t xml:space="preserve">or they </w:t>
      </w:r>
      <w:r w:rsidRPr="003C3C13">
        <w:rPr>
          <w:rFonts w:eastAsiaTheme="minorEastAsia"/>
        </w:rPr>
        <w:t>may seek judicial approval</w:t>
      </w:r>
      <w:r w:rsidRPr="003C3C13">
        <w:t xml:space="preserve"> as matter of “prudence” if they believe settlement requires it</w:t>
      </w:r>
      <w:r w:rsidRPr="003C3C13">
        <w:rPr>
          <w:rFonts w:eastAsiaTheme="minorEastAsia"/>
        </w:rPr>
        <w:t>).</w:t>
      </w:r>
    </w:p>
    <w:p w14:paraId="65A3BE8D" w14:textId="7675368F" w:rsidR="003C3C13" w:rsidRPr="003C3C13" w:rsidRDefault="003C3C13" w:rsidP="003C3C13">
      <w:pPr>
        <w:pStyle w:val="FootnoteText"/>
      </w:pPr>
      <w:r w:rsidRPr="003C3C13">
        <w:rPr>
          <w:i/>
        </w:rPr>
        <w:t xml:space="preserve">Ninth Circuit: </w:t>
      </w:r>
      <w:r w:rsidRPr="003C3C13">
        <w:t>Smith v. Tri-City Transmission Serv., Inc., 2012 WL 12953674, at *1 (D. Ariz. Aug. 23, 2012) (“It is no longer clear that a settlement of FLSA claims must be approved by the court to be binding, especially in a case such as this with facts analogous to </w:t>
      </w:r>
      <w:r w:rsidRPr="003C3C13">
        <w:rPr>
          <w:i/>
        </w:rPr>
        <w:t>Martin</w:t>
      </w:r>
      <w:r w:rsidRPr="003C3C13">
        <w:t>.”).</w:t>
      </w:r>
    </w:p>
    <w:p w14:paraId="55D20BA1" w14:textId="09BAF334" w:rsidR="003C3C13" w:rsidRPr="003C3C13" w:rsidRDefault="003C3C13" w:rsidP="003C3C13">
      <w:pPr>
        <w:pStyle w:val="FootnoteText"/>
      </w:pPr>
      <w:r w:rsidRPr="003C3C13">
        <w:rPr>
          <w:i/>
        </w:rPr>
        <w:t xml:space="preserve">Tenth Circuit: </w:t>
      </w:r>
      <w:r w:rsidRPr="003C3C13">
        <w:t xml:space="preserve">Regalado v. Albuquerque Mail Serv., Inc., 2023 BL 179926, 2023 WL 3649001 (D.N.M. May 25, 2023) (in report and recommendation of magistrate judge, concluding that when a FLSA settlement resolves a dispute over hours worked or compensation due, judicial approval of settlement is not required; recommending that parties either inform the court they no longer require judicial review or explain why judicial review was required); Martinez v. Back Bone Bullies Ltd., 2022 BL 87498, </w:t>
      </w:r>
      <w:r w:rsidRPr="003C3C13">
        <w:rPr>
          <w:rFonts w:eastAsia="Calibri"/>
        </w:rPr>
        <w:t xml:space="preserve">2022 WL 782782, at *11–12 (D. Colo. Mar. 15, 2022) (rejecting </w:t>
      </w:r>
      <w:r w:rsidRPr="003C3C13">
        <w:t>court approval because it (1) reads into FLSA a requirement that is not found in the statutory text, (2) impliedly gives impression that FLSA rights are more important than those found in other federal statutes, (3) unduly burdens everyone involved in litigation process, and (4) interferes with strong general presumption of allowing parties to resolve disputes through private contractual agreements).</w:t>
      </w:r>
    </w:p>
    <w:p w14:paraId="7614F940" w14:textId="6410D10E" w:rsidR="003C3C13" w:rsidRPr="003C3C13" w:rsidRDefault="003C3C13" w:rsidP="003C3C13">
      <w:pPr>
        <w:pStyle w:val="FootnoteText"/>
      </w:pPr>
      <w:r w:rsidRPr="003C3C13">
        <w:rPr>
          <w:i/>
        </w:rPr>
        <w:t xml:space="preserve">Eleventh Circuit: </w:t>
      </w:r>
      <w:r w:rsidRPr="003C3C13">
        <w:t>Fernandez v. A-1 Duran Roofing, Inc., 2013 WL 684736 (S.D. Fla. Feb. 25, 2013) (determining fairness concerns in settlement not implicated where plaintiff-employee was represented by counsel, therefore judicial approval was not necessary).</w:t>
      </w:r>
    </w:p>
    <w:p w14:paraId="1DAAFD52" w14:textId="7430E4A5" w:rsidR="003C3C13" w:rsidRPr="00CE2995" w:rsidRDefault="003C3C13" w:rsidP="003C3C13">
      <w:pPr>
        <w:pStyle w:val="FootnoteText"/>
      </w:pPr>
      <w:r w:rsidRPr="003C3C13">
        <w:rPr>
          <w:i/>
        </w:rPr>
        <w:t xml:space="preserve">D.C. Circuit: </w:t>
      </w:r>
      <w:r w:rsidRPr="003C3C13">
        <w:t>Sarceno v. Choi, 66 F. Supp. 3d 157, 170 (D.D.C. 2014) (concluding “that a private settlement of FLSA claims may be enforceable, even if the settlement was reached without United States Department of Labor or judicial supervision on approval, but only when the agreement resolves a bona fide dispute between the parties and the terms of the settlement are fair and reasonable”).</w:t>
      </w:r>
    </w:p>
  </w:footnote>
  <w:footnote w:id="44">
    <w:p w14:paraId="23D29CD0" w14:textId="4EB4369A" w:rsidR="003C3C13" w:rsidRPr="003C3C13" w:rsidRDefault="003C3C13" w:rsidP="003C3C13">
      <w:pPr>
        <w:pStyle w:val="FootnoteText"/>
      </w:pPr>
      <w:r w:rsidRPr="003C3C13">
        <w:rPr>
          <w:rStyle w:val="FootnoteReference"/>
        </w:rPr>
        <w:footnoteRef/>
      </w:r>
      <w:r w:rsidRPr="003C3C13">
        <w:t>Schneider v. Habitat for Humanity Int’l, Inc., 2015 WL 500835 (W.D. Ark. Feb. 5, 2015).</w:t>
      </w:r>
    </w:p>
    <w:p w14:paraId="61D6AA82" w14:textId="77777777" w:rsidR="003C3C13" w:rsidRPr="00CE2995" w:rsidRDefault="003C3C13" w:rsidP="005B4CE4">
      <w:pPr>
        <w:pStyle w:val="14Footnote"/>
        <w:rPr>
          <w:szCs w:val="20"/>
        </w:rPr>
      </w:pPr>
    </w:p>
  </w:footnote>
  <w:footnote w:id="45">
    <w:p w14:paraId="27CAD685" w14:textId="12C070A0" w:rsidR="003C3C13" w:rsidRPr="003C3C13" w:rsidRDefault="003C3C13" w:rsidP="003C3C13">
      <w:pPr>
        <w:pStyle w:val="FootnoteText"/>
      </w:pPr>
      <w:r w:rsidRPr="003C3C13">
        <w:rPr>
          <w:rStyle w:val="FootnoteReference"/>
        </w:rPr>
        <w:footnoteRef/>
      </w:r>
      <w:r w:rsidRPr="003C3C13">
        <w:rPr>
          <w:i/>
        </w:rPr>
        <w:t>See, e.g.</w:t>
      </w:r>
      <w:r w:rsidRPr="003C3C13">
        <w:t>,</w:t>
      </w:r>
    </w:p>
    <w:p w14:paraId="2B948170" w14:textId="624EE452" w:rsidR="003C3C13" w:rsidRPr="003C3C13" w:rsidRDefault="003C3C13" w:rsidP="003C3C13">
      <w:pPr>
        <w:pStyle w:val="FootnoteText"/>
      </w:pPr>
      <w:r w:rsidRPr="003C3C13">
        <w:rPr>
          <w:i/>
        </w:rPr>
        <w:t xml:space="preserve">Second Circuit: </w:t>
      </w:r>
      <w:r w:rsidRPr="003C3C13">
        <w:t xml:space="preserve">Archer v. TNT USA, Inc., 12 F. Supp. 2d 373, 385–86 (E.D.N.Y. 2014) (rejecting private settlement where, unlike situation in </w:t>
      </w:r>
      <w:r w:rsidRPr="003C3C13">
        <w:rPr>
          <w:i/>
        </w:rPr>
        <w:t>Martin</w:t>
      </w:r>
      <w:r w:rsidRPr="003C3C13">
        <w:t xml:space="preserve">, “the parties have not adduced any evidence that their settlement resolves a ‘bona fide dispute’ over hours or rates of pay and does not compromise the non-waivable substantive rights afforded by the FLSA”); Peralta v. Soundview at Glen Cove, Inc., 2013 WL 2147792 (E.D.N.Y. May 16, 2013) (limiting </w:t>
      </w:r>
      <w:r w:rsidRPr="003C3C13">
        <w:rPr>
          <w:i/>
        </w:rPr>
        <w:t>Martin</w:t>
      </w:r>
      <w:r w:rsidRPr="003C3C13">
        <w:t xml:space="preserve"> to its unique facts).</w:t>
      </w:r>
    </w:p>
    <w:p w14:paraId="7B366659" w14:textId="440DDDE5" w:rsidR="003C3C13" w:rsidRPr="003C3C13" w:rsidRDefault="003C3C13" w:rsidP="003C3C13">
      <w:pPr>
        <w:pStyle w:val="FootnoteText"/>
      </w:pPr>
      <w:r w:rsidRPr="003C3C13">
        <w:rPr>
          <w:i/>
        </w:rPr>
        <w:t>Third Circuit</w:t>
      </w:r>
      <w:r w:rsidRPr="003C3C13">
        <w:t xml:space="preserve">: Kraus v. PA Fit II, LLC, 155 F. Supp. 3d 516, 528–29 (E.D. Pa. 2016) (“Although the Third Circuit has not expressly weighed in, this Court rejects the </w:t>
      </w:r>
      <w:r w:rsidRPr="003C3C13">
        <w:rPr>
          <w:i/>
        </w:rPr>
        <w:t xml:space="preserve">Martin </w:t>
      </w:r>
      <w:r w:rsidRPr="003C3C13">
        <w:t xml:space="preserve">standard in favor of </w:t>
      </w:r>
      <w:r w:rsidRPr="003C3C13">
        <w:rPr>
          <w:i/>
        </w:rPr>
        <w:t xml:space="preserve">Lynn’s Food </w:t>
      </w:r>
      <w:r w:rsidRPr="003C3C13">
        <w:t>[</w:t>
      </w:r>
      <w:r w:rsidRPr="003C3C13">
        <w:rPr>
          <w:i/>
        </w:rPr>
        <w:t>Stores</w:t>
      </w:r>
      <w:r w:rsidRPr="003C3C13">
        <w:t>], joining the other district courts in this Circuit that have held that ex ante judicial scrutiny of a private FLSA settlement is required.”); Deitz v. Budget Innovations &amp; Roofing, Inc., 2012 U.S. Dist. LEXIS 177878, at *8–14 (M.D. Pa. Dec. 3, 2012).</w:t>
      </w:r>
    </w:p>
    <w:p w14:paraId="71015B2A" w14:textId="06F4E73B" w:rsidR="003C3C13" w:rsidRPr="003C3C13" w:rsidRDefault="003C3C13" w:rsidP="003C3C13">
      <w:pPr>
        <w:pStyle w:val="FootnoteText"/>
      </w:pPr>
      <w:r w:rsidRPr="003C3C13">
        <w:rPr>
          <w:i/>
        </w:rPr>
        <w:t>Sixth Circuit</w:t>
      </w:r>
      <w:r w:rsidRPr="003C3C13">
        <w:t xml:space="preserve">: Steele v. Staffmark Invs., LLC, 172 F. Supp. 3d 1024, 1026 (W.D. Tenn. 2016) (rejecting </w:t>
      </w:r>
      <w:r w:rsidRPr="003C3C13">
        <w:rPr>
          <w:i/>
        </w:rPr>
        <w:t>Martin</w:t>
      </w:r>
      <w:r w:rsidRPr="003C3C13">
        <w:t xml:space="preserve"> and stating “[t]he Sixth Circuit has yet to rule definitively on the question; however, based on the unique purpose of the FLSA and the unequal bargaining power between employees and employers, this Court finds that FLSA settlements require approval by either the Department of Labor or a court”).</w:t>
      </w:r>
    </w:p>
    <w:p w14:paraId="5C135DC1" w14:textId="7C578711" w:rsidR="003C3C13" w:rsidRPr="00CE2995" w:rsidRDefault="003C3C13" w:rsidP="003C3C13">
      <w:pPr>
        <w:pStyle w:val="FootnoteText"/>
      </w:pPr>
      <w:r w:rsidRPr="003C3C13">
        <w:rPr>
          <w:i/>
        </w:rPr>
        <w:t xml:space="preserve">Eighth Circuit: </w:t>
      </w:r>
      <w:r w:rsidRPr="003C3C13">
        <w:t>McDonald v. Freight Sys., Inc., 2013 U.S. Dist. LEXIS 91262, at *1–2 (E.D. Ark. July 22, 2013).</w:t>
      </w:r>
    </w:p>
  </w:footnote>
  <w:footnote w:id="46">
    <w:p w14:paraId="6114A7E0" w14:textId="4716647F" w:rsidR="003C3C13" w:rsidRPr="00CE2995" w:rsidRDefault="003C3C13" w:rsidP="003C3C13">
      <w:pPr>
        <w:pStyle w:val="FootnoteText"/>
      </w:pPr>
      <w:r w:rsidRPr="003C3C13">
        <w:rPr>
          <w:rStyle w:val="FootnoteReference"/>
        </w:rPr>
        <w:footnoteRef/>
      </w:r>
      <w:r w:rsidRPr="003C3C13">
        <w:t>902 F.3d 775 (8th Cir. 2018).</w:t>
      </w:r>
    </w:p>
  </w:footnote>
  <w:footnote w:id="47">
    <w:p w14:paraId="5BAE0AC5" w14:textId="44E57FB3" w:rsidR="003C3C13" w:rsidRPr="00CE2995" w:rsidRDefault="003C3C13" w:rsidP="003C3C13">
      <w:pPr>
        <w:pStyle w:val="FootnoteText"/>
      </w:pPr>
      <w:r w:rsidRPr="003C3C13">
        <w:rPr>
          <w:rStyle w:val="FootnoteReference"/>
        </w:rPr>
        <w:footnoteRef/>
      </w:r>
      <w:r w:rsidRPr="003C3C13">
        <w:t xml:space="preserve">796 F.3d 199 (2d Cir. 2015). In </w:t>
      </w:r>
      <w:r w:rsidRPr="003C3C13">
        <w:rPr>
          <w:i/>
        </w:rPr>
        <w:t>Cheeks</w:t>
      </w:r>
      <w:r w:rsidRPr="003C3C13">
        <w:t>, which is examined in detail in §III [Stipulated Dismissal of FLSA Claims] of this chapter, the Second Circuit held that the parties to FLSA litigation may not stipulate to dismiss a lawsuit with prejudice as part of a private settlement, without first seeking court approval.</w:t>
      </w:r>
    </w:p>
  </w:footnote>
  <w:footnote w:id="48">
    <w:p w14:paraId="13FA9359" w14:textId="3360DEDA" w:rsidR="003C3C13" w:rsidRPr="00CE2995" w:rsidRDefault="003C3C13" w:rsidP="003C3C13">
      <w:pPr>
        <w:pStyle w:val="FootnoteText"/>
      </w:pPr>
      <w:r w:rsidRPr="003C3C13">
        <w:rPr>
          <w:rStyle w:val="FootnoteReference"/>
        </w:rPr>
        <w:footnoteRef/>
      </w:r>
      <w:r w:rsidRPr="003C3C13">
        <w:rPr>
          <w:i/>
        </w:rPr>
        <w:t>Melgar</w:t>
      </w:r>
      <w:r w:rsidRPr="003C3C13">
        <w:t>, 902 F.3d at 779.</w:t>
      </w:r>
    </w:p>
  </w:footnote>
  <w:footnote w:id="49">
    <w:p w14:paraId="78D8A0C1" w14:textId="64B75FE6" w:rsidR="003C3C13" w:rsidRPr="003C3C13" w:rsidRDefault="003C3C13" w:rsidP="003C3C13">
      <w:pPr>
        <w:pStyle w:val="FootnoteText"/>
      </w:pPr>
      <w:r w:rsidRPr="003C3C13">
        <w:rPr>
          <w:rStyle w:val="FootnoteReference"/>
        </w:rPr>
        <w:footnoteRef/>
      </w:r>
      <w:r w:rsidRPr="003C3C13">
        <w:t>Lee v. Best Budz LLC, 2019 WL 5964966, at *1 (D. Colo. Nov. 12, 2019).</w:t>
      </w:r>
    </w:p>
    <w:p w14:paraId="299C0C51" w14:textId="77777777" w:rsidR="003C3C13" w:rsidRPr="00CE2995" w:rsidRDefault="003C3C13" w:rsidP="005B4CE4">
      <w:pPr>
        <w:pStyle w:val="14Footnote"/>
      </w:pPr>
    </w:p>
  </w:footnote>
  <w:footnote w:id="50">
    <w:p w14:paraId="2ED698D3" w14:textId="26522F75" w:rsidR="003C3C13" w:rsidRPr="00CE2995" w:rsidRDefault="003C3C13" w:rsidP="003C3C13">
      <w:pPr>
        <w:pStyle w:val="FootnoteText"/>
      </w:pPr>
      <w:r w:rsidRPr="003C3C13">
        <w:rPr>
          <w:rStyle w:val="FootnoteReference"/>
        </w:rPr>
        <w:footnoteRef/>
      </w:r>
      <w:r w:rsidRPr="003C3C13">
        <w:rPr>
          <w:i/>
        </w:rPr>
        <w:t>See, e.g.</w:t>
      </w:r>
      <w:r w:rsidRPr="003C3C13">
        <w:t>, Fails v. Pathway Leasing LLC, 2018 WL 6046428, at *4 (D. Colo. Nov. 19, 2018); Ruiz v. Act Fast Delivery of Colo., Inc., 2017 WL 11545275, at *3 (D. Colo. Jan. 9, 2017).</w:t>
      </w:r>
    </w:p>
  </w:footnote>
  <w:footnote w:id="51">
    <w:p w14:paraId="6C834475" w14:textId="490F637D" w:rsidR="003C3C13" w:rsidRPr="003C3C13" w:rsidRDefault="003C3C13" w:rsidP="003C3C13">
      <w:pPr>
        <w:pStyle w:val="FootnoteText"/>
      </w:pPr>
      <w:r w:rsidRPr="003C3C13">
        <w:rPr>
          <w:rStyle w:val="FootnoteReference"/>
        </w:rPr>
        <w:footnoteRef/>
      </w:r>
      <w:r w:rsidRPr="003C3C13">
        <w:rPr>
          <w:i/>
        </w:rPr>
        <w:t>Fails</w:t>
      </w:r>
      <w:r w:rsidRPr="003C3C13">
        <w:t xml:space="preserve">, 2018 WL 6046428, at *3; </w:t>
      </w:r>
      <w:r w:rsidRPr="003C3C13">
        <w:rPr>
          <w:i/>
        </w:rPr>
        <w:t>Lee</w:t>
      </w:r>
      <w:r w:rsidRPr="003C3C13">
        <w:t>, 2019 WL 5964966, at *3 (“Thus, this case sits squarely in the camp of cases that do not require judicial approval of the settlement.”).</w:t>
      </w:r>
    </w:p>
    <w:p w14:paraId="02E636F1" w14:textId="77777777" w:rsidR="003C3C13" w:rsidRPr="00CE2995" w:rsidRDefault="003C3C13" w:rsidP="005B4CE4">
      <w:pPr>
        <w:pStyle w:val="14Footnote"/>
      </w:pPr>
    </w:p>
  </w:footnote>
  <w:footnote w:id="52">
    <w:p w14:paraId="5063C6C4" w14:textId="67B7D3F7" w:rsidR="003C3C13" w:rsidRPr="003C3C13" w:rsidRDefault="003C3C13" w:rsidP="003C3C13">
      <w:pPr>
        <w:pStyle w:val="FootnoteText"/>
      </w:pPr>
      <w:r w:rsidRPr="003C3C13">
        <w:rPr>
          <w:rStyle w:val="FootnoteReference"/>
        </w:rPr>
        <w:footnoteRef/>
      </w:r>
      <w:r w:rsidRPr="003C3C13">
        <w:rPr>
          <w:i/>
        </w:rPr>
        <w:t>Lee</w:t>
      </w:r>
      <w:r w:rsidRPr="003C3C13">
        <w:t xml:space="preserve">, 2019 WL 5964966, at *1; </w:t>
      </w:r>
      <w:r w:rsidRPr="003C3C13">
        <w:rPr>
          <w:i/>
        </w:rPr>
        <w:t>Ruiz</w:t>
      </w:r>
      <w:r w:rsidRPr="003C3C13">
        <w:t xml:space="preserve">, 2017 WL 11545275, at *3; Martinez v. Back Bone Bullies Ltd., 2022 BL 87498, </w:t>
      </w:r>
      <w:r w:rsidRPr="003C3C13">
        <w:rPr>
          <w:rFonts w:eastAsia="Calibri"/>
        </w:rPr>
        <w:t xml:space="preserve">2022 WL 782782, at *10 (D. Colo. Mar. 15, 2022) (citing </w:t>
      </w:r>
      <w:r w:rsidRPr="003C3C13">
        <w:rPr>
          <w:rFonts w:eastAsia="Calibri"/>
          <w:i/>
        </w:rPr>
        <w:t>Ruiz</w:t>
      </w:r>
      <w:r w:rsidRPr="003C3C13">
        <w:rPr>
          <w:rFonts w:eastAsia="Calibri"/>
        </w:rPr>
        <w:t>)</w:t>
      </w:r>
      <w:r w:rsidRPr="003C3C13">
        <w:t>; Oldershaw v. DaVita Healthcare Partners, Inc., 255 F. Supp. 3d 1110, 1116 (D. Colo. 2017) (explaining that, in light of “increased autonomy that plaintiffs in [an FLSA] ‘collective action’ have,” courts “have begun to question whether settlements of ‘collective action’ claims should require court approval, or whether they should be treated as would a settlement in any other action with multiple plaintiffs”).</w:t>
      </w:r>
    </w:p>
    <w:p w14:paraId="1ECD21F3" w14:textId="77777777" w:rsidR="003C3C13" w:rsidRPr="00CE2995" w:rsidRDefault="003C3C13" w:rsidP="005B4CE4">
      <w:pPr>
        <w:pStyle w:val="14Footnote"/>
      </w:pPr>
    </w:p>
  </w:footnote>
  <w:footnote w:id="53">
    <w:p w14:paraId="38C8BDF8" w14:textId="124B94FB" w:rsidR="003C3C13" w:rsidRPr="00CE2995" w:rsidRDefault="003C3C13" w:rsidP="003C3C13">
      <w:pPr>
        <w:pStyle w:val="FootnoteText"/>
      </w:pPr>
      <w:r w:rsidRPr="003C3C13">
        <w:rPr>
          <w:rStyle w:val="FootnoteReference"/>
        </w:rPr>
        <w:footnoteRef/>
      </w:r>
      <w:r w:rsidRPr="003C3C13">
        <w:rPr>
          <w:i/>
        </w:rPr>
        <w:t xml:space="preserve">See, e.g., </w:t>
      </w:r>
      <w:r w:rsidRPr="003C3C13">
        <w:t>Slaughter v. Sykes Enters., Inc., 2019 WL 529512, at *2 (D. Colo. Feb. 11, 2019).</w:t>
      </w:r>
    </w:p>
  </w:footnote>
  <w:footnote w:id="54">
    <w:p w14:paraId="3BBAEA2D" w14:textId="789F2A63" w:rsidR="003C3C13" w:rsidRPr="00CE2995" w:rsidRDefault="003C3C13" w:rsidP="003C3C13">
      <w:pPr>
        <w:pStyle w:val="FootnoteText"/>
      </w:pPr>
      <w:r w:rsidRPr="003C3C13">
        <w:rPr>
          <w:rStyle w:val="FootnoteReference"/>
        </w:rPr>
        <w:footnoteRef/>
      </w:r>
      <w:r w:rsidRPr="003C3C13">
        <w:t>Manohar v. Sugar Food LLC, 2017 WL 3173451, at *2 (D. Colo. July 26, 2017) (acknowledging </w:t>
      </w:r>
      <w:r w:rsidRPr="003C3C13">
        <w:rPr>
          <w:i/>
        </w:rPr>
        <w:t>Ruiz</w:t>
      </w:r>
      <w:r w:rsidRPr="003C3C13">
        <w:t>, but opting to apply more traditional standard of FLSA settlement approval, given that issue had not yet been settled by Tenth Circuit); Teague v. Acxiom Corp., 2018 WL 3772865, at *1 (D. Colo. Aug. 9, 2018) (same).</w:t>
      </w:r>
    </w:p>
  </w:footnote>
  <w:footnote w:id="55">
    <w:p w14:paraId="21133F21" w14:textId="00122B36" w:rsidR="003C3C13" w:rsidRPr="00CE2995" w:rsidRDefault="003C3C13" w:rsidP="003C3C13">
      <w:pPr>
        <w:pStyle w:val="FootnoteText"/>
        <w:rPr>
          <w:rFonts w:ascii="Arial" w:hAnsi="Arial" w:cs="Arial"/>
        </w:rPr>
      </w:pPr>
      <w:r w:rsidRPr="003C3C13">
        <w:rPr>
          <w:vertAlign w:val="superscript"/>
        </w:rPr>
        <w:footnoteRef/>
      </w:r>
      <w:r w:rsidRPr="003C3C13">
        <w:t>Davis v. Harper Hill &amp; Assocs., Inc., 2021 BL 345707, 2021 WL 8200220 (M.D. Fla. Aug. 17, 2021).</w:t>
      </w:r>
    </w:p>
  </w:footnote>
  <w:footnote w:id="56">
    <w:p w14:paraId="4E1214FB" w14:textId="6D260786" w:rsidR="003C3C13" w:rsidRPr="00CE2995" w:rsidRDefault="003C3C13" w:rsidP="003C3C13">
      <w:pPr>
        <w:pStyle w:val="FootnoteText"/>
      </w:pPr>
      <w:r w:rsidRPr="003C3C13">
        <w:rPr>
          <w:rStyle w:val="FootnoteReference"/>
        </w:rPr>
        <w:footnoteRef/>
      </w:r>
      <w:r w:rsidRPr="003C3C13">
        <w:t>Nesbitt v. City of Bullhead City, 2020 BL 412223, 2020 WL 6262396, at *3 (D. Ariz. Oct. 23, 2020) (holding party’s ability to “renege at any time before judicial approval … would frustrate the FLSA’s policy of encouraging settlement”).</w:t>
      </w:r>
    </w:p>
  </w:footnote>
  <w:footnote w:id="57">
    <w:p w14:paraId="18CF17FF" w14:textId="687847ED" w:rsidR="003C3C13" w:rsidRPr="00CE2995" w:rsidRDefault="003C3C13" w:rsidP="003C3C13">
      <w:pPr>
        <w:pStyle w:val="FootnoteText"/>
      </w:pPr>
      <w:r w:rsidRPr="003C3C13">
        <w:rPr>
          <w:rStyle w:val="FootnoteReference"/>
        </w:rPr>
        <w:footnoteRef/>
      </w:r>
      <w:r w:rsidRPr="003C3C13">
        <w:t>Moore v. Universal Prot. Servs., LP, 2022 BL 61947, 2022 WL 494380 (C.D. Cal. Jan. 21, 2022).</w:t>
      </w:r>
    </w:p>
  </w:footnote>
  <w:footnote w:id="58">
    <w:p w14:paraId="5B795916" w14:textId="0D2A0391" w:rsidR="003C3C13" w:rsidRPr="00CE2995" w:rsidRDefault="003C3C13" w:rsidP="003C3C13">
      <w:pPr>
        <w:pStyle w:val="FootnoteText"/>
      </w:pPr>
      <w:r w:rsidRPr="003C3C13">
        <w:rPr>
          <w:rStyle w:val="FootnoteReference"/>
        </w:rPr>
        <w:footnoteRef/>
      </w:r>
      <w:r w:rsidRPr="003C3C13">
        <w:rPr>
          <w:i/>
        </w:rPr>
        <w:t xml:space="preserve">Id., </w:t>
      </w:r>
      <w:r w:rsidRPr="003C3C13">
        <w:t>2022 WL 494380, at *3</w:t>
      </w:r>
    </w:p>
  </w:footnote>
  <w:footnote w:id="59">
    <w:p w14:paraId="580ABD1B" w14:textId="08ED4875" w:rsidR="003C3C13" w:rsidRPr="00CE2995" w:rsidRDefault="003C3C13" w:rsidP="003C3C13">
      <w:pPr>
        <w:pStyle w:val="FootnoteText"/>
      </w:pPr>
      <w:r w:rsidRPr="003C3C13">
        <w:rPr>
          <w:rStyle w:val="FootnoteReference"/>
        </w:rPr>
        <w:footnoteRef/>
      </w:r>
      <w:r w:rsidRPr="003C3C13">
        <w:t>796 F.3d 199 (2d Cir. 2015).</w:t>
      </w:r>
    </w:p>
  </w:footnote>
  <w:footnote w:id="60">
    <w:p w14:paraId="4981F40F" w14:textId="1FD77EDC" w:rsidR="003C3C13" w:rsidRPr="003C3C13" w:rsidRDefault="003C3C13" w:rsidP="003C3C13">
      <w:pPr>
        <w:pStyle w:val="FootnoteText"/>
      </w:pPr>
      <w:r w:rsidRPr="003C3C13">
        <w:rPr>
          <w:rStyle w:val="FootnoteReference"/>
        </w:rPr>
        <w:footnoteRef/>
      </w:r>
      <w:r w:rsidRPr="003C3C13">
        <w:rPr>
          <w:i/>
        </w:rPr>
        <w:t>Id</w:t>
      </w:r>
      <w:r w:rsidRPr="003C3C13">
        <w:t>. at 201.</w:t>
      </w:r>
    </w:p>
    <w:p w14:paraId="197CCCCD" w14:textId="77777777" w:rsidR="003C3C13" w:rsidRPr="00CE2995" w:rsidRDefault="003C3C13" w:rsidP="005B4CE4">
      <w:pPr>
        <w:pStyle w:val="14Footnote"/>
      </w:pPr>
    </w:p>
  </w:footnote>
  <w:footnote w:id="61">
    <w:p w14:paraId="7CCF3156" w14:textId="292A85B4" w:rsidR="003C3C13" w:rsidRPr="003C3C13" w:rsidRDefault="003C3C13" w:rsidP="003C3C13">
      <w:pPr>
        <w:pStyle w:val="FootnoteText"/>
      </w:pPr>
      <w:r w:rsidRPr="003C3C13">
        <w:rPr>
          <w:rStyle w:val="FootnoteReference"/>
        </w:rPr>
        <w:footnoteRef/>
      </w:r>
      <w:r w:rsidRPr="003C3C13">
        <w:rPr>
          <w:i/>
        </w:rPr>
        <w:t>Id</w:t>
      </w:r>
      <w:r w:rsidRPr="003C3C13">
        <w:t>. at 201–02 (emphasis added).</w:t>
      </w:r>
    </w:p>
    <w:p w14:paraId="33A4B085" w14:textId="77777777" w:rsidR="003C3C13" w:rsidRPr="00CE2995" w:rsidRDefault="003C3C13" w:rsidP="005B4CE4">
      <w:pPr>
        <w:pStyle w:val="14Footnote"/>
      </w:pPr>
    </w:p>
  </w:footnote>
  <w:footnote w:id="62">
    <w:p w14:paraId="2EF581AF" w14:textId="5F5824AD" w:rsidR="003C3C13" w:rsidRPr="003C3C13" w:rsidRDefault="003C3C13" w:rsidP="003C3C13">
      <w:pPr>
        <w:pStyle w:val="FootnoteText"/>
      </w:pPr>
      <w:r w:rsidRPr="003C3C13">
        <w:rPr>
          <w:rStyle w:val="FootnoteReference"/>
        </w:rPr>
        <w:footnoteRef/>
      </w:r>
      <w:r w:rsidRPr="003C3C13">
        <w:rPr>
          <w:i/>
        </w:rPr>
        <w:t>Id</w:t>
      </w:r>
      <w:r w:rsidRPr="003C3C13">
        <w:t>.</w:t>
      </w:r>
    </w:p>
    <w:p w14:paraId="1B7CD1EC" w14:textId="77777777" w:rsidR="003C3C13" w:rsidRPr="00CE2995" w:rsidRDefault="003C3C13" w:rsidP="005B4CE4">
      <w:pPr>
        <w:pStyle w:val="14Footnote"/>
      </w:pPr>
    </w:p>
  </w:footnote>
  <w:footnote w:id="63">
    <w:p w14:paraId="0F7123D0" w14:textId="5383FC54" w:rsidR="003C3C13" w:rsidRPr="00CE2995" w:rsidRDefault="003C3C13" w:rsidP="003C3C13">
      <w:pPr>
        <w:pStyle w:val="FootnoteText"/>
      </w:pPr>
      <w:r w:rsidRPr="003C3C13">
        <w:rPr>
          <w:rStyle w:val="FootnoteReference"/>
        </w:rPr>
        <w:footnoteRef/>
      </w:r>
      <w:r w:rsidRPr="003C3C13">
        <w:rPr>
          <w:i/>
        </w:rPr>
        <w:t xml:space="preserve">Id. </w:t>
      </w:r>
      <w:r w:rsidRPr="003C3C13">
        <w:t>at 206.</w:t>
      </w:r>
    </w:p>
  </w:footnote>
  <w:footnote w:id="64">
    <w:p w14:paraId="6DE41185" w14:textId="0974098C" w:rsidR="003C3C13" w:rsidRPr="003C3C13" w:rsidRDefault="003C3C13" w:rsidP="003C3C13">
      <w:pPr>
        <w:pStyle w:val="FootnoteText"/>
      </w:pPr>
      <w:r w:rsidRPr="003C3C13">
        <w:rPr>
          <w:rStyle w:val="FootnoteReference"/>
        </w:rPr>
        <w:footnoteRef/>
      </w:r>
      <w:r w:rsidRPr="003C3C13">
        <w:rPr>
          <w:i/>
        </w:rPr>
        <w:t>Id</w:t>
      </w:r>
      <w:r w:rsidRPr="003C3C13">
        <w:t>.</w:t>
      </w:r>
    </w:p>
    <w:p w14:paraId="61811F43" w14:textId="77777777" w:rsidR="003C3C13" w:rsidRPr="00CE2995" w:rsidRDefault="003C3C13" w:rsidP="005B4CE4">
      <w:pPr>
        <w:pStyle w:val="14Footnote"/>
      </w:pPr>
    </w:p>
  </w:footnote>
  <w:footnote w:id="65">
    <w:p w14:paraId="64AA00A0" w14:textId="439EE9F8" w:rsidR="003C3C13" w:rsidRPr="003C3C13" w:rsidRDefault="003C3C13" w:rsidP="003C3C13">
      <w:pPr>
        <w:pStyle w:val="FootnoteText"/>
      </w:pPr>
      <w:r w:rsidRPr="003C3C13">
        <w:rPr>
          <w:rStyle w:val="FootnoteReference"/>
        </w:rPr>
        <w:footnoteRef/>
      </w:r>
      <w:r w:rsidRPr="003C3C13">
        <w:rPr>
          <w:i/>
        </w:rPr>
        <w:t>Id</w:t>
      </w:r>
      <w:r w:rsidRPr="003C3C13">
        <w:t>.</w:t>
      </w:r>
    </w:p>
    <w:p w14:paraId="68E6D9E2" w14:textId="77777777" w:rsidR="003C3C13" w:rsidRPr="00CE2995" w:rsidRDefault="003C3C13" w:rsidP="005B4CE4">
      <w:pPr>
        <w:pStyle w:val="14Footnote"/>
      </w:pPr>
    </w:p>
  </w:footnote>
  <w:footnote w:id="66">
    <w:p w14:paraId="6550B791" w14:textId="4282AC14" w:rsidR="003C3C13" w:rsidRPr="00CE2995" w:rsidRDefault="003C3C13" w:rsidP="003C3C13">
      <w:pPr>
        <w:pStyle w:val="FootnoteText"/>
      </w:pPr>
      <w:r w:rsidRPr="003C3C13">
        <w:rPr>
          <w:rStyle w:val="FootnoteReference"/>
        </w:rPr>
        <w:footnoteRef/>
      </w:r>
      <w:r w:rsidRPr="003C3C13">
        <w:rPr>
          <w:i/>
        </w:rPr>
        <w:t xml:space="preserve">Cheeks, </w:t>
      </w:r>
      <w:r w:rsidRPr="003C3C13">
        <w:t>796 F.3d at 201 n.1.</w:t>
      </w:r>
    </w:p>
  </w:footnote>
  <w:footnote w:id="67">
    <w:p w14:paraId="108212B7" w14:textId="2A106511" w:rsidR="003C3C13" w:rsidRPr="003C3C13" w:rsidRDefault="003C3C13" w:rsidP="003C3C13">
      <w:pPr>
        <w:pStyle w:val="FootnoteText"/>
      </w:pPr>
      <w:r w:rsidRPr="003C3C13">
        <w:rPr>
          <w:rStyle w:val="FootnoteReference"/>
        </w:rPr>
        <w:footnoteRef/>
      </w:r>
      <w:r w:rsidRPr="003C3C13">
        <w:rPr>
          <w:i/>
        </w:rPr>
        <w:t xml:space="preserve">Id. </w:t>
      </w:r>
      <w:r w:rsidRPr="003C3C13">
        <w:t>(emphasis added).</w:t>
      </w:r>
    </w:p>
    <w:p w14:paraId="6914B3D8" w14:textId="77777777" w:rsidR="003C3C13" w:rsidRPr="00CE2995" w:rsidRDefault="003C3C13" w:rsidP="005B4CE4">
      <w:pPr>
        <w:pStyle w:val="14Footnote"/>
      </w:pPr>
    </w:p>
  </w:footnote>
  <w:footnote w:id="68">
    <w:p w14:paraId="44A9E35A" w14:textId="3EFCAFC7" w:rsidR="003C3C13" w:rsidRPr="003C3C13" w:rsidRDefault="003C3C13" w:rsidP="003C3C13">
      <w:pPr>
        <w:pStyle w:val="FootnoteText"/>
      </w:pPr>
      <w:r w:rsidRPr="003C3C13">
        <w:rPr>
          <w:rStyle w:val="FootnoteReference"/>
        </w:rPr>
        <w:footnoteRef/>
      </w:r>
      <w:r w:rsidRPr="003C3C13">
        <w:t>944 F.3d 395, 410–11 (2d Cir. 2019).</w:t>
      </w:r>
    </w:p>
    <w:p w14:paraId="4483DCD2" w14:textId="77777777" w:rsidR="003C3C13" w:rsidRPr="00626A66" w:rsidRDefault="003C3C13" w:rsidP="00587C6D">
      <w:pPr>
        <w:pStyle w:val="14Footnote"/>
        <w:rPr>
          <w:szCs w:val="20"/>
        </w:rPr>
      </w:pPr>
    </w:p>
  </w:footnote>
  <w:footnote w:id="69">
    <w:p w14:paraId="7C678A21" w14:textId="121EFE16" w:rsidR="003C3C13" w:rsidRPr="00CE2995" w:rsidRDefault="003C3C13" w:rsidP="003C3C13">
      <w:pPr>
        <w:pStyle w:val="FootnoteText"/>
      </w:pPr>
      <w:r w:rsidRPr="003C3C13">
        <w:rPr>
          <w:rStyle w:val="FootnoteReference"/>
        </w:rPr>
        <w:footnoteRef/>
      </w:r>
      <w:r w:rsidRPr="003C3C13">
        <w:t>24 F.4th 804 (2d Cir. 2022).</w:t>
      </w:r>
    </w:p>
  </w:footnote>
  <w:footnote w:id="70">
    <w:p w14:paraId="381F164B" w14:textId="520202EF" w:rsidR="003C3C13" w:rsidRPr="00CE2995" w:rsidRDefault="003C3C13" w:rsidP="003C3C13">
      <w:pPr>
        <w:pStyle w:val="FootnoteText"/>
      </w:pPr>
      <w:r w:rsidRPr="003C3C13">
        <w:rPr>
          <w:rStyle w:val="FootnoteReference"/>
        </w:rPr>
        <w:footnoteRef/>
      </w:r>
      <w:r w:rsidRPr="003C3C13">
        <w:rPr>
          <w:i/>
        </w:rPr>
        <w:t xml:space="preserve">Id. </w:t>
      </w:r>
      <w:r w:rsidRPr="003C3C13">
        <w:t>at 807.</w:t>
      </w:r>
    </w:p>
  </w:footnote>
  <w:footnote w:id="71">
    <w:p w14:paraId="789CD25D" w14:textId="72D8CF9F" w:rsidR="003C3C13" w:rsidRPr="00CE2995" w:rsidRDefault="003C3C13" w:rsidP="003C3C13">
      <w:pPr>
        <w:pStyle w:val="FootnoteText"/>
      </w:pPr>
      <w:r w:rsidRPr="003C3C13">
        <w:rPr>
          <w:rStyle w:val="FootnoteReference"/>
        </w:rPr>
        <w:footnoteRef/>
      </w:r>
      <w:r w:rsidRPr="003C3C13">
        <w:t>Yu v. Ollies44 LLC, 2022 WL 329213, at *1 (S.D.N.Y. Feb. 3, 2022).</w:t>
      </w:r>
    </w:p>
  </w:footnote>
  <w:footnote w:id="72">
    <w:p w14:paraId="2308016F" w14:textId="323768C9" w:rsidR="003C3C13" w:rsidRPr="003C3C13" w:rsidRDefault="003C3C13" w:rsidP="003C3C13">
      <w:pPr>
        <w:pStyle w:val="FootnoteText"/>
      </w:pPr>
      <w:r w:rsidRPr="003C3C13">
        <w:rPr>
          <w:rStyle w:val="FootnoteReference"/>
        </w:rPr>
        <w:footnoteRef/>
      </w:r>
      <w:r w:rsidRPr="003C3C13">
        <w:rPr>
          <w:i/>
        </w:rPr>
        <w:t>Id.</w:t>
      </w:r>
    </w:p>
    <w:p w14:paraId="052BD0A0" w14:textId="77777777" w:rsidR="003C3C13" w:rsidRPr="00CE2995" w:rsidRDefault="003C3C13" w:rsidP="003376A0">
      <w:pPr>
        <w:pStyle w:val="14Footnote"/>
      </w:pPr>
    </w:p>
  </w:footnote>
  <w:footnote w:id="73">
    <w:p w14:paraId="04E96FD2" w14:textId="12BBB852" w:rsidR="003C3C13" w:rsidRPr="003C3C13" w:rsidRDefault="003C3C13" w:rsidP="003C3C13">
      <w:pPr>
        <w:pStyle w:val="FootnoteText"/>
      </w:pPr>
      <w:r w:rsidRPr="003C3C13">
        <w:rPr>
          <w:rStyle w:val="FootnoteReference"/>
        </w:rPr>
        <w:footnoteRef/>
      </w:r>
      <w:r w:rsidRPr="003C3C13">
        <w:rPr>
          <w:i/>
        </w:rPr>
        <w:t>See, e.g.</w:t>
      </w:r>
      <w:r w:rsidRPr="003C3C13">
        <w:t>,</w:t>
      </w:r>
    </w:p>
    <w:p w14:paraId="0A737D1F" w14:textId="469AD856" w:rsidR="003C3C13" w:rsidRPr="003C3C13" w:rsidRDefault="003C3C13" w:rsidP="003C3C13">
      <w:pPr>
        <w:pStyle w:val="FootnoteText"/>
      </w:pPr>
      <w:r w:rsidRPr="003C3C13">
        <w:rPr>
          <w:i/>
        </w:rPr>
        <w:t>Fourth Circuit</w:t>
      </w:r>
      <w:r w:rsidRPr="003C3C13">
        <w:t>: Minsterman v. S.L. Nusbaum Realty Co., 2011 WL 9687817, at *1 (E.D. Va. Jan. 21, 2011).</w:t>
      </w:r>
    </w:p>
    <w:p w14:paraId="0B93B9B9" w14:textId="3D6A3E13" w:rsidR="003C3C13" w:rsidRPr="003C3C13" w:rsidRDefault="003C3C13" w:rsidP="003C3C13">
      <w:pPr>
        <w:pStyle w:val="FootnoteText"/>
      </w:pPr>
      <w:r w:rsidRPr="003C3C13">
        <w:rPr>
          <w:i/>
        </w:rPr>
        <w:t>Fifth Circuit</w:t>
      </w:r>
      <w:r w:rsidRPr="003C3C13">
        <w:t>: Romero v. Levya, 2020 WL 1958639, at *3 (W.D. Tex. Apr. 23, 2020) (“Given the absence of explicit Fifth Circuit precedent to the contrary, the tendency of district courts within the Fifth Circuit to require review of FLSA settlement agreements, and the compelling reasoning of the Second Circuit, the Court finds that its review and approval of the settlement is appropriate, if not mandatory.”).</w:t>
      </w:r>
    </w:p>
    <w:p w14:paraId="3D48AF2C" w14:textId="2FDC28C8" w:rsidR="003C3C13" w:rsidRPr="003C3C13" w:rsidRDefault="003C3C13" w:rsidP="003C3C13">
      <w:pPr>
        <w:pStyle w:val="FootnoteText"/>
      </w:pPr>
      <w:r w:rsidRPr="003C3C13">
        <w:rPr>
          <w:i/>
        </w:rPr>
        <w:t>Seventh Circuit</w:t>
      </w:r>
      <w:r w:rsidRPr="003C3C13">
        <w:t>: Paredes v. Cantu, 2019 WL 2569804, at *1 (N.D. Ind. June 20, 2019) (“[C]ourts must approve dismissals of any action brought under an applicable federal statute. Fed. R. Civ. P. 41(a)(1)(A)(ii). The FLSA is such a statute.”).</w:t>
      </w:r>
    </w:p>
    <w:p w14:paraId="2874F0F8" w14:textId="2C155E3E" w:rsidR="003C3C13" w:rsidRPr="003C3C13" w:rsidRDefault="003C3C13" w:rsidP="003C3C13">
      <w:pPr>
        <w:pStyle w:val="FootnoteText"/>
      </w:pPr>
      <w:r w:rsidRPr="003C3C13">
        <w:rPr>
          <w:i/>
        </w:rPr>
        <w:t>Eighth Circuit</w:t>
      </w:r>
      <w:r w:rsidRPr="003C3C13">
        <w:t>: Norris v. Bluestem Brands, Inc., 2019 WL 1767408, at *6 (D. Minn. Apr. 22, 2019) (stipulation to dismiss with prejudice “represents an agreement to dispose of the Named Plaintiffs’ FLSA claims, which requires judicial approval because employee rights under the FLSA cannot be abridged by contract or otherwise waived”) (internal quotations and citations omitted); Taylor v. Moriah Mgmt., LLC, 2018 WL 8755499, at *1 (W.D. Ark. Oct. 19, 2018) (“There is nothing to prevent the parties from entering a stipulation of dismissal with or without prejudice under Rule 41(a)(1)(A)(ii); however, the dismissal will not result in a waiver of [plaintiff’s] FLSA claims since the FLSA claims can only be waived by the Secretary of Labor after payment of all back wages or by stipulated judgment after approval of the settlement by the district court.”).</w:t>
      </w:r>
    </w:p>
    <w:p w14:paraId="294D2699" w14:textId="3FEA0C1F" w:rsidR="003C3C13" w:rsidRPr="00CE2995" w:rsidRDefault="003C3C13" w:rsidP="003C3C13">
      <w:pPr>
        <w:pStyle w:val="FootnoteText"/>
      </w:pPr>
      <w:r w:rsidRPr="003C3C13">
        <w:rPr>
          <w:i/>
        </w:rPr>
        <w:t>Eleventh Circuit</w:t>
      </w:r>
      <w:r w:rsidRPr="003C3C13">
        <w:t>: Osorio v. G Sec. Servs., LLC, 2019 WL 2526538, at *1 (M.D. Fla. Jan. 22, 2019), </w:t>
      </w:r>
      <w:r w:rsidRPr="003C3C13">
        <w:rPr>
          <w:i/>
        </w:rPr>
        <w:t>report and recommendation adopted</w:t>
      </w:r>
      <w:r w:rsidRPr="003C3C13">
        <w:t>, 2019 WL 2526539 (M.D. Fla. Feb. 6, 2019) (“[A]n employee’s FLSA claims are not subject to a voluntary dismissal with prejudice under Rule 41(a)(1)(a)(ii) without the requisite approval.”).</w:t>
      </w:r>
    </w:p>
  </w:footnote>
  <w:footnote w:id="74">
    <w:p w14:paraId="52B55FC8" w14:textId="01130621" w:rsidR="003C3C13" w:rsidRPr="003C3C13" w:rsidRDefault="003C3C13" w:rsidP="003C3C13">
      <w:pPr>
        <w:pStyle w:val="FootnoteText"/>
      </w:pPr>
      <w:r w:rsidRPr="003C3C13">
        <w:rPr>
          <w:rStyle w:val="FootnoteReference"/>
        </w:rPr>
        <w:footnoteRef/>
      </w:r>
      <w:r w:rsidRPr="003C3C13">
        <w:t>Turner v. Interline Brands, Inc., 2016 WL 7973120, at *3 (M.D. Fla. Nov. 8, 2016) (“Absent judicial review of a settlement agreement it is impossible to ensure that an employer has not improperly exercised the marked advantage it enjoys over its employees in terms of bargaining power. This fact is unchanged regardless of whether an agreement is accompanied by a dismissal with or without prejudice.”).</w:t>
      </w:r>
    </w:p>
    <w:p w14:paraId="13285486" w14:textId="77777777" w:rsidR="003C3C13" w:rsidRPr="00CE2995" w:rsidRDefault="003C3C13" w:rsidP="005B4CE4">
      <w:pPr>
        <w:pStyle w:val="14Footnote"/>
      </w:pPr>
    </w:p>
  </w:footnote>
  <w:footnote w:id="75">
    <w:p w14:paraId="01E54D7B" w14:textId="77F659D4" w:rsidR="003C3C13" w:rsidRPr="003C3C13" w:rsidRDefault="003C3C13" w:rsidP="003C3C13">
      <w:pPr>
        <w:pStyle w:val="FootnoteText"/>
      </w:pPr>
      <w:r w:rsidRPr="003C3C13">
        <w:rPr>
          <w:rStyle w:val="FootnoteReference"/>
        </w:rPr>
        <w:footnoteRef/>
      </w:r>
      <w:r w:rsidRPr="003C3C13">
        <w:rPr>
          <w:i/>
        </w:rPr>
        <w:t>See, e.g.</w:t>
      </w:r>
      <w:r w:rsidRPr="003C3C13">
        <w:t xml:space="preserve">, Gallardo v. PS Chicken Inc., 285 F. Supp. 3d 549, 552 (E.D.N.Y. 2018) (“[D]ismissals without prejudice may simply be an effort to settle cases without court review.”); Seliem v. Islamic Society of Tampa Bay Area, Inc., 2018 WL 4925687, at *2 (M.D. Fla. Oct. 2, 2018) (“The Court agrees that judicial review of the circumstances surrounding [plaintiff’s] decision to dismiss his FLSA claims—either with or without prejudice—is required to effectuate the policy concerns articulated in </w:t>
      </w:r>
      <w:r w:rsidRPr="003C3C13">
        <w:rPr>
          <w:i/>
        </w:rPr>
        <w:t>Lynn’s Food Stores</w:t>
      </w:r>
      <w:r w:rsidRPr="003C3C13">
        <w:t>.”); Guarnero-Ruiz v. 36-03 Food, LLC, 2017 WL 7049543, at *7 (E.D.N.Y. Dec. 11, 2017) (rejecting stipulation and stating “[w]hat is before this Court is a dismissal of FLSA claims with prejudice masquerading as a stipulation of dismissal without prejudice”); Seck v. Dipna Rx, Inc., 2017 WL 1906887, at *1 (S.D.N.Y. May 8, 2017) (rejecting stipulation to dismiss without prejudice, “[i]ts terms operate as a dismissal with prejudice,” because underlying settlement “includes both the release of all claims and a covenant not to reassert them in the future”); Boasci v. Imperial Spa &amp; Salon, Inc., 2015 WL 12843222, at *1 (M.D. Fla. Jan. 12, 2015) (“[T]he overwhelming position in the Eleventh Circuit [is] that the FLSA charges district courts with the duty to ensure the fairness of any resolution of a claim arising under the statute.”); Goldsby v. Renosol Seating, LLC, 294 F.R.D. 649, 658–59 (S.D. Ala. 2013) (declining to dismiss based on a stipulation of dismissal without prejudice in FLSA case because court lacked sufficient information regarding circumstances surrounding plaintiff’s stipulation).</w:t>
      </w:r>
    </w:p>
    <w:p w14:paraId="54DA1038" w14:textId="77777777" w:rsidR="003C3C13" w:rsidRPr="00CE2995" w:rsidRDefault="003C3C13" w:rsidP="005B4CE4">
      <w:pPr>
        <w:pStyle w:val="14Footnote"/>
      </w:pPr>
    </w:p>
  </w:footnote>
  <w:footnote w:id="76">
    <w:p w14:paraId="476A8C25" w14:textId="40E111E7" w:rsidR="003C3C13" w:rsidRPr="003C3C13" w:rsidRDefault="003C3C13" w:rsidP="003C3C13">
      <w:pPr>
        <w:pStyle w:val="FootnoteText"/>
      </w:pPr>
      <w:r w:rsidRPr="003C3C13">
        <w:rPr>
          <w:vertAlign w:val="superscript"/>
        </w:rPr>
        <w:footnoteRef/>
      </w:r>
      <w:r w:rsidRPr="003C3C13">
        <w:t xml:space="preserve">Almaraz v. Hometown Ventures LLC, 2022 BL 72705, 2022 WL 622729, at *1 (M.D. Fla. Mar. 3, 2022). </w:t>
      </w:r>
      <w:r w:rsidRPr="003C3C13">
        <w:rPr>
          <w:i/>
        </w:rPr>
        <w:t>See also</w:t>
      </w:r>
      <w:r w:rsidRPr="003C3C13">
        <w:t xml:space="preserve"> Askew v. Inter-Cont’l Hotels Corp.,</w:t>
      </w:r>
      <w:r w:rsidRPr="003C3C13">
        <w:rPr>
          <w:rFonts w:eastAsia="Cambria"/>
        </w:rPr>
        <w:t xml:space="preserve"> </w:t>
      </w:r>
      <w:r w:rsidRPr="003C3C13">
        <w:t>620 F. Supp. 3d 635 (W.D. Ky. 2022) (reasoning the text of the FLSA does not require judicial approval before dismissal of FLSA lawsuit, therefore the suits do not fall outside the scope of actions that may be dismissed by stipulation under Rule 41).</w:t>
      </w:r>
    </w:p>
    <w:p w14:paraId="5D8F3C09" w14:textId="77777777" w:rsidR="003C3C13" w:rsidRPr="009546CC" w:rsidRDefault="003C3C13" w:rsidP="000C7F0C">
      <w:pPr>
        <w:pStyle w:val="14Footnote"/>
      </w:pPr>
    </w:p>
  </w:footnote>
  <w:footnote w:id="77">
    <w:p w14:paraId="618C77B1" w14:textId="15789660" w:rsidR="003C3C13" w:rsidRPr="003C3C13" w:rsidRDefault="003C3C13" w:rsidP="003C3C13">
      <w:pPr>
        <w:pStyle w:val="FootnoteText"/>
      </w:pPr>
      <w:r w:rsidRPr="003C3C13">
        <w:rPr>
          <w:rStyle w:val="FootnoteReference"/>
        </w:rPr>
        <w:footnoteRef/>
      </w:r>
      <w:r w:rsidRPr="003C3C13">
        <w:rPr>
          <w:i/>
        </w:rPr>
        <w:t xml:space="preserve">See, e.g., </w:t>
      </w:r>
      <w:r w:rsidRPr="003C3C13">
        <w:t>Four Winds Interactive LLC v. 22 Miles, Inc., 2018 WL 525604, at *3 (D. Colo. Jan. 24, 2018) (rejecting “invitation to extend Rule 41(a)(1) beyond its plain terms”).</w:t>
      </w:r>
    </w:p>
    <w:p w14:paraId="64D8BCDB" w14:textId="77777777" w:rsidR="003C3C13" w:rsidRPr="00CE2995" w:rsidRDefault="003C3C13" w:rsidP="00DF040F">
      <w:pPr>
        <w:pStyle w:val="14Footnote"/>
      </w:pPr>
    </w:p>
  </w:footnote>
  <w:footnote w:id="78">
    <w:p w14:paraId="27353445" w14:textId="12541AB3" w:rsidR="003C3C13" w:rsidRPr="00CE2995" w:rsidRDefault="003C3C13" w:rsidP="003C3C13">
      <w:pPr>
        <w:pStyle w:val="FootnoteText"/>
      </w:pPr>
      <w:r w:rsidRPr="003C3C13">
        <w:rPr>
          <w:rStyle w:val="FootnoteReference"/>
        </w:rPr>
        <w:footnoteRef/>
      </w:r>
      <w:r w:rsidRPr="003C3C13">
        <w:t>Lee v. Best Budz LLC, 2019 WL 5964966, at *3 (D. Colo. Nov. 12, 2019) (“given the current uncertainty of the legal landscape, the Court chooses to review the Motion, as requested by the parties, under the factors traditionally considered in the District of Colorado, despite the fact that there does not appear to be any obvious defect in the settlement process or agreement”); Manohar v. Sugar Food LLC, 2017 WL 3173451, at *2 (D. Colo. July 26, 2017) (acknowledging lack of authority in Tenth Circuit requiring judicial review of FLSA settlements, noting other courts in judicial district that have held, “with few exceptions,” whether FLSA settlements require court approval, but nevertheless applying standard utilized by courts in this district to consider whether it can approve settlement); Martinez v. Bost, Inc., 2017 WL 6008048, at *2 (W.D. Ark. Mar. 7, 2017) (“While the Court could decline to review the proposed settlement and enter a general dismissal without prejudice, or could direct the parties to simply stipulate to dismissal, doing so would leave the parties in an uncertain position. Therefore, the Court will review the proposed settlement for fairness.”).</w:t>
      </w:r>
    </w:p>
  </w:footnote>
  <w:footnote w:id="79">
    <w:p w14:paraId="7E77796F" w14:textId="4316C769" w:rsidR="003C3C13" w:rsidRDefault="003C3C13" w:rsidP="003C3C13">
      <w:pPr>
        <w:pStyle w:val="FootnoteText"/>
      </w:pPr>
      <w:r w:rsidRPr="003C3C13">
        <w:rPr>
          <w:rStyle w:val="FootnoteReference"/>
        </w:rPr>
        <w:footnoteRef/>
      </w:r>
      <w:r w:rsidRPr="003C3C13">
        <w:t>Cavanaugh v. TMC Rest. of Charlotte, LLC, 2022 BL 243991, 2022 WL 2752591 (W.D.N.C. July 14, 2022).</w:t>
      </w:r>
    </w:p>
  </w:footnote>
  <w:footnote w:id="80">
    <w:p w14:paraId="680C7527" w14:textId="4E2D90FA" w:rsidR="003C3C13" w:rsidRDefault="003C3C13" w:rsidP="003C3C13">
      <w:pPr>
        <w:pStyle w:val="FootnoteText"/>
      </w:pPr>
      <w:r w:rsidRPr="003C3C13">
        <w:rPr>
          <w:rStyle w:val="FootnoteReference"/>
        </w:rPr>
        <w:footnoteRef/>
      </w:r>
      <w:r w:rsidRPr="003C3C13">
        <w:rPr>
          <w:i/>
        </w:rPr>
        <w:t>Id</w:t>
      </w:r>
      <w:r w:rsidRPr="003C3C13">
        <w:t>.</w:t>
      </w:r>
    </w:p>
  </w:footnote>
  <w:footnote w:id="81">
    <w:p w14:paraId="0A089EE6" w14:textId="711AAD75" w:rsidR="003C3C13" w:rsidRPr="00CE2995" w:rsidRDefault="003C3C13" w:rsidP="003C3C13">
      <w:pPr>
        <w:pStyle w:val="FootnoteText"/>
      </w:pPr>
      <w:r w:rsidRPr="003C3C13">
        <w:rPr>
          <w:rStyle w:val="FootnoteReference"/>
        </w:rPr>
        <w:footnoteRef/>
      </w:r>
      <w:r w:rsidRPr="003C3C13">
        <w:t>Bazile v. Asset Prot. Grp. LLC, 2019 BL 461019, 2019 WL 7985168, at *4 (E.D.N.Y. Nov. 27, 2019).</w:t>
      </w:r>
    </w:p>
  </w:footnote>
  <w:footnote w:id="82">
    <w:p w14:paraId="46BE4E27" w14:textId="451FB830" w:rsidR="003C3C13" w:rsidRPr="00CE2995" w:rsidRDefault="003C3C13" w:rsidP="003C3C13">
      <w:pPr>
        <w:pStyle w:val="FootnoteText"/>
      </w:pPr>
      <w:r w:rsidRPr="003C3C13">
        <w:rPr>
          <w:rStyle w:val="FootnoteReference"/>
        </w:rPr>
        <w:footnoteRef/>
      </w:r>
      <w:r w:rsidRPr="003C3C13">
        <w:rPr>
          <w:i/>
        </w:rPr>
        <w:t xml:space="preserve">Id. </w:t>
      </w:r>
      <w:r w:rsidRPr="003C3C13">
        <w:t>at *1.</w:t>
      </w:r>
    </w:p>
  </w:footnote>
  <w:footnote w:id="83">
    <w:p w14:paraId="4B3D984A" w14:textId="6CE9DC75" w:rsidR="003C3C13" w:rsidRPr="00CE2995" w:rsidRDefault="003C3C13" w:rsidP="003C3C13">
      <w:pPr>
        <w:pStyle w:val="FootnoteText"/>
      </w:pPr>
      <w:r w:rsidRPr="003C3C13">
        <w:rPr>
          <w:rStyle w:val="FootnoteReference"/>
        </w:rPr>
        <w:footnoteRef/>
      </w:r>
      <w:r w:rsidRPr="003C3C13">
        <w:rPr>
          <w:i/>
        </w:rPr>
        <w:t>Id.</w:t>
      </w:r>
    </w:p>
  </w:footnote>
  <w:footnote w:id="84">
    <w:p w14:paraId="2AA6D4DC" w14:textId="62BB583B" w:rsidR="003C3C13" w:rsidRPr="00CE2995" w:rsidRDefault="003C3C13" w:rsidP="003C3C13">
      <w:pPr>
        <w:pStyle w:val="FootnoteText"/>
      </w:pPr>
      <w:r w:rsidRPr="003C3C13">
        <w:rPr>
          <w:rStyle w:val="FootnoteReference"/>
        </w:rPr>
        <w:footnoteRef/>
      </w:r>
      <w:r w:rsidRPr="003C3C13">
        <w:rPr>
          <w:i/>
        </w:rPr>
        <w:t xml:space="preserve">Id. </w:t>
      </w:r>
      <w:r w:rsidRPr="003C3C13">
        <w:t>at *4.</w:t>
      </w:r>
    </w:p>
  </w:footnote>
  <w:footnote w:id="85">
    <w:p w14:paraId="63D58C44" w14:textId="3780777D" w:rsidR="003C3C13" w:rsidRPr="00CE2995" w:rsidRDefault="003C3C13" w:rsidP="003C3C13">
      <w:pPr>
        <w:pStyle w:val="FootnoteText"/>
      </w:pPr>
      <w:r w:rsidRPr="003C3C13">
        <w:rPr>
          <w:rStyle w:val="FootnoteReference"/>
        </w:rPr>
        <w:footnoteRef/>
      </w:r>
      <w:r w:rsidRPr="003C3C13">
        <w:t>679 F.2d 1350 (11th Cir. 1982).</w:t>
      </w:r>
    </w:p>
  </w:footnote>
  <w:footnote w:id="86">
    <w:p w14:paraId="56AC446A" w14:textId="4834C6A5" w:rsidR="003C3C13" w:rsidRPr="003C3C13" w:rsidRDefault="003C3C13" w:rsidP="003C3C13">
      <w:pPr>
        <w:pStyle w:val="FootnoteText"/>
      </w:pPr>
      <w:r w:rsidRPr="003C3C13">
        <w:rPr>
          <w:rStyle w:val="FootnoteReference"/>
        </w:rPr>
        <w:footnoteRef/>
      </w:r>
      <w:r w:rsidRPr="003C3C13">
        <w:rPr>
          <w:i/>
        </w:rPr>
        <w:t xml:space="preserve">Id. </w:t>
      </w:r>
      <w:r w:rsidRPr="003C3C13">
        <w:t>at 1355 (“Other than a section 216(c) payment supervised by the Department of Labor, there is only one context in which compromises of FLSA back wage or liquidated damage claims may be allowed: a stipulated judgment entered by a court which has determined that a settlement proposed by an employer and employees, in a suit brought by the employees under the FLSA, is a fair and reasonable resolution of a bona fide dispute over FLSA provisions.”).</w:t>
      </w:r>
    </w:p>
    <w:p w14:paraId="29C975AB" w14:textId="77777777" w:rsidR="003C3C13" w:rsidRPr="00CE2995" w:rsidRDefault="003C3C13" w:rsidP="005B4CE4">
      <w:pPr>
        <w:pStyle w:val="14Footnote"/>
      </w:pPr>
    </w:p>
  </w:footnote>
  <w:footnote w:id="87">
    <w:p w14:paraId="5C381433" w14:textId="2BB58168" w:rsidR="003C3C13" w:rsidRPr="00CE2995" w:rsidRDefault="003C3C13" w:rsidP="003C3C13">
      <w:pPr>
        <w:pStyle w:val="FootnoteText"/>
      </w:pPr>
      <w:r w:rsidRPr="003C3C13">
        <w:rPr>
          <w:rStyle w:val="FootnoteReference"/>
        </w:rPr>
        <w:footnoteRef/>
      </w:r>
      <w:r w:rsidRPr="003C3C13">
        <w:t xml:space="preserve">Boise Cnty. v. Yardley, 2018 WL 3636526, at *2–3 (D. Idaho July 31, 2018) (after self-audit to determine amount of unpaid wages and mileage reimbursement owed to employees, employer made payments to workers that included liquidated damages consistent with 29 U.S.C. §216(b) and moved for declaratory judgment that such payments extinguished any potential liability under FLSA; relying on </w:t>
      </w:r>
      <w:r w:rsidRPr="003C3C13">
        <w:rPr>
          <w:i/>
        </w:rPr>
        <w:t>Lynn’s Food Stores</w:t>
      </w:r>
      <w:r w:rsidRPr="003C3C13">
        <w:t>, court denied dismissal of employer’s action, explaining that “[a]llowing settlements in the context of suits brought by employees, but not employers, protects the letter and spirit of the FLSA by provid[ing] some assurance of an adversarial context,” and that “allowing only employee-initiated suits makes it more likely that employees will be represented by an attorney who can protect their rights under the statute, and that the resulting settlement will reflect a reasonable compromise of disputed issues than a mere waiver of statutory rights brought about by an employer’s overreaching”) (internal citations and quotation marks omitted).</w:t>
      </w:r>
    </w:p>
  </w:footnote>
  <w:footnote w:id="88">
    <w:p w14:paraId="42DE5FB1" w14:textId="3D000974" w:rsidR="003C3C13" w:rsidRPr="003C3C13" w:rsidRDefault="003C3C13" w:rsidP="003C3C13">
      <w:pPr>
        <w:pStyle w:val="FootnoteText"/>
      </w:pPr>
      <w:r w:rsidRPr="003C3C13">
        <w:rPr>
          <w:rStyle w:val="FootnoteReference"/>
        </w:rPr>
        <w:footnoteRef/>
      </w:r>
      <w:r w:rsidRPr="003C3C13">
        <w:rPr>
          <w:i/>
        </w:rPr>
        <w:t>Lynn’s Food Stores</w:t>
      </w:r>
      <w:r w:rsidRPr="003C3C13">
        <w:t xml:space="preserve">, 679 F.2d at 1355; </w:t>
      </w:r>
      <w:r w:rsidRPr="003C3C13">
        <w:rPr>
          <w:i/>
        </w:rPr>
        <w:t>see also</w:t>
      </w:r>
    </w:p>
    <w:p w14:paraId="6809DE0B" w14:textId="4577737E" w:rsidR="003C3C13" w:rsidRPr="003C3C13" w:rsidRDefault="003C3C13" w:rsidP="003C3C13">
      <w:pPr>
        <w:pStyle w:val="FootnoteText"/>
      </w:pPr>
      <w:r w:rsidRPr="003C3C13">
        <w:rPr>
          <w:i/>
        </w:rPr>
        <w:t xml:space="preserve">Fifth Circuit: </w:t>
      </w:r>
      <w:r w:rsidRPr="003C3C13">
        <w:t>Collins v. Sanderson Farms, Inc., 568 F. Supp. 2d 714, 719–20 (E.D. La. 2008).</w:t>
      </w:r>
    </w:p>
    <w:p w14:paraId="5D98368B" w14:textId="12968623" w:rsidR="003C3C13" w:rsidRPr="003C3C13" w:rsidRDefault="003C3C13" w:rsidP="003C3C13">
      <w:pPr>
        <w:pStyle w:val="FootnoteText"/>
      </w:pPr>
      <w:r w:rsidRPr="003C3C13">
        <w:rPr>
          <w:i/>
        </w:rPr>
        <w:t xml:space="preserve">Sixth Circuit: </w:t>
      </w:r>
      <w:r w:rsidRPr="003C3C13">
        <w:t>Crawford v. Lexington-Fayette Urban Cnty. Gov’t, 2008 WL 4724499, at *4–6 (E.D. Ky. Oct. 23, 2008).</w:t>
      </w:r>
    </w:p>
    <w:p w14:paraId="33715793" w14:textId="33A4ACA1" w:rsidR="003C3C13" w:rsidRPr="003C3C13" w:rsidRDefault="003C3C13" w:rsidP="003C3C13">
      <w:pPr>
        <w:pStyle w:val="FootnoteText"/>
      </w:pPr>
      <w:r w:rsidRPr="003C3C13">
        <w:rPr>
          <w:i/>
        </w:rPr>
        <w:t xml:space="preserve">Eighth Circuit: </w:t>
      </w:r>
      <w:r w:rsidRPr="003C3C13">
        <w:t>Swartz v. D-J Eng’g, Inc., 2016 WL 633872 (D. Kan. Feb. 17, 2016) (finding bona fide dispute where (1) defendants denied all material facts and any violation of FLSA in their Answer; (2) parties vigorously argued their respective positions throughout litigation, conducted extensive discovery, and deposed all plaintiffs and key defense witnesses; (3) dispositive motion had been granted to one proposed class; and (4) defendants continued to deny any FLSA violations); De Lopez v. Ozark Mountain Poultry, Inc., 2015 WL 5679762 (W.D. Ark. Sept. 25, 2015) (bona fide dispute where claims were contested, litigated, and ultimately settled as result of arm’s-length negotiations, including structured mediation process).</w:t>
      </w:r>
    </w:p>
    <w:p w14:paraId="1E397D84" w14:textId="4BA94E8D" w:rsidR="003C3C13" w:rsidRPr="003C3C13" w:rsidRDefault="003C3C13" w:rsidP="003C3C13">
      <w:pPr>
        <w:pStyle w:val="FootnoteText"/>
        <w:rPr>
          <w:rFonts w:eastAsiaTheme="minorEastAsia"/>
        </w:rPr>
      </w:pPr>
      <w:r w:rsidRPr="003C3C13">
        <w:rPr>
          <w:rFonts w:eastAsiaTheme="minorEastAsia"/>
          <w:i/>
        </w:rPr>
        <w:t>Ninth Circuit</w:t>
      </w:r>
      <w:r w:rsidRPr="003C3C13">
        <w:t xml:space="preserve">: Wonderly v. Youngblood, 2022 BL 42856, 2022 WL 378262, at *3 (E.D. Cal. Feb. 8, 2022) (explaining that “[t]he </w:t>
      </w:r>
      <w:r w:rsidRPr="003C3C13">
        <w:rPr>
          <w:rFonts w:eastAsiaTheme="minorEastAsia"/>
        </w:rPr>
        <w:t>Ninth Circuit has not established criteria for district courts to consider in determining whether [an] FLSA settlement should be approved</w:t>
      </w:r>
      <w:r w:rsidRPr="003C3C13">
        <w:t>,”</w:t>
      </w:r>
      <w:r w:rsidRPr="003C3C13">
        <w:rPr>
          <w:rFonts w:eastAsiaTheme="minorEastAsia"/>
        </w:rPr>
        <w:t xml:space="preserve"> but that </w:t>
      </w:r>
      <w:r w:rsidRPr="003C3C13">
        <w:t xml:space="preserve">district courts in the circuit apply “the widely used standard adopted by the Eleventh Circuit, which looks to whether the settlement is a fair and reasonable resolution of a bona fide dispute”); </w:t>
      </w:r>
      <w:r w:rsidRPr="003C3C13">
        <w:rPr>
          <w:rFonts w:eastAsiaTheme="minorEastAsia"/>
        </w:rPr>
        <w:t>Talavera v. Sun-Maid Growers of Cal., 2020 WL 2195115, at *7</w:t>
      </w:r>
      <w:r w:rsidRPr="003C3C13">
        <w:rPr>
          <w:rFonts w:eastAsiaTheme="minorEastAsia"/>
          <w:b/>
        </w:rPr>
        <w:t xml:space="preserve"> </w:t>
      </w:r>
      <w:r w:rsidRPr="003C3C13">
        <w:rPr>
          <w:rFonts w:eastAsiaTheme="minorEastAsia"/>
        </w:rPr>
        <w:t>(E.D. Cal. May 6, 2020) (analyzing whether there was resolution of a bona fide dispute); Selk v. Pioneers Mem’l Healthcare Dist., 2016 WL 5190088 (S.D. Cal. Jan. 29, 2016) (bona fide dispute existed over legality of rounding system and whether plaintiffs were owed compensation).</w:t>
      </w:r>
    </w:p>
    <w:p w14:paraId="1E910600" w14:textId="67922A32" w:rsidR="003C3C13" w:rsidRPr="003C3C13" w:rsidRDefault="003C3C13" w:rsidP="003C3C13">
      <w:pPr>
        <w:pStyle w:val="FootnoteText"/>
      </w:pPr>
      <w:r w:rsidRPr="003C3C13">
        <w:rPr>
          <w:i/>
        </w:rPr>
        <w:t xml:space="preserve">Tenth Circuit: </w:t>
      </w:r>
      <w:r w:rsidRPr="003C3C13">
        <w:t>Davis v. Crilly, 292 F. Supp. 3d 1167, 1172 (D. Colo. 2018) (determining that bona fide dispute existed); Chavez v. Excel Servs. Se., Inc., 2015 WL 4512276, at *4 (D. Colo. July 27, 2015) (bona fide dispute existed over whether time spent by plaintiffs obtaining supplies and their daily assignments was compensable because it was integral and indispensable part of their principal activity under FLSA); Cannon v. Time Warner N.Y. Cable LLC, 2015 WL 4498808 (D. Colo. July 24, 2015) (bona fide dispute existed between parties where plaintiffs claimed that they worked uncompensated overtime and defendant claimed that such work was performed without knowledge of company and therefore was not compensable).</w:t>
      </w:r>
    </w:p>
    <w:p w14:paraId="3C9FE7B2" w14:textId="6D69A637" w:rsidR="003C3C13" w:rsidRPr="00CE2995" w:rsidRDefault="003C3C13" w:rsidP="003C3C13">
      <w:pPr>
        <w:pStyle w:val="FootnoteText"/>
      </w:pPr>
      <w:r w:rsidRPr="003C3C13">
        <w:rPr>
          <w:i/>
        </w:rPr>
        <w:t xml:space="preserve">D.C. Circuit: </w:t>
      </w:r>
      <w:r w:rsidRPr="003C3C13">
        <w:t>Carillo v. Dandan Inc., 51 F. Supp. 3d 124, 132–33 (D.D.C. 2014).</w:t>
      </w:r>
    </w:p>
  </w:footnote>
  <w:footnote w:id="89">
    <w:p w14:paraId="624595B8" w14:textId="091A74F5" w:rsidR="003C3C13" w:rsidRPr="003C3C13" w:rsidRDefault="003C3C13" w:rsidP="003C3C13">
      <w:pPr>
        <w:pStyle w:val="FootnoteText"/>
      </w:pPr>
      <w:r w:rsidRPr="003C3C13">
        <w:rPr>
          <w:rStyle w:val="FootnoteReference"/>
        </w:rPr>
        <w:footnoteRef/>
      </w:r>
      <w:r w:rsidRPr="003C3C13">
        <w:t xml:space="preserve">Amaya v. Young &amp; Chang, Inc., 2014 WL 3671569, at *2 (D. Md. July 22, 2014); </w:t>
      </w:r>
      <w:r w:rsidRPr="003C3C13">
        <w:rPr>
          <w:i/>
        </w:rPr>
        <w:t>see also</w:t>
      </w:r>
    </w:p>
    <w:p w14:paraId="228DAFA1" w14:textId="5705A0E9" w:rsidR="003C3C13" w:rsidRPr="003C3C13" w:rsidRDefault="003C3C13" w:rsidP="003C3C13">
      <w:pPr>
        <w:pStyle w:val="FootnoteText"/>
      </w:pPr>
      <w:r w:rsidRPr="003C3C13">
        <w:rPr>
          <w:i/>
        </w:rPr>
        <w:t xml:space="preserve">Fourth Circuit: </w:t>
      </w:r>
      <w:r w:rsidRPr="003C3C13">
        <w:t>Tall v. MV Transp., 2015 WL 302827 (D. Md. Jan. 22, 2015) (because plaintiff’s complaint alleged that his employer failed to properly pay him overtime and employer denied allegation, court determined that bona fide dispute existed).</w:t>
      </w:r>
    </w:p>
    <w:p w14:paraId="309769AA" w14:textId="0DFAF68B" w:rsidR="003C3C13" w:rsidRPr="003C3C13" w:rsidRDefault="003C3C13" w:rsidP="003C3C13">
      <w:pPr>
        <w:pStyle w:val="FootnoteText"/>
      </w:pPr>
      <w:r w:rsidRPr="003C3C13">
        <w:rPr>
          <w:i/>
        </w:rPr>
        <w:t xml:space="preserve">Sixth Circuit: </w:t>
      </w:r>
      <w:r w:rsidRPr="003C3C13">
        <w:t>Cook v. Papa John’s Paducah, LLC, 2022 BL 33730, 2022 WL 301796 (W.D. Ky. Feb. 1, 2022) (bona fide dispute existed over expense reimbursement rates); Snook v. Valley OB-GYN Clinic, PC, 2015 WL 144400 (E.D. Mich. Jan. 12, 2015) (finding that bona fide dispute existed as to whether defendant violated FLSA).</w:t>
      </w:r>
    </w:p>
    <w:p w14:paraId="3BBD5EBF" w14:textId="6FD0FB8C" w:rsidR="003C3C13" w:rsidRPr="003C3C13" w:rsidRDefault="003C3C13" w:rsidP="003C3C13">
      <w:pPr>
        <w:pStyle w:val="FootnoteText"/>
      </w:pPr>
      <w:r w:rsidRPr="003C3C13">
        <w:rPr>
          <w:i/>
        </w:rPr>
        <w:t>Tenth Circuit</w:t>
      </w:r>
      <w:r w:rsidRPr="003C3C13">
        <w:t>: Elston v. Horizon Global Ams., Inc., 2020 WL 2473542, at *4 (D. Kan. May 13, 2020) (rejecting settlement approval, finding additional information necessary to determine if there was a bona fide dispute).</w:t>
      </w:r>
    </w:p>
    <w:p w14:paraId="66B86067" w14:textId="39374FB7" w:rsidR="003C3C13" w:rsidRPr="003C3C13" w:rsidRDefault="003C3C13" w:rsidP="003C3C13">
      <w:pPr>
        <w:pStyle w:val="FootnoteText"/>
        <w:rPr>
          <w:b/>
        </w:rPr>
      </w:pPr>
      <w:r w:rsidRPr="003C3C13">
        <w:rPr>
          <w:i/>
        </w:rPr>
        <w:t xml:space="preserve">Eleventh Circuit: </w:t>
      </w:r>
      <w:r w:rsidRPr="003C3C13">
        <w:t>Fitzwater v. Cole, 2019 WL 6270235 (S.D. Ala. Nov. 22, 2019) (holding hearing on whether a bona fide dispute remained after DOL-supervised settlement); Ryan v. Event Operations Grp., Inc., 2014 U.S. Dist. LEXIS 12109, at *7–8 (N.D. Ala. Jan. 31, 2014) (upholding FLSA settlement because bona fide dispute existed as to whether employer must pay liquidated damages); Crabtree v. Volkert, 2013 U.S. Dist. LEXIS 20543, at *8–9 (S.D. Ala. Feb. 14, 2013) (holding that settlement was fair compromise of bona fide dispute as to whether plaintiffs were subject to administrative overtime exemption).</w:t>
      </w:r>
    </w:p>
    <w:p w14:paraId="79E37DB9" w14:textId="5B865C09" w:rsidR="003C3C13" w:rsidRPr="003C3C13" w:rsidRDefault="003C3C13" w:rsidP="003C3C13">
      <w:pPr>
        <w:pStyle w:val="FootnoteText"/>
      </w:pPr>
      <w:r w:rsidRPr="003C3C13">
        <w:rPr>
          <w:i/>
        </w:rPr>
        <w:t>D</w:t>
      </w:r>
      <w:r w:rsidRPr="003C3C13">
        <w:t>.</w:t>
      </w:r>
      <w:r w:rsidRPr="003C3C13">
        <w:rPr>
          <w:i/>
        </w:rPr>
        <w:t>C</w:t>
      </w:r>
      <w:r w:rsidRPr="003C3C13">
        <w:t xml:space="preserve">. </w:t>
      </w:r>
      <w:r w:rsidRPr="003C3C13">
        <w:rPr>
          <w:i/>
        </w:rPr>
        <w:t xml:space="preserve">Circuit: </w:t>
      </w:r>
      <w:r w:rsidRPr="003C3C13">
        <w:t>Abrego v. Yu Lin Corp., 317 F. Supp. 3d 298, 303 (D.D.C. 2018) (recognizing that nothing in record showed bona fide dispute between parties as defendant had not challenged applicability of FLSA to plaintiff, number of hours plaintiff worked, or wages owed to him; in absence of bona fide dispute, settlement agreement was “mere waiver” of FLSA rights that is prohibited under law); Sarceno v. Choi, 66 F. Supp. 3d 157, 170 (D.D.C. 2014) (no “bona fide dispute” under FLSA can exist when one party to dispute is unaware of dispute due to ignorance of its legal rights).</w:t>
      </w:r>
    </w:p>
    <w:p w14:paraId="275B08A3" w14:textId="77777777" w:rsidR="003C3C13" w:rsidRPr="00CE2995" w:rsidRDefault="003C3C13" w:rsidP="005B4CE4">
      <w:pPr>
        <w:pStyle w:val="14Footnote"/>
      </w:pPr>
    </w:p>
  </w:footnote>
  <w:footnote w:id="90">
    <w:p w14:paraId="578CC9A0" w14:textId="4C859DFC" w:rsidR="003C3C13" w:rsidRPr="003C3C13" w:rsidRDefault="003C3C13" w:rsidP="003C3C13">
      <w:pPr>
        <w:pStyle w:val="FootnoteText"/>
      </w:pPr>
      <w:r w:rsidRPr="003C3C13">
        <w:rPr>
          <w:rStyle w:val="FootnoteReference"/>
        </w:rPr>
        <w:footnoteRef/>
      </w:r>
      <w:r w:rsidRPr="003C3C13">
        <w:rPr>
          <w:i/>
        </w:rPr>
        <w:t>Collins</w:t>
      </w:r>
      <w:r w:rsidRPr="003C3C13">
        <w:t>, 568 F. Supp. 2d at 720 (explaining that purpose of bona fide dispute requirement is to “ensure that the parties are not, via a settlement of the plaintiffs’ claims, negotiating around the clear FLSA requirements of compensation for all hours worked, minimum wages, maximum hours, and overtime” and that “[i]f no question exists that the plaintiffs are entitled to the wages they seek” then any settlement that reflects compromise of those wages cannot be “fair and reasonable”).</w:t>
      </w:r>
    </w:p>
    <w:p w14:paraId="4F1FE2EE" w14:textId="77777777" w:rsidR="003C3C13" w:rsidRPr="00CE2995" w:rsidRDefault="003C3C13" w:rsidP="005B4CE4">
      <w:pPr>
        <w:pStyle w:val="14Footnote"/>
      </w:pPr>
    </w:p>
  </w:footnote>
  <w:footnote w:id="91">
    <w:p w14:paraId="65FD8D60" w14:textId="3D0AA8C9" w:rsidR="003C3C13" w:rsidRPr="00CE2995" w:rsidRDefault="003C3C13" w:rsidP="003C3C13">
      <w:pPr>
        <w:pStyle w:val="FootnoteText"/>
      </w:pPr>
      <w:r w:rsidRPr="003C3C13">
        <w:rPr>
          <w:rStyle w:val="FootnoteReference"/>
        </w:rPr>
        <w:footnoteRef/>
      </w:r>
      <w:r w:rsidRPr="003C3C13">
        <w:rPr>
          <w:i/>
        </w:rPr>
        <w:t>Id</w:t>
      </w:r>
      <w:r w:rsidRPr="003C3C13">
        <w:t>.</w:t>
      </w:r>
    </w:p>
  </w:footnote>
  <w:footnote w:id="92">
    <w:p w14:paraId="7085AFC5" w14:textId="279C1411" w:rsidR="003C3C13" w:rsidRPr="003C3C13" w:rsidRDefault="003C3C13" w:rsidP="003C3C13">
      <w:pPr>
        <w:pStyle w:val="FootnoteText"/>
      </w:pPr>
      <w:r w:rsidRPr="003C3C13">
        <w:rPr>
          <w:rStyle w:val="FootnoteReference"/>
        </w:rPr>
        <w:footnoteRef/>
      </w:r>
      <w:r w:rsidRPr="003C3C13">
        <w:t>Melendez v. Declercq, Inc., 2016 WL 3387235, at *4 (D. Md. June 14, 2016).</w:t>
      </w:r>
    </w:p>
    <w:p w14:paraId="53B50A15" w14:textId="77777777" w:rsidR="003C3C13" w:rsidRPr="00CE2995" w:rsidRDefault="003C3C13" w:rsidP="005B4CE4">
      <w:pPr>
        <w:pStyle w:val="14Footnote"/>
      </w:pPr>
    </w:p>
  </w:footnote>
  <w:footnote w:id="93">
    <w:p w14:paraId="637EBF1E" w14:textId="22119B0B" w:rsidR="003C3C13" w:rsidRPr="00CE2995" w:rsidRDefault="003C3C13" w:rsidP="003C3C13">
      <w:pPr>
        <w:pStyle w:val="FootnoteText"/>
      </w:pPr>
      <w:r w:rsidRPr="003C3C13">
        <w:rPr>
          <w:rStyle w:val="FootnoteReference"/>
        </w:rPr>
        <w:footnoteRef/>
      </w:r>
      <w:r w:rsidRPr="003C3C13">
        <w:t>Mosquera v. Masada Auto Sales, Ltd., 2011 WL 282327, at *1 (E.D.N.Y. Jan. 25, 2011) (internal quotation marks omitted); Martinez v. Ragtime Foods of N.Y., Inc., 2011 WL 5508972, at *3 (E.D.N.Y. Nov. 10, 2011).</w:t>
      </w:r>
    </w:p>
  </w:footnote>
  <w:footnote w:id="94">
    <w:p w14:paraId="4E6F7F92" w14:textId="36EB93BC" w:rsidR="003C3C13" w:rsidRPr="00CE2995" w:rsidRDefault="003C3C13" w:rsidP="003C3C13">
      <w:pPr>
        <w:pStyle w:val="FootnoteText"/>
      </w:pPr>
      <w:r w:rsidRPr="003C3C13">
        <w:rPr>
          <w:rStyle w:val="FootnoteReference"/>
        </w:rPr>
        <w:footnoteRef/>
      </w:r>
      <w:r w:rsidRPr="003C3C13">
        <w:t>Fisher v. SD Prot. Inc., 948 F.3d 593, 600 (2d Cir. 2020) (citing Wolinsky v. Scholastic Inc., 900 F. Supp. 2d 332, 335–36 (S.D.N.Y. 2012)).</w:t>
      </w:r>
    </w:p>
  </w:footnote>
  <w:footnote w:id="95">
    <w:p w14:paraId="39B1CA76" w14:textId="158A09DC" w:rsidR="003C3C13" w:rsidRPr="003C3C13" w:rsidRDefault="003C3C13" w:rsidP="003C3C13">
      <w:pPr>
        <w:pStyle w:val="BQuotelong"/>
      </w:pPr>
      <w:r w:rsidRPr="003C3C13">
        <w:footnoteRef/>
      </w:r>
      <w:r w:rsidRPr="003C3C13">
        <w:rPr>
          <w:i/>
        </w:rPr>
        <w:t>Second Circuit</w:t>
      </w:r>
      <w:r w:rsidRPr="003C3C13">
        <w:t>: Colon v. Morgan Grp. LLC, 2022 BL 179158, 2022 WL 2163787 (S.D.N.Y. May 24, 2022) (finding settlement equating to 24.4% of total possible recovery to be fair and reasonable); Perez v. Ultra Shine Car Wash Inc., 2021 BL 182469, 2021 WL 1964724 (S.D.N.Y. May 17, 2021) (denying approval of settlement without prejudice, holding it could not make fairness and reasonableness determination where submissions failed to include sufficient information about rate of recovery); Hernandez v. Between the Bread 55th Inc., 496 F. Supp. 3d 791 (S.D.N.Y. 2020) (finding settlement did not meet fair and reasonable standard where timing of payments and penalty made uncertain whether there would be adequate funds for class members); Medley v. Am. Cancer Soc., 2010 WL 3000028, at *1 (S.D.N.Y. July 23, 2010) (“In deciding whether to approve a stipulated settlement, the Court must scrutiniz[e] the settlement for fairness.”) (internal quotation and citations omitted); Alleyne v. Time Moving &amp; Storage Inc., 264 F.R.D. 41, 54 (E.D.N.Y. 2010) (identifying nine factors that should be considered in assessing fairness of proposed class action settlement, seven of which also would be relevant in assessing fairness of proposed settlement in individual FLSA case).</w:t>
      </w:r>
    </w:p>
    <w:p w14:paraId="74B0DEB7" w14:textId="0A82DA07" w:rsidR="003C3C13" w:rsidRPr="003C3C13" w:rsidRDefault="003C3C13" w:rsidP="003C3C13">
      <w:pPr>
        <w:pStyle w:val="FootnoteText"/>
      </w:pPr>
      <w:r w:rsidRPr="003C3C13">
        <w:rPr>
          <w:i/>
        </w:rPr>
        <w:t>Fourth Circuit</w:t>
      </w:r>
      <w:r w:rsidRPr="003C3C13">
        <w:t xml:space="preserve">: DeHoll v. Eckerd Corp., 2019 WL 3337121, at *2 (M.D.N.C. July 25, 2019) (explaining that “district courts within the circuit have generally considered the fairness factors a court would consider under Federal Rule of Civil Procedure 23(e)” in approving FLSA settlements; these factors include “(1) the extent of discovery that has taken place; (2) the stage of the proceedings, including the complexity, expense, and likely duration of the litigation; (3) the absence of fraud or collusion in the settlement; (4) the experience of counsel who have represented the plaintiff; (5) the probability of plaintiff’s success on the merits and (6) the amount of the settlement in relation to the potential recovery”); Melendez v. Declercq, Inc., 2016 WL 3387235, at *4 (D. Md. June 14, 2016) (in addition to factors identified in </w:t>
      </w:r>
      <w:r w:rsidRPr="003C3C13">
        <w:rPr>
          <w:i/>
        </w:rPr>
        <w:t>DeHoll</w:t>
      </w:r>
      <w:r w:rsidRPr="003C3C13">
        <w:t>, also identifying “the opinions of [ ] counsel” as factor).</w:t>
      </w:r>
    </w:p>
    <w:p w14:paraId="405D081E" w14:textId="797B0FA9" w:rsidR="003C3C13" w:rsidRPr="003C3C13" w:rsidRDefault="003C3C13" w:rsidP="003C3C13">
      <w:pPr>
        <w:pStyle w:val="FootnoteText"/>
      </w:pPr>
      <w:r w:rsidRPr="003C3C13">
        <w:rPr>
          <w:rFonts w:eastAsiaTheme="minorEastAsia"/>
          <w:i/>
        </w:rPr>
        <w:t xml:space="preserve">Fifth Circuit: </w:t>
      </w:r>
      <w:r w:rsidRPr="003C3C13">
        <w:rPr>
          <w:rFonts w:eastAsiaTheme="minorEastAsia"/>
        </w:rPr>
        <w:t xml:space="preserve">Welch v. Jenn Energy Servs. LLC, 2022 BL 264411, 2022 WL 3006402 (S.D. Tex. May 20, 2022), </w:t>
      </w:r>
      <w:r w:rsidRPr="003C3C13">
        <w:rPr>
          <w:rFonts w:eastAsiaTheme="minorEastAsia"/>
          <w:i/>
        </w:rPr>
        <w:t>report and recommendation adopted</w:t>
      </w:r>
      <w:r w:rsidRPr="003C3C13">
        <w:rPr>
          <w:rFonts w:eastAsiaTheme="minorEastAsia"/>
        </w:rPr>
        <w:t>, 2022 WL 2992876 (S.D. Tex. July 28, 2022) (</w:t>
      </w:r>
      <w:r w:rsidRPr="003C3C13">
        <w:t xml:space="preserve">holding </w:t>
      </w:r>
      <w:r w:rsidRPr="003C3C13">
        <w:rPr>
          <w:rFonts w:eastAsiaTheme="minorEastAsia"/>
        </w:rPr>
        <w:t>settlement was fair and reasonable as there was no evidence of fraud or collusion, parties were sufficiently adversarial, and complexity, expense, and likely duration of litigation favored settlement</w:t>
      </w:r>
      <w:r w:rsidRPr="003C3C13">
        <w:t>; but striking</w:t>
      </w:r>
      <w:r w:rsidRPr="003C3C13">
        <w:rPr>
          <w:rFonts w:eastAsiaTheme="minorEastAsia"/>
        </w:rPr>
        <w:t xml:space="preserve"> </w:t>
      </w:r>
      <w:r w:rsidRPr="003C3C13">
        <w:t xml:space="preserve">broad release of </w:t>
      </w:r>
      <w:r w:rsidRPr="003C3C13">
        <w:rPr>
          <w:rFonts w:eastAsiaTheme="minorEastAsia"/>
        </w:rPr>
        <w:t>non-FLSA claims as contrary to purpose of FLSA</w:t>
      </w:r>
      <w:r w:rsidRPr="003C3C13">
        <w:t>).</w:t>
      </w:r>
    </w:p>
    <w:p w14:paraId="4C0D47A1" w14:textId="0114BCDC" w:rsidR="003C3C13" w:rsidRPr="003C3C13" w:rsidRDefault="003C3C13" w:rsidP="003C3C13">
      <w:pPr>
        <w:pStyle w:val="FootnoteText"/>
      </w:pPr>
      <w:r w:rsidRPr="003C3C13">
        <w:rPr>
          <w:i/>
        </w:rPr>
        <w:t>Sixth Circuit</w:t>
      </w:r>
      <w:r w:rsidRPr="003C3C13">
        <w:t>: Does 1-2 v. Deja Vu Servs., Inc., 925 F.3d 886, 894–95 (6th Cir. 2019) (in combined FLSA collective action and Rule 23 settlement, applying seven-factor test: “(1) ‘risk of fraud or collusion,’ (2) ‘complexity, expense and likely duration of the litigation,’ (3) ‘amount of discovery engaged in by the parties,’ (4) ‘likelihood of success on the merits,’ (5) ‘opinions of class counsel and class representatives,’ (6) ‘reaction of absent class members,’ and (7) ‘public interest’”) (citing Auto Workers v. General Motors Corp., 497 F.3d 615, 631 (6th Cir. 2007)); Ware v. CKF Enters., Inc., 2020 WL 2441415, at *11 (E.D. Ky. May 12, 2020) (same).</w:t>
      </w:r>
    </w:p>
    <w:p w14:paraId="3481D86F" w14:textId="139DFE25" w:rsidR="003C3C13" w:rsidRPr="003C3C13" w:rsidRDefault="003C3C13" w:rsidP="003C3C13">
      <w:pPr>
        <w:pStyle w:val="FootnoteText"/>
      </w:pPr>
      <w:r w:rsidRPr="003C3C13">
        <w:rPr>
          <w:i/>
        </w:rPr>
        <w:t>Seventh Circuit</w:t>
      </w:r>
      <w:r w:rsidRPr="003C3C13">
        <w:t>: Cole v. Bellar Constr. Mgmt., Inc., 2021 BL 233687, 2021 WL 2571236, at *1 (N.D. Ind. June 22, 2021) (considering “the following factors: (1) the complexity, expense, and likely duration of the litigation; (2) the stage of the proceeding and the amount of discovery completed; (3) the risks of establishing liability; (4) the risks of establishing damages; (5) the ability of the defendant to withstand a larger judgment; (6) the range of reasonableness of the settlement in light of the best possible recovery; and (7) the range of reasonableness of the settlement in light of all the risks of litigation”); Maglajlic v. Adaptive Micro-Ware, Inc., 2019 WL 3935344, at *1 (N.D. Ind. Aug. 19, 2019) (“A reviewing court normally approves a settlement where it is based on contentious arm’s-length negotiations, which were undertaken in good faith by counsel and where serious questions of law and fact exist such that the value of an immediate recovery outweighs the mere possibility of further relief after protracted and expensive litigation.”) (quoting Reyes v. Buddha-Bar NYC, No. 08 CV 2494, 2009 WL 5841177, at *3 (S.D.N.Y. May 28, 2009)) (citation omitted).</w:t>
      </w:r>
    </w:p>
    <w:p w14:paraId="7458F835" w14:textId="19F9E6D1" w:rsidR="003C3C13" w:rsidRPr="003C3C13" w:rsidRDefault="003C3C13" w:rsidP="003C3C13">
      <w:pPr>
        <w:pStyle w:val="FootnoteText"/>
      </w:pPr>
      <w:r w:rsidRPr="003C3C13">
        <w:rPr>
          <w:i/>
        </w:rPr>
        <w:t>Ninth Circuit</w:t>
      </w:r>
      <w:r w:rsidRPr="003C3C13">
        <w:t xml:space="preserve">: Maciel v. Bar 20 Dairy LLC, 2020 BL 329515, 2020 WL 5095885, at *15 (E.D. Cal. Aug. 28, 2020) (considering whether low recovery rate (5% of maximum liability) impacts fairness of settlement; holding settlement was fair and reasonable but requiring second round of distributions instead of immediate </w:t>
      </w:r>
      <w:r w:rsidRPr="003C3C13">
        <w:rPr>
          <w:i/>
        </w:rPr>
        <w:t>cy pres</w:t>
      </w:r>
      <w:r w:rsidRPr="003C3C13">
        <w:t xml:space="preserve"> distribution to “ensure that the Class Members who decide to actively participate … will receive a more adequate payment despite the Settlement’s overall low recovery rate”); Talavera v. Sun-Maid Growers of Cal., 2020 WL 2195115, at *6</w:t>
      </w:r>
      <w:r w:rsidRPr="003C3C13">
        <w:rPr>
          <w:b/>
        </w:rPr>
        <w:t xml:space="preserve"> </w:t>
      </w:r>
      <w:r w:rsidRPr="003C3C13">
        <w:t>(E.D. Cal. May 6, 2020) (considering Rule 23 factors to determine if FLSA settlement was fair and reasonable, including: “the strength of the plaintiffs’ case; the risk, expense, complexity, and likely duration of further litigation; the risk of maintaining [collective] action status throughout the trial; the amount offered in settlement; the extent of discovery completed and the stage of the proceedings; the experience and views of counsel; the presence of a governmental participant; and the reaction of the [collective plaintiffs] to the proposed settlement”).</w:t>
      </w:r>
    </w:p>
    <w:p w14:paraId="1436F9F3" w14:textId="7D2A2EFD" w:rsidR="003C3C13" w:rsidRPr="00CE2995" w:rsidRDefault="003C3C13" w:rsidP="003C3C13">
      <w:pPr>
        <w:pStyle w:val="FootnoteText"/>
      </w:pPr>
      <w:r w:rsidRPr="003C3C13">
        <w:rPr>
          <w:i/>
        </w:rPr>
        <w:t>Eleventh Circuit</w:t>
      </w:r>
      <w:r w:rsidRPr="003C3C13">
        <w:t>: Williams v. Hematology &amp; Oncology Consultants, P.A., 2014 WL 5307460, at *2 (M.D. Fla. Oct. 16, 2014) (considering following factors: “(1) the existence of collusion behind the settlement; (2) the complexity, expense, and likely duration of the litigation; (3) the stage of proceedings and the amount of discovery completed; (4) the probability of plaintiff’s success on the merits; (5) the range of possible recovery; and (6) the opinions of counsel”).</w:t>
      </w:r>
    </w:p>
  </w:footnote>
  <w:footnote w:id="96">
    <w:p w14:paraId="7CE3A4B2" w14:textId="56598866" w:rsidR="003C3C13" w:rsidRPr="00CE2995" w:rsidRDefault="003C3C13" w:rsidP="003C3C13">
      <w:pPr>
        <w:pStyle w:val="FootnoteText"/>
      </w:pPr>
      <w:r w:rsidRPr="003C3C13">
        <w:rPr>
          <w:rStyle w:val="FootnoteReference"/>
        </w:rPr>
        <w:footnoteRef/>
      </w:r>
      <w:r w:rsidRPr="003C3C13">
        <w:rPr>
          <w:i/>
        </w:rPr>
        <w:t>See, e.g.</w:t>
      </w:r>
      <w:r w:rsidRPr="003C3C13">
        <w:t>, Elliott v. Allstate Investigations, Inc., 2008 WL 728648, at *1–2 (S.D.N.Y. Mar. 19, 2008) (noting that “several circuits have opined that courts may enter judgments on a basis that does not require full payment of liquidated damages after scrutinizing the proposed settlements for fairness”); Patterson v. Academy Fire Prot., Inc., 2014 WL 169812, at *6 (M.D. Fla. Jan. 8, 2014) (finding FLSA settlement agreement fair and reasonable where plaintiff did not receive liquidated damages under agreement because there was genuine dispute as to whether plaintiff was entitled to such damages).</w:t>
      </w:r>
    </w:p>
  </w:footnote>
  <w:footnote w:id="97">
    <w:p w14:paraId="51D276A3" w14:textId="1C785A4A" w:rsidR="003C3C13" w:rsidRPr="003C3C13" w:rsidRDefault="003C3C13" w:rsidP="003C3C13">
      <w:pPr>
        <w:pStyle w:val="FootnoteText"/>
      </w:pPr>
      <w:r w:rsidRPr="003C3C13">
        <w:rPr>
          <w:rStyle w:val="FootnoteReference"/>
        </w:rPr>
        <w:footnoteRef/>
      </w:r>
      <w:r w:rsidRPr="003C3C13">
        <w:t>Wolinsky v. Scholastic Inc., 900 F. Supp. 2d 332, 335–36 (S.D.N.Y. 2012); Medley v. American Cancer Soc’y, 2010 WL 3000028, at *1 (S.D.N.Y. July 23, 2010).</w:t>
      </w:r>
    </w:p>
    <w:p w14:paraId="121E2CD9" w14:textId="77777777" w:rsidR="003C3C13" w:rsidRPr="00CE2995" w:rsidRDefault="003C3C13" w:rsidP="005B4CE4">
      <w:pPr>
        <w:pStyle w:val="14Footnote"/>
      </w:pPr>
    </w:p>
  </w:footnote>
  <w:footnote w:id="98">
    <w:p w14:paraId="6736C9A1" w14:textId="43D28340" w:rsidR="003C3C13" w:rsidRPr="003C3C13" w:rsidRDefault="003C3C13" w:rsidP="003C3C13">
      <w:pPr>
        <w:pStyle w:val="FootnoteText"/>
      </w:pPr>
      <w:r w:rsidRPr="003C3C13">
        <w:rPr>
          <w:rStyle w:val="FootnoteReference"/>
        </w:rPr>
        <w:footnoteRef/>
      </w:r>
      <w:r w:rsidRPr="003C3C13">
        <w:rPr>
          <w:i/>
        </w:rPr>
        <w:t>Wolinsky</w:t>
      </w:r>
      <w:r w:rsidRPr="003C3C13">
        <w:t>, 900 F. Supp. 2d at 336 (citation omitted).</w:t>
      </w:r>
    </w:p>
    <w:p w14:paraId="3BE21D13" w14:textId="77777777" w:rsidR="003C3C13" w:rsidRPr="00CE2995" w:rsidRDefault="003C3C13" w:rsidP="005B4CE4">
      <w:pPr>
        <w:pStyle w:val="14Footnote"/>
      </w:pPr>
    </w:p>
  </w:footnote>
  <w:footnote w:id="99">
    <w:p w14:paraId="5DD2C457" w14:textId="307B7AD4" w:rsidR="003C3C13" w:rsidRPr="003C3C13" w:rsidRDefault="003C3C13" w:rsidP="003C3C13">
      <w:pPr>
        <w:pStyle w:val="FootnoteText"/>
      </w:pPr>
      <w:r w:rsidRPr="003C3C13">
        <w:rPr>
          <w:rStyle w:val="FootnoteReference"/>
        </w:rPr>
        <w:footnoteRef/>
      </w:r>
      <w:r w:rsidRPr="003C3C13">
        <w:rPr>
          <w:i/>
        </w:rPr>
        <w:t>See, e</w:t>
      </w:r>
      <w:r w:rsidRPr="003C3C13">
        <w:t>.</w:t>
      </w:r>
      <w:r w:rsidRPr="003C3C13">
        <w:rPr>
          <w:i/>
        </w:rPr>
        <w:t>g</w:t>
      </w:r>
      <w:r w:rsidRPr="003C3C13">
        <w:t>.,</w:t>
      </w:r>
    </w:p>
    <w:p w14:paraId="79C3132C" w14:textId="0C23E578" w:rsidR="003C3C13" w:rsidRPr="003C3C13" w:rsidRDefault="003C3C13" w:rsidP="003C3C13">
      <w:pPr>
        <w:pStyle w:val="FootnoteText"/>
      </w:pPr>
      <w:r w:rsidRPr="003C3C13">
        <w:rPr>
          <w:i/>
        </w:rPr>
        <w:t xml:space="preserve">Second Circuit: </w:t>
      </w:r>
      <w:r w:rsidRPr="003C3C13">
        <w:t>Joo v. Kitchen Table, Inc., 763 F. Supp. 2d 643, 646–47 (S.D.N.Y. 2011) (collecting cases rejecting filing FLSA settlements under seal).</w:t>
      </w:r>
    </w:p>
    <w:p w14:paraId="4BC38076" w14:textId="5826E6E3" w:rsidR="003C3C13" w:rsidRPr="003C3C13" w:rsidRDefault="003C3C13" w:rsidP="003C3C13">
      <w:pPr>
        <w:pStyle w:val="FootnoteText"/>
      </w:pPr>
      <w:r w:rsidRPr="003C3C13">
        <w:rPr>
          <w:i/>
        </w:rPr>
        <w:t xml:space="preserve">Fourth Circuit: </w:t>
      </w:r>
      <w:r w:rsidRPr="003C3C13">
        <w:t>Lee v. Asurian Ins. Servs., 206 F. Supp. 3d 1307, 1309 (M.D. Tenn. 2016) (denying joint motion to file settlement under seal, finding that “fear of copycat lawsuits or embarrassing inquiries [do not] suffice to defeat the presumption [of public access]”); Owino v. IBM Corp., 2013 WL 2947146, at *1 (M.D.N.C. June 14, 2013) (“Courts in recent years have been virtually unanimous in finding that settlements under the FLSA should not be sealed in the ordinary course.”).</w:t>
      </w:r>
    </w:p>
    <w:p w14:paraId="262403EA" w14:textId="67747871" w:rsidR="003C3C13" w:rsidRPr="003C3C13" w:rsidRDefault="003C3C13" w:rsidP="003C3C13">
      <w:pPr>
        <w:pStyle w:val="FootnoteText"/>
      </w:pPr>
      <w:r w:rsidRPr="003C3C13">
        <w:rPr>
          <w:i/>
        </w:rPr>
        <w:t xml:space="preserve">Sixth Circuit: </w:t>
      </w:r>
      <w:r w:rsidRPr="003C3C13">
        <w:t>Green v. Hepaco, LLC, 2014 WL 2624900 (W.D. Tenn. 2014) (declining to follow authorities cited by parties in which FLSA settlement agreements were entered under seal).</w:t>
      </w:r>
    </w:p>
    <w:p w14:paraId="4EB6E1B4" w14:textId="7A3D690E" w:rsidR="003C3C13" w:rsidRPr="003C3C13" w:rsidRDefault="003C3C13" w:rsidP="003C3C13">
      <w:pPr>
        <w:pStyle w:val="FootnoteText"/>
      </w:pPr>
      <w:r w:rsidRPr="003C3C13">
        <w:rPr>
          <w:i/>
        </w:rPr>
        <w:t xml:space="preserve">Seventh Circuit: </w:t>
      </w:r>
      <w:r w:rsidRPr="003C3C13">
        <w:t>Razon v. Vyas, 2017 WL 3503395, at *2 (N.D. Ind. July 6, 2017) (denying motion for approval of settlement and request to place agreement under seal; recognizing presumption favoring public disclosure of court-approved settlement agreements; finding that parties had not presented “good cause” to overcome presumption).</w:t>
      </w:r>
    </w:p>
    <w:p w14:paraId="58FD8AFC" w14:textId="20F42E68" w:rsidR="003C3C13" w:rsidRPr="003C3C13" w:rsidRDefault="003C3C13" w:rsidP="003C3C13">
      <w:pPr>
        <w:pStyle w:val="FootnoteText"/>
      </w:pPr>
      <w:r w:rsidRPr="003C3C13">
        <w:rPr>
          <w:i/>
        </w:rPr>
        <w:t xml:space="preserve">Eleventh Circuit: </w:t>
      </w:r>
      <w:r w:rsidRPr="003C3C13">
        <w:rPr>
          <w:rFonts w:eastAsia="Calibri"/>
        </w:rPr>
        <w:t>Marion v. Fleetcor Techs. Operating Co., LLC, 2022 BL 479885, 2022 WL 18780117, at *1 (N.D. Ga. July 7, 2022) (denying motion to seal settlement and stating that “the better practice, in light of the history and purpose of the FLSA, is to require all such agreements be filed in the public record absent extraordinary</w:t>
      </w:r>
      <w:r w:rsidRPr="003C3C13">
        <w:t xml:space="preserve"> </w:t>
      </w:r>
      <w:r w:rsidRPr="003C3C13">
        <w:rPr>
          <w:rFonts w:eastAsia="Calibri"/>
        </w:rPr>
        <w:t xml:space="preserve">circumstances”); </w:t>
      </w:r>
      <w:r w:rsidRPr="003C3C13">
        <w:t>Lee v. Guyoungtech USA, Inc., 247 F. Supp. 3d 1257 (S.D. Ala. 2017) (noting skepticism regarding confidentiality provisions in settlement, although none proposed in agreement before it).</w:t>
      </w:r>
    </w:p>
    <w:p w14:paraId="11C9C229" w14:textId="77777777" w:rsidR="003C3C13" w:rsidRPr="004173A0" w:rsidRDefault="003C3C13" w:rsidP="005B4CE4">
      <w:pPr>
        <w:pStyle w:val="14Footnote"/>
        <w:rPr>
          <w:rFonts w:eastAsia="Calibri"/>
          <w:szCs w:val="20"/>
        </w:rPr>
      </w:pPr>
    </w:p>
  </w:footnote>
  <w:footnote w:id="100">
    <w:p w14:paraId="5150607E" w14:textId="52A50A0C" w:rsidR="003C3C13" w:rsidRPr="003C3C13" w:rsidRDefault="003C3C13" w:rsidP="003C3C13">
      <w:pPr>
        <w:pStyle w:val="FootnoteText"/>
      </w:pPr>
      <w:r w:rsidRPr="003C3C13">
        <w:rPr>
          <w:rStyle w:val="FootnoteReference"/>
        </w:rPr>
        <w:footnoteRef/>
      </w:r>
      <w:r w:rsidRPr="003C3C13">
        <w:rPr>
          <w:i/>
        </w:rPr>
        <w:t>See, e.g.</w:t>
      </w:r>
      <w:r w:rsidRPr="003C3C13">
        <w:t>,</w:t>
      </w:r>
    </w:p>
    <w:p w14:paraId="13929625" w14:textId="4DAE41F3" w:rsidR="003C3C13" w:rsidRPr="003C3C13" w:rsidRDefault="003C3C13" w:rsidP="003C3C13">
      <w:pPr>
        <w:pStyle w:val="FootnoteText"/>
      </w:pPr>
      <w:r w:rsidRPr="003C3C13">
        <w:rPr>
          <w:i/>
        </w:rPr>
        <w:t xml:space="preserve">Second Circuit: </w:t>
      </w:r>
      <w:r w:rsidRPr="003C3C13">
        <w:t xml:space="preserve">Suda v. Sushiden Corp., 2011 WL 1210206 (S.D.N.Y. Mar. 23, 2011) (applying balancing test in </w:t>
      </w:r>
      <w:r w:rsidRPr="003C3C13">
        <w:rPr>
          <w:rStyle w:val="BCasenamefull"/>
        </w:rPr>
        <w:t>United States v. Amodeo</w:t>
      </w:r>
      <w:r w:rsidRPr="003C3C13">
        <w:t xml:space="preserve">, 71 F.3d 1044, 1050–52 (2d Cir. 1995), to FLSA settlement and finding sufficient showing to redact amount of settlement payments from settlement agreement filed publicly and permitting parties to file un-redacted settlement agreement under seal); </w:t>
      </w:r>
      <w:r w:rsidRPr="003C3C13">
        <w:rPr>
          <w:i/>
        </w:rPr>
        <w:t>Medley</w:t>
      </w:r>
      <w:r w:rsidRPr="003C3C13">
        <w:t>, 2010 WL 3000028, at *1 n.1.</w:t>
      </w:r>
    </w:p>
    <w:p w14:paraId="7996D125" w14:textId="3124E517" w:rsidR="003C3C13" w:rsidRPr="003C3C13" w:rsidRDefault="003C3C13" w:rsidP="003C3C13">
      <w:pPr>
        <w:pStyle w:val="FootnoteText"/>
      </w:pPr>
      <w:r w:rsidRPr="003C3C13">
        <w:rPr>
          <w:i/>
        </w:rPr>
        <w:t xml:space="preserve">Seventh Circuit: </w:t>
      </w:r>
      <w:r w:rsidRPr="003C3C13">
        <w:t>Swarthout v. Ryla Teleservices, Inc., 2012 WL 5361756, at *3–4 (N.D. Ind. Oct. 30, 2012).</w:t>
      </w:r>
    </w:p>
    <w:p w14:paraId="29E27220" w14:textId="6F7566B7" w:rsidR="003C3C13" w:rsidRPr="003C3C13" w:rsidRDefault="003C3C13" w:rsidP="003C3C13">
      <w:pPr>
        <w:pStyle w:val="FootnoteText"/>
      </w:pPr>
      <w:r w:rsidRPr="003C3C13">
        <w:rPr>
          <w:i/>
        </w:rPr>
        <w:t xml:space="preserve">Eighth Circuit: </w:t>
      </w:r>
      <w:r w:rsidRPr="003C3C13">
        <w:t>Williams v. BPV Mkt. Place Inv’rs, LLC, 2014 WL 5017934, at *2 (E.D. Mo. Oct. 7, 2014).</w:t>
      </w:r>
    </w:p>
    <w:p w14:paraId="6F410EDD" w14:textId="05F25FA3" w:rsidR="003C3C13" w:rsidRPr="003C3C13" w:rsidRDefault="003C3C13" w:rsidP="003C3C13">
      <w:pPr>
        <w:pStyle w:val="FootnoteText"/>
      </w:pPr>
      <w:r w:rsidRPr="003C3C13">
        <w:rPr>
          <w:i/>
        </w:rPr>
        <w:t xml:space="preserve">Ninth Circuit: </w:t>
      </w:r>
      <w:r w:rsidRPr="003C3C13">
        <w:t>Almodova v. City &amp; Cnty. of Honolulu, 2010 WL 1372298, at *1–2 (D. Haw. Mar. 31, 2010); Trinh v. JPMorgan Chase &amp; Co., 2009 WL 532556, at *1 (S.D. Cal. Mar. 3, 2009); Goudie v. Cable Commc’ns, Inc., 2009 WL 88336, at *1 (D. Or. Jan. 12, 2009).</w:t>
      </w:r>
    </w:p>
    <w:p w14:paraId="2DE41AF0" w14:textId="3E4BAC15" w:rsidR="003C3C13" w:rsidRPr="00BE546D" w:rsidRDefault="003C3C13" w:rsidP="003C3C13">
      <w:pPr>
        <w:pStyle w:val="FootnoteText"/>
      </w:pPr>
      <w:r w:rsidRPr="003C3C13">
        <w:rPr>
          <w:i/>
        </w:rPr>
        <w:t xml:space="preserve">Eleventh Circuit: </w:t>
      </w:r>
      <w:r w:rsidRPr="003C3C13">
        <w:t xml:space="preserve">Windheim v. JG Rest. Ventures, LLC, 2022 BL 369016, 2022 U.S. Dist. LEXIS 188183 (S.D. Fla. </w:t>
      </w:r>
      <w:r w:rsidRPr="003C3C13">
        <w:rPr>
          <w:rFonts w:eastAsia="Calibri"/>
        </w:rPr>
        <w:t xml:space="preserve">Oct. 14, 2022); </w:t>
      </w:r>
      <w:r w:rsidRPr="003C3C13">
        <w:t>King v. Wells Fargo Home Mortg., 2009 WL 2370640, at *1 (M.D. Fla. July 30, 2009); Freyre v. Tin Wai Hui DMD, P.A., 2009 WL 89283, at *1 (S.D. Fla. Jan. 13, 2009); Perez v. Carey Int’l, Inc., 2008 WL 4490750, at *6 (S.D. Fla. Sept. 26, 2008).</w:t>
      </w:r>
    </w:p>
  </w:footnote>
  <w:footnote w:id="101">
    <w:p w14:paraId="68846287" w14:textId="7815807C" w:rsidR="003C3C13" w:rsidRPr="003C3C13" w:rsidRDefault="003C3C13" w:rsidP="003C3C13">
      <w:pPr>
        <w:pStyle w:val="FootnoteText"/>
      </w:pPr>
      <w:r w:rsidRPr="003C3C13">
        <w:rPr>
          <w:rStyle w:val="FootnoteReference"/>
        </w:rPr>
        <w:footnoteRef/>
      </w:r>
      <w:r w:rsidRPr="003C3C13">
        <w:rPr>
          <w:i/>
        </w:rPr>
        <w:t>See, e.g.</w:t>
      </w:r>
      <w:r w:rsidRPr="003C3C13">
        <w:t>,</w:t>
      </w:r>
    </w:p>
    <w:p w14:paraId="39C4B600" w14:textId="6BEF1399" w:rsidR="003C3C13" w:rsidRPr="003C3C13" w:rsidRDefault="003C3C13" w:rsidP="003C3C13">
      <w:pPr>
        <w:pStyle w:val="FootnoteText"/>
      </w:pPr>
      <w:r w:rsidRPr="003C3C13">
        <w:rPr>
          <w:i/>
        </w:rPr>
        <w:t xml:space="preserve">Second Circuit: </w:t>
      </w:r>
      <w:r w:rsidRPr="003C3C13">
        <w:t>Souza v. 65 St. Marks Bistro, 2015 WL 7271747, at *4 (S.D.N.Y. Nov. 6, 2015) (“The Court is of the view that it would be the very rare case, if any, where confidentiality terms in a settlement agreement would be appropriate in resolving a wage-and-hour lawsuit given the policy concerns underlying the FLSA. There is nothing before the Court in this case to justify confidentiality.”); Caprile v. Harabel, Inc., 2015 WL 5581568, at *2 (S.D.N.Y. Sept. 16, 2015) (“‘Sealing … should not be done without a compelling reason.’ In this case the litigants offer no such compelling reason, or indeed any reason at all, and we are aware of none.”); Bouzzi v. F&amp;J Pine Rest., LLC, 841 F. Supp. 2d 635, 639 (E.D.N.Y. 2012) (holding that parties had not made necessary showing of need to file settlement under seal); Wolinsky v. Scholastic Inc., 900 F. Supp. 2d 332, 337 (S.D.N.Y. 2012); Joo v. Kitchen Table, Inc., 763 F. Supp. 2d 643, 644–47 (S.D.N.Y. 2011).</w:t>
      </w:r>
    </w:p>
    <w:p w14:paraId="4A86F97D" w14:textId="4DCFCCD7" w:rsidR="003C3C13" w:rsidRPr="003C3C13" w:rsidRDefault="003C3C13" w:rsidP="003C3C13">
      <w:pPr>
        <w:pStyle w:val="FootnoteText"/>
      </w:pPr>
      <w:r w:rsidRPr="003C3C13">
        <w:rPr>
          <w:i/>
        </w:rPr>
        <w:t xml:space="preserve">Third Circuit: </w:t>
      </w:r>
      <w:r w:rsidRPr="003C3C13">
        <w:t>Weismantle v. Jali, 2015 WL 1866190, at *2 (W.D. Pa. Apr. 23, 2015) (collecting cases and stating: “What can be gleaned from this prevailing, if not overwhelming caselaw trend is that, absent something very special in a very specific case which generates a very good reason above and beyond the desire of the parties to keep the terms of an FLSA settlement out of the public’s view, [FLSA settlement] cannot be filed under seal.”); Adams v. Bayview Asset Mgmt., LLC, 11 F. Supp. 3d 474, 476–77 (E.D. Pa. 2014).</w:t>
      </w:r>
    </w:p>
    <w:p w14:paraId="371E01EF" w14:textId="63ED0B26" w:rsidR="003C3C13" w:rsidRPr="003C3C13" w:rsidRDefault="003C3C13" w:rsidP="003C3C13">
      <w:pPr>
        <w:pStyle w:val="FootnoteText"/>
      </w:pPr>
      <w:r w:rsidRPr="003C3C13">
        <w:rPr>
          <w:i/>
        </w:rPr>
        <w:t xml:space="preserve">Fourth Circuit: </w:t>
      </w:r>
      <w:r w:rsidRPr="003C3C13">
        <w:t>Fonseka v. AlfredHouse ElderCare, Inc., 2015 WL 3457224, at *1–2 (D. Md. May 28, 2015); Carpenter v. Colonial Mgmt</w:t>
      </w:r>
      <w:r w:rsidRPr="003C3C13">
        <w:rPr>
          <w:i/>
        </w:rPr>
        <w:t xml:space="preserve">. </w:t>
      </w:r>
      <w:r w:rsidRPr="003C3C13">
        <w:t>Grp., LP, 2012 WL 2992490, at *2 (D. Md. July 19, 2012) (noting that well-recognized presumption of public access to FLSA settlements was not outweighed by settlement’s confidentiality provision or defendant’s concern with “negative publicity or attention” that could follow from having terms of settlement made public); Kianpour v. Restaurant Zone, Inc., 2011 WL 3880463, at *1–3 (D. Md. Aug. 30, 2011).</w:t>
      </w:r>
    </w:p>
    <w:p w14:paraId="153CF948" w14:textId="17D19FED" w:rsidR="003C3C13" w:rsidRPr="003C3C13" w:rsidRDefault="003C3C13" w:rsidP="003C3C13">
      <w:pPr>
        <w:pStyle w:val="FootnoteText"/>
      </w:pPr>
      <w:r w:rsidRPr="003C3C13">
        <w:rPr>
          <w:rFonts w:eastAsiaTheme="minorEastAsia"/>
          <w:i/>
        </w:rPr>
        <w:t>Sixth Circuit</w:t>
      </w:r>
      <w:r w:rsidRPr="003C3C13">
        <w:t xml:space="preserve">: </w:t>
      </w:r>
      <w:r w:rsidRPr="003C3C13">
        <w:rPr>
          <w:rFonts w:eastAsiaTheme="minorEastAsia"/>
        </w:rPr>
        <w:t>Miller v. Fresh Start Behav. Health, Inc., 2022 BL 178829, 2022 WL 1618293, at *1 (S.D. Ohio Feb. 20, 2022)</w:t>
      </w:r>
      <w:r w:rsidRPr="003C3C13">
        <w:t xml:space="preserve"> (explaining that parties seeking approval of confidential FLSA settlement must “‘articulate a real and substantial interest that justifies depriving the public of access to the records that inform [the court’s] decision-making process’”) (citing Chime v. Family Life Counseling &amp; Psychiatric Servs., 2020 BL 446356, 2020 WL 6746511, at *4 (N.D. Ohio Nov. 17, 2020)); David v. Kohler Co., 2019 WL 6719840, at *4 (W.D. Tenn. Dec. 10, 2019) (declining to allow settlement to be filed under seal, finding that defendant’s justification in preventing copycat litigation and plaintiffs’ justification in keeping their income private did not outweigh strong public interest); Nutting v. Unilever Mfg. (U.S.), Inc., 2014 WL 2959481, at *4–5 (W.D. Tenn. June 13, 2014).</w:t>
      </w:r>
    </w:p>
    <w:p w14:paraId="5F33EF42" w14:textId="5FF108E2" w:rsidR="003C3C13" w:rsidRPr="003C3C13" w:rsidRDefault="003C3C13" w:rsidP="003C3C13">
      <w:pPr>
        <w:pStyle w:val="FootnoteText"/>
      </w:pPr>
      <w:r w:rsidRPr="003C3C13">
        <w:rPr>
          <w:i/>
        </w:rPr>
        <w:t xml:space="preserve">Seventh Circuit: </w:t>
      </w:r>
      <w:r w:rsidRPr="003C3C13">
        <w:t>Adams v. Walgreen Co., 2015 WL 4067752, at *5 (E.D. Wis. July 2, 2015) (recognizing “high bar” set by Seventh Circuit for sealing settlement agreements and rejecting justifications for sealing settlement agreement balanced against presumption of public access to judicial records.); Perry v. National City Bank, 2008 WL 427771, at *1 (S.D. Ill. Feb. 14, 2008).</w:t>
      </w:r>
    </w:p>
    <w:p w14:paraId="666EA857" w14:textId="3CEEB260" w:rsidR="003C3C13" w:rsidRPr="003C3C13" w:rsidRDefault="003C3C13" w:rsidP="003C3C13">
      <w:pPr>
        <w:pStyle w:val="FootnoteText"/>
      </w:pPr>
      <w:r w:rsidRPr="003C3C13">
        <w:rPr>
          <w:i/>
        </w:rPr>
        <w:t xml:space="preserve">Ninth Circuit: </w:t>
      </w:r>
      <w:r w:rsidRPr="003C3C13">
        <w:t xml:space="preserve">Smith v. Golden Gate LLC, 2015 WL 2340231 (E.D. Cal. May 13, 2015); </w:t>
      </w:r>
      <w:r w:rsidRPr="003C3C13">
        <w:rPr>
          <w:rStyle w:val="BCasenamefull"/>
        </w:rPr>
        <w:t xml:space="preserve">In re </w:t>
      </w:r>
      <w:r w:rsidRPr="003C3C13">
        <w:t>Sepacor, Inc., FLSA Litig., 2009 WL 3253947, at *1–3 (D. Ariz. Oct. 8, 2009).</w:t>
      </w:r>
    </w:p>
    <w:p w14:paraId="3E3D0AFD" w14:textId="2C3DD269" w:rsidR="003C3C13" w:rsidRPr="003C3C13" w:rsidRDefault="003C3C13" w:rsidP="003C3C13">
      <w:pPr>
        <w:pStyle w:val="FootnoteText"/>
      </w:pPr>
      <w:r w:rsidRPr="003C3C13">
        <w:rPr>
          <w:i/>
        </w:rPr>
        <w:t>Tenth Circuit</w:t>
      </w:r>
      <w:r w:rsidRPr="003C3C13">
        <w:t>: Anderson v. Walgreen Co., 2016 WL 74934, at *2 (D. Colo. Jan. 7, 2016) (denying parties’ motion to restrict because parties failed to show “a particularized and serious injury” that would be protected and that outweighed presumption of public access); Barnwell v. Correctional Corp. of Am., 2009 WL 10645266, at *2–3 (D. Kan. Aug. 27, 2009) (unsealing previously sealed FLSA settlement agreement on motion by news organization and finding that parties’ “need for confidentiality did not outweigh public’s interest in access”).</w:t>
      </w:r>
    </w:p>
    <w:p w14:paraId="46DB6FA4" w14:textId="4EADCE39" w:rsidR="003C3C13" w:rsidRPr="003C3C13" w:rsidRDefault="003C3C13" w:rsidP="003C3C13">
      <w:pPr>
        <w:pStyle w:val="FootnoteText"/>
      </w:pPr>
      <w:r w:rsidRPr="003C3C13">
        <w:rPr>
          <w:i/>
        </w:rPr>
        <w:t>Eleventh Circuit</w:t>
      </w:r>
      <w:r w:rsidRPr="003C3C13">
        <w:t xml:space="preserve">: Lynn’s Food Stores v. United States, 679 F.2d 1350, 1353 (11th Cir. 1982) (settlement must be on public record, absent exceptional showing by parties; no such showing was made here); Hunter v. Big Daddy Foods, Inc., 2016 WL 900645, at *2 (M.D. Ala. Mar. 9, 2016) (“absent some compelling reasons, the sealing from public scrutiny of FLSA agreements between employees and employers would thwart the public’s independent interest in assuring that employees’ wages are fair and thus do not endanger ‘the national health and well-being’”); Guerra v. Flores, 139 F. Supp. 3d 1288, 1293 (N.D. Ala. Oct. 16, 2015) (“[A] </w:t>
      </w:r>
      <w:r w:rsidRPr="003C3C13">
        <w:rPr>
          <w:i/>
        </w:rPr>
        <w:t>Lynn</w:t>
      </w:r>
      <w:r w:rsidRPr="003C3C13">
        <w:t xml:space="preserve"> settlement must be on public record, absent an exceptional showing by the parties. As no such showing has been made here, the proposed settlement agreement must be entered into the record.”); Dees v. Hydradry, 706 F. Supp. 2d 1227, 1244–46 (M.D. Fla. 2010); </w:t>
      </w:r>
      <w:r w:rsidRPr="003C3C13">
        <w:rPr>
          <w:i/>
        </w:rPr>
        <w:t>King</w:t>
      </w:r>
      <w:r w:rsidRPr="003C3C13">
        <w:t>, 2009 WL 2370640, at *2 (approving confidential FLSA settlement after in camera review); Hanson v. Wells Fargo Bank, 2009 WL 1490582, at *1 (S.D. Fla. May 26, 2009); Bartelloni v. DeCastro, 2007 WL 2155646, at *1 (S.D. Fla. July 26, 2007) (courts “must weigh the interests in favor of openness—i.e., judicial ­transparency—against the interest of the parties in keeping the matter secret”); Stalnaker v. Novar Corp., 293 F. Supp. 2d 1260, 1264 (M.D. Ala. 2003) (recognizing that there may be “compelling reason” to seal FLSA agreements from public scrutiny, and that courts should weigh interests of judicial transparency in FLSA cases against parties’ interest in secrecy).</w:t>
      </w:r>
    </w:p>
    <w:p w14:paraId="6B56B759" w14:textId="77777777" w:rsidR="003C3C13" w:rsidRPr="00CE2995" w:rsidRDefault="003C3C13" w:rsidP="005B4CE4">
      <w:pPr>
        <w:pStyle w:val="14Footnote"/>
      </w:pPr>
    </w:p>
  </w:footnote>
  <w:footnote w:id="102">
    <w:p w14:paraId="3C581794" w14:textId="28EB0DD3" w:rsidR="003C3C13" w:rsidRPr="00CE2995" w:rsidRDefault="003C3C13" w:rsidP="003C3C13">
      <w:pPr>
        <w:pStyle w:val="FootnoteText"/>
      </w:pPr>
      <w:r w:rsidRPr="003C3C13">
        <w:rPr>
          <w:rStyle w:val="FootnoteReference"/>
        </w:rPr>
        <w:footnoteRef/>
      </w:r>
      <w:r w:rsidRPr="003C3C13">
        <w:rPr>
          <w:i/>
        </w:rPr>
        <w:t>See, e.g.</w:t>
      </w:r>
      <w:r w:rsidRPr="003C3C13">
        <w:t>,</w:t>
      </w:r>
      <w:r w:rsidRPr="003C3C13">
        <w:rPr>
          <w:i/>
        </w:rPr>
        <w:t xml:space="preserve"> Joo</w:t>
      </w:r>
      <w:r w:rsidRPr="003C3C13">
        <w:t xml:space="preserve">, 763 F. Supp. 2d at 645 (collecting cases); </w:t>
      </w:r>
      <w:r w:rsidRPr="003C3C13">
        <w:rPr>
          <w:i/>
        </w:rPr>
        <w:t>Dees</w:t>
      </w:r>
      <w:r w:rsidRPr="003C3C13">
        <w:t>, 706 F. Supp. 2d at 1244–46.</w:t>
      </w:r>
    </w:p>
  </w:footnote>
  <w:footnote w:id="103">
    <w:p w14:paraId="26B60729" w14:textId="4B7811F9" w:rsidR="003C3C13" w:rsidRPr="003C3C13" w:rsidRDefault="003C3C13" w:rsidP="003C3C13">
      <w:pPr>
        <w:pStyle w:val="FootnoteText"/>
      </w:pPr>
      <w:r w:rsidRPr="003C3C13">
        <w:rPr>
          <w:rStyle w:val="FootnoteReference"/>
        </w:rPr>
        <w:footnoteRef/>
      </w:r>
      <w:r w:rsidRPr="003C3C13">
        <w:rPr>
          <w:i/>
        </w:rPr>
        <w:t>See, e</w:t>
      </w:r>
      <w:r w:rsidRPr="003C3C13">
        <w:t>.</w:t>
      </w:r>
      <w:r w:rsidRPr="003C3C13">
        <w:rPr>
          <w:i/>
        </w:rPr>
        <w:t>g</w:t>
      </w:r>
      <w:r w:rsidRPr="003C3C13">
        <w:t>., King v. MS Cos., LLC, 2015 WL 3657649, at *3 (N.D. Ala. June 12, 2015).</w:t>
      </w:r>
    </w:p>
    <w:p w14:paraId="303D6432" w14:textId="77777777" w:rsidR="003C3C13" w:rsidRPr="00CE2995" w:rsidRDefault="003C3C13" w:rsidP="005B4CE4">
      <w:pPr>
        <w:pStyle w:val="14Footnote"/>
      </w:pPr>
    </w:p>
  </w:footnote>
  <w:footnote w:id="104">
    <w:p w14:paraId="60CE2E39" w14:textId="2C789D84" w:rsidR="003C3C13" w:rsidRPr="00CE2995" w:rsidRDefault="003C3C13" w:rsidP="003C3C13">
      <w:pPr>
        <w:pStyle w:val="FootnoteText"/>
      </w:pPr>
      <w:r w:rsidRPr="003C3C13">
        <w:rPr>
          <w:vertAlign w:val="superscript"/>
        </w:rPr>
        <w:footnoteRef/>
      </w:r>
      <w:r w:rsidRPr="003C3C13">
        <w:t>Smith v. SAC Wireless, LLC., 2022 BL 187270, 2022 WL 1744785, at *4 (E.D. Mich. May 31, 2022).</w:t>
      </w:r>
    </w:p>
  </w:footnote>
  <w:footnote w:id="105">
    <w:p w14:paraId="19B5ED7F" w14:textId="3756E94A" w:rsidR="003C3C13" w:rsidRPr="003C3C13" w:rsidRDefault="003C3C13" w:rsidP="003C3C13">
      <w:pPr>
        <w:pStyle w:val="FootnoteText"/>
      </w:pPr>
      <w:r w:rsidRPr="003C3C13">
        <w:rPr>
          <w:rStyle w:val="FootnoteReference"/>
        </w:rPr>
        <w:footnoteRef/>
      </w:r>
      <w:r w:rsidRPr="003C3C13">
        <w:rPr>
          <w:i/>
        </w:rPr>
        <w:t>See, e.g.</w:t>
      </w:r>
      <w:r w:rsidRPr="003C3C13">
        <w:t>,</w:t>
      </w:r>
    </w:p>
    <w:p w14:paraId="7364DB81" w14:textId="1C408FE1" w:rsidR="003C3C13" w:rsidRPr="003C3C13" w:rsidRDefault="003C3C13" w:rsidP="003C3C13">
      <w:pPr>
        <w:pStyle w:val="FootnoteText"/>
      </w:pPr>
      <w:r w:rsidRPr="003C3C13">
        <w:rPr>
          <w:i/>
        </w:rPr>
        <w:t xml:space="preserve">Second Circuit: </w:t>
      </w:r>
      <w:r w:rsidRPr="003C3C13">
        <w:t>Hyun v. Ippudo USA Holdings, 2016 WL 1222347, at *3 (S.D.N.Y. Mar. 24, 2016); Guareno v. Vincent Perito, Inc., 2014 WL 4953746, at *1–2 (S.D.N.Y. Sept. 26, 2014).</w:t>
      </w:r>
    </w:p>
    <w:p w14:paraId="7F45D0CE" w14:textId="73DC75F7" w:rsidR="003C3C13" w:rsidRPr="003C3C13" w:rsidRDefault="003C3C13" w:rsidP="003C3C13">
      <w:pPr>
        <w:pStyle w:val="FootnoteText"/>
      </w:pPr>
      <w:r w:rsidRPr="003C3C13">
        <w:rPr>
          <w:i/>
        </w:rPr>
        <w:t xml:space="preserve">Fourth Circuit: </w:t>
      </w:r>
      <w:r w:rsidRPr="003C3C13">
        <w:t>Poulin v. General Dynamics Shared Res., Inc., 2010 WL 1813497, at *2 (W.D. Va. May 2, 2010).</w:t>
      </w:r>
    </w:p>
    <w:p w14:paraId="3468733C" w14:textId="6BA66CA7" w:rsidR="003C3C13" w:rsidRPr="003C3C13" w:rsidRDefault="003C3C13" w:rsidP="003C3C13">
      <w:pPr>
        <w:pStyle w:val="FootnoteText"/>
      </w:pPr>
      <w:r w:rsidRPr="003C3C13">
        <w:rPr>
          <w:i/>
        </w:rPr>
        <w:t xml:space="preserve">Ninth Circuit: </w:t>
      </w:r>
      <w:r w:rsidRPr="003C3C13">
        <w:t>Cordero v. Lumenis, Inc., 2016 WL 4529586, at *2 (N.D. Cal. Aug. 30, 2016) (striking confidentiality clause and noting strong presumption in favor of public access to FLSA settlements); Gonzalez-Rodriguez v. Mariana’s Enters., 2016 WL 3869870 (D. Nev. July 14, 2016) (confidentiality provision contravened FLSA’s broad remedial purpose because employer has no incentive to voluntarily comply with FLSA if it can settle claims at discount and utilize confidentiality to prevent other employees from learning about settlement).</w:t>
      </w:r>
    </w:p>
    <w:p w14:paraId="26199D24" w14:textId="13ED3AE6" w:rsidR="003C3C13" w:rsidRPr="00CE2995" w:rsidRDefault="003C3C13" w:rsidP="003C3C13">
      <w:pPr>
        <w:pStyle w:val="FootnoteText"/>
      </w:pPr>
      <w:r w:rsidRPr="003C3C13">
        <w:rPr>
          <w:i/>
        </w:rPr>
        <w:t xml:space="preserve">Eleventh Circuit: </w:t>
      </w:r>
      <w:r w:rsidRPr="003C3C13">
        <w:t xml:space="preserve">Todd v. Daewon Am., Inc., 2014 WL 2608454, at *3–4 (M.D. Ala. June 11, 2014); Menjiva v. E &amp; L Constr. Serv., LLC, 2015 WL 3485991, at *3 (M.D. Fla. June 2, 2015); Briggins v. Elwood TRI, Inc., 3 F. Supp. 3d 1277, 1280 (N.D. Ala. 2014); Hogan v. Allstate Bev. Co., Inc., 821 F. Supp. 2d 1274, 1283–84 (M.D. Ala. 2011); </w:t>
      </w:r>
      <w:r w:rsidRPr="003C3C13">
        <w:rPr>
          <w:i/>
        </w:rPr>
        <w:t>Dees,</w:t>
      </w:r>
      <w:r w:rsidRPr="003C3C13">
        <w:t xml:space="preserve"> 706 F. Supp. 2d at 1242–43</w:t>
      </w:r>
    </w:p>
  </w:footnote>
  <w:footnote w:id="106">
    <w:p w14:paraId="69DBD851" w14:textId="0E25255C" w:rsidR="003C3C13" w:rsidRPr="003C3C13" w:rsidRDefault="003C3C13" w:rsidP="003C3C13">
      <w:pPr>
        <w:pStyle w:val="FootnoteText"/>
      </w:pPr>
      <w:r w:rsidRPr="003C3C13">
        <w:rPr>
          <w:rStyle w:val="FootnoteReference"/>
        </w:rPr>
        <w:footnoteRef/>
      </w:r>
      <w:r w:rsidRPr="003C3C13">
        <w:rPr>
          <w:i/>
        </w:rPr>
        <w:t>See, e</w:t>
      </w:r>
      <w:r w:rsidRPr="003C3C13">
        <w:t>.</w:t>
      </w:r>
      <w:r w:rsidRPr="003C3C13">
        <w:rPr>
          <w:i/>
        </w:rPr>
        <w:t>g</w:t>
      </w:r>
      <w:r w:rsidRPr="003C3C13">
        <w:t>.,</w:t>
      </w:r>
    </w:p>
    <w:p w14:paraId="3206982F" w14:textId="42170427" w:rsidR="003C3C13" w:rsidRPr="003C3C13" w:rsidRDefault="003C3C13" w:rsidP="003C3C13">
      <w:pPr>
        <w:pStyle w:val="FootnoteText"/>
      </w:pPr>
      <w:r w:rsidRPr="003C3C13">
        <w:rPr>
          <w:i/>
        </w:rPr>
        <w:t>Second Circuit</w:t>
      </w:r>
      <w:r w:rsidRPr="003C3C13">
        <w:t>: Amaro v. Barbuto, LLC, 2017 WL 476730, at *3 (S.D.N.Y. Feb. 2, 2017) (rejecting narrow confidentiality clause, as “it still suffers from many of the problems such provisions can create, including the potential to ‘hand[] [an employer] an important retaliatory tool in the form of subsequent breach of contract suits’”); Lopez v. Nights of Cabiria, LLC, 96 F. Supp. 3d 170, 178 (S.D.N.Y. 2015) (nondisclosure provision in FLSA settlement, even when settlement papers are publicly available on court’s docket, is contrary to well-established public policy because it inhibits one of FLSA’s primary goals, to ensure that all workers are aware of their rights); Garcia v. Jambox, Inc., 2015 WL 2359502 (S.D.N.Y. Apr. 27, 2015) (confidentiality clause was in contrast to public policy goals of FLSA); Camacho v. Ess-A-Bagel, 2015 WL 129723 (S.D.N.Y. Jan. 9, 2015) (parties’ confidentiality provision—keeping agreement off court’s docket and disallowing plaintiff from talking about agreement—would prevent public from scrutinizing agreement to ensure that workers receive fair wages); Wolinsky v. Scholastic, Inc., 900 F. Supp. 2d 332, 338–39 (S.D.N.Y. 2012) (refusing to approve FLSA settlement with confidentiality provision).</w:t>
      </w:r>
    </w:p>
    <w:p w14:paraId="4209071C" w14:textId="08071BD2" w:rsidR="003C3C13" w:rsidRPr="003C3C13" w:rsidRDefault="003C3C13" w:rsidP="003C3C13">
      <w:pPr>
        <w:pStyle w:val="FootnoteText"/>
      </w:pPr>
      <w:r w:rsidRPr="003C3C13">
        <w:rPr>
          <w:i/>
        </w:rPr>
        <w:t>Fourth Circuit</w:t>
      </w:r>
      <w:r w:rsidRPr="003C3C13">
        <w:t xml:space="preserve">: Robinson v. Harrison Transp. Servs., 2016 WL 3647616 (E.D.N.C. June 30, 2016) (relying on </w:t>
      </w:r>
      <w:r w:rsidRPr="003C3C13">
        <w:rPr>
          <w:rStyle w:val="BCasenamefull"/>
        </w:rPr>
        <w:t>Lopez v. Nights of Cabiria, LLC</w:t>
      </w:r>
      <w:r w:rsidRPr="003C3C13">
        <w:t>, 96 F. Supp. 3d 170, in rejecting confidentiality provisions).</w:t>
      </w:r>
    </w:p>
    <w:p w14:paraId="6F629450" w14:textId="13C2FDFD" w:rsidR="003C3C13" w:rsidRPr="003C3C13" w:rsidRDefault="003C3C13" w:rsidP="003C3C13">
      <w:pPr>
        <w:pStyle w:val="FootnoteText"/>
      </w:pPr>
      <w:r w:rsidRPr="003C3C13">
        <w:rPr>
          <w:i/>
        </w:rPr>
        <w:t>Eleventh Circuit</w:t>
      </w:r>
      <w:r w:rsidRPr="003C3C13">
        <w:t>: Yanosik v. Amazulu Transp. Inc., 2017 WL 5125884, at *3 (M.D. Fla. Oct. 3, 2017) (determining that confidentiality provision precluded plaintiff from disclosing terms of agreement, which contravened policies underlying FLSA and undermined DOL “regulatory effort[s] to notify employees of their FLSA rights”); Hernandez v. Anderson, 2015 WL 10438849, at *1 (M.D. Fla. June 22, 2015) (“The Court cannot approve or enforce any provision in a settlement calling for keeping the terms of the settlement confidential as such provisions contravene FLSA policy.”); Crabtree v. Volkert, Inc., 2013 WL 593500, at *4 (S.D. Ala. Feb. 14, 2013) (“These courts have criticized such provisions as (i) operating unequally to the benefit of the employer alone, and (ii) frustrating FLSA goals by ‘thwarting the public’s independent interest in assuring that employees’ wages are fair.’”) (quoting Hogan v. Allstate Beverage Co., 821 F. Supp. 2d 1274, 1281 (M.D. Ala. 2011)); Dees v. Hydradry, Inc., 706 F. Supp. 2d 1227, 1242 (M.D. Fla. 2010) (“By including a confidentiality provision, the employer thwarts the informational objective of the notice requirement by silencing the employee who has vindicated a disputed FLSA right.”).</w:t>
      </w:r>
    </w:p>
    <w:p w14:paraId="33E0A46B" w14:textId="77777777" w:rsidR="003C3C13" w:rsidRPr="00CE2995" w:rsidRDefault="003C3C13" w:rsidP="008E4FB2">
      <w:pPr>
        <w:pStyle w:val="14Footnote"/>
      </w:pPr>
    </w:p>
  </w:footnote>
  <w:footnote w:id="107">
    <w:p w14:paraId="68B8B23B" w14:textId="22B3D5DB" w:rsidR="003C3C13" w:rsidRPr="00CE2995" w:rsidRDefault="003C3C13" w:rsidP="003C3C13">
      <w:pPr>
        <w:pStyle w:val="FootnoteText"/>
      </w:pPr>
      <w:r w:rsidRPr="003C3C13">
        <w:rPr>
          <w:rStyle w:val="FootnoteReference"/>
        </w:rPr>
        <w:footnoteRef/>
      </w:r>
      <w:r w:rsidRPr="003C3C13">
        <w:t>Klich v. Klimczak, 571 F. Supp. 3d 8 (E.D.N.Y. 2021).</w:t>
      </w:r>
    </w:p>
  </w:footnote>
  <w:footnote w:id="108">
    <w:p w14:paraId="1F7B3ED0" w14:textId="3A969D51" w:rsidR="003C3C13" w:rsidRPr="00CE2995" w:rsidRDefault="003C3C13" w:rsidP="003C3C13">
      <w:pPr>
        <w:pStyle w:val="FootnoteText"/>
      </w:pPr>
      <w:r w:rsidRPr="003C3C13">
        <w:rPr>
          <w:rStyle w:val="FootnoteReference"/>
        </w:rPr>
        <w:footnoteRef/>
      </w:r>
      <w:r w:rsidRPr="003C3C13">
        <w:rPr>
          <w:i/>
        </w:rPr>
        <w:t xml:space="preserve">Id. </w:t>
      </w:r>
      <w:r w:rsidRPr="003C3C13">
        <w:t>at 12–13.</w:t>
      </w:r>
    </w:p>
  </w:footnote>
  <w:footnote w:id="109">
    <w:p w14:paraId="4BB5BF3D" w14:textId="3F1DEE10" w:rsidR="003C3C13" w:rsidRPr="003C3C13" w:rsidRDefault="003C3C13" w:rsidP="003C3C13">
      <w:pPr>
        <w:pStyle w:val="FootnoteText"/>
      </w:pPr>
      <w:r w:rsidRPr="003C3C13">
        <w:rPr>
          <w:rStyle w:val="FootnoteReference"/>
        </w:rPr>
        <w:footnoteRef/>
      </w:r>
      <w:r w:rsidRPr="003C3C13">
        <w:rPr>
          <w:i/>
        </w:rPr>
        <w:t>See, e.g.</w:t>
      </w:r>
      <w:r w:rsidRPr="003C3C13">
        <w:t>,</w:t>
      </w:r>
    </w:p>
    <w:p w14:paraId="1676619A" w14:textId="6CEC1194" w:rsidR="003C3C13" w:rsidRPr="003C3C13" w:rsidRDefault="003C3C13" w:rsidP="003C3C13">
      <w:pPr>
        <w:pStyle w:val="FootnoteText"/>
      </w:pPr>
      <w:r w:rsidRPr="003C3C13">
        <w:rPr>
          <w:i/>
        </w:rPr>
        <w:t>Third Circuit</w:t>
      </w:r>
      <w:r w:rsidRPr="003C3C13">
        <w:t xml:space="preserve">: Li v. Family Garden II, Inc., 2019 WL 1296258 (E.D. Pa. Mar. 20, 2019) (approving confidentiality clause as long as it was interpreted broadly and allowed plaintiff to discuss settlement terms with friends, family, defendants’ employees, and individuals not affiliated with media); Mabry v. Hildebrandt, 2015 WL 5025810, at *3 (E.D. Pa. Aug. 24, 2015) (approving settlement where it did not have confidentiality clause that would “prevent either party from publicly discussing its terms”); McGee v. Ann’s Choice, Inc., 2014 WL 2514582, at *3 (E.D. Pa. June 4, 2014) (approving confidentiality clause where it prohibited plaintiff from speaking with media, but permitted plaintiff to share terms of settlement with “friends, family, employees, and individuals not affiliated with the media”); </w:t>
      </w:r>
      <w:r w:rsidRPr="003C3C13">
        <w:rPr>
          <w:i/>
        </w:rPr>
        <w:t>In re</w:t>
      </w:r>
      <w:r w:rsidRPr="003C3C13">
        <w:t xml:space="preserve"> Chickie’s &amp; Pete’s, 2014 WL 911718, at *3 (E.D. Pa. Mar. 7, 2014) (approving confidentiality clause where it did not “prohibit Plaintiffs from discussing this matter with anyone, but only prohibited Plaintiffs from discussing the substance and negotiations of this matter with the press and media”).</w:t>
      </w:r>
    </w:p>
    <w:p w14:paraId="568B0DA3" w14:textId="376B4996" w:rsidR="003C3C13" w:rsidRPr="003C3C13" w:rsidRDefault="003C3C13" w:rsidP="003C3C13">
      <w:pPr>
        <w:pStyle w:val="FootnoteText"/>
      </w:pPr>
      <w:r w:rsidRPr="003C3C13">
        <w:rPr>
          <w:i/>
        </w:rPr>
        <w:t>Ninth Circuit</w:t>
      </w:r>
      <w:r w:rsidRPr="003C3C13">
        <w:t>: Gamble v. Boyd Gaming Corp., 2016 WL 3693743, at *9 (D. Nev. July 11, 2016) (settlement provision that prohibits only plaintiff counsel’s general publication of settlement did not “run afoul of the principles that prohibit confidentiality provisions in FLSA settlements”).</w:t>
      </w:r>
    </w:p>
    <w:p w14:paraId="2F970500" w14:textId="6282FAD4" w:rsidR="003C3C13" w:rsidRPr="00CE2995" w:rsidRDefault="003C3C13" w:rsidP="003C3C13">
      <w:pPr>
        <w:pStyle w:val="FootnoteText"/>
      </w:pPr>
      <w:r w:rsidRPr="003C3C13">
        <w:rPr>
          <w:i/>
        </w:rPr>
        <w:t>Eleventh Circuit</w:t>
      </w:r>
      <w:r w:rsidRPr="003C3C13">
        <w:t xml:space="preserve">: </w:t>
      </w:r>
      <w:r w:rsidRPr="003C3C13">
        <w:rPr>
          <w:i/>
        </w:rPr>
        <w:t>Crabtree</w:t>
      </w:r>
      <w:r w:rsidRPr="003C3C13">
        <w:t>, 2013 WL 593500, at *4 (permitting confidentiality provision, reasoning that balance tipped in favor of approval because it was in place to benefit plaintiffs in their quest to remain gainfully employed in their industry, and details of settlement were available in public record).</w:t>
      </w:r>
    </w:p>
  </w:footnote>
  <w:footnote w:id="110">
    <w:p w14:paraId="48C9C797" w14:textId="35EA54B8" w:rsidR="003C3C13" w:rsidRPr="003E4ACA" w:rsidRDefault="003C3C13" w:rsidP="003C3C13">
      <w:pPr>
        <w:pStyle w:val="FootnoteText"/>
      </w:pPr>
      <w:r w:rsidRPr="003C3C13">
        <w:rPr>
          <w:rStyle w:val="FootnoteReference"/>
        </w:rPr>
        <w:footnoteRef/>
      </w:r>
      <w:r w:rsidRPr="003C3C13">
        <w:t xml:space="preserve">Vidal v. Paterson Car Emporium LLC, 2023 BL 15816, </w:t>
      </w:r>
      <w:r w:rsidRPr="003C3C13">
        <w:rPr>
          <w:rFonts w:eastAsia="Calibri"/>
        </w:rPr>
        <w:t>2023 WL 238825, at *4</w:t>
      </w:r>
      <w:r w:rsidRPr="003C3C13">
        <w:t xml:space="preserve"> (D.N.J. </w:t>
      </w:r>
      <w:r w:rsidRPr="003C3C13">
        <w:rPr>
          <w:rFonts w:eastAsia="Calibri"/>
        </w:rPr>
        <w:t>Jan. 18, 2023).</w:t>
      </w:r>
    </w:p>
  </w:footnote>
  <w:footnote w:id="111">
    <w:p w14:paraId="69B2DDBC" w14:textId="6B6F3CBB" w:rsidR="003C3C13" w:rsidRDefault="003C3C13" w:rsidP="003C3C13">
      <w:pPr>
        <w:pStyle w:val="FootnoteText"/>
        <w:rPr>
          <w:shd w:val="clear" w:color="auto" w:fill="F8F8F8"/>
        </w:rPr>
      </w:pPr>
      <w:r w:rsidRPr="003C3C13">
        <w:rPr>
          <w:rStyle w:val="FootnoteReference"/>
        </w:rPr>
        <w:footnoteRef/>
      </w:r>
      <w:r w:rsidRPr="003C3C13">
        <w:t>Anzovino v. Wingate of Dutchess, Inc., 2023 BL 19246, 2023 WL 348024, at *3 (S.D.N.Y. Jan. 20, 2023).</w:t>
      </w:r>
    </w:p>
  </w:footnote>
  <w:footnote w:id="112">
    <w:p w14:paraId="150F6D80" w14:textId="55DD7D4B" w:rsidR="003C3C13" w:rsidRPr="003C3C13" w:rsidRDefault="003C3C13" w:rsidP="003C3C13">
      <w:pPr>
        <w:pStyle w:val="FootnoteText"/>
      </w:pPr>
      <w:r w:rsidRPr="003C3C13">
        <w:rPr>
          <w:rStyle w:val="FootnoteReference"/>
        </w:rPr>
        <w:footnoteRef/>
      </w:r>
      <w:r w:rsidRPr="003C3C13">
        <w:rPr>
          <w:i/>
        </w:rPr>
        <w:t>Id.</w:t>
      </w:r>
    </w:p>
    <w:p w14:paraId="0BE88B77" w14:textId="77777777" w:rsidR="003C3C13" w:rsidRDefault="003C3C13" w:rsidP="004173A0">
      <w:pPr>
        <w:pStyle w:val="14Footnote"/>
      </w:pPr>
    </w:p>
  </w:footnote>
  <w:footnote w:id="113">
    <w:p w14:paraId="210EDC5E" w14:textId="7294F6F7" w:rsidR="003C3C13" w:rsidRPr="003C3C13" w:rsidRDefault="003C3C13" w:rsidP="003C3C13">
      <w:pPr>
        <w:pStyle w:val="FootnoteText"/>
      </w:pPr>
      <w:r w:rsidRPr="003C3C13">
        <w:rPr>
          <w:rStyle w:val="FootnoteReference"/>
        </w:rPr>
        <w:footnoteRef/>
      </w:r>
      <w:r w:rsidRPr="003C3C13">
        <w:t>Strauss v. Little Fish Corp., 2020 BL 266787, 2020 WL 4041511 (S.D.N.Y. July 17, 2020) (holding that while wage and hour FLSA claims implicate congressional intent to ensure widespread FLSA compliance, confidentiality of retaliation allegations does not undermine purpose of FLSA).</w:t>
      </w:r>
    </w:p>
    <w:p w14:paraId="5228CA14" w14:textId="77777777" w:rsidR="003C3C13" w:rsidRPr="00CE2995" w:rsidRDefault="003C3C13" w:rsidP="004173A0">
      <w:pPr>
        <w:pStyle w:val="14Footnote"/>
      </w:pPr>
    </w:p>
  </w:footnote>
  <w:footnote w:id="114">
    <w:p w14:paraId="21138B58" w14:textId="4CF0E957" w:rsidR="003C3C13" w:rsidRPr="00CE2995" w:rsidRDefault="003C3C13" w:rsidP="003C3C13">
      <w:pPr>
        <w:pStyle w:val="FootnoteText"/>
      </w:pPr>
      <w:r w:rsidRPr="003C3C13">
        <w:rPr>
          <w:rStyle w:val="FootnoteReference"/>
        </w:rPr>
        <w:footnoteRef/>
      </w:r>
      <w:r w:rsidRPr="003C3C13">
        <w:t>Lola v. Skadden, Arps, Meagher, Slate &amp; Flom LLP, 2016 WL 922223, at *2 (S.D.N.Y. Feb. 3, 2016) (finding permissible provision that stated plaintiff and counsel “will not contact the media or utilize any social media regarding this Settlement or its terms,” and that, if contacted about settlement, plaintiffs and their counsel shall respond “‘no comment’ or be limited solely to words to the following effect: ‘The matter has been resolved.’”).</w:t>
      </w:r>
    </w:p>
  </w:footnote>
  <w:footnote w:id="115">
    <w:p w14:paraId="5F8FED06" w14:textId="4E7CADC5" w:rsidR="003C3C13" w:rsidRPr="00CE2995" w:rsidRDefault="003C3C13" w:rsidP="003C3C13">
      <w:pPr>
        <w:pStyle w:val="FootnoteText"/>
      </w:pPr>
      <w:r w:rsidRPr="003C3C13">
        <w:rPr>
          <w:rStyle w:val="FootnoteReference"/>
        </w:rPr>
        <w:footnoteRef/>
      </w:r>
      <w:r w:rsidRPr="003C3C13">
        <w:t>Garcia v. Good for Life By 81, Inc., 2018 WL 3559171, at *4 (S.D.N.Y. July 12, 2018) (“These provisions impermissibly undermine the FLSA’s remedial purposes by restricting workers from using the media to ‘publicize both the wrongdoing of the employer and the possibility of success more generally.’”).</w:t>
      </w:r>
    </w:p>
  </w:footnote>
  <w:footnote w:id="116">
    <w:p w14:paraId="68E86AA0" w14:textId="776A9E9B" w:rsidR="003C3C13" w:rsidRPr="003C3C13" w:rsidRDefault="003C3C13" w:rsidP="003C3C13">
      <w:pPr>
        <w:pStyle w:val="FootnoteText"/>
      </w:pPr>
      <w:r w:rsidRPr="003C3C13">
        <w:rPr>
          <w:rStyle w:val="FootnoteReference"/>
        </w:rPr>
        <w:footnoteRef/>
      </w:r>
      <w:r w:rsidRPr="003C3C13">
        <w:t>Flood v. Carlson Rests., Inc., 2015 WL 4111668 (S.D.N.Y. July 6, 2015).</w:t>
      </w:r>
    </w:p>
    <w:p w14:paraId="374F7942" w14:textId="77777777" w:rsidR="003C3C13" w:rsidRPr="00CE2995" w:rsidRDefault="003C3C13" w:rsidP="008E4FB2">
      <w:pPr>
        <w:pStyle w:val="14Footnote"/>
      </w:pPr>
    </w:p>
  </w:footnote>
  <w:footnote w:id="117">
    <w:p w14:paraId="78EBA61D" w14:textId="1B70B555" w:rsidR="003C3C13" w:rsidRPr="00CE2995" w:rsidRDefault="003C3C13" w:rsidP="003C3C13">
      <w:pPr>
        <w:pStyle w:val="FootnoteText"/>
      </w:pPr>
      <w:r w:rsidRPr="003C3C13">
        <w:rPr>
          <w:rStyle w:val="FootnoteReference"/>
        </w:rPr>
        <w:footnoteRef/>
      </w:r>
      <w:r w:rsidRPr="003C3C13">
        <w:t>Lopez v. Nights of Cabiria, LLC, 2015 WL 1455689, at *6 (S.D.N.Y. Mar. 30, 2015); Lopez v. Ploy Dee, Inc., 2016 WL 1626631 (S.D.N.Y. Apr. 20, 2016) (rejecting confidentiality provision in agreement that was enforced by threat of liquidated damages in amount of $10,000 per occurrence). Similarly, in a 2021 advice memorandum, the National Labor Relations Board opined that a breach of contract action filed by an employer to enforce a confidentiality provision in a settlement agreement resolving an FLSA action was preempted by §7 of the National Labor Relations Act. NLRB Div. of Advice, 27-CA-279776 (Dec. 14, 2021).</w:t>
      </w:r>
    </w:p>
  </w:footnote>
  <w:footnote w:id="118">
    <w:p w14:paraId="2704CDBA" w14:textId="2D1C7DC4" w:rsidR="003C3C13" w:rsidRPr="003C3C13" w:rsidRDefault="003C3C13" w:rsidP="003C3C13">
      <w:pPr>
        <w:pStyle w:val="FootnoteText"/>
      </w:pPr>
      <w:r w:rsidRPr="003C3C13">
        <w:rPr>
          <w:rStyle w:val="FootnoteReference"/>
        </w:rPr>
        <w:footnoteRef/>
      </w:r>
      <w:r w:rsidRPr="003C3C13">
        <w:rPr>
          <w:i/>
        </w:rPr>
        <w:t>See, e.g.</w:t>
      </w:r>
      <w:r w:rsidRPr="003C3C13">
        <w:t>,</w:t>
      </w:r>
    </w:p>
    <w:p w14:paraId="7E551B8D" w14:textId="391181AD" w:rsidR="003C3C13" w:rsidRPr="003C3C13" w:rsidRDefault="003C3C13" w:rsidP="003C3C13">
      <w:pPr>
        <w:pStyle w:val="FootnoteText"/>
      </w:pPr>
      <w:r w:rsidRPr="003C3C13">
        <w:rPr>
          <w:i/>
        </w:rPr>
        <w:t xml:space="preserve">Second Circuit: </w:t>
      </w:r>
      <w:r w:rsidRPr="003C3C13">
        <w:t>Aguirre v. Torino Pizza, Inc., 2019 WL 126059 (S.D.N.Y. Jan. 6, 2019) (holding that release must be limited to claims at issue in case); Babayeva v. Halstead Mgmt. Co., 2018 WL 5997919 , at *3 (S.D.N.Y. Nov. 15, 2018) (rejecting release that purported to release all potential “claims, causes of actions, actions, debts, sums or money” that parties may have against each other or “may have in the future”; finding that release was too broad and could not be saved on basis of mutuality); Garcia v. Good for Life By 81, Inc., 2018 WL 3559171, at *4 (S.D.N.Y. July 12, 2018) (finding that releases were not mutual as to their breadth because while defendants released claims against only plaintiffs, plaintiffs released all claims against defendants and “all presently or formerly related or affiliated person”); Gallardo v. PS Chicken Inc., 2018 WL 1251980, at *1–2 (E.D.N.Y. Mar. 8, 2018) (requiring amendment to settlement agreement from release of all possible claims to release only claims relating to existing suit); Larrea v. FPC Coffees Realty Co., Inc., 2017 WL 1857246, at *3 (S.D.N.Y. May 5, 2017) (declining to approve settlement that included release of “any and all claims between the parties that they have now or may have in the future”); Boyle v. Robert M. Spano Plumbing &amp; Heating, 2016 WL 1688014, at *3 (S.D.N.Y. Apr. 27, 2016) (approving release provision limited to “conduct set forth in this lawsuit” and rejecting release as overly broad did not “purport to waive practically any possible claim against … defendants, including … claims that have no relationship whatsoever to wage-and-hour issues”); Lopez v. Ploy Dee, Inc., 2016 WL 1626631, at *3 (S.D.N.Y. Apr. 20, 2016) (“An FLSA settlement cannot offer the defendant a sweeping release from liability that would ‘waive practically any possible claim against the defendants, including unknown claims and claims that have no relationship whatsoever to wage-and-hour issues.’”) (quoting Cheeks v. Freeport Pancake House, Inc., 796 F.3d 199, 206 (2d Cir. 2015)); Lopez v. Poko-St. Ann L.P., 176 F. Supp. 3d 340, 344 (S.D.N.Y. Apr. 4, 2016) (offending release “would bar plaintiffs from any further redress against defendants, for any reason and forever, even if (for example) they should later become beneficiaries of an environmental class action brought to redress a toxic tort, causing serious illness, that they could not have suspected at the time their FLSA claims were settled”); Gonzales v. Lovin’ Oven Catering of Suffolk, Inc., 2015 WL 6550560, at *3 (E.D.N.Y. Oct. 28, 2015) (finding release overbroad and that it offended FLSA where it sought to include claims for unpaid overtime or wages “known or unknown” and used phrase “including but not limited to”); Lopez v. Nights of Cabiria, LLC, 96 F. Supp. 3d 170, 181 (S.D.N.Y. 2015) (rejecting overly broad release, noting “[t]his court will not countenance employers using FLSA settlements to erase all liability whatsoever in exchange for partial payment of wages allegedly required by statute” and observed that release “confers an uncompensated, unevaluated, and unfair benefit on the employer” and was “inequitable and unfair”); Camacho v. Ess-A-Bagel, 2015 WL 129723, at *1 (S.D.N.Y. Jan. 9, 2015) (language of general releases was “far too sweeping to be ‘fair and reasonable’”); Garcia v. Jambox, Inc., 2015 WL 2359502, at *4 (S.D.N.Y. Apr. 27, 2015) (same).</w:t>
      </w:r>
    </w:p>
    <w:p w14:paraId="220EFF43" w14:textId="6FA88989" w:rsidR="003C3C13" w:rsidRPr="003C3C13" w:rsidRDefault="003C3C13" w:rsidP="003C3C13">
      <w:pPr>
        <w:pStyle w:val="FootnoteText"/>
      </w:pPr>
      <w:r w:rsidRPr="003C3C13">
        <w:rPr>
          <w:i/>
        </w:rPr>
        <w:t>Third Circuit</w:t>
      </w:r>
      <w:r w:rsidRPr="003C3C13">
        <w:t>: Solkoff v. Pennsylvania State Univ., 435 F. Supp. 3d 646, 660 (E.D. Pa. 2020) (refusing to approve settlement, finding release overbroad such that it allowed employer to “extract from the plaintiff a benefit beyond what he is compensated for in exchange for payment of the fair wages he is owed”); Rubbo v. Peoplescout, Inc., 2017 WL 2010311 (E.D. Pa. May 11, 2017) (finding release provision overly broad as it exceeded legal and factual bases of complaint); Lee v. Guyoungtech USA, Inc., 2017 WL 1097201 (S.D. Ala. Mar. 23, 2017) (rejecting broad-sweeping “pervasive” release of claims not brought in lawsuit); Howard v. Philadelphia Hous. Auth., 197 F. Supp. 3d 773 (E.D. Pa. 2016) (rejecting release that encompassed non-specific statutory claims arising out of employment termination that were in addition to specific FLSA claim alleged in lawsuit).</w:t>
      </w:r>
    </w:p>
    <w:p w14:paraId="34637DBD" w14:textId="2FB135BF" w:rsidR="003C3C13" w:rsidRPr="003C3C13" w:rsidRDefault="003C3C13" w:rsidP="003C3C13">
      <w:pPr>
        <w:pStyle w:val="FootnoteText"/>
      </w:pPr>
      <w:r w:rsidRPr="003C3C13">
        <w:rPr>
          <w:i/>
        </w:rPr>
        <w:t>Fourth Circuit</w:t>
      </w:r>
      <w:r w:rsidRPr="003C3C13">
        <w:t>: Robinson v. Harrison Transp. Servs., Inc., 2016 WL 3647616 (E.D.N.C. June 30, 2016) (finding that scope of agreement’s release was impermissibly overbroad).</w:t>
      </w:r>
    </w:p>
    <w:p w14:paraId="67DB91AD" w14:textId="3C67A64C" w:rsidR="003C3C13" w:rsidRPr="003C3C13" w:rsidRDefault="003C3C13" w:rsidP="003C3C13">
      <w:pPr>
        <w:pStyle w:val="FootnoteText"/>
      </w:pPr>
      <w:r w:rsidRPr="003C3C13">
        <w:rPr>
          <w:i/>
        </w:rPr>
        <w:t>Sixth Circuit</w:t>
      </w:r>
      <w:r w:rsidRPr="003C3C13">
        <w:t>: Welch v. Big Boy Rest. Int’l, LLC, 2018 WL 4745502 (E.D. Mich. Oct. 2, 2018) (finding that because settlement agreement contained broad general release, and plaintiff did not receive advice of counsel regarding release, given procedural posture of case, there was no basis for court to evaluate strength of plaintiff’s claims and denied settlement’s enforceability).</w:t>
      </w:r>
    </w:p>
    <w:p w14:paraId="6D7087C4" w14:textId="55DE8F7F" w:rsidR="003C3C13" w:rsidRPr="003C3C13" w:rsidRDefault="003C3C13" w:rsidP="003C3C13">
      <w:pPr>
        <w:pStyle w:val="FootnoteText"/>
      </w:pPr>
      <w:r w:rsidRPr="003C3C13">
        <w:rPr>
          <w:i/>
        </w:rPr>
        <w:t>Ninth Circuit</w:t>
      </w:r>
      <w:r w:rsidRPr="003C3C13">
        <w:t xml:space="preserve">: McKeen-Chaplin v. Franklin Am. Mortg. Co., 2012 WL 6629608, at *3–5 (N.D. Cal. Dec. 19, 2012) (citing cases); </w:t>
      </w:r>
      <w:r w:rsidRPr="003C3C13">
        <w:rPr>
          <w:i/>
        </w:rPr>
        <w:t>see, e.g.</w:t>
      </w:r>
      <w:r w:rsidRPr="003C3C13">
        <w:t>, Daniels v. Aeropostale W., Inc., 2014 WL 2215708, at *4–5 (N.D. Cal. May 29, 2014); Otey v. CrowdFlower, Inc., 2014 WL 1477630, at *6–7 (N.D. Cal. Apr. 15, 2014).</w:t>
      </w:r>
    </w:p>
    <w:p w14:paraId="111555F4" w14:textId="5633D8DF" w:rsidR="003C3C13" w:rsidRPr="003C3C13" w:rsidRDefault="003C3C13" w:rsidP="003C3C13">
      <w:pPr>
        <w:pStyle w:val="FootnoteText"/>
      </w:pPr>
      <w:r w:rsidRPr="003C3C13">
        <w:rPr>
          <w:i/>
        </w:rPr>
        <w:t>Tenth Circuit</w:t>
      </w:r>
      <w:r w:rsidRPr="003C3C13">
        <w:t>: Cazeau v. TPUSA Inc., 2020 BL 247608, 2020 WL 3605652, at *11 (D. Utah July 2, 2020) (denying settlement approval without prejudice, finding release overbroad where it released “any claim” based on “pre-training and pre-shift time”).</w:t>
      </w:r>
    </w:p>
    <w:p w14:paraId="7A8F2CE8" w14:textId="1E13C5C5" w:rsidR="003C3C13" w:rsidRPr="00CE2995" w:rsidRDefault="003C3C13" w:rsidP="003C3C13">
      <w:pPr>
        <w:pStyle w:val="FootnoteText"/>
      </w:pPr>
      <w:r w:rsidRPr="003C3C13">
        <w:rPr>
          <w:i/>
        </w:rPr>
        <w:t>Eleventh Circuit</w:t>
      </w:r>
      <w:r w:rsidRPr="003C3C13">
        <w:t>: Erling v. American Grille With Sushi LLC, 2019 WL 3240749 (M.D. Fla. July 2, 2019) (denying settlement approval where parties failed to explain why mutual general releases were fair and reasonable under circumstances of case); Leleux v. Covelli Family Ltd. P’ship, 2017 WL 5125886, at *3 (M.D. Fla. Oct. 18, 2017) (finding release “exceptionally broad” and inappropriate even though plaintiff was given additional compensation for general release because value was incalculable; finding it inappropriate to use FLSA as leverage to procure general release of all possible claims); Moreno v. Regions Bank, 729 F. Supp. 2d 1346, 1348, 1351 (M.D. Fla. 2010) (opining that “an employer is not entitled to use an FLSA claim … to leverage a release from liability unconnected to the FLSA” because “a pervasive release in an FLSA settlement introduces a troubling imponderable into the calculus of fairness and full compensation”).</w:t>
      </w:r>
    </w:p>
  </w:footnote>
  <w:footnote w:id="119">
    <w:p w14:paraId="4841AF9D" w14:textId="7796D979" w:rsidR="003C3C13" w:rsidRPr="003C3C13" w:rsidRDefault="003C3C13" w:rsidP="003C3C13">
      <w:pPr>
        <w:pStyle w:val="FootnoteText"/>
      </w:pPr>
      <w:r w:rsidRPr="003C3C13">
        <w:rPr>
          <w:rStyle w:val="FootnoteReference"/>
        </w:rPr>
        <w:footnoteRef/>
      </w:r>
      <w:r w:rsidRPr="003C3C13">
        <w:rPr>
          <w:i/>
        </w:rPr>
        <w:t>See</w:t>
      </w:r>
    </w:p>
    <w:p w14:paraId="1AFB00C4" w14:textId="7121FF06" w:rsidR="003C3C13" w:rsidRPr="003C3C13" w:rsidRDefault="003C3C13" w:rsidP="003C3C13">
      <w:pPr>
        <w:pStyle w:val="FootnoteText"/>
      </w:pPr>
      <w:r w:rsidRPr="003C3C13">
        <w:rPr>
          <w:i/>
        </w:rPr>
        <w:t xml:space="preserve">Second Circuit: </w:t>
      </w:r>
      <w:r w:rsidRPr="003C3C13">
        <w:t>Julian v. Applied Robotics, Inc., 2020 WL 2059813, at *4 (N.D.N.Y. Apr. 29, 2020) (finding alternative basis to reject proposed settlement based on “extremely broad general release provision that it contains”); Flores v. Food Express Rego Park, Inc., 2016 WL 386042, at *2 (E.D.N.Y. Jan. 2, 2016) (court approved release only to extent that it released claims arising from essentially same set of facts and circumstances alleged in complaint).</w:t>
      </w:r>
    </w:p>
    <w:p w14:paraId="2A5913CE" w14:textId="404183FD" w:rsidR="003C3C13" w:rsidRPr="003C3C13" w:rsidRDefault="003C3C13" w:rsidP="003C3C13">
      <w:pPr>
        <w:pStyle w:val="FootnoteText"/>
      </w:pPr>
      <w:r w:rsidRPr="003C3C13">
        <w:rPr>
          <w:i/>
        </w:rPr>
        <w:t>Sixth Circuit</w:t>
      </w:r>
      <w:r w:rsidRPr="003C3C13">
        <w:t>: Does 1-2 v. Deja Vu Servs., Inc., 925 F.3d 886 (6th Cir. 2019) (upholding release that included 10 categories of relinquished state law claims, holding that released claims shared factual predicate with claims pled in complaint).</w:t>
      </w:r>
    </w:p>
    <w:p w14:paraId="36598CF2" w14:textId="2C714FA9" w:rsidR="003C3C13" w:rsidRPr="00152EEA" w:rsidRDefault="003C3C13" w:rsidP="003C3C13">
      <w:pPr>
        <w:pStyle w:val="FootnoteText"/>
        <w:rPr>
          <w:iCs/>
        </w:rPr>
      </w:pPr>
      <w:r w:rsidRPr="003C3C13">
        <w:rPr>
          <w:i/>
        </w:rPr>
        <w:t xml:space="preserve">Eleventh Circuit: </w:t>
      </w:r>
      <w:r w:rsidRPr="003C3C13">
        <w:t>Ambiela v. Roko Invs. 2 LLC, 2023 BL 21177, 2023 WL 2244828 (S.D. Fla. Jan. 20, 2023) (approving settlement with general release despite absence of separate consideration because there were no other pending claims between the parties, the release was a significant factor in the parties’ negotiations, and settlement amount was partly attributable to the inclusion of releases); Crabtree v. Volkert, Inc., 2013 WL 5935000, at *6 (S.D. Ala. Feb. 14, 2013); Hogan v. Allstate Beverage Co., 821 F. Supp. 2d 1274, 1284–85 (M.D. Ala. 2011); Robertson v. Ther-Rx Corp., 2011 WL 1810193, at *2 (M.D. Ala. May 12, 2011) (approving settlement of collective action that included general release, reasoning that statute of limitations had run on most of employment claims released).</w:t>
      </w:r>
    </w:p>
  </w:footnote>
  <w:footnote w:id="120">
    <w:p w14:paraId="3C5A6B3A" w14:textId="1209DC91" w:rsidR="003C3C13" w:rsidRPr="003C3C13" w:rsidRDefault="003C3C13" w:rsidP="003C3C13">
      <w:pPr>
        <w:pStyle w:val="FootnoteText"/>
      </w:pPr>
      <w:r w:rsidRPr="003C3C13">
        <w:rPr>
          <w:rStyle w:val="FootnoteReference"/>
        </w:rPr>
        <w:footnoteRef/>
      </w:r>
      <w:r w:rsidRPr="003C3C13">
        <w:rPr>
          <w:i/>
        </w:rPr>
        <w:t>Crabtree</w:t>
      </w:r>
      <w:r w:rsidRPr="003C3C13">
        <w:t>, 2013 WL 5935000, at *6.</w:t>
      </w:r>
    </w:p>
    <w:p w14:paraId="73D06D81" w14:textId="77777777" w:rsidR="003C3C13" w:rsidRPr="00CE2995" w:rsidRDefault="003C3C13" w:rsidP="008E4FB2">
      <w:pPr>
        <w:pStyle w:val="14Footnote"/>
      </w:pPr>
    </w:p>
  </w:footnote>
  <w:footnote w:id="121">
    <w:p w14:paraId="13F4B6A5" w14:textId="31E526E0" w:rsidR="003C3C13" w:rsidRPr="003C3C13" w:rsidRDefault="003C3C13" w:rsidP="003C3C13">
      <w:pPr>
        <w:pStyle w:val="FootnoteText"/>
      </w:pPr>
      <w:r w:rsidRPr="003C3C13">
        <w:rPr>
          <w:rStyle w:val="FootnoteReference"/>
        </w:rPr>
        <w:footnoteRef/>
      </w:r>
      <w:r w:rsidRPr="003C3C13">
        <w:t>Gaspar v. Personal Touch Moving, Inc., 2015 WL 7871036 (S.D.N.Y. Dec. 3, 2015).</w:t>
      </w:r>
    </w:p>
    <w:p w14:paraId="2E0F8E91" w14:textId="77777777" w:rsidR="003C3C13" w:rsidRPr="00CE2995" w:rsidRDefault="003C3C13" w:rsidP="008E4FB2">
      <w:pPr>
        <w:pStyle w:val="14Footnote"/>
      </w:pPr>
    </w:p>
  </w:footnote>
  <w:footnote w:id="122">
    <w:p w14:paraId="164F00F5" w14:textId="024F621F" w:rsidR="003C3C13" w:rsidRPr="003C3C13" w:rsidRDefault="003C3C13" w:rsidP="003C3C13">
      <w:pPr>
        <w:pStyle w:val="FootnoteText"/>
      </w:pPr>
      <w:r w:rsidRPr="003C3C13">
        <w:rPr>
          <w:rStyle w:val="FootnoteReference"/>
        </w:rPr>
        <w:footnoteRef/>
      </w:r>
      <w:r w:rsidRPr="003C3C13">
        <w:t>Panganiban v. Medex Diagnostic &amp; Treatment Ctr. LLC, 2016 WL 927183 (E.D.N.Y. Mar. 7, 2016).</w:t>
      </w:r>
    </w:p>
    <w:p w14:paraId="6FE46E39" w14:textId="77777777" w:rsidR="003C3C13" w:rsidRPr="00D83740" w:rsidRDefault="003C3C13" w:rsidP="008E4FB2">
      <w:pPr>
        <w:pStyle w:val="14Footnote"/>
      </w:pPr>
    </w:p>
  </w:footnote>
  <w:footnote w:id="123">
    <w:p w14:paraId="0F99E5FC" w14:textId="381EFD38" w:rsidR="003C3C13" w:rsidRPr="00CE2995" w:rsidRDefault="003C3C13" w:rsidP="003C3C13">
      <w:pPr>
        <w:pStyle w:val="FootnoteText"/>
      </w:pPr>
      <w:r w:rsidRPr="003C3C13">
        <w:rPr>
          <w:rStyle w:val="FootnoteReference"/>
        </w:rPr>
        <w:footnoteRef/>
      </w:r>
      <w:r w:rsidRPr="003C3C13">
        <w:t>781 F.3d 396 (8th Cir. 2015).</w:t>
      </w:r>
    </w:p>
  </w:footnote>
  <w:footnote w:id="124">
    <w:p w14:paraId="1E146AAE" w14:textId="1F5F55CF" w:rsidR="003C3C13" w:rsidRPr="00CE2995" w:rsidRDefault="003C3C13" w:rsidP="003C3C13">
      <w:pPr>
        <w:pStyle w:val="FootnoteText"/>
      </w:pPr>
      <w:r w:rsidRPr="003C3C13">
        <w:rPr>
          <w:rStyle w:val="FootnoteReference"/>
        </w:rPr>
        <w:footnoteRef/>
      </w:r>
      <w:r w:rsidRPr="003C3C13">
        <w:rPr>
          <w:i/>
        </w:rPr>
        <w:t xml:space="preserve">Id. </w:t>
      </w:r>
      <w:r w:rsidRPr="003C3C13">
        <w:t>at 406–08.</w:t>
      </w:r>
    </w:p>
  </w:footnote>
  <w:footnote w:id="125">
    <w:p w14:paraId="6E25EF2A" w14:textId="4B9B91D2" w:rsidR="003C3C13" w:rsidRPr="003C3C13" w:rsidRDefault="003C3C13" w:rsidP="003C3C13">
      <w:pPr>
        <w:pStyle w:val="FootnoteText"/>
      </w:pPr>
      <w:r w:rsidRPr="003C3C13">
        <w:rPr>
          <w:rStyle w:val="FootnoteReference"/>
        </w:rPr>
        <w:footnoteRef/>
      </w:r>
      <w:r w:rsidRPr="003C3C13">
        <w:t>Rivera v. CO2Meter, 2018 WL 3213329 (M.D. Fla. June 14, 2018) (magistrate found that $100 consideration for general release on settlement amount of $5,000 was sufficient); Owens v. SSRMI, LLC, 2017 WL 2190646 (M.D. Fla. Apr. 28, 2017) (severing general release and waiver of future employment provisions because there was no additional compensation offered for either provision); Bishop v. VIP Transp. Grp., LLC, 2017 WL 1533834 (M.D. Fla. Apr. 7, 2017) (recommending approval of settlement agreement where employee received additional monetary compensation beyond that owing under FLSA in exchange for agreeing to general release and other concessions); Kennedy v. Miller’s Ale House, Inc., 2016 WL 3093022 (M.D. Fla. Mar. 10, 2016) (plaintiff received all back pay that he said he was owed, liquidated damages, attorneys’ fees, and additional $500 as consideration for those provisions); Smith v. Aramark Corp., 2014 WL 5690488, at *4 (M.D. Fla. Nov. 4, 2014) (approving FLSA settlement agreement where plaintiff received full compensation and additional consideration for general release, confidentiality, and nondisparagement agreement); Weldon v. Blackwoods Steakhouse, Inc., 2014 WL 4385593, at *1 (M.D. Fla. Sept. 4, 2014) (approving settlement containing general release and nondisparagement agreement where plaintiff received full compensation of FLSA claim and $100 in additional consideration for same); Caamal v. Shelter Mortg. Co., LLC, 2013 WL 5421955, at *1, 4–5 (M.D. Fla. Sept. 26, 2013) (approving FLSA settlement where plaintiff received full compensation and additional $500 for release, nondisparagement agreement, and waiver of future employment).</w:t>
      </w:r>
    </w:p>
    <w:p w14:paraId="40550D27" w14:textId="77777777" w:rsidR="003C3C13" w:rsidRPr="00CE2995" w:rsidRDefault="003C3C13" w:rsidP="008E4FB2">
      <w:pPr>
        <w:pStyle w:val="14Footnote"/>
      </w:pPr>
    </w:p>
  </w:footnote>
  <w:footnote w:id="126">
    <w:p w14:paraId="1C317AD2" w14:textId="676622D6" w:rsidR="003C3C13" w:rsidRPr="003C3C13" w:rsidRDefault="003C3C13" w:rsidP="003C3C13">
      <w:pPr>
        <w:pStyle w:val="FootnoteText"/>
      </w:pPr>
      <w:r w:rsidRPr="003C3C13">
        <w:rPr>
          <w:rStyle w:val="FootnoteReference"/>
        </w:rPr>
        <w:footnoteRef/>
      </w:r>
      <w:r w:rsidRPr="003C3C13">
        <w:rPr>
          <w:i/>
        </w:rPr>
        <w:t>See, e</w:t>
      </w:r>
      <w:r w:rsidRPr="003C3C13">
        <w:t>.</w:t>
      </w:r>
      <w:r w:rsidRPr="003C3C13">
        <w:rPr>
          <w:i/>
        </w:rPr>
        <w:t>g</w:t>
      </w:r>
      <w:r w:rsidRPr="003C3C13">
        <w:t>.,</w:t>
      </w:r>
    </w:p>
    <w:p w14:paraId="31417C1E" w14:textId="1A61CE23" w:rsidR="003C3C13" w:rsidRPr="003C3C13" w:rsidRDefault="003C3C13" w:rsidP="003C3C13">
      <w:pPr>
        <w:pStyle w:val="FootnoteText"/>
      </w:pPr>
      <w:r w:rsidRPr="003C3C13">
        <w:rPr>
          <w:i/>
        </w:rPr>
        <w:t xml:space="preserve">Fifth Circuit: </w:t>
      </w:r>
      <w:r w:rsidRPr="003C3C13">
        <w:rPr>
          <w:rFonts w:eastAsiaTheme="minorEastAsia"/>
        </w:rPr>
        <w:t xml:space="preserve">Welch v. Jenn Energy Servs. LLC, 2022 BL 264411, 2022 WL 3006402 (S.D. Tex. May 20, 2022), </w:t>
      </w:r>
      <w:r w:rsidRPr="003C3C13">
        <w:rPr>
          <w:rFonts w:eastAsiaTheme="minorEastAsia"/>
          <w:i/>
        </w:rPr>
        <w:t>report and recommendation adopted</w:t>
      </w:r>
      <w:r w:rsidRPr="003C3C13">
        <w:rPr>
          <w:rFonts w:eastAsiaTheme="minorEastAsia"/>
        </w:rPr>
        <w:t xml:space="preserve">, 2022 WL 2992876 (S.D. Tex. July 28, 2022) (striking </w:t>
      </w:r>
      <w:r w:rsidRPr="003C3C13">
        <w:t xml:space="preserve">broad release of </w:t>
      </w:r>
      <w:r w:rsidRPr="003C3C13">
        <w:rPr>
          <w:rFonts w:eastAsiaTheme="minorEastAsia"/>
        </w:rPr>
        <w:t>non-FLSA claims as contrary to purpose of FLSA</w:t>
      </w:r>
      <w:r w:rsidRPr="003C3C13">
        <w:t>).</w:t>
      </w:r>
    </w:p>
    <w:p w14:paraId="38435CB9" w14:textId="352DE68A" w:rsidR="003C3C13" w:rsidRPr="003C3C13" w:rsidRDefault="003C3C13" w:rsidP="003C3C13">
      <w:pPr>
        <w:pStyle w:val="FootnoteText"/>
      </w:pPr>
      <w:r w:rsidRPr="003C3C13">
        <w:rPr>
          <w:i/>
        </w:rPr>
        <w:t xml:space="preserve">Eighth Circuit: </w:t>
      </w:r>
      <w:r w:rsidRPr="003C3C13">
        <w:t>King v. Rockline Indus., Inc., 2021 BL 306320, 2021 WL 3612281, at *2 (W.D. Ark. Aug. 13, 2021) (denying settlement approval where agreement contained release of non-wage-related claims, explaining that “‘[t]he Court does not approve the broad release language that the parties propose in [the settlement agreement] because the provision violates the legislative purpose of the FLSA … [and] an employer may not use an FLSA claim to leverage a release from liability unconnected to the FLSA’”) (citing Doe 1 v. G&amp;M, LLC, 2018 BL 364660, 2018 WL 4778048 (N.D. Ala. Oct. 3, 2019)).</w:t>
      </w:r>
    </w:p>
    <w:p w14:paraId="0B48E62C" w14:textId="3CF1FD19" w:rsidR="003C3C13" w:rsidRPr="003C3C13" w:rsidRDefault="003C3C13" w:rsidP="003C3C13">
      <w:pPr>
        <w:pStyle w:val="FootnoteText"/>
      </w:pPr>
      <w:r w:rsidRPr="003C3C13">
        <w:rPr>
          <w:i/>
        </w:rPr>
        <w:t xml:space="preserve">Eleventh Circuit: </w:t>
      </w:r>
      <w:r w:rsidRPr="003C3C13">
        <w:t>Hernandez v. Anderson, 2015 WL 10438849, at *2 (M.D. Fla. June 22, 2015) (“This Court has determined that such pervasive releases are ‘side deals’ in which the employer extracts a gratuitous (although usually valueless) release of all claims in exchange for money unconditionally owed to the employee” and therefore, such releases “confer[] an uncompensated, unevaluated, and unfair benefit on the employer.”).</w:t>
      </w:r>
    </w:p>
    <w:p w14:paraId="06B2EBF9" w14:textId="77777777" w:rsidR="003C3C13" w:rsidRPr="00CE2995" w:rsidRDefault="003C3C13" w:rsidP="000C7F0C">
      <w:pPr>
        <w:pStyle w:val="14Footnote"/>
      </w:pPr>
    </w:p>
  </w:footnote>
  <w:footnote w:id="127">
    <w:p w14:paraId="24DA25F7" w14:textId="2A876E11" w:rsidR="003C3C13" w:rsidRPr="003C3C13" w:rsidRDefault="003C3C13" w:rsidP="003C3C13">
      <w:pPr>
        <w:pStyle w:val="FootnoteText"/>
      </w:pPr>
      <w:r w:rsidRPr="003C3C13">
        <w:rPr>
          <w:rStyle w:val="FootnoteReference"/>
        </w:rPr>
        <w:footnoteRef/>
      </w:r>
      <w:r w:rsidRPr="003C3C13">
        <w:rPr>
          <w:i/>
        </w:rPr>
        <w:t xml:space="preserve">See, e.g., </w:t>
      </w:r>
      <w:r w:rsidRPr="003C3C13">
        <w:t>Richardson v. Wells Fargo Bank, N.A, 839 F.3d 442, 453 (5th Cir. 2016).</w:t>
      </w:r>
    </w:p>
    <w:p w14:paraId="5FEF3997" w14:textId="77777777" w:rsidR="003C3C13" w:rsidRPr="00CE2995" w:rsidRDefault="003C3C13" w:rsidP="008E4FB2">
      <w:pPr>
        <w:pStyle w:val="14Footnote"/>
      </w:pPr>
    </w:p>
  </w:footnote>
  <w:footnote w:id="128">
    <w:p w14:paraId="2A4C6249" w14:textId="28964EAE" w:rsidR="003C3C13" w:rsidRPr="003C3C13" w:rsidRDefault="003C3C13" w:rsidP="003C3C13">
      <w:pPr>
        <w:pStyle w:val="FootnoteText"/>
      </w:pPr>
      <w:r w:rsidRPr="003C3C13">
        <w:rPr>
          <w:rStyle w:val="FootnoteReference"/>
        </w:rPr>
        <w:footnoteRef/>
      </w:r>
      <w:r w:rsidRPr="003C3C13">
        <w:rPr>
          <w:i/>
        </w:rPr>
        <w:t xml:space="preserve">See, e.g., </w:t>
      </w:r>
      <w:r w:rsidRPr="003C3C13">
        <w:t>Cotter v. Lyft, Inc., 2017 WL 1033527, at *2 (N.D. Cal. Mar. 16, 2017) (holding that “there is no greater reason to prevent Rule 23 class settlements from releasing unasserted FLSA claims than there is to prevent those settlements from releasing other unasserted claims that arise from the facts of the case. What matters is that the settlement terms are fair and reasonable in light of all the claims being released (asserted or not), that class members receive appropriate notice of the proposed settlement, and that class members be given the chance to opt out of the class if they wish to preserve their own claims.”).</w:t>
      </w:r>
    </w:p>
    <w:p w14:paraId="4F6349C2" w14:textId="77777777" w:rsidR="003C3C13" w:rsidRPr="00CE2995" w:rsidRDefault="003C3C13" w:rsidP="008E4FB2">
      <w:pPr>
        <w:pStyle w:val="14Footnote"/>
      </w:pPr>
    </w:p>
  </w:footnote>
  <w:footnote w:id="129">
    <w:p w14:paraId="5C530140" w14:textId="3EBC855A" w:rsidR="003C3C13" w:rsidRPr="003C3C13" w:rsidRDefault="003C3C13" w:rsidP="003C3C13">
      <w:pPr>
        <w:pStyle w:val="FootnoteText"/>
      </w:pPr>
      <w:r w:rsidRPr="003C3C13">
        <w:rPr>
          <w:rStyle w:val="FootnoteReference"/>
        </w:rPr>
        <w:footnoteRef/>
      </w:r>
      <w:r w:rsidRPr="003C3C13">
        <w:t>Myles v. AlliedBarton Sec. Servs., 2014 WL 6065602, at *3 (N.D. Cal. Nov. 12, 2014).</w:t>
      </w:r>
    </w:p>
    <w:p w14:paraId="7763D820" w14:textId="77777777" w:rsidR="003C3C13" w:rsidRPr="00CE2995" w:rsidRDefault="003C3C13" w:rsidP="008E4FB2">
      <w:pPr>
        <w:pStyle w:val="14Footnote"/>
      </w:pPr>
    </w:p>
  </w:footnote>
  <w:footnote w:id="130">
    <w:p w14:paraId="766DB1FD" w14:textId="29552E26" w:rsidR="003C3C13" w:rsidRPr="003C3C13" w:rsidRDefault="003C3C13" w:rsidP="003C3C13">
      <w:pPr>
        <w:pStyle w:val="FootnoteText"/>
      </w:pPr>
      <w:r w:rsidRPr="003C3C13">
        <w:rPr>
          <w:rStyle w:val="FootnoteReference"/>
        </w:rPr>
        <w:footnoteRef/>
      </w:r>
      <w:r w:rsidRPr="003C3C13">
        <w:rPr>
          <w:i/>
        </w:rPr>
        <w:t xml:space="preserve">See </w:t>
      </w:r>
      <w:r w:rsidRPr="003C3C13">
        <w:t>Tijero v. Aaron Bros., Inc., at *8 (N.D. Cal. Jan. 2, 2013) (finding that it was contrary to FLSA to bind class members who had not opted into lawsuit to release of FLSA claims); Trauth v. Spearmint Rhino Cos. Worldwide, Inc., 2012 WL 4755682, at *5 (C.D. Cal. Oct. 5, 2012) (initially refusing to approve collective action settlement where agreement released FLSA claims of members who did not opt in to action, but approving settlement once agreement was revised to eliminate that provision); Kakani v. Oracle Corp., 2007 WL 1793774, at *7 (N.D. Cal. June 19, 2007) (same).</w:t>
      </w:r>
    </w:p>
    <w:p w14:paraId="6952202F" w14:textId="77777777" w:rsidR="003C3C13" w:rsidRPr="00CE2995" w:rsidRDefault="003C3C13" w:rsidP="008E4FB2">
      <w:pPr>
        <w:pStyle w:val="14Footnote"/>
      </w:pPr>
    </w:p>
  </w:footnote>
  <w:footnote w:id="131">
    <w:p w14:paraId="528B9357" w14:textId="43D81F7A" w:rsidR="003C3C13" w:rsidRPr="003C3C13" w:rsidRDefault="003C3C13" w:rsidP="003C3C13">
      <w:pPr>
        <w:pStyle w:val="FootnoteText"/>
      </w:pPr>
      <w:r w:rsidRPr="003C3C13">
        <w:rPr>
          <w:rStyle w:val="FootnoteReference"/>
        </w:rPr>
        <w:footnoteRef/>
      </w:r>
      <w:r w:rsidRPr="003C3C13">
        <w:rPr>
          <w:i/>
        </w:rPr>
        <w:t>See, e.g.,</w:t>
      </w:r>
      <w:r w:rsidRPr="003C3C13">
        <w:t xml:space="preserve"> </w:t>
      </w:r>
      <w:r w:rsidRPr="003C3C13">
        <w:rPr>
          <w:rFonts w:eastAsia="Calibri"/>
        </w:rPr>
        <w:t xml:space="preserve">Laird v. Jiya Jeel, LLC, 2022 BL 445284, 2022 WL 17650573 (S.D. Ala. Dec. 13, 2022 (rejecting mutual non-disparagement clause); </w:t>
      </w:r>
      <w:r w:rsidRPr="003C3C13">
        <w:t>Julian v. Applied Robotics, Inc., 2020 WL 2059813, at *4 (N.D.N.Y. Apr. 29, 2020) (rejecting proposed settlement on basis that nondisparagement provision failed to exclude truthful statements by plaintiff about experiences litigating case); Gallardo v. PS Chicken Inc., 2018 WL 1251980 (E.D.N.Y. Mar. 8, 2018) (deeming nondisparagement clause unconscionable; amending agreement to not prohibit any party from providing documents or testifying truthfully in another proceeding, including provision that party may make truthful statements regarding their experience in case); Cionca v. Interactive Realty, Inc., 2016 WL 3440554 (S.D.N.Y. June 10, 2016).</w:t>
      </w:r>
    </w:p>
    <w:p w14:paraId="4FA04E57" w14:textId="77777777" w:rsidR="003C3C13" w:rsidRPr="004173A0" w:rsidRDefault="003C3C13" w:rsidP="008E4FB2">
      <w:pPr>
        <w:pStyle w:val="14Footnote"/>
        <w:rPr>
          <w:rFonts w:eastAsia="Calibri"/>
          <w:szCs w:val="20"/>
        </w:rPr>
      </w:pPr>
    </w:p>
  </w:footnote>
  <w:footnote w:id="132">
    <w:p w14:paraId="018500A7" w14:textId="553C6396" w:rsidR="003C3C13" w:rsidRPr="003C3C13" w:rsidRDefault="003C3C13" w:rsidP="003C3C13">
      <w:pPr>
        <w:pStyle w:val="FootnoteText"/>
      </w:pPr>
      <w:r w:rsidRPr="003C3C13">
        <w:rPr>
          <w:rStyle w:val="FootnoteReference"/>
        </w:rPr>
        <w:footnoteRef/>
      </w:r>
      <w:r w:rsidRPr="003C3C13">
        <w:rPr>
          <w:i/>
        </w:rPr>
        <w:t>Cionca</w:t>
      </w:r>
      <w:r w:rsidRPr="003C3C13">
        <w:t>, 2016 WL 3440554, at *3.</w:t>
      </w:r>
    </w:p>
    <w:p w14:paraId="6676C3CF" w14:textId="77777777" w:rsidR="003C3C13" w:rsidRPr="00CE2995" w:rsidRDefault="003C3C13" w:rsidP="008E4FB2">
      <w:pPr>
        <w:pStyle w:val="14Footnote"/>
      </w:pPr>
    </w:p>
  </w:footnote>
  <w:footnote w:id="133">
    <w:p w14:paraId="5FD0A85B" w14:textId="09785089" w:rsidR="003C3C13" w:rsidRPr="003C3C13" w:rsidRDefault="003C3C13" w:rsidP="003C3C13">
      <w:pPr>
        <w:pStyle w:val="FootnoteText"/>
      </w:pPr>
      <w:r w:rsidRPr="003C3C13">
        <w:rPr>
          <w:rStyle w:val="FootnoteReference"/>
        </w:rPr>
        <w:footnoteRef/>
      </w:r>
      <w:r w:rsidRPr="003C3C13">
        <w:t>96 F. Supp. 3d 170 (S.D.N.Y. 2015).</w:t>
      </w:r>
    </w:p>
    <w:p w14:paraId="62D7948E" w14:textId="77777777" w:rsidR="003C3C13" w:rsidRPr="00CE2995" w:rsidRDefault="003C3C13" w:rsidP="008E4FB2">
      <w:pPr>
        <w:pStyle w:val="14Footnote"/>
      </w:pPr>
    </w:p>
  </w:footnote>
  <w:footnote w:id="134">
    <w:p w14:paraId="3E48C2FD" w14:textId="13BF8F5D" w:rsidR="003C3C13" w:rsidRPr="00CE2995" w:rsidRDefault="003C3C13" w:rsidP="003C3C13">
      <w:pPr>
        <w:pStyle w:val="FootnoteText"/>
      </w:pPr>
      <w:r w:rsidRPr="003C3C13">
        <w:rPr>
          <w:rStyle w:val="FootnoteReference"/>
        </w:rPr>
        <w:footnoteRef/>
      </w:r>
      <w:r w:rsidRPr="003C3C13">
        <w:rPr>
          <w:i/>
        </w:rPr>
        <w:t>Id</w:t>
      </w:r>
      <w:r w:rsidRPr="003C3C13">
        <w:t xml:space="preserve">. at 180 n.65; </w:t>
      </w:r>
      <w:r w:rsidRPr="003C3C13">
        <w:rPr>
          <w:i/>
        </w:rPr>
        <w:t>see also</w:t>
      </w:r>
      <w:r w:rsidRPr="003C3C13">
        <w:t xml:space="preserve"> Gallardo v. PS Chicken Inc., 2018 WL 1251980 (E.D.N.Y. Mar. 8, 2018) (deeming nondisparagement clause unconscionable).</w:t>
      </w:r>
    </w:p>
  </w:footnote>
  <w:footnote w:id="135">
    <w:p w14:paraId="72D20B0D" w14:textId="36EBA925" w:rsidR="003C3C13" w:rsidRPr="003C3C13" w:rsidRDefault="003C3C13" w:rsidP="003C3C13">
      <w:pPr>
        <w:pStyle w:val="FootnoteText"/>
      </w:pPr>
      <w:r w:rsidRPr="003C3C13">
        <w:rPr>
          <w:rStyle w:val="FootnoteReference"/>
        </w:rPr>
        <w:footnoteRef/>
      </w:r>
      <w:r w:rsidRPr="003C3C13">
        <w:t>Ambiela v. Roko Invs. 2 LLC,</w:t>
      </w:r>
      <w:r w:rsidRPr="003C3C13">
        <w:rPr>
          <w:rFonts w:eastAsia="Cambria"/>
        </w:rPr>
        <w:t xml:space="preserve"> </w:t>
      </w:r>
      <w:r w:rsidRPr="003C3C13">
        <w:t xml:space="preserve">2023 BL 21177, 2023 WL 2244828 (S.D. Fla. Jan. 20, 2023) (recognizing that courts generally reject nondisparagement provisions in FLSA settlements but approving settlement with nondisparagement clause where parties represented that inclusion allowed them to more quickly reach a settlement and plaintiff understood the term); Rivera v. CO2Meter, 2018 WL 3213329, at *4–5 (M.D. Fla. June 14, 2018), </w:t>
      </w:r>
      <w:r w:rsidRPr="003C3C13">
        <w:rPr>
          <w:i/>
        </w:rPr>
        <w:t>report and recommendation approved</w:t>
      </w:r>
      <w:r w:rsidRPr="003C3C13">
        <w:t>, 2018 WL 3212455 (M.D. Fla. June 29, 2018); Smith v. Aramark Corp., 2014 WL 5690488, at *4 (M.D. Fla. Nov. 4, 2014); Weldon v. Blackwoods Steakhouse, Inc., 2014 WL 4385593, at *1 (M.D. Fla. Sept. 4, 2014); Caamal v. Shelter Mortg. Co., LLC, 2013 WL 5421955, at *1, 4–5 (M.D. Fla. Sept. 26, 2013).</w:t>
      </w:r>
    </w:p>
    <w:p w14:paraId="7EFEE09D" w14:textId="77777777" w:rsidR="003C3C13" w:rsidRPr="00CE2995" w:rsidRDefault="003C3C13" w:rsidP="008E4FB2">
      <w:pPr>
        <w:pStyle w:val="14Footnote"/>
      </w:pPr>
    </w:p>
  </w:footnote>
  <w:footnote w:id="136">
    <w:p w14:paraId="6A436297" w14:textId="58CCB8E2" w:rsidR="003C3C13" w:rsidRPr="003C3C13" w:rsidRDefault="003C3C13" w:rsidP="003C3C13">
      <w:pPr>
        <w:pStyle w:val="FootnoteText"/>
      </w:pPr>
      <w:r w:rsidRPr="003C3C13">
        <w:rPr>
          <w:rStyle w:val="FootnoteReference"/>
        </w:rPr>
        <w:footnoteRef/>
      </w:r>
      <w:r w:rsidRPr="003C3C13">
        <w:t>2018 WL 3213329.</w:t>
      </w:r>
    </w:p>
    <w:p w14:paraId="362A2734" w14:textId="77777777" w:rsidR="003C3C13" w:rsidRPr="00CE2995" w:rsidRDefault="003C3C13" w:rsidP="008E4FB2">
      <w:pPr>
        <w:pStyle w:val="14Footnote"/>
      </w:pPr>
    </w:p>
  </w:footnote>
  <w:footnote w:id="137">
    <w:p w14:paraId="003F13C9" w14:textId="09C4B96D" w:rsidR="003C3C13" w:rsidRPr="00CE2995" w:rsidRDefault="003C3C13" w:rsidP="003C3C13">
      <w:pPr>
        <w:pStyle w:val="FootnoteText"/>
      </w:pPr>
      <w:r w:rsidRPr="003C3C13">
        <w:rPr>
          <w:rStyle w:val="FootnoteReference"/>
        </w:rPr>
        <w:footnoteRef/>
      </w:r>
      <w:r w:rsidRPr="003C3C13">
        <w:rPr>
          <w:i/>
        </w:rPr>
        <w:t xml:space="preserve">Id. </w:t>
      </w:r>
      <w:r w:rsidRPr="003C3C13">
        <w:t>at *5.</w:t>
      </w:r>
    </w:p>
  </w:footnote>
  <w:footnote w:id="138">
    <w:p w14:paraId="00C6928D" w14:textId="1A8E51D3" w:rsidR="003C3C13" w:rsidRPr="003C3C13" w:rsidRDefault="003C3C13" w:rsidP="003C3C13">
      <w:pPr>
        <w:pStyle w:val="FootnoteText"/>
      </w:pPr>
      <w:r w:rsidRPr="003C3C13">
        <w:rPr>
          <w:rStyle w:val="FootnoteReference"/>
        </w:rPr>
        <w:footnoteRef/>
      </w:r>
      <w:r w:rsidRPr="003C3C13">
        <w:t>Martinez v. Avalanche Constr. Grp. Inc., 2021 BL 413999, 2021 WL 5001415 (S.D.N.Y. Oct. 28, 2021) (finding restriction on use of social media impermissible because it placed substantial burden on plaintiffs’ ability to discuss litigation and settlement given regular use of Internet to communicate with friends, colleagues, and family); Zorn-Hill v. A2B Taxi LLC, 2020 WL 5578357 (S.D.N.Y. Sept. 17, 2020) (denying settlement approval where agreement restricted efforts to “publicize” agreement on social media sites).</w:t>
      </w:r>
    </w:p>
    <w:p w14:paraId="5CF0C8F8" w14:textId="77777777" w:rsidR="003C3C13" w:rsidRPr="00CE2995" w:rsidRDefault="003C3C13" w:rsidP="00BC045F">
      <w:pPr>
        <w:pStyle w:val="14Footnote"/>
      </w:pPr>
    </w:p>
  </w:footnote>
  <w:footnote w:id="139">
    <w:p w14:paraId="53E84264" w14:textId="5B0A3AED" w:rsidR="003C3C13" w:rsidRPr="00CE2995" w:rsidRDefault="003C3C13" w:rsidP="003C3C13">
      <w:pPr>
        <w:pStyle w:val="FootnoteText"/>
      </w:pPr>
      <w:r w:rsidRPr="003C3C13">
        <w:rPr>
          <w:rStyle w:val="FootnoteReference"/>
        </w:rPr>
        <w:footnoteRef/>
      </w:r>
      <w:r w:rsidRPr="003C3C13">
        <w:rPr>
          <w:i/>
        </w:rPr>
        <w:t>See generally</w:t>
      </w:r>
      <w:r w:rsidRPr="003C3C13">
        <w:t xml:space="preserve"> Killion v. KeHE Distribs., 885 F. Supp. 2d 874, 884 (N.D. Ohio 2012) (explaining that courts routinely enforce severability clauses and reserving right to sever confidentiality clause in FLSA settlement).</w:t>
      </w:r>
    </w:p>
  </w:footnote>
  <w:footnote w:id="140">
    <w:p w14:paraId="19921BA3" w14:textId="5FF0C3F6" w:rsidR="003C3C13" w:rsidRPr="003C3C13" w:rsidRDefault="003C3C13" w:rsidP="003C3C13">
      <w:pPr>
        <w:pStyle w:val="FootnoteText"/>
      </w:pPr>
      <w:r w:rsidRPr="003C3C13">
        <w:rPr>
          <w:rStyle w:val="FootnoteReference"/>
        </w:rPr>
        <w:footnoteRef/>
      </w:r>
      <w:r w:rsidRPr="003C3C13">
        <w:t>2018 WL 3213329 (M.D. Fla. June 14, 2018).</w:t>
      </w:r>
    </w:p>
    <w:p w14:paraId="153AFC22" w14:textId="77777777" w:rsidR="003C3C13" w:rsidRPr="00CE2995" w:rsidRDefault="003C3C13" w:rsidP="008E4FB2">
      <w:pPr>
        <w:pStyle w:val="14Footnote"/>
      </w:pPr>
    </w:p>
  </w:footnote>
  <w:footnote w:id="141">
    <w:p w14:paraId="03BDDA2D" w14:textId="32837602" w:rsidR="003C3C13" w:rsidRPr="00CE2995" w:rsidRDefault="003C3C13" w:rsidP="003C3C13">
      <w:pPr>
        <w:pStyle w:val="FootnoteText"/>
      </w:pPr>
      <w:r w:rsidRPr="003C3C13">
        <w:rPr>
          <w:rStyle w:val="FootnoteReference"/>
        </w:rPr>
        <w:footnoteRef/>
      </w:r>
      <w:r w:rsidRPr="003C3C13">
        <w:t xml:space="preserve">Beard v. Suwanee Valley Grassing, Inc., 2022 BL 207958, 2022 WL 2254381 (M.D. Fla. June 15, 2022) (approving settlement after striking modification clause based on severability term); Olker v. Edward Zengel &amp; Son Express, Inc., 2021 BL 305430, 2021 WL 8201495 (M.D. Fla. July 27, 2021), </w:t>
      </w:r>
      <w:r w:rsidRPr="003C3C13">
        <w:rPr>
          <w:i/>
        </w:rPr>
        <w:t>report and recommendation adopted</w:t>
      </w:r>
      <w:r w:rsidRPr="003C3C13">
        <w:t>, 2021 WL 8201496 (M.D. Fla. Aug. 11, 2021) (noting that severability provision allowed remainder of agreement to remain enforceable).</w:t>
      </w:r>
    </w:p>
  </w:footnote>
  <w:footnote w:id="142">
    <w:p w14:paraId="3B856828" w14:textId="07EDF1B9" w:rsidR="003C3C13" w:rsidRPr="00CE2995" w:rsidRDefault="003C3C13" w:rsidP="003C3C13">
      <w:pPr>
        <w:pStyle w:val="FootnoteText"/>
      </w:pPr>
      <w:r w:rsidRPr="003C3C13">
        <w:rPr>
          <w:rStyle w:val="FootnoteReference"/>
        </w:rPr>
        <w:footnoteRef/>
      </w:r>
      <w:r w:rsidRPr="003C3C13">
        <w:t>Perry v. Nat’l City Bank, 2008 BL 29766, 2008 WL 427771, at *6 (S.D. Ill. Feb. 14, 2008).</w:t>
      </w:r>
    </w:p>
  </w:footnote>
  <w:footnote w:id="143">
    <w:p w14:paraId="77059C1D" w14:textId="23189068" w:rsidR="003C3C13" w:rsidRPr="003C3C13" w:rsidRDefault="003C3C13" w:rsidP="003C3C13">
      <w:pPr>
        <w:pStyle w:val="FootnoteText"/>
        <w:rPr>
          <w:rFonts w:eastAsia="Calibri"/>
        </w:rPr>
      </w:pPr>
      <w:r w:rsidRPr="003C3C13">
        <w:rPr>
          <w:rStyle w:val="FootnoteReference"/>
        </w:rPr>
        <w:footnoteRef/>
      </w:r>
      <w:r w:rsidRPr="003C3C13">
        <w:rPr>
          <w:rFonts w:eastAsia="Calibri"/>
        </w:rPr>
        <w:t>Johnson v. Labtox, LLC, 2022 BL 390980</w:t>
      </w:r>
      <w:r w:rsidRPr="003C3C13">
        <w:rPr>
          <w:rFonts w:eastAsia="Calibri"/>
          <w:b/>
        </w:rPr>
        <w:t xml:space="preserve">, </w:t>
      </w:r>
      <w:r w:rsidRPr="003C3C13">
        <w:rPr>
          <w:rFonts w:eastAsia="Calibri"/>
        </w:rPr>
        <w:t>2022 WL 16579300, at *4 (E.D. Ky. Nov. 1, 2022) (denying settlement approval because an “impermissible” confidentiality provision explicitly stated it was a “material term” of the settlement).</w:t>
      </w:r>
    </w:p>
    <w:p w14:paraId="2D4301E4" w14:textId="77777777" w:rsidR="003C3C13" w:rsidRPr="00A610E2" w:rsidRDefault="003C3C13" w:rsidP="00F30A76">
      <w:pPr>
        <w:autoSpaceDE w:val="0"/>
        <w:autoSpaceDN w:val="0"/>
        <w:adjustRightInd w:val="0"/>
        <w:spacing w:after="0"/>
      </w:pPr>
    </w:p>
  </w:footnote>
  <w:footnote w:id="144">
    <w:p w14:paraId="3926F8FD" w14:textId="103D70F6" w:rsidR="003C3C13" w:rsidRPr="003C3C13" w:rsidRDefault="003C3C13" w:rsidP="003C3C13">
      <w:pPr>
        <w:pStyle w:val="FootnoteText"/>
      </w:pPr>
      <w:r w:rsidRPr="003C3C13">
        <w:rPr>
          <w:rStyle w:val="FootnoteReference"/>
        </w:rPr>
        <w:footnoteRef/>
      </w:r>
      <w:r w:rsidRPr="003C3C13">
        <w:t>Poblano v. Russell Cellular Inc., 543 F. Supp. 3d 1293 (M.D. Fla. 2021).</w:t>
      </w:r>
    </w:p>
    <w:p w14:paraId="272AC7E5" w14:textId="77777777" w:rsidR="003C3C13" w:rsidRPr="00CE2995" w:rsidRDefault="003C3C13" w:rsidP="00BC045F">
      <w:pPr>
        <w:pStyle w:val="14Footnote"/>
      </w:pPr>
    </w:p>
  </w:footnote>
  <w:footnote w:id="145">
    <w:p w14:paraId="13D39511" w14:textId="7852F161" w:rsidR="003C3C13" w:rsidRPr="00CE2995" w:rsidRDefault="003C3C13" w:rsidP="003C3C13">
      <w:pPr>
        <w:pStyle w:val="FootnoteText"/>
      </w:pPr>
      <w:r w:rsidRPr="003C3C13">
        <w:rPr>
          <w:rStyle w:val="FootnoteReference"/>
        </w:rPr>
        <w:footnoteRef/>
      </w:r>
      <w:r w:rsidRPr="003C3C13">
        <w:rPr>
          <w:i/>
        </w:rPr>
        <w:t xml:space="preserve">See </w:t>
      </w:r>
      <w:r w:rsidRPr="003C3C13">
        <w:t>Genesis Healthcare Corp. v. Symczyk, 569 U.S. 66, 78 (2013).</w:t>
      </w:r>
    </w:p>
  </w:footnote>
  <w:footnote w:id="146">
    <w:p w14:paraId="6D8E4F7A" w14:textId="21032175" w:rsidR="003C3C13" w:rsidRPr="003C3C13" w:rsidRDefault="003C3C13" w:rsidP="003C3C13">
      <w:pPr>
        <w:pStyle w:val="FootnoteText"/>
      </w:pPr>
      <w:r w:rsidRPr="003C3C13">
        <w:rPr>
          <w:rStyle w:val="FootnoteReference"/>
        </w:rPr>
        <w:footnoteRef/>
      </w:r>
      <w:r w:rsidRPr="003C3C13">
        <w:rPr>
          <w:i/>
        </w:rPr>
        <w:t>See</w:t>
      </w:r>
      <w:r w:rsidRPr="003C3C13">
        <w:t xml:space="preserve"> Vasquez v. Packaging Corp. of Am., 2020 WL 2559490, at *7 (C.D. Cal. Mar. 27, 2020) (release of FLSA claims via opt-out mechanism was improper); La Parne v. Monex Deposit Co., 2010 WL 4916606, at *3 (C.D. Cal. Nov. 29, 2010) (“only class members who affirmatively ‘opt-in’ to the Settlement should be bound by the Settlement’s release of FLSA liability”).</w:t>
      </w:r>
    </w:p>
    <w:p w14:paraId="078BDCBB" w14:textId="77777777" w:rsidR="003C3C13" w:rsidRPr="00CE2995" w:rsidRDefault="003C3C13" w:rsidP="0034266C">
      <w:pPr>
        <w:pStyle w:val="14Footnote"/>
      </w:pPr>
    </w:p>
  </w:footnote>
  <w:footnote w:id="147">
    <w:p w14:paraId="61DF8A00" w14:textId="4E962644" w:rsidR="003C3C13" w:rsidRPr="003C3C13" w:rsidRDefault="003C3C13" w:rsidP="003C3C13">
      <w:pPr>
        <w:pStyle w:val="FootnoteText"/>
      </w:pPr>
      <w:r w:rsidRPr="003C3C13">
        <w:rPr>
          <w:rStyle w:val="FootnoteReference"/>
        </w:rPr>
        <w:footnoteRef/>
      </w:r>
      <w:r w:rsidRPr="003C3C13">
        <w:rPr>
          <w:i/>
        </w:rPr>
        <w:t>La Parne</w:t>
      </w:r>
      <w:r w:rsidRPr="003C3C13">
        <w:t xml:space="preserve">, 2010 WL 4916606, at *3; </w:t>
      </w:r>
      <w:r w:rsidRPr="003C3C13">
        <w:rPr>
          <w:i/>
        </w:rPr>
        <w:t>see also</w:t>
      </w:r>
      <w:r w:rsidRPr="003C3C13">
        <w:t xml:space="preserve"> Briggs v. PNC Fin. Servs. Grp., Inc., 2016 WL 7018566, at *1 (N.D. Ill. Nov. 29, 2016) (in context of settlement approval, stating that “the failure to opt in to an FLSA lawsuit does not prevent potential members of the collective from bringing their own suits in the future”).</w:t>
      </w:r>
    </w:p>
    <w:p w14:paraId="57BE14DD" w14:textId="77777777" w:rsidR="003C3C13" w:rsidRPr="00CE2995" w:rsidRDefault="003C3C13" w:rsidP="0034266C">
      <w:pPr>
        <w:pStyle w:val="14Footnote"/>
      </w:pPr>
    </w:p>
  </w:footnote>
  <w:footnote w:id="148">
    <w:p w14:paraId="6B0FD5A7" w14:textId="7146D564" w:rsidR="003C3C13" w:rsidRPr="003C3C13" w:rsidRDefault="003C3C13" w:rsidP="003C3C13">
      <w:pPr>
        <w:pStyle w:val="FootnoteText"/>
      </w:pPr>
      <w:r w:rsidRPr="003C3C13">
        <w:rPr>
          <w:rStyle w:val="FootnoteReference"/>
        </w:rPr>
        <w:footnoteRef/>
      </w:r>
      <w:r w:rsidRPr="003C3C13">
        <w:rPr>
          <w:i/>
        </w:rPr>
        <w:t>See</w:t>
      </w:r>
      <w:r w:rsidRPr="003C3C13">
        <w:t xml:space="preserve"> Anderson v. Team Prior, Inc., 2021 BL 325612, 2021 WL 3852720, at *8–9 (D. Me. Aug. 27, 2021) (given competing opt-in and opt-out provisions of hybrid actions, settlement agreements must clearly draw a line between FLSA collective’s settlement terms and settlement terms of Rule 23 class to be found fair, including “(1) the range of potential recovery for individual class members, (2) the range of expected payments to individual class members within the different funds under the Settlement Agreement, (3) the average expected settlement recovery for individual class members, and (4) how the parties arrived at these figures”);Talavera v. Sun-Maid Growers of Cal., 2020 WL 2195115, at *6 (E.D. Cal. May 6, 2020) (considering Rule 23 factors to determine if FLSA settlement was fair and reasonable while acknowledging inherent differences between class and collective actions).</w:t>
      </w:r>
    </w:p>
    <w:p w14:paraId="59845E0E" w14:textId="77777777" w:rsidR="003C3C13" w:rsidRPr="003C3C13" w:rsidRDefault="003C3C13" w:rsidP="0034266C">
      <w:pPr>
        <w:pStyle w:val="14Footnote"/>
      </w:pPr>
    </w:p>
  </w:footnote>
  <w:footnote w:id="149">
    <w:p w14:paraId="2D6308CA" w14:textId="652EF374" w:rsidR="003C3C13" w:rsidRPr="00CE2995" w:rsidRDefault="003C3C13" w:rsidP="003C3C13">
      <w:pPr>
        <w:pStyle w:val="FootnoteText"/>
      </w:pPr>
      <w:r w:rsidRPr="003C3C13">
        <w:rPr>
          <w:rStyle w:val="FootnoteReference"/>
        </w:rPr>
        <w:footnoteRef/>
      </w:r>
      <w:r w:rsidRPr="003C3C13">
        <w:t>Collins v. Sanderson Farms, Inc., 568 F. Supp. 2d 714, 719 (E.D. La. 2008).</w:t>
      </w:r>
    </w:p>
  </w:footnote>
  <w:footnote w:id="150">
    <w:p w14:paraId="3BB9EF56" w14:textId="4575639A" w:rsidR="003C3C13" w:rsidRPr="00CE2995" w:rsidRDefault="003C3C13" w:rsidP="003C3C13">
      <w:pPr>
        <w:pStyle w:val="FootnoteText"/>
      </w:pPr>
      <w:r w:rsidRPr="003C3C13">
        <w:rPr>
          <w:rStyle w:val="FootnoteReference"/>
        </w:rPr>
        <w:footnoteRef/>
      </w:r>
      <w:r w:rsidRPr="003C3C13">
        <w:rPr>
          <w:i/>
        </w:rPr>
        <w:t xml:space="preserve">See </w:t>
      </w:r>
      <w:r w:rsidRPr="003C3C13">
        <w:t>§II.B [General Principles Relating to the Settlement of Private FLSA Claims; Validity of Settlements Without Court Approval] of this chapter.</w:t>
      </w:r>
    </w:p>
  </w:footnote>
  <w:footnote w:id="151">
    <w:p w14:paraId="704B21AF" w14:textId="519B87B5" w:rsidR="003C3C13" w:rsidRPr="00CE2995" w:rsidRDefault="003C3C13" w:rsidP="003C3C13">
      <w:pPr>
        <w:pStyle w:val="FootnoteText"/>
        <w:rPr>
          <w:lang w:val="es-ES"/>
        </w:rPr>
      </w:pPr>
      <w:r w:rsidRPr="003C3C13">
        <w:rPr>
          <w:rStyle w:val="FootnoteReference"/>
        </w:rPr>
        <w:footnoteRef/>
      </w:r>
      <w:r w:rsidRPr="003C3C13">
        <w:rPr>
          <w:smallCaps/>
        </w:rPr>
        <w:t xml:space="preserve">Fed. R. Civ. P. </w:t>
      </w:r>
      <w:r w:rsidRPr="003C3C13">
        <w:t>23(e)(2).</w:t>
      </w:r>
    </w:p>
  </w:footnote>
  <w:footnote w:id="152">
    <w:p w14:paraId="087DF2FE" w14:textId="437AD19A" w:rsidR="003C3C13" w:rsidRPr="00CE2995" w:rsidRDefault="003C3C13" w:rsidP="003C3C13">
      <w:pPr>
        <w:pStyle w:val="FootnoteText"/>
      </w:pPr>
      <w:r w:rsidRPr="003C3C13">
        <w:rPr>
          <w:rStyle w:val="FootnoteReference"/>
        </w:rPr>
        <w:footnoteRef/>
      </w:r>
      <w:r w:rsidRPr="003C3C13">
        <w:t xml:space="preserve">Briggs v. PNC Fin. Servs. Grp., Inc., 2016 WL 7018566, at *1 (N.D. Ill. Nov. 29, 2016) (“Because the failure to opt in to an FLSA lawsuit does not prevent potential members of the collective from bringing their own suits in the future, FLSA collective actions do not implicate the same due process concerns as do Rule 23 actions.”); </w:t>
      </w:r>
      <w:r w:rsidRPr="003C3C13">
        <w:rPr>
          <w:i/>
        </w:rPr>
        <w:t>see also</w:t>
      </w:r>
      <w:r w:rsidRPr="003C3C13">
        <w:t> Woods v. N.Y. Life Ins. Co., 686 F.2d 578, 579–80 (7th Cir. 1982) (discussing due process concerns present in Rule 23 class actions that are not present in FLSA collective actions); Beckman v. KeyBank, N.A., 293 F.R.D. 467, 476 (S.D.N.Y. 2013).</w:t>
      </w:r>
    </w:p>
  </w:footnote>
  <w:footnote w:id="153">
    <w:p w14:paraId="0B7BB645" w14:textId="07F3BB0C" w:rsidR="003C3C13" w:rsidRPr="003C3C13" w:rsidRDefault="003C3C13" w:rsidP="003C3C13">
      <w:pPr>
        <w:pStyle w:val="FootnoteText"/>
      </w:pPr>
      <w:r w:rsidRPr="003C3C13">
        <w:rPr>
          <w:rStyle w:val="FootnoteReference"/>
        </w:rPr>
        <w:footnoteRef/>
      </w:r>
      <w:r w:rsidRPr="003C3C13">
        <w:rPr>
          <w:smallCaps/>
        </w:rPr>
        <w:t xml:space="preserve">Fed. R. Civ. P. </w:t>
      </w:r>
      <w:r w:rsidRPr="003C3C13">
        <w:t xml:space="preserve">23(e)(1)(B) &amp; (e)(4)(A); </w:t>
      </w:r>
      <w:r w:rsidRPr="003C3C13">
        <w:rPr>
          <w:smallCaps/>
        </w:rPr>
        <w:t xml:space="preserve">Fed. R. Civ. P. </w:t>
      </w:r>
      <w:r w:rsidRPr="003C3C13">
        <w:t>23(e)(3) advisory committee’s note to 2003 amendment (“The opportunity to request exclusion from a proposed settlement is limited to members of a (b)(3) class.”).</w:t>
      </w:r>
    </w:p>
    <w:p w14:paraId="240C2001" w14:textId="77777777" w:rsidR="003C3C13" w:rsidRPr="00CE2995" w:rsidRDefault="003C3C13" w:rsidP="0034266C">
      <w:pPr>
        <w:pStyle w:val="14Footnote"/>
        <w:rPr>
          <w:szCs w:val="20"/>
        </w:rPr>
      </w:pPr>
    </w:p>
  </w:footnote>
  <w:footnote w:id="154">
    <w:p w14:paraId="25EB57B8" w14:textId="51C36A2B" w:rsidR="003C3C13" w:rsidRPr="003C3C13" w:rsidRDefault="003C3C13" w:rsidP="003C3C13">
      <w:pPr>
        <w:pStyle w:val="FootnoteText"/>
      </w:pPr>
      <w:r w:rsidRPr="003C3C13">
        <w:rPr>
          <w:rStyle w:val="FootnoteReference"/>
        </w:rPr>
        <w:footnoteRef/>
      </w:r>
      <w:r w:rsidRPr="003C3C13">
        <w:t>Moore v. Ackerman Inv. Co., 2009 WL 2848858, at *2 (N.D. Iowa Sept. 1, 2009) (unlike Rule 23 class action, “section 216(b) does not expressly require a ‘fairness’ hearing on a proposed settlement”); Collins v. Sanderson Farms, Inc., 568 F. Supp. 2d 714, 721–22 (E.D. La. 2008) (describing similarities and differences between §216(b) and Rule 23 cases).</w:t>
      </w:r>
    </w:p>
    <w:p w14:paraId="50910702" w14:textId="77777777" w:rsidR="003C3C13" w:rsidRPr="00CE2995" w:rsidRDefault="003C3C13" w:rsidP="0034266C">
      <w:pPr>
        <w:pStyle w:val="14Footnote"/>
        <w:rPr>
          <w:szCs w:val="20"/>
        </w:rPr>
      </w:pPr>
    </w:p>
  </w:footnote>
  <w:footnote w:id="155">
    <w:p w14:paraId="7FF004AB" w14:textId="59C7E5CC" w:rsidR="003C3C13" w:rsidRPr="003C3C13" w:rsidRDefault="003C3C13" w:rsidP="003C3C13">
      <w:pPr>
        <w:pStyle w:val="FootnoteText"/>
      </w:pPr>
      <w:r w:rsidRPr="003C3C13">
        <w:rPr>
          <w:rStyle w:val="FootnoteReference"/>
        </w:rPr>
        <w:footnoteRef/>
      </w:r>
      <w:r w:rsidRPr="003C3C13">
        <w:rPr>
          <w:i/>
        </w:rPr>
        <w:t xml:space="preserve">Second Circuit: </w:t>
      </w:r>
      <w:r w:rsidRPr="003C3C13">
        <w:t>Calle v. Elite Specialty Coatings Plus, Inc., 2014 WL 6621081 (E.D.N.Y. Nov. 19, 2014) (approving settlement and dismissing case at same time).</w:t>
      </w:r>
    </w:p>
    <w:p w14:paraId="35F00FD4" w14:textId="64C7AFAE" w:rsidR="003C3C13" w:rsidRPr="003C3C13" w:rsidRDefault="003C3C13" w:rsidP="003C3C13">
      <w:pPr>
        <w:pStyle w:val="FootnoteText"/>
      </w:pPr>
      <w:r w:rsidRPr="003C3C13">
        <w:rPr>
          <w:i/>
        </w:rPr>
        <w:t>Seventh Circuit: Briggs</w:t>
      </w:r>
      <w:r w:rsidRPr="003C3C13">
        <w:t>, 2016 WL 7018566, at *1 (“A one-step settlement approval process is appropriate.”).</w:t>
      </w:r>
    </w:p>
    <w:p w14:paraId="559C0DA8" w14:textId="5E7E9755" w:rsidR="003C3C13" w:rsidRPr="00CE2995" w:rsidRDefault="003C3C13" w:rsidP="003C3C13">
      <w:pPr>
        <w:pStyle w:val="FootnoteText"/>
      </w:pPr>
      <w:r w:rsidRPr="003C3C13">
        <w:rPr>
          <w:i/>
        </w:rPr>
        <w:t xml:space="preserve">Eighth Circuit: </w:t>
      </w:r>
      <w:r w:rsidRPr="003C3C13">
        <w:t xml:space="preserve">Fry v. Accent Mktg. Servs., 2014 WL 294421 (E.D. Mo. Jan. 27, 2014) (approving settlement and ordering parties to file stipulation to dismiss after end of settlement opt-in period); </w:t>
      </w:r>
      <w:r w:rsidRPr="003C3C13">
        <w:rPr>
          <w:i/>
        </w:rPr>
        <w:t>Moore</w:t>
      </w:r>
      <w:r w:rsidRPr="003C3C13">
        <w:t>, 2009 WL 2848858, at *2 (seeking court approval and dismissal after informing collective action plaintiffs of settlement and obtaining their agreement to it).</w:t>
      </w:r>
    </w:p>
  </w:footnote>
  <w:footnote w:id="156">
    <w:p w14:paraId="0F0D2F3D" w14:textId="3980770A" w:rsidR="003C3C13" w:rsidRPr="003C3C13" w:rsidRDefault="003C3C13" w:rsidP="003C3C13">
      <w:pPr>
        <w:pStyle w:val="FootnoteText"/>
      </w:pPr>
      <w:r w:rsidRPr="003C3C13">
        <w:rPr>
          <w:rStyle w:val="FootnoteReference"/>
        </w:rPr>
        <w:footnoteRef/>
      </w:r>
      <w:r w:rsidRPr="003C3C13">
        <w:rPr>
          <w:i/>
        </w:rPr>
        <w:t>See, e.g</w:t>
      </w:r>
      <w:r w:rsidRPr="003C3C13">
        <w:t>.,</w:t>
      </w:r>
    </w:p>
    <w:p w14:paraId="07D9FA86" w14:textId="10638856" w:rsidR="003C3C13" w:rsidRPr="003C3C13" w:rsidRDefault="003C3C13" w:rsidP="003C3C13">
      <w:pPr>
        <w:pStyle w:val="FootnoteText"/>
      </w:pPr>
      <w:r w:rsidRPr="003C3C13">
        <w:rPr>
          <w:i/>
        </w:rPr>
        <w:t>Second Circuit</w:t>
      </w:r>
      <w:r w:rsidRPr="003C3C13">
        <w:t>: Bozak v. FedEx Ground Package Sys., Inc., 2014 WL 3778211 (D. Conn. July 31, 2014) (resolving FLSA settlement with one step and explaining differences between collective actions under §216(b) of FLSA and Rule 23 class actions).</w:t>
      </w:r>
    </w:p>
    <w:p w14:paraId="506CA578" w14:textId="13597298" w:rsidR="003C3C13" w:rsidRPr="003C3C13" w:rsidRDefault="003C3C13" w:rsidP="003C3C13">
      <w:pPr>
        <w:pStyle w:val="FootnoteText"/>
      </w:pPr>
      <w:r w:rsidRPr="003C3C13">
        <w:rPr>
          <w:i/>
        </w:rPr>
        <w:t>Fifth Circuit</w:t>
      </w:r>
      <w:r w:rsidRPr="003C3C13">
        <w:t xml:space="preserve">: </w:t>
      </w:r>
      <w:r w:rsidRPr="003C3C13">
        <w:rPr>
          <w:i/>
        </w:rPr>
        <w:t>In re</w:t>
      </w:r>
      <w:r w:rsidRPr="003C3C13">
        <w:t xml:space="preserve"> Wells Fargo Wage and Hour Emp. Practices Litig., 18 F. Supp. 3d 844, 853 (S.D. Tex. May 12, 2014) (explaining that courts in Fifth Circuit have never imposed final certification requirement for settlement and it is not appropriate as it applies to decertification and not settlement).</w:t>
      </w:r>
    </w:p>
    <w:p w14:paraId="7314CEAC" w14:textId="698DE91D" w:rsidR="003C3C13" w:rsidRPr="003C3C13" w:rsidRDefault="003C3C13" w:rsidP="003C3C13">
      <w:pPr>
        <w:pStyle w:val="FootnoteText"/>
      </w:pPr>
      <w:r w:rsidRPr="003C3C13">
        <w:rPr>
          <w:i/>
        </w:rPr>
        <w:t>Sixth Circuit</w:t>
      </w:r>
      <w:r w:rsidRPr="003C3C13">
        <w:t>: Carr v. Bob Evans Farms, Inc., 2018 WL 7508650, at *2 (N.D. Ohio July 27, 2018).</w:t>
      </w:r>
    </w:p>
    <w:p w14:paraId="004993C6" w14:textId="7D1CEE2D" w:rsidR="003C3C13" w:rsidRPr="003C3C13" w:rsidRDefault="003C3C13" w:rsidP="003C3C13">
      <w:pPr>
        <w:pStyle w:val="FootnoteText"/>
      </w:pPr>
      <w:r w:rsidRPr="003C3C13">
        <w:rPr>
          <w:i/>
        </w:rPr>
        <w:t>Seventh Circuit</w:t>
      </w:r>
      <w:r w:rsidRPr="003C3C13">
        <w:t xml:space="preserve">: </w:t>
      </w:r>
      <w:r w:rsidRPr="003C3C13">
        <w:rPr>
          <w:i/>
        </w:rPr>
        <w:t>Briggs</w:t>
      </w:r>
      <w:r w:rsidRPr="003C3C13">
        <w:t>, 2016 WL 7018566, at *1 (citing Koszyk v. Country Fin., 2016 WL 5109196, at *1 (N.D. Ill. Sept. 16, 2016) (“A step-one settlement approval process is appropriate[ ]” in FLSA settlements.))</w:t>
      </w:r>
    </w:p>
    <w:p w14:paraId="21B6CD00" w14:textId="59EA3F0A" w:rsidR="003C3C13" w:rsidRPr="00CE2995" w:rsidRDefault="003C3C13" w:rsidP="003C3C13">
      <w:pPr>
        <w:pStyle w:val="FootnoteText"/>
      </w:pPr>
      <w:r w:rsidRPr="003C3C13">
        <w:rPr>
          <w:i/>
        </w:rPr>
        <w:t>Eighth Circuit</w:t>
      </w:r>
      <w:r w:rsidRPr="003C3C13">
        <w:t>: Moore v. Ackerman Inv. Co., 2009 WL 2848858, at *2 (N.D. Iowa Sept. 1, 2009) (“Section 216(b) does not expressly require a ‘fairness’ hearing on a proposed settlement, as Rule 23 of the Federal Rules of Civil Procedure does for class actions pursuant to that rule, and Rule 23 requirements are not directly applicable to a collective action pursuant to § 216(b).”).</w:t>
      </w:r>
    </w:p>
  </w:footnote>
  <w:footnote w:id="157">
    <w:p w14:paraId="65B2F082" w14:textId="0A8144DE" w:rsidR="003C3C13" w:rsidRPr="003C3C13" w:rsidRDefault="003C3C13" w:rsidP="003C3C13">
      <w:pPr>
        <w:pStyle w:val="FootnoteText"/>
      </w:pPr>
      <w:r w:rsidRPr="003C3C13">
        <w:rPr>
          <w:rStyle w:val="FootnoteReference"/>
        </w:rPr>
        <w:footnoteRef/>
      </w:r>
      <w:r w:rsidRPr="003C3C13">
        <w:rPr>
          <w:i/>
        </w:rPr>
        <w:t>See, e.g.,</w:t>
      </w:r>
    </w:p>
    <w:p w14:paraId="1CC1A896" w14:textId="771008AC" w:rsidR="003C3C13" w:rsidRPr="003C3C13" w:rsidRDefault="003C3C13" w:rsidP="003C3C13">
      <w:pPr>
        <w:pStyle w:val="FootnoteText"/>
      </w:pPr>
      <w:r w:rsidRPr="003C3C13">
        <w:rPr>
          <w:i/>
        </w:rPr>
        <w:t>Second Circuit</w:t>
      </w:r>
      <w:r w:rsidRPr="003C3C13">
        <w:t xml:space="preserve">: Marichal v. Attending Home Care Servs., LLC, 432 F. Supp. 3d 271, 280 (E.D.N.Y. 2020) (“FLSA demands that at both the preliminary and final approval stages, district courts are required to examine the terms of the settlement for its fairness. That is, a </w:t>
      </w:r>
      <w:r w:rsidRPr="003C3C13">
        <w:rPr>
          <w:i/>
        </w:rPr>
        <w:t>Cheeks</w:t>
      </w:r>
      <w:r w:rsidRPr="003C3C13">
        <w:t xml:space="preserve"> [</w:t>
      </w:r>
      <w:r w:rsidRPr="003C3C13">
        <w:rPr>
          <w:i/>
        </w:rPr>
        <w:t>v. Freeport Pancake House, Inc.</w:t>
      </w:r>
      <w:r w:rsidRPr="003C3C13">
        <w:t>, 796 F.3d 199, 206 (2d Cir. 2015)] review for fairness is required both when the preliminary notice is distributed and at a final hearing after those who wish to have opted-into the settlement.”); Fraticelli v. MSG Holdings, L.P., 2018 WL 3217410, at *8 (S.D.N.Y. July 2, 2018) (denying settlement approval where court previously denied collective action treatment and parties failed to provide additional or different reasons to support FLSA certification for settlement purposes); Sheikh v. Align Commc’ns, Inc., 2017 WL 192956, at *4 (S.D.N.Y. Jan. 18, 2017) (denying settlement approval where employees did not “justif[y] their motion for certification of the FLSA Collective and instead [] focused exclusively on the Rule 23 certification of the [state law claims]”).</w:t>
      </w:r>
    </w:p>
    <w:p w14:paraId="4C6D318C" w14:textId="3D2995D0" w:rsidR="003C3C13" w:rsidRPr="003C3C13" w:rsidRDefault="003C3C13" w:rsidP="003C3C13">
      <w:pPr>
        <w:pStyle w:val="FootnoteText"/>
      </w:pPr>
      <w:r w:rsidRPr="003C3C13">
        <w:rPr>
          <w:i/>
        </w:rPr>
        <w:t>Tenth Circuit</w:t>
      </w:r>
      <w:r w:rsidRPr="003C3C13">
        <w:t>: Ostrander v. Customer Eng’g Servs., LLC, 2018 WL 1152265, at *2–3 (D. Colo. Mar. 5, 2018) (denying certification; holding that if parties reapply for court approval of settlement agreement, they should address factors relevant to final certification); Barbosa v. National Beef Packing Co., LLC, 2015 WL 4920292, at *4 (D. Kan. Aug. 13, 2015) (in addition to concluding that settlement involved bona fide dispute and was “fair and equitable,” court had to make “final certification” finding before approval of FLSA collective action settlement).</w:t>
      </w:r>
    </w:p>
    <w:p w14:paraId="1412A466" w14:textId="6388313B" w:rsidR="003C3C13" w:rsidRPr="003C3C13" w:rsidRDefault="003C3C13" w:rsidP="003C3C13">
      <w:pPr>
        <w:pStyle w:val="FootnoteText"/>
      </w:pPr>
      <w:r w:rsidRPr="003C3C13">
        <w:rPr>
          <w:i/>
        </w:rPr>
        <w:t>Eleventh Circuit</w:t>
      </w:r>
      <w:r w:rsidRPr="003C3C13">
        <w:t xml:space="preserve">: Goldsby v. Renosol Seating, LLC, 294 F.R.D. 649, 656 (S.D. Ala. 2013) (applying “two-tiered approach” to certification of §216(b) opt-in conditional certification to settlement approval); Santiago v. Walpole, Inc., 2008 WL 4822894, at *7 (M.D. Fla. Nov. 5, 2008) (rejecting motion for final approval of settlement and notice to putative opt-ins, because final settlement would moot action and court could not oversee, but suggesting it could send notice if motion were for </w:t>
      </w:r>
      <w:r w:rsidRPr="003C3C13">
        <w:rPr>
          <w:i/>
        </w:rPr>
        <w:t xml:space="preserve">preliminary </w:t>
      </w:r>
      <w:r w:rsidRPr="003C3C13">
        <w:t>approval).</w:t>
      </w:r>
    </w:p>
    <w:p w14:paraId="2A399D0C" w14:textId="77777777" w:rsidR="003C3C13" w:rsidRPr="00CE2995" w:rsidRDefault="003C3C13" w:rsidP="0034266C">
      <w:pPr>
        <w:pStyle w:val="14Footnote"/>
      </w:pPr>
    </w:p>
  </w:footnote>
  <w:footnote w:id="158">
    <w:p w14:paraId="177CCEB9" w14:textId="7AD58BC2" w:rsidR="003C3C13" w:rsidRPr="003C3C13" w:rsidRDefault="003C3C13" w:rsidP="003C3C13">
      <w:pPr>
        <w:pStyle w:val="FootnoteText"/>
      </w:pPr>
      <w:r w:rsidRPr="003C3C13">
        <w:rPr>
          <w:rStyle w:val="FootnoteReference"/>
        </w:rPr>
        <w:footnoteRef/>
      </w:r>
      <w:r w:rsidRPr="003C3C13">
        <w:rPr>
          <w:i/>
        </w:rPr>
        <w:t>See</w:t>
      </w:r>
      <w:r w:rsidRPr="003C3C13">
        <w:t xml:space="preserve"> De Ascencio v. Tyson Foods, Inc., 342 F.3d 301, 310 (3d Cir. 2003) (in nonsettlement case, explaining that opt-out component of class actions makes them “exponentially greater” in size than §216(b) collective actions); Ellis v. Edward D. Jones &amp; Co., 527 F. Supp. 2d 439, 444–45 (W.D. Pa. 2007) (average opt-in rate of non–union-backed collective actions is between 15–30% (citing articles discussing difference in participation rates between state law opt-out class actions and §216(b) opt-in collective actions)).</w:t>
      </w:r>
    </w:p>
    <w:p w14:paraId="2A135232" w14:textId="77777777" w:rsidR="003C3C13" w:rsidRPr="00CE2995" w:rsidRDefault="003C3C13" w:rsidP="0034266C">
      <w:pPr>
        <w:pStyle w:val="14Footnote"/>
      </w:pPr>
    </w:p>
  </w:footnote>
  <w:footnote w:id="159">
    <w:p w14:paraId="7ADB8532" w14:textId="036AD44F" w:rsidR="003C3C13" w:rsidRPr="00CE2995" w:rsidRDefault="003C3C13" w:rsidP="003C3C13">
      <w:pPr>
        <w:pStyle w:val="FootnoteText"/>
      </w:pPr>
      <w:r w:rsidRPr="003C3C13">
        <w:rPr>
          <w:rStyle w:val="FootnoteReference"/>
        </w:rPr>
        <w:footnoteRef/>
      </w:r>
      <w:r w:rsidRPr="003C3C13">
        <w:rPr>
          <w:i/>
        </w:rPr>
        <w:t>See,</w:t>
      </w:r>
      <w:r w:rsidRPr="003C3C13">
        <w:t xml:space="preserve"> </w:t>
      </w:r>
      <w:r w:rsidRPr="003C3C13">
        <w:rPr>
          <w:i/>
        </w:rPr>
        <w:t>e.g.</w:t>
      </w:r>
      <w:r w:rsidRPr="003C3C13">
        <w:t>, Michaud v. Monro Muffler Brake, Inc., 2015 WL 1206490, at *1 (D. Me. Mar. 17, 2015) (approving settlement reached before class and collective action certification briefed); Hopson v. Hanesbrands Inc., 2008 WL 3385452, at *5 (N.D. Cal. Aug. 8, 2008) (approving parties’ notice of proposed settlement precertification because it informed putative members of terms of settlement; their rights to claim share, comment or object to, or elect not to participate in settlement; and location and date of final approval hearing).</w:t>
      </w:r>
    </w:p>
  </w:footnote>
  <w:footnote w:id="160">
    <w:p w14:paraId="1E2968AC" w14:textId="4FD5B1EB" w:rsidR="003C3C13" w:rsidRPr="00CE2995" w:rsidRDefault="003C3C13" w:rsidP="003C3C13">
      <w:pPr>
        <w:pStyle w:val="FootnoteText"/>
      </w:pPr>
      <w:r w:rsidRPr="003C3C13">
        <w:rPr>
          <w:rStyle w:val="FootnoteReference"/>
        </w:rPr>
        <w:footnoteRef/>
      </w:r>
      <w:r w:rsidRPr="003C3C13">
        <w:rPr>
          <w:i/>
        </w:rPr>
        <w:t>Ellis</w:t>
      </w:r>
      <w:r w:rsidRPr="003C3C13">
        <w:t xml:space="preserve">, 527 F. Supp. 2d at 446; </w:t>
      </w:r>
      <w:r w:rsidRPr="003C3C13">
        <w:rPr>
          <w:i/>
        </w:rPr>
        <w:t>see also</w:t>
      </w:r>
      <w:r w:rsidRPr="003C3C13">
        <w:t xml:space="preserve"> Chemi v. Champion Mortg., 2009 WL 1470429, at *2 (D.N.J. May 26, 2009) (describing settlement where nearly 50% of potential collective action members opted in).</w:t>
      </w:r>
    </w:p>
  </w:footnote>
  <w:footnote w:id="161">
    <w:p w14:paraId="2DBD91B3" w14:textId="54175944" w:rsidR="003C3C13" w:rsidRPr="003C3C13" w:rsidRDefault="003C3C13" w:rsidP="003C3C13">
      <w:pPr>
        <w:pStyle w:val="FootnoteText"/>
      </w:pPr>
      <w:r w:rsidRPr="003C3C13">
        <w:rPr>
          <w:rStyle w:val="FootnoteReference"/>
        </w:rPr>
        <w:footnoteRef/>
      </w:r>
      <w:r w:rsidRPr="003C3C13">
        <w:t xml:space="preserve">Lynn’s Food Stores, Inc. v. United States, 679 F.2d 1350, 1355 (11th Cir. 1982); </w:t>
      </w:r>
      <w:r w:rsidRPr="003C3C13">
        <w:rPr>
          <w:i/>
        </w:rPr>
        <w:t xml:space="preserve">see also </w:t>
      </w:r>
      <w:r w:rsidRPr="003C3C13">
        <w:t>Gassel v. American Pizza Partners, L.P., 2015 WL 5244917 (D. Colo. Sept. 8, 2015) (denying motion for settlement approval for several reasons, including that there must be final certification before collective action settlement can be approved); Barbosa v. National Beef Packing Co., LLC, 2015 WL 4920292, at *4 (D. Kan. Aug. 13, 2015) (in addition to concluding that settlement involved bona fide dispute and was “fair and equitable,” court must make “final certification” finding before approval of FLSA collective action settlement); Sheikh v. Align Commc’ns, Inc., 2017 WL 192956, at *4 (S.D.N.Y. Jan. 18, 2017) (denying settlement approval of combined Rule 23 and FLSA collective action settlement where parties addressed requirements for only preliminary approval under Rule 2, and failed to address why certification of collective action also was appropriate).</w:t>
      </w:r>
    </w:p>
    <w:p w14:paraId="5C8B3B25" w14:textId="77777777" w:rsidR="003C3C13" w:rsidRPr="00CE2995" w:rsidRDefault="003C3C13" w:rsidP="0034266C">
      <w:pPr>
        <w:pStyle w:val="14Footnote"/>
      </w:pPr>
    </w:p>
  </w:footnote>
  <w:footnote w:id="162">
    <w:p w14:paraId="678D6F99" w14:textId="1F0E850A" w:rsidR="003C3C13" w:rsidRPr="00CE2995" w:rsidRDefault="003C3C13" w:rsidP="003C3C13">
      <w:pPr>
        <w:pStyle w:val="FootnoteText"/>
      </w:pPr>
      <w:r w:rsidRPr="003C3C13">
        <w:rPr>
          <w:rStyle w:val="FootnoteReference"/>
        </w:rPr>
        <w:footnoteRef/>
      </w:r>
      <w:r w:rsidRPr="003C3C13">
        <w:t>688 F. Supp. 2d 1347 (M.D. Fla. Feb. 24, 2010).</w:t>
      </w:r>
    </w:p>
  </w:footnote>
  <w:footnote w:id="163">
    <w:p w14:paraId="6E86BDD6" w14:textId="1EC857D4" w:rsidR="003C3C13" w:rsidRPr="00CE2995" w:rsidRDefault="003C3C13" w:rsidP="003C3C13">
      <w:pPr>
        <w:pStyle w:val="FootnoteText"/>
      </w:pPr>
      <w:r w:rsidRPr="003C3C13">
        <w:rPr>
          <w:rStyle w:val="FootnoteReference"/>
        </w:rPr>
        <w:footnoteRef/>
      </w:r>
      <w:r w:rsidRPr="003C3C13">
        <w:rPr>
          <w:i/>
        </w:rPr>
        <w:t xml:space="preserve">Id. </w:t>
      </w:r>
      <w:r w:rsidRPr="003C3C13">
        <w:t>at 1350–53.</w:t>
      </w:r>
    </w:p>
  </w:footnote>
  <w:footnote w:id="164">
    <w:p w14:paraId="3035CB0A" w14:textId="496414A2" w:rsidR="003C3C13" w:rsidRPr="00CE2995" w:rsidRDefault="003C3C13" w:rsidP="003C3C13">
      <w:pPr>
        <w:pStyle w:val="FootnoteText"/>
      </w:pPr>
      <w:r w:rsidRPr="003C3C13">
        <w:rPr>
          <w:rStyle w:val="FootnoteReference"/>
        </w:rPr>
        <w:footnoteRef/>
      </w:r>
      <w:r w:rsidRPr="003C3C13">
        <w:t>See Chapter 17, Collective Actions and “Hybrid” Class Actions, §XI [Hybrid FLSA/State Law Class Actions].</w:t>
      </w:r>
    </w:p>
  </w:footnote>
  <w:footnote w:id="165">
    <w:p w14:paraId="63D84C37" w14:textId="06DE167E" w:rsidR="003C3C13" w:rsidRPr="003C3C13" w:rsidRDefault="003C3C13" w:rsidP="003C3C13">
      <w:pPr>
        <w:pStyle w:val="FootnoteText"/>
      </w:pPr>
      <w:r w:rsidRPr="003C3C13">
        <w:rPr>
          <w:rStyle w:val="FootnoteReference"/>
        </w:rPr>
        <w:footnoteRef/>
      </w:r>
      <w:r w:rsidRPr="003C3C13">
        <w:rPr>
          <w:i/>
        </w:rPr>
        <w:t>See, e.g.</w:t>
      </w:r>
      <w:r w:rsidRPr="003C3C13">
        <w:t>,</w:t>
      </w:r>
    </w:p>
    <w:p w14:paraId="7BF0D349" w14:textId="7484952B" w:rsidR="003C3C13" w:rsidRPr="003C3C13" w:rsidRDefault="003C3C13" w:rsidP="003C3C13">
      <w:pPr>
        <w:pStyle w:val="FootnoteText"/>
      </w:pPr>
      <w:r w:rsidRPr="003C3C13">
        <w:rPr>
          <w:i/>
        </w:rPr>
        <w:t xml:space="preserve">Second Circuit: </w:t>
      </w:r>
      <w:r w:rsidRPr="003C3C13">
        <w:t xml:space="preserve">Cunningham v. Suds Pizza, Inc., 290 F. Supp. 3d 214, 229 (W.D.N.Y. 2017) (evaluating substantive fairness against Second Circuit’s longstanding nine-factor test for evaluating Rule 23 class action settlements set forth in </w:t>
      </w:r>
      <w:r w:rsidRPr="003C3C13">
        <w:rPr>
          <w:i/>
        </w:rPr>
        <w:t>Detroit v</w:t>
      </w:r>
      <w:r w:rsidRPr="003C3C13">
        <w:t xml:space="preserve">. </w:t>
      </w:r>
      <w:r w:rsidRPr="003C3C13">
        <w:rPr>
          <w:i/>
        </w:rPr>
        <w:t>Grinnell Corp</w:t>
      </w:r>
      <w:r w:rsidRPr="003C3C13">
        <w:t>., 495 F.2d 448 (2d Cir. 1974)); Flores v. Momma Lombardi’s of Holbrook, Inc., 2015 WL 2374515 (E.D.N.Y. May 18, 2015).</w:t>
      </w:r>
    </w:p>
    <w:p w14:paraId="60E69AA4" w14:textId="0B10359A" w:rsidR="003C3C13" w:rsidRPr="003C3C13" w:rsidRDefault="003C3C13" w:rsidP="003C3C13">
      <w:pPr>
        <w:pStyle w:val="FootnoteText"/>
      </w:pPr>
      <w:r w:rsidRPr="003C3C13">
        <w:rPr>
          <w:i/>
        </w:rPr>
        <w:t xml:space="preserve">Third Circuit: </w:t>
      </w:r>
      <w:r w:rsidRPr="003C3C13">
        <w:t xml:space="preserve">Altnor v. Preferred Freezer Servs., Inc., 197 F. Supp. 3d 746, 761 (E.D. Pa. 2016) (applying Third Circuit’s nine-factor test in </w:t>
      </w:r>
      <w:r w:rsidRPr="003C3C13">
        <w:rPr>
          <w:i/>
        </w:rPr>
        <w:t>Girsh v</w:t>
      </w:r>
      <w:r w:rsidRPr="003C3C13">
        <w:t xml:space="preserve">. </w:t>
      </w:r>
      <w:r w:rsidRPr="003C3C13">
        <w:rPr>
          <w:i/>
        </w:rPr>
        <w:t>Jepson</w:t>
      </w:r>
      <w:r w:rsidRPr="003C3C13">
        <w:t>, 521 F.2d 153 (3d Cir. 1975), for evaluating fairness and reasonableness of Rule 23 settlements to FLSA collective action settlement).</w:t>
      </w:r>
    </w:p>
    <w:p w14:paraId="09C780FD" w14:textId="7AC58EC7" w:rsidR="003C3C13" w:rsidRPr="003C3C13" w:rsidRDefault="003C3C13" w:rsidP="003C3C13">
      <w:pPr>
        <w:pStyle w:val="FootnoteText"/>
      </w:pPr>
      <w:r w:rsidRPr="003C3C13">
        <w:rPr>
          <w:i/>
        </w:rPr>
        <w:t xml:space="preserve">Fourth Circuit: </w:t>
      </w:r>
      <w:r w:rsidRPr="003C3C13">
        <w:t xml:space="preserve">McNeil v. Faneuil, Inc., 2017 WL 5711439, at *4 (E.D. Va. Sept. 25, 2017), </w:t>
      </w:r>
      <w:r w:rsidRPr="003C3C13">
        <w:rPr>
          <w:i/>
        </w:rPr>
        <w:t>recommendation adopted</w:t>
      </w:r>
      <w:r w:rsidRPr="003C3C13">
        <w:t xml:space="preserve">, 2017 WL 5712288 (E.D. Va. Nov. 28, 2017) (determining settlement was fair and reasonable on examination of six-factor test articulated in </w:t>
      </w:r>
      <w:r w:rsidRPr="003C3C13">
        <w:rPr>
          <w:rStyle w:val="BCasenamefull"/>
        </w:rPr>
        <w:t>LaFleur v. Dollar Tree Stores</w:t>
      </w:r>
      <w:r w:rsidRPr="003C3C13">
        <w:t>, 189 F. Supp. 3d 588, 593 (E.D. Va. 2016)); LaFleur v. Dollar Tree Stores, 2015 WL 6440164 (E.D. Va. Oct. 22, 2015) (denying motion to approve settlement where plaintiffs failed to submit information about how settlement amount was calculated and to provide sufficient evidence that requested attorneys’ rates were in accord with market rate).</w:t>
      </w:r>
    </w:p>
    <w:p w14:paraId="45AC239B" w14:textId="08037397" w:rsidR="003C3C13" w:rsidRPr="003C3C13" w:rsidRDefault="003C3C13" w:rsidP="003C3C13">
      <w:pPr>
        <w:pStyle w:val="FootnoteText"/>
      </w:pPr>
      <w:r w:rsidRPr="003C3C13">
        <w:rPr>
          <w:i/>
        </w:rPr>
        <w:t xml:space="preserve">Fifth Circuit: </w:t>
      </w:r>
      <w:r w:rsidRPr="003C3C13">
        <w:t>Camp v. Progressive Corp., 2004 WL 2149079 (E.D. La. Sept. 23, 2004).</w:t>
      </w:r>
    </w:p>
    <w:p w14:paraId="77DEC5E6" w14:textId="57207347" w:rsidR="003C3C13" w:rsidRPr="003C3C13" w:rsidRDefault="003C3C13" w:rsidP="003C3C13">
      <w:pPr>
        <w:pStyle w:val="FootnoteText"/>
      </w:pPr>
      <w:r w:rsidRPr="003C3C13">
        <w:rPr>
          <w:i/>
        </w:rPr>
        <w:t xml:space="preserve">Sixth Circuit: </w:t>
      </w:r>
      <w:r w:rsidRPr="003C3C13">
        <w:t>Green v. Platinum Rests. Mid-Am. LLC</w:t>
      </w:r>
      <w:r w:rsidRPr="003C3C13">
        <w:rPr>
          <w:i/>
        </w:rPr>
        <w:t xml:space="preserve">, </w:t>
      </w:r>
      <w:r w:rsidRPr="003C3C13">
        <w:t>2022 BL 145533, 2022 WL 1240432 (W.D. Ky. Apr. 27, 2022) (applying both Rule 23(e) factors and factors set forth by Sixth Circuit to evaluate if preliminary settlement is “fair, reasonable, and adequate”).</w:t>
      </w:r>
    </w:p>
    <w:p w14:paraId="385B0B88" w14:textId="12F345FC" w:rsidR="003C3C13" w:rsidRPr="003C3C13" w:rsidRDefault="003C3C13" w:rsidP="003C3C13">
      <w:pPr>
        <w:pStyle w:val="FootnoteText"/>
      </w:pPr>
      <w:r w:rsidRPr="003C3C13">
        <w:rPr>
          <w:i/>
        </w:rPr>
        <w:t xml:space="preserve">Eighth Circuit: </w:t>
      </w:r>
      <w:r w:rsidRPr="003C3C13">
        <w:t>Brown v. Reddy Ice Corp., 2016 WL 2930933, at *3 (E.D. Mo. May 19, 2016) (collective action settlement “fair and reasonable” where “parties engaged in contested litigation for nearly a year and a half, including extensive discovery and discovery disputes which involved undecided and complex questions of law and fact under the FLSA” and resulted from negotiations by “experienced and competent counsel” before “qualified neutral”); Swartz v. D-J Eng’g, Inc., 2016 WL 633872, at *4 (D. Kan. Feb. 17, 2016) (applying following factors to determine that settlement was “fair and reasonable”: “(1) whether the proposed settlement was fairly and honestly negotiated; (2) whether serious questions of law and fact exist, placing the ultimate outcome of the litigation in doubt; (3) whether the value of an immediate recovery outweighs the mere possibility of future relief after protracted and expensive litigation; and (4) the judgment of the parties that the settlement is fair and reasonable”).</w:t>
      </w:r>
    </w:p>
    <w:p w14:paraId="17D6275E" w14:textId="19D08A33" w:rsidR="003C3C13" w:rsidRPr="003C3C13" w:rsidRDefault="003C3C13" w:rsidP="003C3C13">
      <w:pPr>
        <w:pStyle w:val="FootnoteText"/>
      </w:pPr>
      <w:r w:rsidRPr="003C3C13">
        <w:rPr>
          <w:i/>
        </w:rPr>
        <w:t xml:space="preserve">Ninth Circuit: </w:t>
      </w:r>
      <w:r w:rsidRPr="003C3C13">
        <w:t>Smith v. Kaiser Found. Hosps., 2021 BL 223138, 2021 WL 2433955, at *6 (S.D. Cal. June 15, 2021) (noting that “there are important distinctions between the policy objectives of—and the rights protected by—Rule 23 and the FLSA,” but that there is “considerable overlap between the factors considered for settlement approval” such that Rule 23 settlement approval warrants FLSA settlement approval); Leverage v. Traeger Pellet Grills, LLC, 2017 WL 6405619, at *4–5 (N.D. Cal. Dec. 15, 2017) (granting approval after examining factors applied by Ninth Circuit courts to evaluate fairness, adequacy, and reasonableness of settlement); Norton v. Maximus, Inc., 2017 WL 1424636, at *4 (D. Idaho Apr. 17, 2017) (settlement payments representing 79.09% of claimed overtime pay and 78.94% of liquidated damages were fair and reasonable in light of uncertainties surrounding determination of damages); Viceral v. Mistras Grp., Inc., 2016 WL 5907869, at *7–8 (N.D. Cal. Oct. 11, 2016) (settlement payment equal to 11.6% and 5.2% of estimated value of state and federal claims, respectively, was fair and reasonable in light of strength and variability of claims and risk on merits); Stokes v. Interline Brands, Inc., 2014 WL 5826335 (N.D. Cal. Nov. 10, 2014) (denying approval of settlement that improperly sought to compromise FLSA claims in Rule 23 context); McKeen-Chaplin v. Franklin Am. Mortg. Co., 2012 WL 6629608, at *3 (N.D. Cal. Dec. 19, 2012) (refusing to approve settlement where parties had not provided anything more than “conclusory assertions” to demonstrate that settlement amounts were fair and reasonable); Hopson v. Hanesbrands, Inc., 2008 WL 3385452, at *2 (N.D. Cal. Aug. 8, 2008); Adams v. Inter-Con Sec. Sys., Inc., 2007 WL 3225466 (N.D. Cal. Oct. 30, 2007).</w:t>
      </w:r>
    </w:p>
    <w:p w14:paraId="0DB0F527" w14:textId="70527C19" w:rsidR="003C3C13" w:rsidRPr="00CE2995" w:rsidRDefault="003C3C13" w:rsidP="003C3C13">
      <w:pPr>
        <w:pStyle w:val="FootnoteText"/>
      </w:pPr>
      <w:r w:rsidRPr="003C3C13">
        <w:rPr>
          <w:i/>
        </w:rPr>
        <w:t xml:space="preserve">Tenth Circuit: </w:t>
      </w:r>
      <w:r w:rsidRPr="003C3C13">
        <w:t>Davis v. Crilly, 292 F. Supp. 3d 1167, 1173 (D. Colo. 2018) (approving settlement, noting significant experience of counsel on each side, and giving “significant weight” to their professional judgment that agreement was fair and reasonable); Gundrum v. Cleveland Integrity Servs., Inc., 2017 WL 3503328 (N.D. Okla. Aug. 16, 2017) (finding settlement fair and reasonable after parties exchanged discovery and damages calculations, engaged in mediation and arm’s-length negotiations, and agreement provided substantial benefits to class and was reasonable compromise given risks); Cannon v. Time Warner N.Y. Cable LLC, 2015 WL 4498808 (D. Colo. July 24, 2015) (settlement was fair and reasonable where following factors were met: (1) parties fairly and honestly negotiated settlement; (2) serious questions of law and fact existed that placed ultimate outcome in doubt; (3) value of immediate settlement outweighed mere possibility of future relief after protracted litigation; and (4) judgment of parties that settlement was fair and reasonable).</w:t>
      </w:r>
    </w:p>
  </w:footnote>
  <w:footnote w:id="166">
    <w:p w14:paraId="3D8E2CF4" w14:textId="7C41AF6A" w:rsidR="003C3C13" w:rsidRPr="00CE2995" w:rsidRDefault="003C3C13" w:rsidP="003C3C13">
      <w:pPr>
        <w:pStyle w:val="FootnoteText"/>
      </w:pPr>
      <w:r w:rsidRPr="003C3C13">
        <w:rPr>
          <w:rStyle w:val="FootnoteReference"/>
        </w:rPr>
        <w:footnoteRef/>
      </w:r>
      <w:r w:rsidRPr="003C3C13">
        <w:t>Lynn’s Food Stores, Inc. v. United States, 679 F.2d 1350, 1354 (11th Cir. 1982); Collins v. Sanderson Farms, Inc., 568 F. Supp. 2d 714, 718–19 (E.D. La. 2008).</w:t>
      </w:r>
    </w:p>
  </w:footnote>
  <w:footnote w:id="167">
    <w:p w14:paraId="2543ACC5" w14:textId="276FC66A" w:rsidR="003C3C13" w:rsidRPr="003C3C13" w:rsidRDefault="003C3C13" w:rsidP="003C3C13">
      <w:pPr>
        <w:pStyle w:val="FootnoteText"/>
      </w:pPr>
      <w:r w:rsidRPr="003C3C13">
        <w:rPr>
          <w:rStyle w:val="FootnoteReference"/>
        </w:rPr>
        <w:footnoteRef/>
      </w:r>
      <w:r w:rsidRPr="003C3C13">
        <w:t xml:space="preserve">Brumley v. Camin Cargo Control, Inc., 2012 WL 1019337 at *4–5 (D.N.J. Mar. 26, 2012) (applying to FLSA settlement factors for evaluating fairness from </w:t>
      </w:r>
      <w:r w:rsidRPr="003C3C13">
        <w:rPr>
          <w:rStyle w:val="BCasenamefull"/>
        </w:rPr>
        <w:t>Girsh v. Jepson</w:t>
      </w:r>
      <w:r w:rsidRPr="003C3C13">
        <w:t xml:space="preserve">, 521 F.2d 153, 157 (3d Cir. 1975)); </w:t>
      </w:r>
      <w:r w:rsidRPr="003C3C13">
        <w:rPr>
          <w:i/>
        </w:rPr>
        <w:t>see also</w:t>
      </w:r>
    </w:p>
    <w:p w14:paraId="3047CE12" w14:textId="7184B2A0" w:rsidR="003C3C13" w:rsidRPr="003C3C13" w:rsidRDefault="003C3C13" w:rsidP="003C3C13">
      <w:pPr>
        <w:pStyle w:val="FootnoteText"/>
      </w:pPr>
      <w:r w:rsidRPr="003C3C13">
        <w:rPr>
          <w:i/>
        </w:rPr>
        <w:t xml:space="preserve">First Circuit: </w:t>
      </w:r>
      <w:r w:rsidRPr="003C3C13">
        <w:t xml:space="preserve">Roberts v. TJX Cos., Inc., 2016 WL 8677312, at *6 (D. Mass. Sept. 30, 2016) (in combined Rule 23 and FLSA collective action settlement, citing nine-factor test explicated in </w:t>
      </w:r>
      <w:r w:rsidRPr="003C3C13">
        <w:rPr>
          <w:i/>
        </w:rPr>
        <w:t>City of Detroit v</w:t>
      </w:r>
      <w:r w:rsidRPr="003C3C13">
        <w:t xml:space="preserve">. </w:t>
      </w:r>
      <w:r w:rsidRPr="003C3C13">
        <w:rPr>
          <w:i/>
        </w:rPr>
        <w:t>Grinnell Corp</w:t>
      </w:r>
      <w:r w:rsidRPr="003C3C13">
        <w:t>., 495 F.2d 448 (2d Cir. 1974)).</w:t>
      </w:r>
    </w:p>
    <w:p w14:paraId="4DB94D79" w14:textId="62A737E8" w:rsidR="003C3C13" w:rsidRPr="003C3C13" w:rsidRDefault="003C3C13" w:rsidP="003C3C13">
      <w:pPr>
        <w:pStyle w:val="FootnoteText"/>
      </w:pPr>
      <w:r w:rsidRPr="003C3C13">
        <w:rPr>
          <w:i/>
        </w:rPr>
        <w:t xml:space="preserve">Second Circuit: </w:t>
      </w:r>
      <w:r w:rsidRPr="003C3C13">
        <w:t xml:space="preserve">Gulino v. Symbol Techs., Inc., 2007 WL 3036890, at *2 (E.D.N.Y. Oct. 17, 2007) (applying </w:t>
      </w:r>
      <w:r w:rsidRPr="003C3C13">
        <w:rPr>
          <w:i/>
        </w:rPr>
        <w:t xml:space="preserve">Grinnell </w:t>
      </w:r>
      <w:r w:rsidRPr="003C3C13">
        <w:t xml:space="preserve">factors to FLSA case); Frank v. Eastman Kodak Co., 228 F.R.D. 174, 184–85 (W.D.N.Y. 2005) (applying </w:t>
      </w:r>
      <w:r w:rsidRPr="003C3C13">
        <w:rPr>
          <w:i/>
        </w:rPr>
        <w:t xml:space="preserve">Grinnell </w:t>
      </w:r>
      <w:r w:rsidRPr="003C3C13">
        <w:t>factors to FLSA case).</w:t>
      </w:r>
    </w:p>
    <w:p w14:paraId="58DDF8FE" w14:textId="4418B3CB" w:rsidR="003C3C13" w:rsidRPr="003C3C13" w:rsidRDefault="003C3C13" w:rsidP="003C3C13">
      <w:pPr>
        <w:pStyle w:val="FootnoteText"/>
      </w:pPr>
      <w:r w:rsidRPr="003C3C13">
        <w:rPr>
          <w:i/>
        </w:rPr>
        <w:t xml:space="preserve">Fourth Circuit: </w:t>
      </w:r>
      <w:r w:rsidRPr="003C3C13">
        <w:t>Houston v. URS Corp., 2009 WL 2474055, at *6 (E.D. Va. Aug. 7, 2009) (applying six-factor test).</w:t>
      </w:r>
    </w:p>
    <w:p w14:paraId="56A6008A" w14:textId="20F4F965" w:rsidR="003C3C13" w:rsidRPr="003C3C13" w:rsidRDefault="003C3C13" w:rsidP="003C3C13">
      <w:pPr>
        <w:pStyle w:val="FootnoteText"/>
      </w:pPr>
      <w:r w:rsidRPr="003C3C13">
        <w:rPr>
          <w:i/>
        </w:rPr>
        <w:t>Fifth Circuit: Collins</w:t>
      </w:r>
      <w:r w:rsidRPr="003C3C13">
        <w:t xml:space="preserve">, 568 F. Supp. 2d at 722 (citing six factors from </w:t>
      </w:r>
      <w:r w:rsidRPr="003C3C13">
        <w:rPr>
          <w:rStyle w:val="BCasenamefull"/>
        </w:rPr>
        <w:t>Reed v. General Motors Corp</w:t>
      </w:r>
      <w:r w:rsidRPr="003C3C13">
        <w:t xml:space="preserve">., 703 F.2d 170, 172 (5th Cir. 1983)); </w:t>
      </w:r>
      <w:r w:rsidRPr="003C3C13">
        <w:rPr>
          <w:i/>
        </w:rPr>
        <w:t>Camp</w:t>
      </w:r>
      <w:r w:rsidRPr="003C3C13">
        <w:t xml:space="preserve">, 2004 WL 2149079 (applying </w:t>
      </w:r>
      <w:r w:rsidRPr="003C3C13">
        <w:rPr>
          <w:i/>
        </w:rPr>
        <w:t>Reed</w:t>
      </w:r>
      <w:r w:rsidRPr="003C3C13">
        <w:t xml:space="preserve"> factors in FLSA case).</w:t>
      </w:r>
    </w:p>
    <w:p w14:paraId="396F86EC" w14:textId="7110605F" w:rsidR="003C3C13" w:rsidRPr="003C3C13" w:rsidRDefault="003C3C13" w:rsidP="003C3C13">
      <w:pPr>
        <w:pStyle w:val="FootnoteText"/>
      </w:pPr>
      <w:r w:rsidRPr="003C3C13">
        <w:rPr>
          <w:i/>
        </w:rPr>
        <w:t xml:space="preserve">Sixth Circuit: </w:t>
      </w:r>
      <w:r w:rsidRPr="003C3C13">
        <w:t>Does 1-2 v. Deja Vu Servs., Inc., 925 F.3d 886, 894–95 (6th Cir. 2019) (applying seven-factor test: “(1) ‘risk of fraud or collusion,’ (2) ‘complexity, expense and likely duration of the litigation,’ (3) ‘amount of discovery engaged in by the parties,’ (4) ‘likelihood of success on the merits,’ (5) ‘opinions of class counsel and class representatives,’ (6) ‘reaction of absent class members,’ and (7) ‘public interest’”) (citation omitted); Crawford v. Lexington-Fayette Urban Cnty. Gov’t, 2008 WL 4724499, at *6–9 (E.D. Ky. Oct. 23, 2008) (applying seven factors from Sixth Circuit in evaluating fairness and reasonableness of collective action settlement).</w:t>
      </w:r>
    </w:p>
    <w:p w14:paraId="0697EEF1" w14:textId="1C4DFDB2" w:rsidR="003C3C13" w:rsidRPr="003C3C13" w:rsidRDefault="003C3C13" w:rsidP="003C3C13">
      <w:pPr>
        <w:pStyle w:val="FootnoteText"/>
      </w:pPr>
      <w:r w:rsidRPr="003C3C13">
        <w:rPr>
          <w:i/>
        </w:rPr>
        <w:t xml:space="preserve">Eighth Circuit: </w:t>
      </w:r>
      <w:r w:rsidRPr="003C3C13">
        <w:t>Moore v. Ackerman Inv. Co., 2009 WL 2848858, at *2 (N.D. Iowa Sept. 1, 2009) (citing six factors).</w:t>
      </w:r>
    </w:p>
    <w:p w14:paraId="0DB659E9" w14:textId="770A5FC4" w:rsidR="003C3C13" w:rsidRPr="003C3C13" w:rsidRDefault="003C3C13" w:rsidP="003C3C13">
      <w:pPr>
        <w:pStyle w:val="FootnoteText"/>
      </w:pPr>
      <w:r w:rsidRPr="003C3C13">
        <w:rPr>
          <w:i/>
        </w:rPr>
        <w:t xml:space="preserve">Ninth Circuit: </w:t>
      </w:r>
      <w:r w:rsidRPr="003C3C13">
        <w:t>Allen v. Bedolla, 787 F.3d 1218, 1220, 1223–24 (9th Cir. 2015) (vacating order approving settlement and stating that high procedural standard applied for settlements that occur without certified collective; on remand, district court was instructed to look for “subtle signs that class counsel have allowed pursuit of their own self-interests … to infect the negotiations,” including (1) when counsel receive disproportionate distribution of settlement; (2) when parties negotiate clear sailing arrangement (i.e., arrangement where defendant will not object to certain fee request by class counsel); and (3) when parties create reverter that returns unclaimed fees to defendant).</w:t>
      </w:r>
    </w:p>
    <w:p w14:paraId="27A408A0" w14:textId="6408D4B1" w:rsidR="003C3C13" w:rsidRPr="00CE2995" w:rsidRDefault="003C3C13" w:rsidP="003C3C13">
      <w:pPr>
        <w:pStyle w:val="FootnoteText"/>
      </w:pPr>
      <w:r w:rsidRPr="003C3C13">
        <w:rPr>
          <w:i/>
        </w:rPr>
        <w:t xml:space="preserve">Eleventh Circuit: </w:t>
      </w:r>
      <w:r w:rsidRPr="003C3C13">
        <w:t>Silva v. Miller, 547 F. Supp. 2d 1299, 1303–04 (S.D. Fla. 2008) (applying factors used in Eleventh Circuit to review class action settlements to determine whether FLSA settlement was “fair and reasonable”).</w:t>
      </w:r>
    </w:p>
  </w:footnote>
  <w:footnote w:id="168">
    <w:p w14:paraId="5F7C8CE1" w14:textId="1D3EC35D" w:rsidR="003C3C13" w:rsidRPr="003C3C13" w:rsidRDefault="003C3C13" w:rsidP="003C3C13">
      <w:pPr>
        <w:pStyle w:val="FootnoteText"/>
      </w:pPr>
      <w:r w:rsidRPr="003C3C13">
        <w:rPr>
          <w:rStyle w:val="FootnoteReference"/>
        </w:rPr>
        <w:footnoteRef/>
      </w:r>
      <w:r w:rsidRPr="003C3C13">
        <w:t>Richardson v. Wells Fargo Bank, N.A., 839 F.3d 442, 450–52 (5th Cir. 2016).</w:t>
      </w:r>
    </w:p>
    <w:p w14:paraId="483572E6" w14:textId="77777777" w:rsidR="003C3C13" w:rsidRPr="00CE2995" w:rsidRDefault="003C3C13" w:rsidP="0034266C">
      <w:pPr>
        <w:pStyle w:val="14Footnote"/>
      </w:pPr>
    </w:p>
  </w:footnote>
  <w:footnote w:id="169">
    <w:p w14:paraId="127BCC17" w14:textId="5E123622" w:rsidR="003C3C13" w:rsidRPr="003C3C13" w:rsidRDefault="003C3C13" w:rsidP="003C3C13">
      <w:pPr>
        <w:pStyle w:val="FootnoteText"/>
      </w:pPr>
      <w:r w:rsidRPr="003C3C13">
        <w:rPr>
          <w:rStyle w:val="FootnoteReference"/>
        </w:rPr>
        <w:footnoteRef/>
      </w:r>
      <w:r w:rsidRPr="003C3C13">
        <w:t>Rangel v. PLS Check Cashers of Cal., 899 F.3d 1106 (9th Cir. 2018).</w:t>
      </w:r>
    </w:p>
    <w:p w14:paraId="32514A26" w14:textId="77777777" w:rsidR="003C3C13" w:rsidRPr="00CE2995" w:rsidRDefault="003C3C13" w:rsidP="0034266C">
      <w:pPr>
        <w:pStyle w:val="14Footnote"/>
      </w:pPr>
    </w:p>
  </w:footnote>
  <w:footnote w:id="170">
    <w:p w14:paraId="67522560" w14:textId="41D4791F" w:rsidR="003C3C13" w:rsidRPr="003C3C13" w:rsidRDefault="003C3C13" w:rsidP="003C3C13">
      <w:pPr>
        <w:pStyle w:val="FootnoteText"/>
      </w:pPr>
      <w:r w:rsidRPr="003C3C13">
        <w:rPr>
          <w:rStyle w:val="FootnoteReference"/>
        </w:rPr>
        <w:footnoteRef/>
      </w:r>
      <w:r w:rsidRPr="003C3C13">
        <w:rPr>
          <w:i/>
        </w:rPr>
        <w:t>See</w:t>
      </w:r>
    </w:p>
    <w:p w14:paraId="5570B56E" w14:textId="62B30913" w:rsidR="003C3C13" w:rsidRPr="003C3C13" w:rsidRDefault="003C3C13" w:rsidP="003C3C13">
      <w:pPr>
        <w:pStyle w:val="FootnoteText"/>
      </w:pPr>
      <w:r w:rsidRPr="003C3C13">
        <w:rPr>
          <w:i/>
        </w:rPr>
        <w:t xml:space="preserve">Second Circuit: </w:t>
      </w:r>
      <w:r w:rsidRPr="003C3C13">
        <w:t xml:space="preserve">Klein v. Ryan Beck Holdings, Inc., 2007 WL 2059828, at *7 (S.D.N.Y. July 13, 2007), as amended (July 20, 2007) (“No provision of the FLSA bars the application of </w:t>
      </w:r>
      <w:r w:rsidRPr="003C3C13">
        <w:rPr>
          <w:i/>
        </w:rPr>
        <w:t>res judicata</w:t>
      </w:r>
      <w:r w:rsidRPr="003C3C13">
        <w:t xml:space="preserve"> when the same party requirement </w:t>
      </w:r>
      <w:r w:rsidRPr="003C3C13">
        <w:rPr>
          <w:i/>
        </w:rPr>
        <w:t>is</w:t>
      </w:r>
      <w:r w:rsidRPr="003C3C13">
        <w:t xml:space="preserve"> satisfied, as would be the case when a person allows his state law claims to be adjudicated in a Rule 23 class action.”).</w:t>
      </w:r>
    </w:p>
    <w:p w14:paraId="5FED29D5" w14:textId="09701B69" w:rsidR="003C3C13" w:rsidRPr="003C3C13" w:rsidRDefault="003C3C13" w:rsidP="003C3C13">
      <w:pPr>
        <w:pStyle w:val="FootnoteText"/>
      </w:pPr>
      <w:r w:rsidRPr="003C3C13">
        <w:rPr>
          <w:i/>
        </w:rPr>
        <w:t>Eighth Circuit</w:t>
      </w:r>
      <w:r w:rsidRPr="003C3C13">
        <w:t>: Shepard v. City of Waterloo, 2017 WL 3723664 (N.D. Iowa Aug. 29, 2017) (granting summary judgment for defendant where wage claims were barred by principles of issue and claim preclusion; rejecting plaintiff’s argument that there was not common nucleus of operative facts because second suit was based on collective bargaining agreement, not FLSA).</w:t>
      </w:r>
    </w:p>
    <w:p w14:paraId="286AA74C" w14:textId="00543B03" w:rsidR="003C3C13" w:rsidRPr="003C3C13" w:rsidRDefault="003C3C13" w:rsidP="003C3C13">
      <w:pPr>
        <w:pStyle w:val="FootnoteText"/>
      </w:pPr>
      <w:r w:rsidRPr="003C3C13">
        <w:rPr>
          <w:i/>
        </w:rPr>
        <w:t>Tenth Circuit</w:t>
      </w:r>
      <w:r w:rsidRPr="003C3C13">
        <w:t xml:space="preserve">: Pliego v. Los Arcos Mexican Rests., Inc., 313 F.R.D. 117, 132 (D. Colo. 2016) (“This court is in agreement with courts which have found that normal </w:t>
      </w:r>
      <w:r w:rsidRPr="003C3C13">
        <w:rPr>
          <w:i/>
        </w:rPr>
        <w:t>res judicata</w:t>
      </w:r>
      <w:r w:rsidRPr="003C3C13">
        <w:t xml:space="preserve"> principles apply in hybrid FLSA/Rule 23 collective/class actions, thus binding non opt-out Rule 23 Class Members who do not specifically opt-in to the release of FLSA claims to the ultimate judgment, unless such a claimant shows grounds for collateral attack on the judgment.”).</w:t>
      </w:r>
    </w:p>
    <w:p w14:paraId="1EA0DD10" w14:textId="3A68A2D4" w:rsidR="003C3C13" w:rsidRPr="003C3C13" w:rsidRDefault="003C3C13" w:rsidP="003C3C13">
      <w:pPr>
        <w:pStyle w:val="FootnoteText"/>
      </w:pPr>
      <w:r w:rsidRPr="003C3C13">
        <w:rPr>
          <w:i/>
        </w:rPr>
        <w:t xml:space="preserve">D.C. Circuit: </w:t>
      </w:r>
      <w:r w:rsidRPr="003C3C13">
        <w:t>Stephens v. Farmers Rest. Grp., 329 F.R.D. 476, 489–90 (D.D.C. 2019) (“if a Rule 23 class were to adjudicate members’ state law wage and hour claims on the merits, it would likely have preclusive consequences on any comparable claims under the FLSA based on the same underlying facts and held by those members who failed to opt out of the class” and stating that “[c]ourt therefore finds it senseless to categorically preclude a settlement agreement with the same effect”).</w:t>
      </w:r>
    </w:p>
    <w:p w14:paraId="1C4D691C" w14:textId="77777777" w:rsidR="003C3C13" w:rsidRPr="00CE2995" w:rsidRDefault="003C3C13" w:rsidP="0034266C">
      <w:pPr>
        <w:pStyle w:val="14Footnote"/>
      </w:pPr>
    </w:p>
  </w:footnote>
  <w:footnote w:id="171">
    <w:p w14:paraId="56FFC053" w14:textId="5B3B7675" w:rsidR="003C3C13" w:rsidRPr="003C3C13" w:rsidRDefault="003C3C13" w:rsidP="003C3C13">
      <w:pPr>
        <w:pStyle w:val="FootnoteText"/>
      </w:pPr>
      <w:r w:rsidRPr="003C3C13">
        <w:rPr>
          <w:rStyle w:val="FootnoteReference"/>
        </w:rPr>
        <w:footnoteRef/>
      </w:r>
      <w:r w:rsidRPr="003C3C13">
        <w:rPr>
          <w:i/>
        </w:rPr>
        <w:t>See, e.g.</w:t>
      </w:r>
      <w:r w:rsidRPr="003C3C13">
        <w:t>,</w:t>
      </w:r>
    </w:p>
    <w:p w14:paraId="2C821635" w14:textId="133C4DC2" w:rsidR="003C3C13" w:rsidRPr="003C3C13" w:rsidRDefault="003C3C13" w:rsidP="003C3C13">
      <w:pPr>
        <w:pStyle w:val="FootnoteText"/>
        <w:rPr>
          <w:rFonts w:eastAsiaTheme="minorEastAsia"/>
        </w:rPr>
      </w:pPr>
      <w:r w:rsidRPr="003C3C13">
        <w:rPr>
          <w:rFonts w:eastAsiaTheme="minorEastAsia"/>
          <w:i/>
        </w:rPr>
        <w:t>Third Circuit</w:t>
      </w:r>
      <w:r w:rsidRPr="003C3C13">
        <w:rPr>
          <w:i/>
        </w:rPr>
        <w:t xml:space="preserve">: </w:t>
      </w:r>
      <w:r w:rsidRPr="003C3C13">
        <w:rPr>
          <w:rFonts w:eastAsiaTheme="minorEastAsia"/>
        </w:rPr>
        <w:t>Curtis v. Genesis Eng’g Sols., Inc., 2021 BL 473695, 2021 WL 5882341, at *5</w:t>
      </w:r>
      <w:r w:rsidRPr="003C3C13">
        <w:t>–6</w:t>
      </w:r>
      <w:r w:rsidRPr="003C3C13">
        <w:rPr>
          <w:rFonts w:eastAsiaTheme="minorEastAsia"/>
        </w:rPr>
        <w:t xml:space="preserve"> (D. Md. Dec. 10, 2021) (denying approval of hybrid FLSA and Rule 23 settlement because settlement was structured solely as opt-out settlement that released claims under both</w:t>
      </w:r>
      <w:r w:rsidRPr="003C3C13">
        <w:t xml:space="preserve"> state</w:t>
      </w:r>
      <w:r w:rsidRPr="003C3C13">
        <w:rPr>
          <w:rFonts w:eastAsiaTheme="minorEastAsia"/>
        </w:rPr>
        <w:t xml:space="preserve"> law and FLSA).</w:t>
      </w:r>
    </w:p>
    <w:p w14:paraId="159AB1DE" w14:textId="0B7FCA7F" w:rsidR="003C3C13" w:rsidRPr="003C3C13" w:rsidRDefault="003C3C13" w:rsidP="003C3C13">
      <w:pPr>
        <w:pStyle w:val="FootnoteText"/>
        <w:rPr>
          <w:rFonts w:eastAsia="FreeSans"/>
        </w:rPr>
      </w:pPr>
      <w:r w:rsidRPr="003C3C13">
        <w:rPr>
          <w:i/>
        </w:rPr>
        <w:t>Sixth Circuit</w:t>
      </w:r>
      <w:r w:rsidRPr="003C3C13">
        <w:t>: Walsh v. Columbus Elec., Inc., 2022 BL 327582, 2022 WL 6645648 (S.D. Ohio Sept. 15, 2022)</w:t>
      </w:r>
      <w:r w:rsidRPr="003C3C13">
        <w:rPr>
          <w:rFonts w:eastAsia="FreeSans"/>
        </w:rPr>
        <w:t xml:space="preserve"> (denying settlement approval and explaining that releasing both FLSA and state law claims of employees who did not opt out of a specific state law class contradicts their right to affirmatively opt into a lawsuit for FLSA collective action).</w:t>
      </w:r>
    </w:p>
    <w:p w14:paraId="6AA6577B" w14:textId="77777777" w:rsidR="003C3C13" w:rsidRPr="003C3C13" w:rsidRDefault="003C3C13" w:rsidP="003C3C13">
      <w:pPr>
        <w:pStyle w:val="FootnoteText"/>
      </w:pPr>
    </w:p>
    <w:p w14:paraId="0A76EE9E" w14:textId="40881466" w:rsidR="003C3C13" w:rsidRPr="003C3C13" w:rsidRDefault="003C3C13" w:rsidP="003C3C13">
      <w:pPr>
        <w:pStyle w:val="FootnoteText"/>
      </w:pPr>
      <w:r w:rsidRPr="003C3C13">
        <w:rPr>
          <w:i/>
        </w:rPr>
        <w:t>Seventh Circuit</w:t>
      </w:r>
      <w:r w:rsidRPr="003C3C13">
        <w:t>: Butler v. American Cable &amp; Tel., LLC, 2011 WL 4729789, at *12 (N.D. Ill. Oct. 6, 2011) (“As the parties explained, and as our reading of the Agreement reveals, only those individuals who affirmatively opt in will release their FLSA claims. This is consistent with the language of the FLSA and our prior opinion, in which we held that the parties could not agree to release the claims of absent class members who do not opt in.”).</w:t>
      </w:r>
    </w:p>
    <w:p w14:paraId="0FACCA37" w14:textId="3F83519D" w:rsidR="003C3C13" w:rsidRPr="003C3C13" w:rsidRDefault="003C3C13" w:rsidP="003C3C13">
      <w:pPr>
        <w:pStyle w:val="FootnoteText"/>
      </w:pPr>
      <w:r w:rsidRPr="003C3C13">
        <w:rPr>
          <w:i/>
        </w:rPr>
        <w:t xml:space="preserve">Eighth Circuit: </w:t>
      </w:r>
      <w:r w:rsidRPr="003C3C13">
        <w:t>Donati v. Charter Commc’ns, LLC, 2012 WL 5207585, at *3–4 (W.D. Mo. Oct. 22, 2012) (explaining that only plaintiffs who affirmatively opt in to settlement will be bound by it, as FLSA rights cannot be resolved through Rule 23 opt-out procedures).</w:t>
      </w:r>
    </w:p>
    <w:p w14:paraId="72D656E6" w14:textId="2BDED598" w:rsidR="003C3C13" w:rsidRPr="003C3C13" w:rsidRDefault="003C3C13" w:rsidP="003C3C13">
      <w:pPr>
        <w:pStyle w:val="FootnoteText"/>
      </w:pPr>
      <w:r w:rsidRPr="003C3C13">
        <w:rPr>
          <w:i/>
        </w:rPr>
        <w:t xml:space="preserve">Ninth Circuit: </w:t>
      </w:r>
      <w:r w:rsidRPr="003C3C13">
        <w:t>Smith v. Kaiser Found. Hosps., 2020 BL 325051, 2020 WL 5064282 (S.D. Cal. Aug. 26, 2020) (denying settlement approval where agreement failed to make clear that opt-out notice was only required for Rule 23 class and not needed for FLSA collective); Vasquez v. Packaging Corp. of Am., 2020 WL 2559490, at *7 (C.D. Cal. Mar. 27, 2020) (release of FLSA claims via opt-out mechanism was improper); Stokes v. Interline Brands, Inc., 2014 WL 5826335, at *4 (N.D. Cal. Nov. 10, 2014) (“[T]he proposed settlement improperly seeks to compromise FLSA claims in a Rule 23 context. … FLSA claims cannot be treated within a class action under Rule 23. That is because FLSA claims are collective action claims that require an affirmative opt-in by written consent on the part of claimants, whereas Rule 23 as expressly structured here operates on an opt-out basis.”).</w:t>
      </w:r>
    </w:p>
    <w:p w14:paraId="23D0BB3B" w14:textId="77777777" w:rsidR="003C3C13" w:rsidRPr="00CE2995" w:rsidRDefault="003C3C13" w:rsidP="0034266C">
      <w:pPr>
        <w:pStyle w:val="14Footnote"/>
      </w:pPr>
    </w:p>
  </w:footnote>
  <w:footnote w:id="172">
    <w:p w14:paraId="0678CCB8" w14:textId="1EB4EEBB" w:rsidR="003C3C13" w:rsidRPr="003C3C13" w:rsidRDefault="003C3C13" w:rsidP="003C3C13">
      <w:pPr>
        <w:pStyle w:val="FootnoteText"/>
      </w:pPr>
      <w:r w:rsidRPr="003C3C13">
        <w:rPr>
          <w:rStyle w:val="FootnoteReference"/>
        </w:rPr>
        <w:footnoteRef/>
      </w:r>
      <w:r w:rsidRPr="003C3C13">
        <w:rPr>
          <w:i/>
        </w:rPr>
        <w:t>See</w:t>
      </w:r>
    </w:p>
    <w:p w14:paraId="63526BFC" w14:textId="1E372C7D" w:rsidR="003C3C13" w:rsidRPr="003C3C13" w:rsidRDefault="003C3C13" w:rsidP="003C3C13">
      <w:pPr>
        <w:pStyle w:val="FootnoteText"/>
      </w:pPr>
      <w:r w:rsidRPr="003C3C13">
        <w:rPr>
          <w:i/>
        </w:rPr>
        <w:t>Second Circuit</w:t>
      </w:r>
      <w:r w:rsidRPr="003C3C13">
        <w:t>: Bozak v. FedEx Ground Package Sys., Inc., 2014 WL 3778211, at *4–5 (D. Conn. July 31, 2014) (approving incentive award of $10,000 for named plaintiff and identifying cases awarding similar or higher amounts); Chambery v. Tuxedo Junction Inc., 2014 WL 3725157, at *11 (W.D.N.Y. July 25, 2014) (approving incentive awards ranging between $1,000 and $3,500 for named plaintiffs, $1,000 to participating plaintiffs, and $200 to class members who filed consent to join, explaining that these payments totaled only 5% of total settlement fund); Beckman v. KeyBank, N.A., 293 F.R.D. 467, 483 (S.D.N.Y. 2013) (approving awards of $5,000 and $7,500);</w:t>
      </w:r>
    </w:p>
    <w:p w14:paraId="6C0584C7" w14:textId="45B285DC" w:rsidR="003C3C13" w:rsidRPr="003C3C13" w:rsidRDefault="003C3C13" w:rsidP="003C3C13">
      <w:pPr>
        <w:pStyle w:val="FootnoteText"/>
      </w:pPr>
      <w:r w:rsidRPr="003C3C13">
        <w:rPr>
          <w:i/>
        </w:rPr>
        <w:t>Third Circuit: In re</w:t>
      </w:r>
      <w:r w:rsidRPr="003C3C13">
        <w:t xml:space="preserve"> Janney Montgomery Scott LLC Fin. Consultant Litig.,2009 WL 2137224, at *12 (E.D. Pa. July 16, 2009) (approving $20,000 enhancement award for named plaintiffs).</w:t>
      </w:r>
    </w:p>
    <w:p w14:paraId="2AC3A527" w14:textId="6CC62994" w:rsidR="003C3C13" w:rsidRPr="003C3C13" w:rsidRDefault="003C3C13" w:rsidP="003C3C13">
      <w:pPr>
        <w:pStyle w:val="FootnoteText"/>
      </w:pPr>
      <w:r w:rsidRPr="003C3C13">
        <w:rPr>
          <w:i/>
        </w:rPr>
        <w:t xml:space="preserve">Sixth Circuit: </w:t>
      </w:r>
      <w:r w:rsidRPr="003C3C13">
        <w:t>Smith v. Local Cantina, LLC, 2022 BL 139429, 2022 WL 1183325 (S.D. Ohio Apr. 19, 2022) (awarding $10,000 incentive payment).</w:t>
      </w:r>
    </w:p>
    <w:p w14:paraId="2EA3A183" w14:textId="0935F8BF" w:rsidR="003C3C13" w:rsidRPr="003C3C13" w:rsidRDefault="003C3C13" w:rsidP="003C3C13">
      <w:pPr>
        <w:pStyle w:val="FootnoteText"/>
      </w:pPr>
      <w:r w:rsidRPr="003C3C13">
        <w:rPr>
          <w:i/>
        </w:rPr>
        <w:t>Ninth Circuit</w:t>
      </w:r>
      <w:r w:rsidRPr="003C3C13">
        <w:t>: Camilo v. Ozuna, 2020 WL 1557428, at *11 (N.D. Cal. Apr. 1, 2020) (awarding $5,000 to each named plaintiff, finding amount “presumptively reasonable” by courts in district); Pike v. County of San Bernardino, 2020 WL 1049912, at *7 (C.D. Cal. Jan. 27, 2020) (granting awards of $15,000 to each of two named plaintiffs for investing extraordinary amount of time in litigation and assuming significant professional risk); O’Connor v. Uber Techs., Inc., 2019 WL 4394401, at *9 (N.D. Cal. Sept. 13, 2019) (approving awards totaling $40,000 for six class representatives, recognizing risk of injury to future employment for having their names on publicly filed pleadings and participation in discovery).</w:t>
      </w:r>
    </w:p>
    <w:p w14:paraId="5677D7FC" w14:textId="7694731A" w:rsidR="003C3C13" w:rsidRPr="003C3C13" w:rsidRDefault="003C3C13" w:rsidP="003C3C13">
      <w:pPr>
        <w:pStyle w:val="FootnoteText"/>
      </w:pPr>
      <w:r w:rsidRPr="003C3C13">
        <w:rPr>
          <w:i/>
        </w:rPr>
        <w:t xml:space="preserve">Cf. </w:t>
      </w:r>
      <w:r w:rsidRPr="003C3C13">
        <w:t>Fitzwater v. Cole, 2019 WL 6270235 (S.D. Ala. Nov. 22, 2019) (approving award of $5,000 to named plaintiff, noting that it need not opine on reasonableness of award because it was paid in exchange for general release, and not in exchange for compromise of plaintiff’s FLSA wage claims).</w:t>
      </w:r>
    </w:p>
    <w:p w14:paraId="4EA5BDA1" w14:textId="77777777" w:rsidR="003C3C13" w:rsidRPr="00CE2995" w:rsidRDefault="003C3C13" w:rsidP="0034266C">
      <w:pPr>
        <w:pStyle w:val="14Footnote"/>
      </w:pPr>
    </w:p>
  </w:footnote>
  <w:footnote w:id="173">
    <w:p w14:paraId="04382326" w14:textId="3810A3BB" w:rsidR="003C3C13" w:rsidRPr="003C3C13" w:rsidRDefault="003C3C13" w:rsidP="003C3C13">
      <w:pPr>
        <w:pStyle w:val="FootnoteText"/>
      </w:pPr>
      <w:r w:rsidRPr="003C3C13">
        <w:rPr>
          <w:rStyle w:val="FootnoteReference"/>
        </w:rPr>
        <w:footnoteRef/>
      </w:r>
      <w:r w:rsidRPr="003C3C13">
        <w:t xml:space="preserve">Frank v. Eastman Kodak Co., 228 F.R.D. 174, 187 (W.D.N.Y. 2005); </w:t>
      </w:r>
      <w:r w:rsidRPr="003C3C13">
        <w:rPr>
          <w:i/>
        </w:rPr>
        <w:t>see also</w:t>
      </w:r>
      <w:r w:rsidRPr="003C3C13">
        <w:t xml:space="preserve"> Hart v. RCI Hospitality Holdings, Inc., 2015 WL 5577713, at *19 (S.D.N.Y. Sept. 22, 2015) (awarding $15,000 incentive payments for two named plaintiffs and $2,000 incentive payments for 25 discovery participants, based on time required to assist with case and fact that incentive-payment recipients risked stigma and unwanted scrutiny by pursuing case that identified them as former or current exotic dancers).</w:t>
      </w:r>
    </w:p>
    <w:p w14:paraId="78A91888" w14:textId="77777777" w:rsidR="003C3C13" w:rsidRPr="00CE2995" w:rsidRDefault="003C3C13" w:rsidP="0034266C">
      <w:pPr>
        <w:pStyle w:val="14Footnote"/>
      </w:pPr>
    </w:p>
  </w:footnote>
  <w:footnote w:id="174">
    <w:p w14:paraId="62ABC38D" w14:textId="38079343" w:rsidR="003C3C13" w:rsidRPr="00CE2995" w:rsidRDefault="003C3C13" w:rsidP="003C3C13">
      <w:pPr>
        <w:pStyle w:val="FootnoteText"/>
      </w:pPr>
      <w:r w:rsidRPr="003C3C13">
        <w:rPr>
          <w:rStyle w:val="FootnoteReference"/>
        </w:rPr>
        <w:footnoteRef/>
      </w:r>
      <w:r w:rsidRPr="003C3C13">
        <w:t>Briggs v. PNC Fin. Servs. Grp., Inc., 2016 WL 7018566, at *2 (N.D. Ill. Nov. 29, 2016).</w:t>
      </w:r>
    </w:p>
  </w:footnote>
  <w:footnote w:id="175">
    <w:p w14:paraId="0659F446" w14:textId="71661D5D" w:rsidR="003C3C13" w:rsidRPr="00CE2995" w:rsidRDefault="003C3C13" w:rsidP="003C3C13">
      <w:pPr>
        <w:pStyle w:val="FootnoteText"/>
      </w:pPr>
      <w:r w:rsidRPr="003C3C13">
        <w:rPr>
          <w:rStyle w:val="FootnoteReference"/>
        </w:rPr>
        <w:footnoteRef/>
      </w:r>
      <w:r w:rsidRPr="003C3C13">
        <w:t xml:space="preserve">Gulino v. Symbol Techs., Inc., 2007 WL 3036890, at *2 (E.D.N.Y. Oct. 17, 2007); </w:t>
      </w:r>
      <w:r w:rsidRPr="003C3C13">
        <w:rPr>
          <w:i/>
        </w:rPr>
        <w:t>see</w:t>
      </w:r>
      <w:r w:rsidRPr="003C3C13">
        <w:t xml:space="preserve"> Maciel v. Bar 20 Dairy LLC, 2020 BL 329515, 2020 WL 5095885, at *18 (E.D. Cal. Aug. 28, 2020) (cautioning parties that at final approval stage, plaintiffs must demonstrate that requested awards are “commensurate with and do not inappropriately dwarf the awards received by class members”); Ogbuehi v. Comcast of Cal./Colo./Fla./Or., Inc., 303 F.R.D. 337, 352–53 (E.D. Cal. 2014) (explaining that if class representatives expect to routinely receive special awards, they may be tempted to accept suboptimal settlements at expense of class, thus court must balance number of plaintiffs receiving incentive payments, proportion of payments relative to settlement amount, and size of each payment).</w:t>
      </w:r>
    </w:p>
  </w:footnote>
  <w:footnote w:id="176">
    <w:p w14:paraId="46D82E09" w14:textId="077E4DAD" w:rsidR="003C3C13" w:rsidRPr="003C3C13" w:rsidRDefault="003C3C13" w:rsidP="003C3C13">
      <w:pPr>
        <w:pStyle w:val="FootnoteText"/>
      </w:pPr>
      <w:r w:rsidRPr="003C3C13">
        <w:rPr>
          <w:rStyle w:val="FootnoteReference"/>
        </w:rPr>
        <w:footnoteRef/>
      </w:r>
      <w:r w:rsidRPr="003C3C13">
        <w:t>Altnor v. Preferred Freezer Servs., Inc., 197 F. Supp. 3d 746, 770 (E.D. Pa. 2016).</w:t>
      </w:r>
    </w:p>
    <w:p w14:paraId="6E6AF971" w14:textId="77777777" w:rsidR="003C3C13" w:rsidRPr="00CE2995" w:rsidRDefault="003C3C13" w:rsidP="0034266C">
      <w:pPr>
        <w:pStyle w:val="14Footnote"/>
        <w:rPr>
          <w:iCs/>
        </w:rPr>
      </w:pPr>
    </w:p>
  </w:footnote>
  <w:footnote w:id="177">
    <w:p w14:paraId="0CE22DA8" w14:textId="75817038" w:rsidR="003C3C13" w:rsidRPr="00CE2995" w:rsidRDefault="003C3C13" w:rsidP="003C3C13">
      <w:pPr>
        <w:pStyle w:val="FootnoteText"/>
        <w:rPr>
          <w:iCs/>
        </w:rPr>
      </w:pPr>
      <w:r w:rsidRPr="003C3C13">
        <w:rPr>
          <w:rStyle w:val="FootnoteReference"/>
          <w:iCs/>
        </w:rPr>
        <w:footnoteRef/>
      </w:r>
      <w:r w:rsidRPr="003C3C13">
        <w:rPr>
          <w:i/>
        </w:rPr>
        <w:t>Guilino</w:t>
      </w:r>
      <w:r w:rsidRPr="003C3C13">
        <w:t>, 2007 WL 3036890, at *2–3.</w:t>
      </w:r>
    </w:p>
  </w:footnote>
  <w:footnote w:id="178">
    <w:p w14:paraId="41F644F5" w14:textId="765123E5" w:rsidR="003C3C13" w:rsidRPr="005F3480" w:rsidRDefault="003C3C13" w:rsidP="003C3C13">
      <w:pPr>
        <w:pStyle w:val="FootnoteText"/>
        <w:rPr>
          <w:iCs/>
        </w:rPr>
      </w:pPr>
      <w:r w:rsidRPr="003C3C13">
        <w:rPr>
          <w:rStyle w:val="FootnoteReference"/>
        </w:rPr>
        <w:footnoteRef/>
      </w:r>
      <w:r w:rsidRPr="003C3C13">
        <w:t>Mikityuk v. Cision US Inc., 2022 BL 264801, 2022 WL 3013107 (S.D.N.Y July 29, 2022) (approving service awards of up to $10,000 for named plaintiffs, $2,500 for opt-in deponent, and $1,000 for opt-in declarants); Emeterio v. A&amp;P Rest. Corp., 2022 BL 27163, 2022 WL 274007 (S.D.N.Y. Jan. 26, 2022) (service awards to named plaintiffs and opt-in plaintiffs).</w:t>
      </w:r>
    </w:p>
  </w:footnote>
  <w:footnote w:id="179">
    <w:p w14:paraId="610BB459" w14:textId="4CDA6CA7" w:rsidR="003C3C13" w:rsidRPr="00CE2995" w:rsidRDefault="003C3C13" w:rsidP="003C3C13">
      <w:pPr>
        <w:pStyle w:val="FootnoteText"/>
        <w:rPr>
          <w:color w:val="000000"/>
        </w:rPr>
      </w:pPr>
      <w:r w:rsidRPr="003C3C13">
        <w:rPr>
          <w:rStyle w:val="FootnoteReference"/>
        </w:rPr>
        <w:footnoteRef/>
      </w:r>
      <w:r w:rsidRPr="003C3C13">
        <w:t>Dixon v. Cushman &amp; Wakefield W., Inc., 2022 BL 138542, 2022 WL 1189883, at *13–14 (N.D. Cal. Apr. 21, 2022).</w:t>
      </w:r>
    </w:p>
  </w:footnote>
  <w:footnote w:id="180">
    <w:p w14:paraId="0DBC8295" w14:textId="01BB02DE" w:rsidR="003C3C13" w:rsidRPr="003C3C13" w:rsidRDefault="003C3C13" w:rsidP="003C3C13">
      <w:pPr>
        <w:pStyle w:val="FootnoteText"/>
      </w:pPr>
      <w:r w:rsidRPr="003C3C13">
        <w:rPr>
          <w:rStyle w:val="FootnoteReference"/>
        </w:rPr>
        <w:footnoteRef/>
      </w:r>
      <w:r w:rsidRPr="003C3C13">
        <w:rPr>
          <w:i/>
        </w:rPr>
        <w:t>See, e.g.</w:t>
      </w:r>
      <w:r w:rsidRPr="003C3C13">
        <w:t>,</w:t>
      </w:r>
    </w:p>
    <w:p w14:paraId="13EA3818" w14:textId="37704C79" w:rsidR="003C3C13" w:rsidRPr="003C3C13" w:rsidRDefault="003C3C13" w:rsidP="003C3C13">
      <w:pPr>
        <w:pStyle w:val="FootnoteText"/>
      </w:pPr>
      <w:r w:rsidRPr="003C3C13">
        <w:rPr>
          <w:i/>
        </w:rPr>
        <w:t xml:space="preserve">Second Circuit: </w:t>
      </w:r>
      <w:r w:rsidRPr="003C3C13">
        <w:t xml:space="preserve">Augustyniak v. Lowe’s Home Ctr., LLC, 102 F. Supp. 3d 479, 488 (W.D.N.Y. 2015) (citing </w:t>
      </w:r>
      <w:r w:rsidRPr="003C3C13">
        <w:rPr>
          <w:i/>
        </w:rPr>
        <w:t>In re</w:t>
      </w:r>
      <w:r w:rsidRPr="003C3C13">
        <w:t xml:space="preserve"> Western Union Money Transfer Litig., 2004 BL 2864, 2004 WL 3709932, at *16 (E.D.N.Y. Oct. 19, 2004)) (“However, Courts have reduced, rejected or questioned incentive awards where named plaintiffs did not perform any extraordinary services to the class. … [W]hen representative plaintiffs make what amounts to a separate peace with defendants, grave problems of collusion are raised.”); Romero v. La Revise Assocs., LLC, 58 F. Supp. 3d 411, 421–22 (S.D.N.Y. 2014) (explaining that courts have given service awards of $5,000 to $10,000 and higher in wage and hour cases, but reducing award from $10,000 to $5,000 when plaintiff had little involvement).</w:t>
      </w:r>
    </w:p>
    <w:p w14:paraId="1B76B069" w14:textId="6A329373" w:rsidR="003C3C13" w:rsidRPr="003C3C13" w:rsidRDefault="003C3C13" w:rsidP="003C3C13">
      <w:pPr>
        <w:pStyle w:val="FootnoteText"/>
      </w:pPr>
      <w:r w:rsidRPr="003C3C13">
        <w:rPr>
          <w:i/>
        </w:rPr>
        <w:t>Third Circuit: Altnor</w:t>
      </w:r>
      <w:r w:rsidRPr="003C3C13">
        <w:t>, 197 F. Supp. 3d at 771–72 (reducing incentive payments from $4,000 to $1,410.80, which, combined with named plaintiffs’ individual awards, matched largest amount that any other class member recovered, and emphasizing that plaintiffs faced minimal risks in bringing lawsuit as they were no longer employed, experienced no notoriety or personal difficulties, were not particularly involved in litigation beyond “run of the mill” assistance (were not deposed, did not attend settlement negotiations or court proceedings, or expend other resources)).</w:t>
      </w:r>
    </w:p>
    <w:p w14:paraId="335A6EC2" w14:textId="314F8649" w:rsidR="003C3C13" w:rsidRPr="003C3C13" w:rsidRDefault="003C3C13" w:rsidP="003C3C13">
      <w:pPr>
        <w:pStyle w:val="FootnoteText"/>
      </w:pPr>
      <w:r w:rsidRPr="003C3C13">
        <w:rPr>
          <w:i/>
        </w:rPr>
        <w:t xml:space="preserve">Ninth Circuit: </w:t>
      </w:r>
      <w:r w:rsidRPr="003C3C13">
        <w:t>Morrison v. American Nat’l Red Cross, 2021 BL 6200, 2021 WL 75743 (N.D. Cal. Jan. 8, 2021) (reducing incentive payment from $8,000 to $5,000 where named plaintiff spent 30 hours working on case and incentive payment was 14 times settlement amount of average class member); Leverage v. Traeger Pellet Grills, LLC, 2017 BL 450434, 2017 WL 6405619, at *7 (N.D. Cal. Dec. 15, 2017) (reducing incentive payment to one of named plaintiffs from $10,000 to $5,000, noting that $5,000 is “standard” amount); Smith v. American Greetings Corp., 2016 BL 160616, 2016 WL 2909429, at *11 (N.D. Cal. May 19, 2016) (reducing requested $7,500 service payment to $5,000, stating that plaintiff spent between “modest” 20–25 hours on litigation); Ordick v. UnionBancal Corp., 2012 BL 318358, 2012 WL 6019495, at *7 (N.D. Cal. Dec. 3, 2012) (awarding $5,000 rather than $25,000 requested based on time plaintiff spent on case).</w:t>
      </w:r>
    </w:p>
    <w:p w14:paraId="2F57CE50" w14:textId="52DF5A63" w:rsidR="003C3C13" w:rsidRPr="003C3C13" w:rsidRDefault="003C3C13" w:rsidP="003C3C13">
      <w:pPr>
        <w:pStyle w:val="FootnoteText"/>
      </w:pPr>
      <w:r w:rsidRPr="003C3C13">
        <w:rPr>
          <w:i/>
        </w:rPr>
        <w:t xml:space="preserve">Tenth Circuit: </w:t>
      </w:r>
      <w:r w:rsidRPr="003C3C13">
        <w:t>Barbosa v. National Beef Packing Co., 2015 BL 265962, 2015 WL 4920292, at *6 (D. Kan. Aug. 18, 2015) (rejecting $3,500 service payment and, based on review of time spent by named plaintiffs working on case, awarding each plaintiff $20 per hour as fair and reasonable and returning remaining balance to settlement fund).</w:t>
      </w:r>
    </w:p>
    <w:p w14:paraId="569291A0" w14:textId="77777777" w:rsidR="003C3C13" w:rsidRPr="00CE2995" w:rsidRDefault="003C3C13" w:rsidP="0034266C">
      <w:pPr>
        <w:pStyle w:val="14Footnote"/>
      </w:pPr>
    </w:p>
  </w:footnote>
  <w:footnote w:id="181">
    <w:p w14:paraId="78E8BD9E" w14:textId="5D9B66D3" w:rsidR="003C3C13" w:rsidRPr="003C3C13" w:rsidRDefault="003C3C13" w:rsidP="003C3C13">
      <w:pPr>
        <w:pStyle w:val="FootnoteText"/>
      </w:pPr>
      <w:r w:rsidRPr="003C3C13">
        <w:rPr>
          <w:rStyle w:val="FootnoteReference"/>
        </w:rPr>
        <w:footnoteRef/>
      </w:r>
      <w:r w:rsidRPr="003C3C13">
        <w:rPr>
          <w:i/>
        </w:rPr>
        <w:t>See, e.g.,</w:t>
      </w:r>
    </w:p>
    <w:p w14:paraId="13BF52C8" w14:textId="2DC484D8" w:rsidR="003C3C13" w:rsidRPr="003C3C13" w:rsidRDefault="003C3C13" w:rsidP="003C3C13">
      <w:pPr>
        <w:pStyle w:val="FootnoteText"/>
      </w:pPr>
      <w:r w:rsidRPr="003C3C13">
        <w:rPr>
          <w:i/>
        </w:rPr>
        <w:t>Second Circuit</w:t>
      </w:r>
      <w:r w:rsidRPr="003C3C13">
        <w:t>: Ortiz v. Chop’t Creative Salad Co. LLC, 89 F. Supp. 3d 573 (S.D.N.Y. 2015) (declining to award incentive payments in hybrid FLSA and Rule 23 action, explaining that named plaintiffs simply assisted counsel and did not sit for depositions or incur out-of-pocket expenses); Sakiko Fujiwara v. Sushi Yasuda Ltd., 58 F. Supp. 3d 424, 434 (S.D.N.Y. 2014) (denying request for approval of service awards because under settlement terms named plaintiffs were already receiving increased shares of settlement, and increased share was adequate compensation such that they were not entitled to additional incentive payment).</w:t>
      </w:r>
    </w:p>
    <w:p w14:paraId="2DD78A37" w14:textId="6729244A" w:rsidR="003C3C13" w:rsidRPr="003C3C13" w:rsidRDefault="003C3C13" w:rsidP="003C3C13">
      <w:pPr>
        <w:pStyle w:val="FootnoteText"/>
      </w:pPr>
      <w:r w:rsidRPr="003C3C13">
        <w:rPr>
          <w:i/>
        </w:rPr>
        <w:t>Third Circuit</w:t>
      </w:r>
      <w:r w:rsidRPr="003C3C13">
        <w:t>: Starnes v. Amazon.com, Inc., 2023 BL 155421, 2023 WL 3305159 (E.D. Pa. May 8, 2023) (holding incentive awards of $10,000 each for three named plaintiffs unreasonable because they did not sit for depositions or attend mediation; reasoning broad general release in exchange for incentive payment runs afoul of the FLSA’s goals).</w:t>
      </w:r>
    </w:p>
    <w:p w14:paraId="40DE255D" w14:textId="30621236" w:rsidR="003C3C13" w:rsidRPr="003C3C13" w:rsidRDefault="003C3C13" w:rsidP="003C3C13">
      <w:pPr>
        <w:pStyle w:val="FootnoteText"/>
      </w:pPr>
      <w:r w:rsidRPr="003C3C13">
        <w:rPr>
          <w:i/>
        </w:rPr>
        <w:t>Ninth Circuit</w:t>
      </w:r>
      <w:r w:rsidRPr="003C3C13">
        <w:t>: Sarkisov v. StoneMor Partners L.P., 2015 WL 5769621, at *4–5 (N.D. Cal. Sept. 30, 2015) (denying incentive payment and explaining that named plaintiff’s participation in case consisted of routine meetings and communications with counsel, and attending all-day mediation).</w:t>
      </w:r>
    </w:p>
    <w:p w14:paraId="254C4245" w14:textId="3D61679A" w:rsidR="003C3C13" w:rsidRPr="003C3C13" w:rsidRDefault="003C3C13" w:rsidP="003C3C13">
      <w:pPr>
        <w:pStyle w:val="FootnoteText"/>
      </w:pPr>
      <w:r w:rsidRPr="003C3C13">
        <w:rPr>
          <w:i/>
        </w:rPr>
        <w:t>Tenth Circuit</w:t>
      </w:r>
      <w:r w:rsidRPr="003C3C13">
        <w:t>: Koehler v. Freightquote.com, Inc., 2016 WL 1403730, at *10–12 (D. Kan. Apr. 11, 2016) (rejecting $20,000 incentive payment per plaintiff as too high, based on time and effort that plaintiffs had expended on case).</w:t>
      </w:r>
    </w:p>
    <w:p w14:paraId="7997109A" w14:textId="77777777" w:rsidR="003C3C13" w:rsidRPr="00CE2995" w:rsidRDefault="003C3C13" w:rsidP="0034266C">
      <w:pPr>
        <w:pStyle w:val="14Footnote"/>
      </w:pPr>
    </w:p>
  </w:footnote>
  <w:footnote w:id="182">
    <w:p w14:paraId="737C7555" w14:textId="5AA50C24" w:rsidR="003C3C13" w:rsidRPr="003C3C13" w:rsidRDefault="003C3C13" w:rsidP="003C3C13">
      <w:pPr>
        <w:pStyle w:val="FootnoteText"/>
      </w:pPr>
      <w:r w:rsidRPr="003C3C13">
        <w:rPr>
          <w:rStyle w:val="FootnoteReference"/>
        </w:rPr>
        <w:footnoteRef/>
      </w:r>
      <w:r w:rsidRPr="003C3C13">
        <w:t>Poblano v. Russell Cellular Inc., 543 F. Supp. 3d 1293 (M.D. Fla. 2021).</w:t>
      </w:r>
    </w:p>
    <w:p w14:paraId="08AE2D73" w14:textId="77777777" w:rsidR="003C3C13" w:rsidRPr="00CE2995" w:rsidRDefault="003C3C13" w:rsidP="0034266C">
      <w:pPr>
        <w:pStyle w:val="14Footnote"/>
      </w:pPr>
    </w:p>
  </w:footnote>
  <w:footnote w:id="183">
    <w:p w14:paraId="2098C8EA" w14:textId="5CD04B72" w:rsidR="003C3C13" w:rsidRPr="00CE2995" w:rsidRDefault="003C3C13" w:rsidP="003C3C13">
      <w:pPr>
        <w:pStyle w:val="FootnoteText"/>
      </w:pPr>
      <w:r w:rsidRPr="003C3C13">
        <w:rPr>
          <w:rStyle w:val="FootnoteReference"/>
        </w:rPr>
        <w:footnoteRef/>
      </w:r>
      <w:r w:rsidRPr="003C3C13">
        <w:rPr>
          <w:i/>
        </w:rPr>
        <w:t>See, e.g.</w:t>
      </w:r>
      <w:r w:rsidRPr="003C3C13">
        <w:t>, Montalvo v. Tower Life Bldg., 426 F.2d 1135, 1148–49 (5th Cir. 1970) (typewritten statement requesting that “legal action be taken to secure my claim for me due me under the [FLSA],” followed by plaintiff’s signature, was sufficient written consent); Piper v. RGIS Inventory Specialists, Inc., 2007 WL 1690887, at *7–8 (N.D. Cal. June 11, 2007) (FLSA’s opt-in requirement “does not impose hyper-technical requirement but rather, is met so long as the plaintiffs have a ‘basic understanding’ of what they are consenting to”).</w:t>
      </w:r>
    </w:p>
  </w:footnote>
  <w:footnote w:id="184">
    <w:p w14:paraId="393B3EE5" w14:textId="3DEB3FB6" w:rsidR="003C3C13" w:rsidRPr="003C3C13" w:rsidRDefault="003C3C13" w:rsidP="003C3C13">
      <w:pPr>
        <w:pStyle w:val="FootnoteText"/>
      </w:pPr>
      <w:r w:rsidRPr="003C3C13">
        <w:rPr>
          <w:rStyle w:val="FootnoteReference"/>
        </w:rPr>
        <w:footnoteRef/>
      </w:r>
      <w:r w:rsidRPr="003C3C13">
        <w:rPr>
          <w:i/>
        </w:rPr>
        <w:t>See, e.g.,</w:t>
      </w:r>
    </w:p>
    <w:p w14:paraId="30E8B9F3" w14:textId="3A373B6F" w:rsidR="003C3C13" w:rsidRPr="003C3C13" w:rsidRDefault="003C3C13" w:rsidP="003C3C13">
      <w:pPr>
        <w:pStyle w:val="FootnoteText"/>
      </w:pPr>
      <w:r w:rsidRPr="003C3C13">
        <w:rPr>
          <w:i/>
        </w:rPr>
        <w:t>Second Circuit</w:t>
      </w:r>
      <w:r w:rsidRPr="003C3C13">
        <w:t xml:space="preserve">: Lizondro-Garcia v. Kefi LLC, 2014 WL 4996248, at *2, 6, n.4 (S.D.N.Y. Oct. 7, 2014) (granting final approval of FLSA settlement utilizing “cashing of the check” opt-in procedure); </w:t>
      </w:r>
      <w:r w:rsidRPr="003C3C13">
        <w:rPr>
          <w:i/>
        </w:rPr>
        <w:t>Ortiz</w:t>
      </w:r>
      <w:r w:rsidRPr="003C3C13">
        <w:t>, 2014 WL 1378922, at *2, 14 (same).</w:t>
      </w:r>
    </w:p>
    <w:p w14:paraId="6B326230" w14:textId="73EFEA1D" w:rsidR="003C3C13" w:rsidRPr="003C3C13" w:rsidRDefault="003C3C13" w:rsidP="003C3C13">
      <w:pPr>
        <w:pStyle w:val="FootnoteText"/>
      </w:pPr>
      <w:r w:rsidRPr="003C3C13">
        <w:rPr>
          <w:i/>
        </w:rPr>
        <w:t>Fourth Circuit</w:t>
      </w:r>
      <w:r w:rsidRPr="003C3C13">
        <w:t>: Edelen v. American Residential Servs., 2013 WL 3816986, at *2 (D. Md. July 22, 2013) (granting final approval of FLSA settlement and approving use of “cashing of the check” opt-in procedure where agreement provided “members of the proposed collective class who sign or endorse their settlement checks from Defendants will be deemed to have agreed to (1) joining the FLSA collective action and (2) releasing their FLSA claims (including any claims for liquidated damages) arising out of Defendants’ purported failure to calculate their overtime rates of pay”).</w:t>
      </w:r>
    </w:p>
    <w:p w14:paraId="06EDAD26" w14:textId="55F53DBD" w:rsidR="003C3C13" w:rsidRPr="003C3C13" w:rsidRDefault="003C3C13" w:rsidP="003C3C13">
      <w:pPr>
        <w:pStyle w:val="FootnoteText"/>
      </w:pPr>
      <w:r w:rsidRPr="003C3C13">
        <w:rPr>
          <w:i/>
        </w:rPr>
        <w:t>Seventh Circuit</w:t>
      </w:r>
      <w:r w:rsidRPr="003C3C13">
        <w:t>: Besic v. Byline Bank, Inc., 2015 WL 13763028, at *2 (N.D. Ill. Oct. 26, 2015) (“cashing of the check” opt-in procedure was “calculated to maximize the collective members’ participation in the settlement” and found “the efforts to maximize participation suggest that this is not a settlement where defendants are attempting to buy peace by paying off the attorneys and leaving the collective members with a recovery that is only illusory”); Zolkos v. Scriptfleet, Inc., 2015 WL 4275540, at *3 (N.D. Ill. July 13, 2015) (granting final approval of class and collective action settlement involving “cashing of the check” FLSA opt-in procedure and noting “Class Members who negotiate their Settlement Checks irrevocably consent to join and opt-in to the FLSA collective action in this Litigation”).</w:t>
      </w:r>
    </w:p>
    <w:p w14:paraId="671838E2" w14:textId="3C4E6862" w:rsidR="003C3C13" w:rsidRPr="003C3C13" w:rsidRDefault="003C3C13" w:rsidP="003C3C13">
      <w:pPr>
        <w:pStyle w:val="FootnoteText"/>
      </w:pPr>
      <w:r w:rsidRPr="003C3C13">
        <w:rPr>
          <w:i/>
        </w:rPr>
        <w:t>Ninth Circuit</w:t>
      </w:r>
      <w:r w:rsidRPr="003C3C13">
        <w:t>: Askar v Health Providers Choice, Inc., 2021 BL 398949, 2021 WL 4846955, at *1–5 (N.D. Cal. Oct. 18, 2021) (approving settlement where class members received two checks: (1) releasing class claims, and (2) releasing FLSA claims if cashed, which constituted collective member’s opt-in form); Leverage v. Traeger Pellet Grills, LLC, 2017 WL 6405619, at *3 (N.D. Cal. Dec. 15, 2017) (granting final approval of class and collective action settlement involving “cashing of the check” FLSA opt-in procedure where settlement provided that “[c]ashing the settlement check will be deemed an opt-in for purposes of settling and releasing FLSA claim” and noting those who did not cash checks did not waive their FLSA-related claims); Sarkisov v. StoneMor Partners L.P., 2015 WL 5769621, at *2 (N.D. Cal. Sept. 30, 2015) (noting advantage of “cashing of the check” opt-in process in granting final approval of FLSA collective and class action, stating, “[s]ignificantly, the class members do not have to submit claim forms in order to receive a settlement check”).</w:t>
      </w:r>
    </w:p>
    <w:p w14:paraId="274B2B24" w14:textId="27074095" w:rsidR="003C3C13" w:rsidRPr="00CE2995" w:rsidRDefault="003C3C13" w:rsidP="003C3C13">
      <w:pPr>
        <w:pStyle w:val="FootnoteText"/>
      </w:pPr>
      <w:r w:rsidRPr="003C3C13">
        <w:rPr>
          <w:i/>
        </w:rPr>
        <w:t>Eleventh Circuit</w:t>
      </w:r>
      <w:r w:rsidRPr="003C3C13">
        <w:t>: Seghroughni v. Advantus Rest., Inc., 2015 WL 390329, at *1 n.* (M.D. Fla. Jan. 28, 2015) (granting preliminary approval of FLSA class and collective action settlement and approving use of “cashing of the check” FLSA opt-in method where settlement agreement stated “[b]y endorsing his or her settlement check, each FLSA Class Member shall release Defendants from all FLSA claims, as well as state wage and hour claims, that were brought in the Litigation or that are based on the same facts and circumstances as the claims brought in the Litigation, through the date on which the Court grants preliminary approval of the settlement”).</w:t>
      </w:r>
    </w:p>
  </w:footnote>
  <w:footnote w:id="185">
    <w:p w14:paraId="0E75CCEB" w14:textId="5C456AD2" w:rsidR="003C3C13" w:rsidRPr="003C3C13" w:rsidRDefault="003C3C13" w:rsidP="003C3C13">
      <w:pPr>
        <w:pStyle w:val="FootnoteText"/>
      </w:pPr>
      <w:r w:rsidRPr="003C3C13">
        <w:rPr>
          <w:rStyle w:val="FootnoteReference"/>
        </w:rPr>
        <w:footnoteRef/>
      </w:r>
      <w:r w:rsidRPr="003C3C13">
        <w:rPr>
          <w:i/>
        </w:rPr>
        <w:t>See, e.g.</w:t>
      </w:r>
      <w:r w:rsidRPr="003C3C13">
        <w:t>,</w:t>
      </w:r>
    </w:p>
    <w:p w14:paraId="5843025A" w14:textId="6E1FDA32" w:rsidR="003C3C13" w:rsidRPr="003C3C13" w:rsidRDefault="003C3C13" w:rsidP="003C3C13">
      <w:pPr>
        <w:pStyle w:val="FootnoteText"/>
      </w:pPr>
      <w:r w:rsidRPr="003C3C13">
        <w:rPr>
          <w:i/>
        </w:rPr>
        <w:t>Second Circuit</w:t>
      </w:r>
      <w:r w:rsidRPr="003C3C13">
        <w:t>: Xiao Ling Chen v. XpressSpa at Terminal 4 JFK LLC, 2019 WL 5792315 (E.D.N.Y. Aug. 20, 2019) (denying preliminary approval of hybrid settlement where cashing of checks was proposed as alternative to traditional opt-in notice to members of collective only); Douglas v. Allied Universal Sec. Servs., 371 F. Supp. 3d 78, 85 (E.D.N.Y. 2019) (“[the] FLSA does not allow the cashing of a settlement check to serve as an employee’s consent to become a collective member; after consenting in writing, the written consent must be filed on the docket,” and explaining that there was “no mechanism in the agreement for filing such consent with the Court”).</w:t>
      </w:r>
    </w:p>
    <w:p w14:paraId="1DBE0C44" w14:textId="57029D2F" w:rsidR="003C3C13" w:rsidRPr="003C3C13" w:rsidRDefault="003C3C13" w:rsidP="003C3C13">
      <w:pPr>
        <w:pStyle w:val="FootnoteText"/>
      </w:pPr>
      <w:r w:rsidRPr="003C3C13">
        <w:rPr>
          <w:i/>
        </w:rPr>
        <w:t>Eighth Circuit</w:t>
      </w:r>
      <w:r w:rsidRPr="003C3C13">
        <w:t>: Shepardson v. Midway Indus., Inc., 2019 WL 2743435, at *2 (W.D. Ark. July 1, 2019) (holding such check cashing to be “insufficient”: “Under the provisions of the FLSA, ‘[n]o employee shall be a party plaintiff to any such action unless he gives his consent in writing to become such a party and such consent is filed in the court in which such action is brought.’ 29 U.S.C. §216(b). Therefore, courts have held it improper to treat those who cash their settlement checks as having opted in.”).</w:t>
      </w:r>
    </w:p>
    <w:p w14:paraId="1EE950D1" w14:textId="1A54F901" w:rsidR="003C3C13" w:rsidRPr="003C3C13" w:rsidRDefault="003C3C13" w:rsidP="003C3C13">
      <w:pPr>
        <w:pStyle w:val="FootnoteText"/>
      </w:pPr>
      <w:r w:rsidRPr="003C3C13">
        <w:rPr>
          <w:i/>
        </w:rPr>
        <w:t>Ninth Circuit</w:t>
      </w:r>
      <w:r w:rsidRPr="003C3C13">
        <w:t>: Beltran v. Olam Spices &amp; Vegetables, Inc., 2020 WL 2850211, at *12 (E.D. Cal. June 2, 2020) (“opting into the FLSA collective by signing the back of the settlement check is not sufficient to comply with the FLSA”); Smothers v. Northstar Alarm Servs., LLC, 2019 WL 280294 (E.D. Cal. Jan. 22, 2019) (rejecting proposed opt in by cashing check because FLSA requires filing written consents with court); Kempen v. Matheson Tri-Gas, Inc., 2016 WL 4073336, at *9 (N.D. Cal. Aug. 1, 2016) (rejecting argument that “having class members sign, then cash, checks with purported opt-in language printed on the back” complies with plain-language requirements of §216(b)).</w:t>
      </w:r>
    </w:p>
    <w:p w14:paraId="77CE19AB" w14:textId="77777777" w:rsidR="003C3C13" w:rsidRPr="00CE2995" w:rsidRDefault="003C3C13" w:rsidP="0034266C">
      <w:pPr>
        <w:pStyle w:val="14Footnote"/>
      </w:pPr>
    </w:p>
  </w:footnote>
  <w:footnote w:id="186">
    <w:p w14:paraId="71196F79" w14:textId="48E1688A" w:rsidR="003C3C13" w:rsidRPr="00CE2995" w:rsidRDefault="003C3C13" w:rsidP="003C3C13">
      <w:pPr>
        <w:pStyle w:val="FootnoteText"/>
      </w:pPr>
      <w:r w:rsidRPr="003C3C13">
        <w:rPr>
          <w:rStyle w:val="FootnoteReference"/>
        </w:rPr>
        <w:footnoteRef/>
      </w:r>
      <w:r w:rsidRPr="003C3C13">
        <w:rPr>
          <w:i/>
        </w:rPr>
        <w:t>See, e.g.</w:t>
      </w:r>
      <w:r w:rsidRPr="003C3C13">
        <w:t>, Cunningham v. Suds Pizza, Inc., 290 F. Supp. 3d 214, 224 (W.D.N.Y. 2017) (modified settlement agreement, but reversion clause was allowed to be included in final agreement); Hart v. RCI Hospitality Holdings, Inc., 2015 WL 557773, at *12–13 (S.D.N.Y. Sept. 22, 2015) (approving settlement with reversion of unclaimed settlement funds to defendant on grounds that defendant had exposed itself to full liability and parties had negotiated amount with potential for reversion in mind); Stewart v. USA Tank Sales &amp; Erection Co., Inc., 2014 WL 836212, at *4, 6–7 (W.D. Mo. Mar. 4, 2014) (describing reversionary settlement and explaining it was not objectionable as to FLSA claims where it did not extinguish FLSA rights of those who did not opt in).</w:t>
      </w:r>
    </w:p>
  </w:footnote>
  <w:footnote w:id="187">
    <w:p w14:paraId="11900D91" w14:textId="0A74536C" w:rsidR="003C3C13" w:rsidRPr="00CE2995" w:rsidRDefault="003C3C13" w:rsidP="003C3C13">
      <w:pPr>
        <w:pStyle w:val="FootnoteText"/>
      </w:pPr>
      <w:r w:rsidRPr="003C3C13">
        <w:rPr>
          <w:rStyle w:val="FootnoteReference"/>
        </w:rPr>
        <w:footnoteRef/>
      </w:r>
      <w:r w:rsidRPr="003C3C13">
        <w:rPr>
          <w:i/>
        </w:rPr>
        <w:t>See, e.g</w:t>
      </w:r>
      <w:r w:rsidRPr="003C3C13">
        <w:t>., Grassick v. Avatar Props., Inc., 2008 WL 5099942, at *2 (M.D. Fla. Nov. 25, 2008); Lepinske v. Mercedes Homes, Inc., 2008 WL 2694111, at *2 (M.D. Fla. July 7, 2008).</w:t>
      </w:r>
    </w:p>
  </w:footnote>
  <w:footnote w:id="188">
    <w:p w14:paraId="342A83E0" w14:textId="2BB10F2E" w:rsidR="003C3C13" w:rsidRPr="00CE2995" w:rsidRDefault="003C3C13" w:rsidP="003C3C13">
      <w:pPr>
        <w:pStyle w:val="FootnoteText"/>
      </w:pPr>
      <w:r w:rsidRPr="003C3C13">
        <w:rPr>
          <w:rStyle w:val="FootnoteReference"/>
        </w:rPr>
        <w:footnoteRef/>
      </w:r>
      <w:r w:rsidRPr="003C3C13">
        <w:rPr>
          <w:i/>
        </w:rPr>
        <w:t>See, e.g.</w:t>
      </w:r>
      <w:r w:rsidRPr="003C3C13">
        <w:t>, Stewart v. USA Tank Sales &amp; Erection Co., Inc., 2014 WL 836212, at *4, 6–7 (W.D. Mo. Mar. 4, 2014) (describing reversionary settlement and explaining it was not objectionable as to FLSA claims where it did not extinguish FLSA rights of those who did not opt in).</w:t>
      </w:r>
    </w:p>
  </w:footnote>
  <w:footnote w:id="189">
    <w:p w14:paraId="7860101A" w14:textId="1A821390" w:rsidR="003C3C13" w:rsidRPr="004173A0" w:rsidRDefault="003C3C13" w:rsidP="003C3C13">
      <w:pPr>
        <w:pStyle w:val="FootnoteText"/>
        <w:rPr>
          <w:rFonts w:eastAsia="Calibri"/>
        </w:rPr>
      </w:pPr>
      <w:r w:rsidRPr="003C3C13">
        <w:rPr>
          <w:rStyle w:val="FootnoteReference"/>
        </w:rPr>
        <w:footnoteRef/>
      </w:r>
      <w:r w:rsidRPr="003C3C13">
        <w:rPr>
          <w:rFonts w:eastAsia="Calibri"/>
        </w:rPr>
        <w:t>Rouse v. Language Line Servs., Inc., 2023 BL 192849, 2023 WL 4535873 (W.D. Mo. June 6, 2023).</w:t>
      </w:r>
    </w:p>
  </w:footnote>
  <w:footnote w:id="190">
    <w:p w14:paraId="73823F32" w14:textId="2FE84A6D" w:rsidR="003C3C13" w:rsidRPr="00CE2995" w:rsidRDefault="003C3C13" w:rsidP="003C3C13">
      <w:pPr>
        <w:pStyle w:val="FootnoteText"/>
      </w:pPr>
      <w:r w:rsidRPr="003C3C13">
        <w:rPr>
          <w:rStyle w:val="FootnoteReference"/>
        </w:rPr>
        <w:footnoteRef/>
      </w:r>
      <w:r w:rsidRPr="003C3C13">
        <w:t>Myles v. AlliedBarton Sec. Servs., 2014 WL 6065602, at *3 (N.D. Cal. Nov. 12, 2014) (settlement where defendant obtains release for which it paid nothing “is not a tenable or fair approach”); Stokes v. Interline Brands, Inc., 2014 WL 5826335, at *3–4 (N.D. Cal. Nov. 10, 2014) (refusing to approve settlement involving reversion and waiver of FLSA rights for absent plaintiffs); Kakani v. Oracle Corp., 2007 WL 1793774, at *5 (N.D. Cal. June 19, 2007) (finding it unacceptable that parties agreed that all funds associated with absentee members would revert to defendant even though they explicitly recognized that some putative collective action members would never opt in or even receive notice of settlement).</w:t>
      </w:r>
    </w:p>
  </w:footnote>
  <w:footnote w:id="191">
    <w:p w14:paraId="3EC10596" w14:textId="695096AF" w:rsidR="003C3C13" w:rsidRPr="003C3C13" w:rsidRDefault="003C3C13" w:rsidP="003C3C13">
      <w:pPr>
        <w:pStyle w:val="FootnoteText"/>
      </w:pPr>
      <w:r w:rsidRPr="003C3C13">
        <w:rPr>
          <w:rStyle w:val="FootnoteReference"/>
        </w:rPr>
        <w:footnoteRef/>
      </w:r>
      <w:r w:rsidRPr="003C3C13">
        <w:t>Howard v. Web.com Grp. Inc., 2020 BL 253778, 2020 WL 3827730, at *10 (D. Ariz. July 8, 2020) (citing Khanna v. Inter–Con Sec. Sys. Inc., 2012 BL 249542, 2012 WL 4465558, at *11 (E.D. Cal. 2012) (quoting Six (6) Mexican Workers v. Arizona Citrus Growers, 904 F.2d 1301, 1308 (9th Cir. 1990))).</w:t>
      </w:r>
    </w:p>
    <w:p w14:paraId="0E0025DC" w14:textId="77777777" w:rsidR="003C3C13" w:rsidRPr="00CE2995" w:rsidRDefault="003C3C13" w:rsidP="004173A0">
      <w:pPr>
        <w:pStyle w:val="FootnoteText"/>
      </w:pPr>
    </w:p>
  </w:footnote>
  <w:footnote w:id="192">
    <w:p w14:paraId="63B2830B" w14:textId="16DEBCCB" w:rsidR="003C3C13" w:rsidRPr="003C3C13" w:rsidRDefault="003C3C13" w:rsidP="003C3C13">
      <w:pPr>
        <w:pStyle w:val="FootnoteText"/>
      </w:pPr>
      <w:r w:rsidRPr="003C3C13">
        <w:rPr>
          <w:rStyle w:val="FootnoteReference"/>
        </w:rPr>
        <w:footnoteRef/>
      </w:r>
      <w:r w:rsidRPr="003C3C13">
        <w:t>Hood v. Uber Techs., Inc., 2019 WL 93546, at *3–4 (M.D.N.C. Jan. 3, 2019</w:t>
      </w:r>
      <w:r w:rsidRPr="003C3C13">
        <w:rPr>
          <w:i/>
        </w:rPr>
        <w:t>)</w:t>
      </w:r>
      <w:r w:rsidRPr="003C3C13">
        <w:t>,</w:t>
      </w:r>
      <w:r w:rsidRPr="003C3C13">
        <w:rPr>
          <w:i/>
        </w:rPr>
        <w:t xml:space="preserve"> aff’d sub nom</w:t>
      </w:r>
      <w:r w:rsidRPr="003C3C13">
        <w:t>. Haskett v. Uber Techs., Inc., 780 F. App’x 25 (4th Cir. 2019) (citing Campbell v. City of L.A., 903 F.3d 1090, 1112 (9th Cir. 2018)) (“The statutory requirements of a collective action are independent of, and unrelated to, the requirements for class action under Rule 23.”).</w:t>
      </w:r>
    </w:p>
    <w:p w14:paraId="525A16D6" w14:textId="77777777" w:rsidR="003C3C13" w:rsidRPr="00CE2995" w:rsidRDefault="003C3C13" w:rsidP="0034266C">
      <w:pPr>
        <w:pStyle w:val="14Footnote"/>
      </w:pPr>
    </w:p>
  </w:footnote>
  <w:footnote w:id="193">
    <w:p w14:paraId="1965D6B4" w14:textId="79FD7AF4" w:rsidR="003C3C13" w:rsidRPr="003C3C13" w:rsidRDefault="003C3C13" w:rsidP="003C3C13">
      <w:pPr>
        <w:pStyle w:val="FootnoteText"/>
      </w:pPr>
      <w:r w:rsidRPr="003C3C13">
        <w:rPr>
          <w:rStyle w:val="FootnoteReference"/>
        </w:rPr>
        <w:footnoteRef/>
      </w:r>
      <w:r w:rsidRPr="003C3C13">
        <w:rPr>
          <w:i/>
        </w:rPr>
        <w:t>See</w:t>
      </w:r>
      <w:r w:rsidRPr="003C3C13">
        <w:t> 29 U.S.C. §216(b) (allowing individual to bring action “for and on behalf of himself … [and] other employees similarly situated,” but not addressing settlement authority).</w:t>
      </w:r>
    </w:p>
    <w:p w14:paraId="72EA84CA" w14:textId="77777777" w:rsidR="003C3C13" w:rsidRPr="00CE2995" w:rsidRDefault="003C3C13" w:rsidP="0034266C">
      <w:pPr>
        <w:pStyle w:val="14Footnote"/>
      </w:pPr>
    </w:p>
  </w:footnote>
  <w:footnote w:id="194">
    <w:p w14:paraId="22ED8D5F" w14:textId="4840AEAB" w:rsidR="003C3C13" w:rsidRPr="00CE2995" w:rsidRDefault="003C3C13" w:rsidP="003C3C13">
      <w:pPr>
        <w:pStyle w:val="FootnoteText"/>
      </w:pPr>
      <w:r w:rsidRPr="003C3C13">
        <w:rPr>
          <w:rStyle w:val="FootnoteReference"/>
        </w:rPr>
        <w:footnoteRef/>
      </w:r>
      <w:r w:rsidRPr="003C3C13">
        <w:t>2019 WL 93546, at *3–4 (M.D.N.C. Jan. 3, 2019</w:t>
      </w:r>
      <w:r w:rsidRPr="003C3C13">
        <w:rPr>
          <w:i/>
        </w:rPr>
        <w:t>)</w:t>
      </w:r>
      <w:r w:rsidRPr="003C3C13">
        <w:t>,</w:t>
      </w:r>
      <w:r w:rsidRPr="003C3C13">
        <w:rPr>
          <w:i/>
        </w:rPr>
        <w:t xml:space="preserve"> aff’d sub nom</w:t>
      </w:r>
      <w:r w:rsidRPr="003C3C13">
        <w:t>. Haskett v. Uber Techs., Inc., 780 F. App’x 25, 27–28 (4th Cir. 2019).</w:t>
      </w:r>
    </w:p>
  </w:footnote>
  <w:footnote w:id="195">
    <w:p w14:paraId="680BC1B3" w14:textId="7479A64B" w:rsidR="003C3C13" w:rsidRPr="00CE2995" w:rsidRDefault="003C3C13" w:rsidP="003C3C13">
      <w:pPr>
        <w:pStyle w:val="FootnoteText"/>
      </w:pPr>
      <w:r w:rsidRPr="003C3C13">
        <w:rPr>
          <w:rStyle w:val="FootnoteReference"/>
        </w:rPr>
        <w:footnoteRef/>
      </w:r>
      <w:r w:rsidRPr="003C3C13">
        <w:rPr>
          <w:i/>
        </w:rPr>
        <w:t>Hood</w:t>
      </w:r>
      <w:r w:rsidRPr="003C3C13">
        <w:t>, 2019 WL 93546, at *3–4.</w:t>
      </w:r>
    </w:p>
  </w:footnote>
  <w:footnote w:id="196">
    <w:p w14:paraId="2A8D0A7C" w14:textId="79ED72B8" w:rsidR="003C3C13" w:rsidRPr="00CE2995" w:rsidRDefault="003C3C13" w:rsidP="003C3C13">
      <w:pPr>
        <w:pStyle w:val="FootnoteText"/>
      </w:pPr>
      <w:r w:rsidRPr="003C3C13">
        <w:rPr>
          <w:rStyle w:val="FootnoteReference"/>
        </w:rPr>
        <w:footnoteRef/>
      </w:r>
      <w:r w:rsidRPr="003C3C13">
        <w:rPr>
          <w:i/>
        </w:rPr>
        <w:t xml:space="preserve">Id. </w:t>
      </w:r>
      <w:r w:rsidRPr="003C3C13">
        <w:t>(citing Halle v. West Penn Allegheny Health Sys., Inc., 842 F.3d 215, 230 (3d Cir. 2016) (finding class members waived their right to individually appeal when they signed consent forms stating they “authorize and designate the named plaintiffs to act on my behalf concerning the litigation … consideration of settlement and … all other matters pertaining to this lawsuit”); Salinas v. U.S. Xpress Enters., Inc., No. 1:13-CV-00245-TRM-SKL, Doc. 52-1 at 1 (E.D. Tenn. Sept. 10, 2014) (designating class counsel and named plaintiff as class members’ “agents in making decisions on my behalf in this litigation, including entering into settlement agreements pertaining to this matter”); McClean v. Health Sys. Inc., No. 6:11-cv-03037-DGK, Doc. 168-1 (W.D. Mo. Feb. 8, 2012) (providing that class members “designate the named Plaintiff(s) and their attorneys as my representatives to make decisions on my behalf concerning the litigation … and decisions regarding settlement”)).</w:t>
      </w:r>
    </w:p>
  </w:footnote>
  <w:footnote w:id="197">
    <w:p w14:paraId="081D007F" w14:textId="2556F734" w:rsidR="003C3C13" w:rsidRPr="003C3C13" w:rsidRDefault="003C3C13" w:rsidP="003C3C13">
      <w:pPr>
        <w:pStyle w:val="FootnoteText"/>
      </w:pPr>
      <w:r w:rsidRPr="003C3C13">
        <w:rPr>
          <w:rStyle w:val="FootnoteReference"/>
        </w:rPr>
        <w:footnoteRef/>
      </w:r>
      <w:r w:rsidRPr="003C3C13">
        <w:rPr>
          <w:i/>
        </w:rPr>
        <w:t>Id</w:t>
      </w:r>
      <w:r w:rsidRPr="003C3C13">
        <w:t>.</w:t>
      </w:r>
    </w:p>
    <w:p w14:paraId="5BA8BF5C" w14:textId="77777777" w:rsidR="003C3C13" w:rsidRPr="00CE2995" w:rsidRDefault="003C3C13" w:rsidP="0034266C">
      <w:pPr>
        <w:pStyle w:val="14Footnote"/>
      </w:pPr>
    </w:p>
  </w:footnote>
  <w:footnote w:id="198">
    <w:p w14:paraId="47EE2C65" w14:textId="14565132" w:rsidR="003C3C13" w:rsidRPr="00CE2995" w:rsidRDefault="003C3C13" w:rsidP="003C3C13">
      <w:pPr>
        <w:pStyle w:val="FootnoteText"/>
      </w:pPr>
      <w:r w:rsidRPr="003C3C13">
        <w:rPr>
          <w:rStyle w:val="FootnoteReference"/>
        </w:rPr>
        <w:footnoteRef/>
      </w:r>
      <w:r w:rsidRPr="003C3C13">
        <w:rPr>
          <w:i/>
        </w:rPr>
        <w:t>Haskett</w:t>
      </w:r>
      <w:r w:rsidRPr="003C3C13">
        <w:t>, 780 F. App’x at 27–28.</w:t>
      </w:r>
    </w:p>
  </w:footnote>
  <w:footnote w:id="199">
    <w:p w14:paraId="71DFC580" w14:textId="4E75B3B2" w:rsidR="003C3C13" w:rsidRPr="003C3C13" w:rsidRDefault="003C3C13" w:rsidP="003C3C13">
      <w:pPr>
        <w:pStyle w:val="FootnoteText"/>
      </w:pPr>
      <w:r w:rsidRPr="003C3C13">
        <w:rPr>
          <w:rStyle w:val="FootnoteReference"/>
        </w:rPr>
        <w:footnoteRef/>
      </w:r>
      <w:r w:rsidRPr="003C3C13">
        <w:rPr>
          <w:i/>
        </w:rPr>
        <w:t>See, e.g.</w:t>
      </w:r>
      <w:r w:rsidRPr="003C3C13">
        <w:t>,</w:t>
      </w:r>
    </w:p>
    <w:p w14:paraId="30A8B37E" w14:textId="147B86EA" w:rsidR="003C3C13" w:rsidRPr="003C3C13" w:rsidRDefault="003C3C13" w:rsidP="003C3C13">
      <w:pPr>
        <w:pStyle w:val="FootnoteText"/>
      </w:pPr>
      <w:r w:rsidRPr="003C3C13">
        <w:rPr>
          <w:i/>
        </w:rPr>
        <w:t xml:space="preserve">Second Circuit: </w:t>
      </w:r>
      <w:r w:rsidRPr="003C3C13">
        <w:t>Marichal v. Attending Home Care Servs., LLC, 432 F. Supp. 3d 271, 279 (E.D.N.Y. 2020) (citing Hood v. Uber Techs., Inc., 2019 WL 93546, at *3 (M.D.N.C. Jan. 3, 2019) (“It is long established that a client must give his consent to settle. … [T]he named plaintiff and his counsel in a collective action cannot settle a case on behalf of an opt-in plaintiff: the affirmative assent of each opt-in plaintiff––as a party to the case––is required.”)).</w:t>
      </w:r>
    </w:p>
    <w:p w14:paraId="52FAAEAE" w14:textId="61F36AEA" w:rsidR="003C3C13" w:rsidRPr="003C3C13" w:rsidRDefault="003C3C13" w:rsidP="003C3C13">
      <w:pPr>
        <w:pStyle w:val="FootnoteText"/>
      </w:pPr>
      <w:r w:rsidRPr="003C3C13">
        <w:rPr>
          <w:i/>
        </w:rPr>
        <w:t>Tenth Circuit</w:t>
      </w:r>
      <w:r w:rsidRPr="003C3C13">
        <w:t>: Logan v. United Am. Sec., LLC, 2021 BL 412769, 2021 WL 4990305, at *4 (D. Colo. Oct. 26, 2021) (denying settlement approval, in part, because settlement notice did not inform opt-in plaintiffs of their right to retain their own counsel or of their right not to be bound by settlement negotiated by named plaintiff); Christeson v. Amazon.com.ksdc, LLC, 2019 WL 354956, at *4 (D. Kan. Jan. 29, 2019) (“a named plaintiff’s suit becomes moot when his individual claim is satisfied and he is not authorized to settle claims on behalf of putative class members who have yet to opt in”); Prim v. Ensign U.S. Drilling, Inc., 2018 WL 3729515, at *2–4 (D. Colo. Aug. 3, 2018) (denying motion for one-step FLSA settlement approval because in one-step process, “named plaintiff is not authorized to settle claims on behalf of putative class members who have not yet opted in to the lawsuit”).</w:t>
      </w:r>
    </w:p>
    <w:p w14:paraId="760C351B" w14:textId="52597DC8" w:rsidR="003C3C13" w:rsidRPr="003C3C13" w:rsidRDefault="003C3C13" w:rsidP="003C3C13">
      <w:pPr>
        <w:pStyle w:val="FootnoteText"/>
      </w:pPr>
      <w:r w:rsidRPr="003C3C13">
        <w:rPr>
          <w:i/>
        </w:rPr>
        <w:t>Eleventh Circuit</w:t>
      </w:r>
      <w:r w:rsidRPr="003C3C13">
        <w:t>: Mygrant v. Gulf Coast Rest. Grp., Inc., 2019 WL 4620367, at *2 (S.D. Ala. Sept. 23, 2019) (requiring notice prior to settlement approval and stating: “The question, however, is not whether the class of potential opt-in plaintiffs will be harmed by the settlement but whether they will be benefited, and benefited in a way that is fair and reasonable under the circumstances. Their voice, if they have one, should be heard before that determination is definitively made.”); Perez v. Avatar Props., Inc., 2008 WL 4853642, at *3–4 (M.D. Fla. Nov. 6, 2008) (“Simply put: because Plaintiff has no independent right to represent others that have yet to appear, Plaintiff has no authority to settle their as yet unasserted claims.”).</w:t>
      </w:r>
    </w:p>
    <w:p w14:paraId="4D5E3C3A" w14:textId="77777777" w:rsidR="003C3C13" w:rsidRPr="00CE2995" w:rsidRDefault="003C3C13" w:rsidP="0034266C">
      <w:pPr>
        <w:pStyle w:val="14Footnote"/>
      </w:pPr>
    </w:p>
  </w:footnote>
  <w:footnote w:id="200">
    <w:p w14:paraId="55681DD8" w14:textId="4E3B3547" w:rsidR="003C3C13" w:rsidRPr="00CE2995" w:rsidRDefault="003C3C13" w:rsidP="003C3C13">
      <w:pPr>
        <w:pStyle w:val="FootnoteText"/>
      </w:pPr>
      <w:r w:rsidRPr="003C3C13">
        <w:rPr>
          <w:rStyle w:val="FootnoteReference"/>
        </w:rPr>
        <w:footnoteRef/>
      </w:r>
      <w:r w:rsidRPr="003C3C13">
        <w:rPr>
          <w:i/>
        </w:rPr>
        <w:t>See, e.g.</w:t>
      </w:r>
      <w:r w:rsidRPr="003C3C13">
        <w:t>, Briggs v. PNC Fin. Servs. Grp., Inc., 2016 WL 7018566, at *1 (N.D. Ill. Nov. 29, 2016) (in context of settlement approval, stating that “the failure to opt in to an FLSA lawsuit does not prevent potential members of the collective from bringing their own suits in the future”).</w:t>
      </w:r>
    </w:p>
  </w:footnote>
  <w:footnote w:id="201">
    <w:p w14:paraId="4C83D21C" w14:textId="513CAA9C" w:rsidR="003C3C13" w:rsidRPr="003C3C13" w:rsidRDefault="003C3C13" w:rsidP="003C3C13">
      <w:pPr>
        <w:pStyle w:val="FootnoteText"/>
      </w:pPr>
      <w:r w:rsidRPr="003C3C13">
        <w:rPr>
          <w:rStyle w:val="FootnoteReference"/>
        </w:rPr>
        <w:footnoteRef/>
      </w:r>
      <w:r w:rsidRPr="003C3C13">
        <w:t>Wood v. Saroj &amp; Manju Invs. Phila. LLC, 2020 BL 503988, 2020 WL 7711409 (E.D. Pa. Dec. 28, 2020).</w:t>
      </w:r>
    </w:p>
    <w:p w14:paraId="7820576E" w14:textId="77777777" w:rsidR="003C3C13" w:rsidRPr="00CE2995" w:rsidRDefault="003C3C13" w:rsidP="004173A0">
      <w:pPr>
        <w:pStyle w:val="FootnoteText"/>
      </w:pPr>
    </w:p>
  </w:footnote>
  <w:footnote w:id="202">
    <w:p w14:paraId="6997F8D7" w14:textId="3AAF2DE2" w:rsidR="003C3C13" w:rsidRPr="00CE2995" w:rsidRDefault="003C3C13" w:rsidP="003C3C13">
      <w:pPr>
        <w:pStyle w:val="FootnoteText"/>
      </w:pPr>
      <w:r w:rsidRPr="003C3C13">
        <w:rPr>
          <w:rStyle w:val="FootnoteReference"/>
        </w:rPr>
        <w:footnoteRef/>
      </w:r>
      <w:r w:rsidRPr="003C3C13">
        <w:t>29 U.S.C. §216(b) (emphasis added).</w:t>
      </w:r>
    </w:p>
  </w:footnote>
  <w:footnote w:id="203">
    <w:p w14:paraId="10EB870B" w14:textId="0CF48496" w:rsidR="003C3C13" w:rsidRPr="00CE2995" w:rsidRDefault="003C3C13" w:rsidP="003C3C13">
      <w:pPr>
        <w:pStyle w:val="FootnoteText"/>
      </w:pPr>
      <w:r w:rsidRPr="003C3C13">
        <w:rPr>
          <w:rStyle w:val="FootnoteReference"/>
        </w:rPr>
        <w:footnoteRef/>
      </w:r>
      <w:r w:rsidRPr="003C3C13">
        <w:t>See Chapter 16, §IX.F [Remedies; Attorneys’ Fees].</w:t>
      </w:r>
    </w:p>
  </w:footnote>
  <w:footnote w:id="204">
    <w:p w14:paraId="74111B91" w14:textId="5077B38B" w:rsidR="003C3C13" w:rsidRPr="00CE2995" w:rsidRDefault="003C3C13" w:rsidP="003C3C13">
      <w:pPr>
        <w:pStyle w:val="FootnoteText"/>
      </w:pPr>
      <w:r w:rsidRPr="003C3C13">
        <w:rPr>
          <w:rStyle w:val="FootnoteReference"/>
        </w:rPr>
        <w:footnoteRef/>
      </w:r>
      <w:r w:rsidRPr="003C3C13">
        <w:rPr>
          <w:i/>
        </w:rPr>
        <w:t>Id.</w:t>
      </w:r>
    </w:p>
  </w:footnote>
  <w:footnote w:id="205">
    <w:p w14:paraId="14B07069" w14:textId="156333C1" w:rsidR="003C3C13" w:rsidRPr="00CE2995" w:rsidRDefault="003C3C13" w:rsidP="003C3C13">
      <w:pPr>
        <w:pStyle w:val="FootnoteText"/>
      </w:pPr>
      <w:r w:rsidRPr="003C3C13">
        <w:rPr>
          <w:rStyle w:val="FootnoteReference"/>
        </w:rPr>
        <w:footnoteRef/>
      </w:r>
      <w:r w:rsidRPr="003C3C13">
        <w:t>Fisher v. SD Prot. Inc., 948 F.3d 593, 600 (2d Cir. 2020).</w:t>
      </w:r>
    </w:p>
  </w:footnote>
  <w:footnote w:id="206">
    <w:p w14:paraId="3A518D90" w14:textId="6BC27700" w:rsidR="003C3C13" w:rsidRPr="00CE2995" w:rsidRDefault="003C3C13" w:rsidP="003C3C13">
      <w:pPr>
        <w:pStyle w:val="FootnoteText"/>
      </w:pPr>
      <w:r w:rsidRPr="003C3C13">
        <w:rPr>
          <w:rStyle w:val="FootnoteReference"/>
        </w:rPr>
        <w:footnoteRef/>
      </w:r>
      <w:r w:rsidRPr="003C3C13">
        <w:t>See §II.B [General Principles Relating to the Settlement of Private FLSA Claims; Validity of Settlements Without Court Approval] of this chapter regarding the circuit split over whether FLSA settlements require court approval.</w:t>
      </w:r>
    </w:p>
  </w:footnote>
  <w:footnote w:id="207">
    <w:p w14:paraId="4FA436AB" w14:textId="1B2FB1AB" w:rsidR="003C3C13" w:rsidRPr="003C3C13" w:rsidRDefault="003C3C13" w:rsidP="003C3C13">
      <w:pPr>
        <w:pStyle w:val="FootnoteText"/>
      </w:pPr>
      <w:r w:rsidRPr="003C3C13">
        <w:rPr>
          <w:rStyle w:val="FootnoteReference"/>
        </w:rPr>
        <w:footnoteRef/>
      </w:r>
      <w:r w:rsidRPr="003C3C13">
        <w:rPr>
          <w:i/>
        </w:rPr>
        <w:t>See</w:t>
      </w:r>
    </w:p>
    <w:p w14:paraId="69D22286" w14:textId="44DA26C1" w:rsidR="003C3C13" w:rsidRPr="003C3C13" w:rsidRDefault="003C3C13" w:rsidP="003C3C13">
      <w:pPr>
        <w:pStyle w:val="FootnoteText"/>
      </w:pPr>
      <w:r w:rsidRPr="003C3C13">
        <w:rPr>
          <w:i/>
        </w:rPr>
        <w:t>Second Circuit</w:t>
      </w:r>
      <w:r w:rsidRPr="003C3C13">
        <w:t xml:space="preserve">: </w:t>
      </w:r>
      <w:r w:rsidRPr="003C3C13">
        <w:rPr>
          <w:i/>
        </w:rPr>
        <w:t>Fisher</w:t>
      </w:r>
      <w:r w:rsidRPr="003C3C13">
        <w:t>, 948 F.3d at 600.</w:t>
      </w:r>
    </w:p>
    <w:p w14:paraId="3D8357CE" w14:textId="000D9C59" w:rsidR="003C3C13" w:rsidRPr="003C3C13" w:rsidRDefault="003C3C13" w:rsidP="003C3C13">
      <w:pPr>
        <w:pStyle w:val="FootnoteText"/>
      </w:pPr>
      <w:r w:rsidRPr="003C3C13">
        <w:rPr>
          <w:i/>
        </w:rPr>
        <w:t>Fourth Circuit</w:t>
      </w:r>
      <w:r w:rsidRPr="003C3C13">
        <w:t>: Atkins v. Sunbelt Rentals, Inc., 2016 WL 3647610, at *4 (D. Md. June 30, 2016).</w:t>
      </w:r>
    </w:p>
    <w:p w14:paraId="72CC4D9A" w14:textId="2533BAD4" w:rsidR="003C3C13" w:rsidRPr="003C3C13" w:rsidRDefault="003C3C13" w:rsidP="003C3C13">
      <w:pPr>
        <w:pStyle w:val="FootnoteText"/>
      </w:pPr>
      <w:r w:rsidRPr="003C3C13">
        <w:rPr>
          <w:i/>
        </w:rPr>
        <w:t>Sixth Circuit</w:t>
      </w:r>
      <w:r w:rsidRPr="003C3C13">
        <w:t>: Does 1-2 v. Deja Vu Servs., Inc., 925 F.3d 886, 904 (6th Cir. 2019); Moulton v. United States Steel Corp., 581 F.3d 344, 352 (6th Cir. 2009); Hebert v. Chesapeake Operating, Inc., 2019 WL 4574509, at *3 (S.D. Ohio Sept. 20, 2019) (citing cases).</w:t>
      </w:r>
    </w:p>
    <w:p w14:paraId="22CA0FFF" w14:textId="4C932F35" w:rsidR="003C3C13" w:rsidRPr="003C3C13" w:rsidRDefault="003C3C13" w:rsidP="003C3C13">
      <w:pPr>
        <w:pStyle w:val="FootnoteText"/>
      </w:pPr>
      <w:r w:rsidRPr="003C3C13">
        <w:rPr>
          <w:i/>
        </w:rPr>
        <w:t>Ninth Circuit</w:t>
      </w:r>
      <w:r w:rsidRPr="003C3C13">
        <w:t>: Roes, 1-2 v. SFBSC Mgmt., LLC, 944 F.3d 1035, 1054 (9th Cir. 2019).</w:t>
      </w:r>
    </w:p>
    <w:p w14:paraId="3CD477A3" w14:textId="4586E3B6" w:rsidR="003C3C13" w:rsidRPr="00CE2995" w:rsidRDefault="003C3C13" w:rsidP="003C3C13">
      <w:pPr>
        <w:pStyle w:val="FootnoteText"/>
      </w:pPr>
      <w:r w:rsidRPr="003C3C13">
        <w:rPr>
          <w:i/>
        </w:rPr>
        <w:t>Eleventh Circuit</w:t>
      </w:r>
      <w:r w:rsidRPr="003C3C13">
        <w:t>: Silva v. Miller, 307 F. App’x 349, 351 (11th Cir. 2009); Williams v. Coventry Health Care of Fla., Inc., 2018 WL 1466395, at *3–4 (M.D. Fla. Mar. 26, 2018); Zegers v. Countrywide Mortg. Ventures, LC, 569 F. Supp. 2d 1259, 1261 (M.D. Fla. 2008).</w:t>
      </w:r>
    </w:p>
  </w:footnote>
  <w:footnote w:id="208">
    <w:p w14:paraId="56FA66C1" w14:textId="3475D147" w:rsidR="003C3C13" w:rsidRPr="000563AA" w:rsidRDefault="003C3C13" w:rsidP="003C3C13">
      <w:pPr>
        <w:pStyle w:val="FootnoteText"/>
      </w:pPr>
      <w:r w:rsidRPr="003C3C13">
        <w:rPr>
          <w:rStyle w:val="FootnoteReference"/>
        </w:rPr>
        <w:footnoteRef/>
      </w:r>
      <w:r w:rsidRPr="003C3C13">
        <w:t xml:space="preserve">Barbee v. Big River Steel, LLC, 927 F.3d 1024, 1027 (8th Cir. 2019); </w:t>
      </w:r>
      <w:r w:rsidRPr="003C3C13">
        <w:rPr>
          <w:i/>
        </w:rPr>
        <w:t xml:space="preserve">see also </w:t>
      </w:r>
      <w:r w:rsidRPr="003C3C13">
        <w:t xml:space="preserve">Melgar v. OK Foods, 902 F.3d 775, 779 (8th Cir. 2018) (recognizing circuit split as to whether FLSA settlements require court approval, but not deciding issue); </w:t>
      </w:r>
      <w:r w:rsidRPr="003C3C13">
        <w:rPr>
          <w:rStyle w:val="BCasenamefull"/>
        </w:rPr>
        <w:t>Vines v. Welspun Pipes Inc</w:t>
      </w:r>
      <w:r w:rsidRPr="003C3C13">
        <w:t xml:space="preserve">., 9 F.4th 849, 853–54 (8th Cir. 2021) (citing Barbee and stating that “any authority for judicial approval of FLSA settlements … does not extend to review of settled attorney fees” and “assuming that judicial approval was required for the FLSA claim, we left to district courts “the authority to ensure [(1)] the attorney fees were in fact negotiated separately and without regard to the plaintiff's FLSA claim, and [(2)] there was no conflict of interest between the attorney and his or her client.”); Shanley v. Evereve, Inc., 2022 BL 414346, 2022 WL 17076753 (D. Minn. Nov. 18, 2022) (refusing to approve settlement where attorney fees were not negotiated separately and finding potential conflict of interest between attorney and client based on percentage of fund approach, reasoning that fee award based on plaintiffs’ actual recovery to be more reasonable, citing </w:t>
      </w:r>
      <w:r w:rsidRPr="003C3C13">
        <w:rPr>
          <w:i/>
        </w:rPr>
        <w:t>Barbee</w:t>
      </w:r>
      <w:r w:rsidRPr="003C3C13">
        <w:t xml:space="preserve">); Horton v. Right Turn Supply, LLC, 455 F. Supp. 3d 202, 208 (W.D. Pa. 2020) (holding court had no authority to scrutinize attorneys’ fees when negotiated separately, following </w:t>
      </w:r>
      <w:r w:rsidRPr="003C3C13">
        <w:rPr>
          <w:i/>
        </w:rPr>
        <w:t>Barbee</w:t>
      </w:r>
      <w:r w:rsidRPr="003C3C13">
        <w:t>).</w:t>
      </w:r>
    </w:p>
  </w:footnote>
  <w:footnote w:id="209">
    <w:p w14:paraId="6CAC797B" w14:textId="26EA610B" w:rsidR="003C3C13" w:rsidRPr="003C3C13" w:rsidRDefault="003C3C13" w:rsidP="003C3C13">
      <w:pPr>
        <w:pStyle w:val="FootnoteText"/>
      </w:pPr>
      <w:r w:rsidRPr="003C3C13">
        <w:rPr>
          <w:rStyle w:val="FootnoteReference"/>
        </w:rPr>
        <w:footnoteRef/>
      </w:r>
      <w:r w:rsidRPr="003C3C13">
        <w:rPr>
          <w:i/>
        </w:rPr>
        <w:t>See</w:t>
      </w:r>
    </w:p>
    <w:p w14:paraId="2FBD4564" w14:textId="0899AB15" w:rsidR="003C3C13" w:rsidRPr="003C3C13" w:rsidRDefault="003C3C13" w:rsidP="003C3C13">
      <w:pPr>
        <w:pStyle w:val="FootnoteText"/>
      </w:pPr>
      <w:r w:rsidRPr="003C3C13">
        <w:rPr>
          <w:i/>
        </w:rPr>
        <w:t>Second Circuit: Fisher</w:t>
      </w:r>
      <w:r w:rsidRPr="003C3C13">
        <w:t>, 948 F.3d at 606.</w:t>
      </w:r>
    </w:p>
    <w:p w14:paraId="0B1BE1C7" w14:textId="0A44EE11" w:rsidR="003C3C13" w:rsidRPr="003C3C13" w:rsidRDefault="003C3C13" w:rsidP="003C3C13">
      <w:pPr>
        <w:pStyle w:val="FootnoteText"/>
      </w:pPr>
      <w:r w:rsidRPr="003C3C13">
        <w:rPr>
          <w:i/>
        </w:rPr>
        <w:t>Fourth Circuit</w:t>
      </w:r>
      <w:r w:rsidRPr="003C3C13">
        <w:t>: Saman v. LBDP, Inc., 2013 WL 2949047, at *6 (D. Md. June 13, 2013).</w:t>
      </w:r>
    </w:p>
    <w:p w14:paraId="47B1379B" w14:textId="3B70DBBA" w:rsidR="003C3C13" w:rsidRPr="003C3C13" w:rsidRDefault="003C3C13" w:rsidP="003C3C13">
      <w:pPr>
        <w:pStyle w:val="FootnoteText"/>
      </w:pPr>
      <w:r w:rsidRPr="003C3C13">
        <w:rPr>
          <w:i/>
        </w:rPr>
        <w:t xml:space="preserve">Sixth Circuit: </w:t>
      </w:r>
      <w:r w:rsidRPr="003C3C13">
        <w:t xml:space="preserve">Hebert v. Chesapeake Operating, Inc., 2019 BL 354666, 2019 WL 4574509, at *4 (S.D. Ohio Sept. 20, 2019) (distinguishing </w:t>
      </w:r>
      <w:r w:rsidRPr="003C3C13">
        <w:rPr>
          <w:i/>
        </w:rPr>
        <w:t>Barbee</w:t>
      </w:r>
      <w:r w:rsidRPr="003C3C13">
        <w:t xml:space="preserve"> because fee was not negotiated separately from recovery for plaintiffs and because Sixth Circuit precedent calls for approval of fees in common-fund FLSA settlements).</w:t>
      </w:r>
    </w:p>
    <w:p w14:paraId="74AF0481" w14:textId="73AA30F4" w:rsidR="003C3C13" w:rsidRPr="003C3C13" w:rsidRDefault="003C3C13" w:rsidP="003C3C13">
      <w:pPr>
        <w:pStyle w:val="FootnoteText"/>
      </w:pPr>
      <w:r w:rsidRPr="003C3C13">
        <w:rPr>
          <w:i/>
        </w:rPr>
        <w:t>Eleventh Circuit: Silva</w:t>
      </w:r>
      <w:r w:rsidRPr="003C3C13">
        <w:t>, 307 F. App’x at 350–51 (quoting Lynn’s Food Stores, Inc. v. United States, 679 F.2d 1350, 1352 (11th Cir. 1981)).</w:t>
      </w:r>
    </w:p>
    <w:p w14:paraId="794CC8D6" w14:textId="77777777" w:rsidR="003C3C13" w:rsidRPr="00CE2995" w:rsidRDefault="003C3C13" w:rsidP="0034266C">
      <w:pPr>
        <w:pStyle w:val="14Footnote"/>
      </w:pPr>
    </w:p>
  </w:footnote>
  <w:footnote w:id="210">
    <w:p w14:paraId="7EE811CF" w14:textId="6324FE4B" w:rsidR="003C3C13" w:rsidRPr="00CE2995" w:rsidRDefault="003C3C13" w:rsidP="003C3C13">
      <w:pPr>
        <w:pStyle w:val="FootnoteText"/>
      </w:pPr>
      <w:r w:rsidRPr="003C3C13">
        <w:rPr>
          <w:rStyle w:val="FootnoteReference"/>
        </w:rPr>
        <w:footnoteRef/>
      </w:r>
      <w:r w:rsidRPr="003C3C13">
        <w:rPr>
          <w:i/>
        </w:rPr>
        <w:t>Silva</w:t>
      </w:r>
      <w:r w:rsidRPr="003C3C13">
        <w:t>, 307 F. App’x at 351.</w:t>
      </w:r>
    </w:p>
  </w:footnote>
  <w:footnote w:id="211">
    <w:p w14:paraId="01B4527D" w14:textId="1D3C749D" w:rsidR="003C3C13" w:rsidRPr="003C3C13" w:rsidRDefault="003C3C13" w:rsidP="003C3C13">
      <w:pPr>
        <w:pStyle w:val="FootnoteText"/>
      </w:pPr>
      <w:r w:rsidRPr="003C3C13">
        <w:rPr>
          <w:rStyle w:val="FootnoteReference"/>
        </w:rPr>
        <w:footnoteRef/>
      </w:r>
      <w:r w:rsidRPr="003C3C13">
        <w:rPr>
          <w:i/>
        </w:rPr>
        <w:t>Silva</w:t>
      </w:r>
      <w:r w:rsidRPr="003C3C13">
        <w:t>, 307 F. App’x at 352; United Slate, Tile &amp; Composition Roofers v. G &amp; M Roofing &amp; Sheet Metal Co., 732 F.2d 494, 504 (5th Cir. 1984).</w:t>
      </w:r>
    </w:p>
    <w:p w14:paraId="7DCD3FED" w14:textId="77777777" w:rsidR="003C3C13" w:rsidRPr="00CE2995" w:rsidRDefault="003C3C13" w:rsidP="0034266C">
      <w:pPr>
        <w:pStyle w:val="14Footnote"/>
      </w:pPr>
    </w:p>
  </w:footnote>
  <w:footnote w:id="212">
    <w:p w14:paraId="2CB3865E" w14:textId="7EBAC2D0" w:rsidR="003C3C13" w:rsidRPr="00CE2995" w:rsidRDefault="003C3C13" w:rsidP="003C3C13">
      <w:pPr>
        <w:pStyle w:val="FootnoteText"/>
      </w:pPr>
      <w:r w:rsidRPr="003C3C13">
        <w:rPr>
          <w:rStyle w:val="FootnoteReference"/>
        </w:rPr>
        <w:footnoteRef/>
      </w:r>
      <w:r w:rsidRPr="003C3C13">
        <w:rPr>
          <w:i/>
        </w:rPr>
        <w:t>Melgar</w:t>
      </w:r>
      <w:r w:rsidRPr="003C3C13">
        <w:t xml:space="preserve">, 902 F.3d at 779; </w:t>
      </w:r>
      <w:r w:rsidRPr="003C3C13">
        <w:rPr>
          <w:i/>
        </w:rPr>
        <w:t xml:space="preserve">see also </w:t>
      </w:r>
      <w:r w:rsidRPr="003C3C13">
        <w:t>Bonetti v. Embarq Mgmt. Co., 715 F. Supp. 2d 1222, 1228 (M.D. Fla. 2009) (where settlement amount to be paid to plaintiff was deemed reasonable and fees were negotiated separately, finding no need to review reasonableness of fee amount).</w:t>
      </w:r>
    </w:p>
  </w:footnote>
  <w:footnote w:id="213">
    <w:p w14:paraId="0E658CB9" w14:textId="48A2C685" w:rsidR="003C3C13" w:rsidRPr="00CE2995" w:rsidRDefault="003C3C13" w:rsidP="003C3C13">
      <w:pPr>
        <w:pStyle w:val="FootnoteText"/>
      </w:pPr>
      <w:r w:rsidRPr="003C3C13">
        <w:rPr>
          <w:rStyle w:val="FootnoteReference"/>
        </w:rPr>
        <w:footnoteRef/>
      </w:r>
      <w:r w:rsidRPr="003C3C13">
        <w:t>Roes, 1-2 v. SFBSC Mgmt., LLC, 944 F.3d 1035, 1051 (9th Cir. 2019) (quotations omitted).</w:t>
      </w:r>
    </w:p>
  </w:footnote>
  <w:footnote w:id="214">
    <w:p w14:paraId="60D3A8EA" w14:textId="271851AD" w:rsidR="003C3C13" w:rsidRPr="00CE2995" w:rsidRDefault="003C3C13" w:rsidP="003C3C13">
      <w:pPr>
        <w:pStyle w:val="FootnoteText"/>
      </w:pPr>
      <w:r w:rsidRPr="003C3C13">
        <w:rPr>
          <w:rStyle w:val="FootnoteReference"/>
        </w:rPr>
        <w:footnoteRef/>
      </w:r>
      <w:r w:rsidRPr="003C3C13">
        <w:rPr>
          <w:i/>
        </w:rPr>
        <w:t xml:space="preserve">Id. </w:t>
      </w:r>
      <w:r w:rsidRPr="003C3C13">
        <w:t xml:space="preserve">(quotations omitted); </w:t>
      </w:r>
      <w:r w:rsidRPr="003C3C13">
        <w:rPr>
          <w:i/>
        </w:rPr>
        <w:t xml:space="preserve">see also </w:t>
      </w:r>
      <w:r w:rsidRPr="003C3C13">
        <w:t>Williams v. Coventry Health Care of Fla., Inc., 2018 WL 1466395, at *4 (M.D. Fla. Mar. 26, 2018) (lump-sum settlement amount, which includes attorneys’ fees, must be reviewed “independently”); Poulin v. General Dynamics Shared Red., Inc., 2010 WL 1813497, at *1 (W.D. Va. May 5, 2010) (in reviewing appropriateness of attorneys’ fee award in FLSA settlement, court must review “‘the reasonableness of counsel’s legal fees to assure both that counsel is compensated adequately and that no conflict of interests taints the amount the wronged employee recovers under a Settlement Agreement’”) (quoting Silva v. Miller, 307 F. App’x 349, 351 (11th Cir. 2009)); Zegers v. Countrywide Mortg. Ventures, LC, 569 F. Supp. 2d 1259, 1268 (M.D. Fla. 2008) (for purposes of determining a reasonable fee under the FLSA, finding “no reasonable basis to distinguish between a plaintiff who prevails through settlement and one who prevails at trial”).</w:t>
      </w:r>
    </w:p>
  </w:footnote>
  <w:footnote w:id="215">
    <w:p w14:paraId="27DFA8AE" w14:textId="3C2209C4" w:rsidR="003C3C13" w:rsidRPr="00CE2995" w:rsidRDefault="003C3C13" w:rsidP="003C3C13">
      <w:pPr>
        <w:pStyle w:val="FootnoteText"/>
      </w:pPr>
      <w:r w:rsidRPr="003C3C13">
        <w:rPr>
          <w:rStyle w:val="FootnoteReference"/>
        </w:rPr>
        <w:footnoteRef/>
      </w:r>
      <w:r w:rsidRPr="003C3C13">
        <w:t>Fisher v. SD Prot. Inc., 948 F.3d 593, 606 (2d Cir. 2020).</w:t>
      </w:r>
    </w:p>
  </w:footnote>
  <w:footnote w:id="216">
    <w:p w14:paraId="73B4D875" w14:textId="6B021ABC" w:rsidR="003C3C13" w:rsidRPr="00CE2995" w:rsidRDefault="003C3C13" w:rsidP="003C3C13">
      <w:pPr>
        <w:pStyle w:val="FootnoteText"/>
      </w:pPr>
      <w:r w:rsidRPr="003C3C13">
        <w:rPr>
          <w:rStyle w:val="FootnoteReference"/>
        </w:rPr>
        <w:footnoteRef/>
      </w:r>
      <w:r w:rsidRPr="003C3C13">
        <w:rPr>
          <w:i/>
        </w:rPr>
        <w:t>Id.</w:t>
      </w:r>
    </w:p>
  </w:footnote>
  <w:footnote w:id="217">
    <w:p w14:paraId="79C37CC9" w14:textId="4AC883AD" w:rsidR="003C3C13" w:rsidRPr="003C3C13" w:rsidRDefault="003C3C13" w:rsidP="003C3C13">
      <w:pPr>
        <w:pStyle w:val="FootnoteText"/>
      </w:pPr>
      <w:r w:rsidRPr="003C3C13">
        <w:rPr>
          <w:rStyle w:val="FootnoteReference"/>
        </w:rPr>
        <w:footnoteRef/>
      </w:r>
      <w:r w:rsidRPr="003C3C13">
        <w:rPr>
          <w:i/>
        </w:rPr>
        <w:t xml:space="preserve">Id. </w:t>
      </w:r>
      <w:r w:rsidRPr="003C3C13">
        <w:t>On remand, the district court concluded that the proposed fee was not reasonable because the hourly rates were excessive, the time entries were vague, and the risk and complexities were minimal, as well as finding the requested fee too high in proportion to the claimed damages. Fisher v. SD Prot. Inc., 2020 WL 1685918 (S.D.N.Y. Apr. 7, 2020) (citing Goldberger v. Integrated Rest. Inc., 209 F.3d 43 (2d Cir. 2000)).</w:t>
      </w:r>
    </w:p>
    <w:p w14:paraId="5B9715A4" w14:textId="77777777" w:rsidR="003C3C13" w:rsidRPr="00CE2995" w:rsidRDefault="003C3C13" w:rsidP="0034266C">
      <w:pPr>
        <w:pStyle w:val="14Footnote"/>
      </w:pPr>
    </w:p>
  </w:footnote>
  <w:footnote w:id="218">
    <w:p w14:paraId="60E22463" w14:textId="0970548D" w:rsidR="003C3C13" w:rsidRPr="003C3C13" w:rsidRDefault="003C3C13" w:rsidP="003C3C13">
      <w:pPr>
        <w:pStyle w:val="FootnoteText"/>
      </w:pPr>
      <w:r w:rsidRPr="003C3C13">
        <w:rPr>
          <w:rStyle w:val="FootnoteReference"/>
        </w:rPr>
        <w:footnoteRef/>
      </w:r>
      <w:r w:rsidRPr="003C3C13">
        <w:rPr>
          <w:i/>
        </w:rPr>
        <w:t>See, e.g.</w:t>
      </w:r>
      <w:r w:rsidRPr="003C3C13">
        <w:t>,</w:t>
      </w:r>
    </w:p>
    <w:p w14:paraId="5E9ACAEC" w14:textId="35684A63" w:rsidR="003C3C13" w:rsidRPr="003C3C13" w:rsidRDefault="003C3C13" w:rsidP="003C3C13">
      <w:pPr>
        <w:pStyle w:val="FootnoteText"/>
      </w:pPr>
      <w:r w:rsidRPr="003C3C13">
        <w:rPr>
          <w:i/>
        </w:rPr>
        <w:t>Fourth Circuit</w:t>
      </w:r>
      <w:r w:rsidRPr="003C3C13">
        <w:t>: Gagliastre v. Captain George’s Seafood Rest., LP, 2019 WL 2288441, at *7 (E.D. Va. May 29, 2019) (awarding 25% rather than requested 33% fee, with no funds to “revert” to defendant).</w:t>
      </w:r>
    </w:p>
    <w:p w14:paraId="73679B38" w14:textId="7CFA9566" w:rsidR="003C3C13" w:rsidRPr="003C3C13" w:rsidRDefault="003C3C13" w:rsidP="003C3C13">
      <w:pPr>
        <w:pStyle w:val="FootnoteText"/>
      </w:pPr>
      <w:r w:rsidRPr="003C3C13">
        <w:rPr>
          <w:i/>
        </w:rPr>
        <w:t>Seventh Circuit</w:t>
      </w:r>
      <w:r w:rsidRPr="003C3C13">
        <w:t>: Sherman v. Gateway Elec. Med. Mgmt., 2009 WL 48150, at *3–4 (S.D. Ind. Jan. 7, 2009) (approving settlement but ordering funds remaining because of reduced fee award to be distributed to class).</w:t>
      </w:r>
    </w:p>
    <w:p w14:paraId="68BAAB3A" w14:textId="3442574D" w:rsidR="003C3C13" w:rsidRPr="00CE2995" w:rsidRDefault="003C3C13" w:rsidP="003C3C13">
      <w:pPr>
        <w:pStyle w:val="FootnoteText"/>
      </w:pPr>
      <w:r w:rsidRPr="003C3C13">
        <w:rPr>
          <w:i/>
        </w:rPr>
        <w:t>Ninth Circuit</w:t>
      </w:r>
      <w:r w:rsidRPr="003C3C13">
        <w:t>: Viceral v. Mistras Grp., Inc., 2017 WL 661352, at *3 (N.D. Cal. Feb. 17, 2017) (approving settlement, but reducing fee from 1/3 of recovery to 90% of lodestar)</w:t>
      </w:r>
    </w:p>
  </w:footnote>
  <w:footnote w:id="219">
    <w:p w14:paraId="34DD216D" w14:textId="538F32EE" w:rsidR="003C3C13" w:rsidRPr="003C3C13" w:rsidRDefault="003C3C13" w:rsidP="003C3C13">
      <w:pPr>
        <w:pStyle w:val="FootnoteText"/>
      </w:pPr>
      <w:r w:rsidRPr="003C3C13">
        <w:rPr>
          <w:rStyle w:val="FootnoteReference"/>
        </w:rPr>
        <w:footnoteRef/>
      </w:r>
      <w:r w:rsidRPr="003C3C13">
        <w:t>Silva v. Miller, 307 F. App’x 348, 351 (11th Cir. 2009); Atkins v. Sunbelt Rentals, Inc., 2016 WL 3647610, at *4 (D. Md. June 30, 2016); Saman v. LBDP, Inc., 2013 WL 2949047, at *6 (D. Md. June 13, 2013); Zegers v. Countrywide Mortg. Ventures, LC 569 F. Supp. 2d 1259, 1261 (M.D. Fla. 2008).</w:t>
      </w:r>
    </w:p>
    <w:p w14:paraId="22582BEA" w14:textId="77777777" w:rsidR="003C3C13" w:rsidRPr="00CE2995" w:rsidRDefault="003C3C13" w:rsidP="0034266C">
      <w:pPr>
        <w:pStyle w:val="14Footnote"/>
      </w:pPr>
    </w:p>
  </w:footnote>
  <w:footnote w:id="220">
    <w:p w14:paraId="7A8F9677" w14:textId="701BF884" w:rsidR="003C3C13" w:rsidRPr="003C3C13" w:rsidRDefault="003C3C13" w:rsidP="003C3C13">
      <w:pPr>
        <w:pStyle w:val="FootnoteText"/>
      </w:pPr>
      <w:r w:rsidRPr="003C3C13">
        <w:rPr>
          <w:rStyle w:val="FootnoteReference"/>
        </w:rPr>
        <w:footnoteRef/>
      </w:r>
      <w:r w:rsidRPr="003C3C13">
        <w:rPr>
          <w:i/>
        </w:rPr>
        <w:t>See, e.g.</w:t>
      </w:r>
      <w:r w:rsidRPr="003C3C13">
        <w:t>,</w:t>
      </w:r>
    </w:p>
    <w:p w14:paraId="718C43C5" w14:textId="7C19CE18" w:rsidR="003C3C13" w:rsidRPr="003C3C13" w:rsidRDefault="003C3C13" w:rsidP="003C3C13">
      <w:pPr>
        <w:pStyle w:val="FootnoteText"/>
      </w:pPr>
      <w:r w:rsidRPr="003C3C13">
        <w:rPr>
          <w:i/>
        </w:rPr>
        <w:t xml:space="preserve">Second Circuit: </w:t>
      </w:r>
      <w:r w:rsidRPr="003C3C13">
        <w:t>Ortiz v. Chop’t Creative Salad Co. LLC, 89 F. Supp. 3d 573, 590 (S.D.N.Y. 2015) (quoting McDaniel v. County of Schenectady, 595 F.3d 411, 417 (2d Cir. 2010)).</w:t>
      </w:r>
    </w:p>
    <w:p w14:paraId="2D10D62D" w14:textId="05046F86" w:rsidR="003C3C13" w:rsidRPr="003C3C13" w:rsidRDefault="003C3C13" w:rsidP="003C3C13">
      <w:pPr>
        <w:pStyle w:val="FootnoteText"/>
      </w:pPr>
      <w:r w:rsidRPr="003C3C13">
        <w:rPr>
          <w:i/>
        </w:rPr>
        <w:t>Third Circuit</w:t>
      </w:r>
      <w:r w:rsidRPr="003C3C13">
        <w:t xml:space="preserve">: Acevedo v. Brightview Landscapes, LLC, 2017 WL 4354809, at *16 (M.D. Pa. Oct. 2, 2017) (citing </w:t>
      </w:r>
      <w:r w:rsidRPr="003C3C13">
        <w:rPr>
          <w:rStyle w:val="BCasenamefull"/>
        </w:rPr>
        <w:t xml:space="preserve">In re </w:t>
      </w:r>
      <w:r w:rsidRPr="003C3C13">
        <w:t>Diet Drugs Prod. Liab. Litig., 581 F.3d 524, 540 (3d Cir. 2009)).</w:t>
      </w:r>
    </w:p>
    <w:p w14:paraId="79F54EB1" w14:textId="5C7E0F2A" w:rsidR="003C3C13" w:rsidRPr="003C3C13" w:rsidRDefault="003C3C13" w:rsidP="003C3C13">
      <w:pPr>
        <w:pStyle w:val="FootnoteText"/>
      </w:pPr>
      <w:r w:rsidRPr="003C3C13">
        <w:rPr>
          <w:i/>
        </w:rPr>
        <w:t>Fourth Circuit</w:t>
      </w:r>
      <w:r w:rsidRPr="003C3C13">
        <w:t xml:space="preserve">: </w:t>
      </w:r>
      <w:r w:rsidRPr="003C3C13">
        <w:rPr>
          <w:i/>
        </w:rPr>
        <w:t>Gagliastre</w:t>
      </w:r>
      <w:r w:rsidRPr="003C3C13">
        <w:t>, 2019 WL 2288441, at *4.</w:t>
      </w:r>
    </w:p>
    <w:p w14:paraId="52D8CE0B" w14:textId="6B18B1B8" w:rsidR="003C3C13" w:rsidRPr="003C3C13" w:rsidRDefault="003C3C13" w:rsidP="003C3C13">
      <w:pPr>
        <w:pStyle w:val="FootnoteText"/>
      </w:pPr>
      <w:r w:rsidRPr="003C3C13">
        <w:rPr>
          <w:i/>
        </w:rPr>
        <w:t>Ninth Circuit</w:t>
      </w:r>
      <w:r w:rsidRPr="003C3C13">
        <w:t>: Englert v. City of Merced, 2020 WL 2215749, at *11 (E.D. Cal. May 7, 2020) (citing Hanlon v. Chrysler Corp., 150 F.3d 1011, 1029 (9th Cir. 1998)); Viceral v. Mistras Grp., Inc., 2017 WL 661352, at *3 (N.D. Cal. Feb. 17, 2017).</w:t>
      </w:r>
    </w:p>
    <w:p w14:paraId="62654BA5" w14:textId="77777777" w:rsidR="003C3C13" w:rsidRPr="00CE2995" w:rsidRDefault="003C3C13" w:rsidP="0034266C">
      <w:pPr>
        <w:pStyle w:val="14Footnote"/>
      </w:pPr>
    </w:p>
  </w:footnote>
  <w:footnote w:id="221">
    <w:p w14:paraId="36F9F716" w14:textId="5E26E41C" w:rsidR="003C3C13" w:rsidRPr="003C3C13" w:rsidRDefault="003C3C13" w:rsidP="003C3C13">
      <w:pPr>
        <w:pStyle w:val="FootnoteText"/>
      </w:pPr>
      <w:r w:rsidRPr="003C3C13">
        <w:rPr>
          <w:rStyle w:val="FootnoteReference"/>
        </w:rPr>
        <w:footnoteRef/>
      </w:r>
      <w:r w:rsidRPr="003C3C13">
        <w:rPr>
          <w:i/>
        </w:rPr>
        <w:t>Second Circuit</w:t>
      </w:r>
      <w:r w:rsidRPr="003C3C13">
        <w:t xml:space="preserve">: Beebe v. V&amp;J Nat’l Enters., LLC, 2020 WL 2833009, at *8 (W.D.N.Y. June 1, 2020); Monserrate v. Tequipment, Inc., 2012 WL 5830557, at *1 (E.D.N.Y. Nov. 16, 2012) (citing </w:t>
      </w:r>
      <w:r w:rsidRPr="003C3C13">
        <w:rPr>
          <w:i/>
        </w:rPr>
        <w:t>McDaniel</w:t>
      </w:r>
      <w:r w:rsidRPr="003C3C13">
        <w:t>, 595 F.3d at 417); Frank v. Eastman Kodak Co., 228 F.R.D. 174, 188 (W.D.N.Y. 2005) (citing Wal-Mart Stores, Inc. v. Visa U.S.A., Inc. 396 F.3d 96 (2d Cir. 2005)).</w:t>
      </w:r>
    </w:p>
    <w:p w14:paraId="2E88C82E" w14:textId="371A424E" w:rsidR="003C3C13" w:rsidRPr="003C3C13" w:rsidRDefault="003C3C13" w:rsidP="003C3C13">
      <w:pPr>
        <w:pStyle w:val="FootnoteText"/>
      </w:pPr>
      <w:r w:rsidRPr="003C3C13">
        <w:rPr>
          <w:i/>
        </w:rPr>
        <w:t>Third Circuit</w:t>
      </w:r>
      <w:r w:rsidRPr="003C3C13">
        <w:t xml:space="preserve">: </w:t>
      </w:r>
      <w:r w:rsidRPr="003C3C13">
        <w:rPr>
          <w:i/>
        </w:rPr>
        <w:t>Acevedo</w:t>
      </w:r>
      <w:r w:rsidRPr="003C3C13">
        <w:t>, 2017 WL 4354809, at *16.</w:t>
      </w:r>
    </w:p>
    <w:p w14:paraId="50746799" w14:textId="7B83E782" w:rsidR="003C3C13" w:rsidRPr="003C3C13" w:rsidRDefault="003C3C13" w:rsidP="003C3C13">
      <w:pPr>
        <w:pStyle w:val="FootnoteText"/>
      </w:pPr>
      <w:r w:rsidRPr="003C3C13">
        <w:rPr>
          <w:i/>
        </w:rPr>
        <w:t>Fourth Circuit</w:t>
      </w:r>
      <w:r w:rsidRPr="003C3C13">
        <w:t xml:space="preserve">: </w:t>
      </w:r>
      <w:r w:rsidRPr="003C3C13">
        <w:rPr>
          <w:i/>
        </w:rPr>
        <w:t>Gagliastre</w:t>
      </w:r>
      <w:r w:rsidRPr="003C3C13">
        <w:t>, 2019 WL 2288441, at *4.</w:t>
      </w:r>
    </w:p>
    <w:p w14:paraId="1CB73F16" w14:textId="0E556229" w:rsidR="003C3C13" w:rsidRPr="003C3C13" w:rsidRDefault="003C3C13" w:rsidP="003C3C13">
      <w:pPr>
        <w:pStyle w:val="FootnoteText"/>
      </w:pPr>
      <w:r w:rsidRPr="003C3C13">
        <w:rPr>
          <w:i/>
        </w:rPr>
        <w:t>Fifth Circuit</w:t>
      </w:r>
      <w:r w:rsidRPr="003C3C13">
        <w:t>: Kreher v. City of Atlanta, 2008 WL 11399561, at *5 (N.D. Ga. Sept. 30, 2008).</w:t>
      </w:r>
    </w:p>
    <w:p w14:paraId="3CFBF50D" w14:textId="7CA38327" w:rsidR="003C3C13" w:rsidRPr="003C3C13" w:rsidRDefault="003C3C13" w:rsidP="003C3C13">
      <w:pPr>
        <w:pStyle w:val="FootnoteText"/>
      </w:pPr>
      <w:r w:rsidRPr="003C3C13">
        <w:rPr>
          <w:i/>
        </w:rPr>
        <w:t>Sixth Circuit</w:t>
      </w:r>
      <w:r w:rsidRPr="003C3C13">
        <w:t>: Daoust v. Maru Rest., LLC, 2019 WL 2866490, at *5 (E.D. Mich. July 3, 2019); Dillow v. Home Care Network, Inc., 2018 WL 4776977, at *4 (S.D. Ohio Oct. 3, 2018).</w:t>
      </w:r>
    </w:p>
    <w:p w14:paraId="28F4C732" w14:textId="27EB5B37" w:rsidR="003C3C13" w:rsidRPr="00CE2995" w:rsidRDefault="003C3C13" w:rsidP="003C3C13">
      <w:pPr>
        <w:pStyle w:val="FootnoteText"/>
      </w:pPr>
      <w:r w:rsidRPr="003C3C13">
        <w:rPr>
          <w:i/>
        </w:rPr>
        <w:t>Tenth Circuit</w:t>
      </w:r>
      <w:r w:rsidRPr="003C3C13">
        <w:t>: Aragon v. Clear Water Prods. LLC, 2018 WL 6620724, at *4 (D. Colo. Dec. 18, 2018) (citing Uselton v. Commercial Lovelace Motor Freight, Inc., 9 F.3d 849, 853 (10th Cir. 1993)).</w:t>
      </w:r>
    </w:p>
  </w:footnote>
  <w:footnote w:id="222">
    <w:p w14:paraId="40B20DEC" w14:textId="0B172420" w:rsidR="003C3C13" w:rsidRPr="00CE2995" w:rsidRDefault="003C3C13" w:rsidP="003C3C13">
      <w:pPr>
        <w:pStyle w:val="FootnoteText"/>
      </w:pPr>
      <w:r w:rsidRPr="003C3C13">
        <w:rPr>
          <w:rStyle w:val="FootnoteReference"/>
        </w:rPr>
        <w:footnoteRef/>
      </w:r>
      <w:r w:rsidRPr="003C3C13">
        <w:t xml:space="preserve">Williams v. Coventry Health Care of Fla., Inc., 2018 WL 1466395, at *4 (M.D. Fla. Mar. 26, 2018) (electing to employ “lodestar method combined with the Court’s common sense and expertise” in determining reasonable fee); </w:t>
      </w:r>
      <w:r w:rsidRPr="003C3C13">
        <w:rPr>
          <w:i/>
        </w:rPr>
        <w:t>Viceral</w:t>
      </w:r>
      <w:r w:rsidRPr="003C3C13">
        <w:t>, 2017 WL 661352, at *4 (choosing lodestar over percentage of recovery method, as 25% of recovery would result in unwarranted enhancement of lodestar).</w:t>
      </w:r>
    </w:p>
  </w:footnote>
  <w:footnote w:id="223">
    <w:p w14:paraId="122B2760" w14:textId="752ED9C0" w:rsidR="003C3C13" w:rsidRPr="00CE2995" w:rsidRDefault="003C3C13" w:rsidP="003C3C13">
      <w:pPr>
        <w:pStyle w:val="FootnoteText"/>
      </w:pPr>
      <w:r w:rsidRPr="003C3C13">
        <w:rPr>
          <w:rStyle w:val="FootnoteReference"/>
        </w:rPr>
        <w:footnoteRef/>
      </w:r>
      <w:r w:rsidRPr="003C3C13">
        <w:t>Boeing Co. v. Van Gemert, 444 U.S. 472, 478 (1980) (non-FLSA case).</w:t>
      </w:r>
    </w:p>
  </w:footnote>
  <w:footnote w:id="224">
    <w:p w14:paraId="0A888C65" w14:textId="4206DB0C" w:rsidR="003C3C13" w:rsidRPr="00CE2995" w:rsidRDefault="003C3C13" w:rsidP="003C3C13">
      <w:pPr>
        <w:pStyle w:val="FootnoteText"/>
      </w:pPr>
      <w:r w:rsidRPr="003C3C13">
        <w:rPr>
          <w:rStyle w:val="FootnoteReference"/>
        </w:rPr>
        <w:footnoteRef/>
      </w:r>
      <w:r w:rsidRPr="003C3C13">
        <w:t>US Airways, Inc. v. McCutchen, 569 U.S. 88, 104 (2013).</w:t>
      </w:r>
    </w:p>
  </w:footnote>
  <w:footnote w:id="225">
    <w:p w14:paraId="54A3E2C7" w14:textId="78F78143" w:rsidR="003C3C13" w:rsidRPr="00CE2995" w:rsidRDefault="003C3C13" w:rsidP="003C3C13">
      <w:pPr>
        <w:pStyle w:val="FootnoteText"/>
      </w:pPr>
      <w:r w:rsidRPr="003C3C13">
        <w:rPr>
          <w:rStyle w:val="FootnoteReference"/>
        </w:rPr>
        <w:footnoteRef/>
      </w:r>
      <w:r w:rsidRPr="003C3C13">
        <w:t>Rawlings v. Prudential-Bache Props., Inc., 9 F.3d 513, 516 (6th Cir. 1993).</w:t>
      </w:r>
    </w:p>
  </w:footnote>
  <w:footnote w:id="226">
    <w:p w14:paraId="0197F5EF" w14:textId="31722DB2" w:rsidR="003C3C13" w:rsidRPr="003C3C13" w:rsidRDefault="003C3C13" w:rsidP="003C3C13">
      <w:pPr>
        <w:pStyle w:val="FootnoteText"/>
      </w:pPr>
      <w:r w:rsidRPr="003C3C13">
        <w:rPr>
          <w:rStyle w:val="FootnoteReference"/>
        </w:rPr>
        <w:footnoteRef/>
      </w:r>
      <w:r w:rsidRPr="003C3C13">
        <w:t xml:space="preserve">Skelton v. General Motors Corp., 860 F.2d 250, 256 (7th Cir. 1998) (citing </w:t>
      </w:r>
      <w:r w:rsidRPr="003C3C13">
        <w:rPr>
          <w:i/>
        </w:rPr>
        <w:t>In re</w:t>
      </w:r>
      <w:r w:rsidRPr="003C3C13">
        <w:t xml:space="preserve"> Fine Paper Antitrust Litig., 751 F.2d 562, 582 (3d Cir.1984)); </w:t>
      </w:r>
      <w:r w:rsidRPr="003C3C13">
        <w:rPr>
          <w:i/>
        </w:rPr>
        <w:t>see also</w:t>
      </w:r>
    </w:p>
    <w:p w14:paraId="3DC28021" w14:textId="044FC668" w:rsidR="003C3C13" w:rsidRPr="003C3C13" w:rsidRDefault="003C3C13" w:rsidP="003C3C13">
      <w:pPr>
        <w:pStyle w:val="FootnoteText"/>
      </w:pPr>
      <w:r w:rsidRPr="003C3C13">
        <w:rPr>
          <w:i/>
        </w:rPr>
        <w:t xml:space="preserve">Second Circuit: </w:t>
      </w:r>
      <w:r w:rsidRPr="003C3C13">
        <w:t>James v. China Grill Mgmt., Inc., 2019 WL 1915298, at *1 (S.D.N.Y. Apr. 30, 2019) (applying percentage of recovery method, as it “‘directly aligns the interests of the class and its counsel and provides a powerful incentive for the efficient prosecution and early resolution of litigation’”) (quoting Wal-Mart Stores Inc. v. Visa U.S.A., Inc., 396 F.3d 96, 121 (2d Cir. 2005)); Baffa v. Donaldson Lufkin &amp; Jenrette Secs. Corp., 2002 WL 1315603, at *1 (S.D.N.Y. June 17, 2002) (in contrast to recovery of fund method, “lodestar create[s] an unanticipated disincentive to early settlements, tempt[s] lawyers to run up their hours, and compel[s] district courts to engage in a gimlet-eyed review of line-item fee audits”) (internal quotation marks omitted).</w:t>
      </w:r>
    </w:p>
    <w:p w14:paraId="69BA5591" w14:textId="037B34DD" w:rsidR="003C3C13" w:rsidRPr="003C3C13" w:rsidRDefault="003C3C13" w:rsidP="003C3C13">
      <w:pPr>
        <w:pStyle w:val="FootnoteText"/>
      </w:pPr>
      <w:r w:rsidRPr="003C3C13">
        <w:rPr>
          <w:i/>
        </w:rPr>
        <w:t>Seventh Circuit</w:t>
      </w:r>
      <w:r w:rsidRPr="003C3C13">
        <w:t>: Campbell v. Advantage Sales &amp; Mktg. LLC, 2012 WL 1424417, at *2 (S.D. Ind. Apr. 24, 2012) (awarding percentage of recovery fee award in FLSA action, noting “the Seventh Circuit has recognized that the percentage method has advantages for simplicity of administration”) (citing Florin v. Nationsbank of Ga., N.A., 34 F.3d 560, 566 (7th Cir. 1994)).</w:t>
      </w:r>
    </w:p>
    <w:p w14:paraId="2C719057" w14:textId="44CF6D31" w:rsidR="003C3C13" w:rsidRPr="00CE2995" w:rsidRDefault="003C3C13" w:rsidP="003C3C13">
      <w:pPr>
        <w:pStyle w:val="FootnoteText"/>
      </w:pPr>
      <w:r w:rsidRPr="003C3C13">
        <w:rPr>
          <w:i/>
        </w:rPr>
        <w:t xml:space="preserve">Ninth Circuit: </w:t>
      </w:r>
      <w:r w:rsidRPr="003C3C13">
        <w:t xml:space="preserve">Englert v. City of Merced, 2020 WL 2215749, at *11 (E.D. Cal. May 7, 2020) (“Since the benefit to the class is easily calculated in a common fund case, courts may award a percentage of the common fund rather than engaging in a ‘lodestar’ analysis to determine the reasonableness of the fee requests.”) (citing </w:t>
      </w:r>
      <w:r w:rsidRPr="003C3C13">
        <w:rPr>
          <w:i/>
        </w:rPr>
        <w:t>In re</w:t>
      </w:r>
      <w:r w:rsidRPr="003C3C13">
        <w:t xml:space="preserve"> Bluetooth Headset Prod. Liab. Litig., 654 F.3d 935, 941 (9th Cir. 2011)).</w:t>
      </w:r>
    </w:p>
  </w:footnote>
  <w:footnote w:id="227">
    <w:p w14:paraId="6B8858B6" w14:textId="649CD966" w:rsidR="003C3C13" w:rsidRPr="00CE2995" w:rsidRDefault="003C3C13" w:rsidP="003C3C13">
      <w:pPr>
        <w:pStyle w:val="FootnoteText"/>
      </w:pPr>
      <w:r w:rsidRPr="003C3C13">
        <w:rPr>
          <w:rStyle w:val="FootnoteReference"/>
        </w:rPr>
        <w:footnoteRef/>
      </w:r>
      <w:r w:rsidRPr="003C3C13">
        <w:t xml:space="preserve">DeLeon v. Wells Fargo Bank, N.A., 2015 WL 2255394, at *5 (S.D.N.Y. May 11, 2015) (FLSA and New York labor law claims) (citing Goldberger v. Integrated Res. Inc., 209 F.3d 43, 51 (2d Cir. 2000); Frank v. Eastman Kodak Co., 228 F.R.D. 174, 189 (W.D.N.Y. 2005)); </w:t>
      </w:r>
      <w:r w:rsidRPr="003C3C13">
        <w:rPr>
          <w:i/>
        </w:rPr>
        <w:t>see also</w:t>
      </w:r>
      <w:r w:rsidRPr="003C3C13">
        <w:t xml:space="preserve"> Deposit Guar. Nat’l Bank v. Roper, 445 U.S. 326, 338–39 (1980) (where relatively small claims can be prosecuted through only aggregate litigation, “private attorneys general” play important role); Goldberger v. Integrated Rest. Inc., 209 F.3d 43, 51 (2d Cir. 2000) (commending the general “sentiment in favor of providing lawyers with sufficient incentive to bring common fund cases that serve the public interest”).</w:t>
      </w:r>
    </w:p>
  </w:footnote>
  <w:footnote w:id="228">
    <w:p w14:paraId="5F13EAB8" w14:textId="6F32FE7C" w:rsidR="003C3C13" w:rsidRPr="00CE2995" w:rsidRDefault="003C3C13" w:rsidP="003C3C13">
      <w:pPr>
        <w:pStyle w:val="FootnoteText"/>
      </w:pPr>
      <w:r w:rsidRPr="003C3C13">
        <w:rPr>
          <w:rStyle w:val="FootnoteReference"/>
        </w:rPr>
        <w:footnoteRef/>
      </w:r>
      <w:r w:rsidRPr="003C3C13">
        <w:t>Mullins v. Southern Ohio Pizza, Inc., 2019 WL 275711, at *4 (S.D. Ohio Jan. 18, 2019); Arledge v. Domino’s Pizza, Inc., 2018 WL 5023950, at *3 (S.D. Ohio Oct. 17, 2018); Sherman v. Gateway Elec. Med. Mgmt., 2009 WL 48150, at *3 (S.D. Ind. Jan. 7, 2009).</w:t>
      </w:r>
    </w:p>
  </w:footnote>
  <w:footnote w:id="229">
    <w:p w14:paraId="54620EC1" w14:textId="0A7308E7" w:rsidR="003C3C13" w:rsidRPr="00CE2995" w:rsidRDefault="003C3C13" w:rsidP="003C3C13">
      <w:pPr>
        <w:pStyle w:val="FootnoteText"/>
      </w:pPr>
      <w:r w:rsidRPr="003C3C13">
        <w:rPr>
          <w:rStyle w:val="FootnoteReference"/>
        </w:rPr>
        <w:footnoteRef/>
      </w:r>
      <w:r w:rsidRPr="003C3C13">
        <w:rPr>
          <w:i/>
        </w:rPr>
        <w:t>Mullins</w:t>
      </w:r>
      <w:r w:rsidRPr="003C3C13">
        <w:t xml:space="preserve">, 2019 WL 275711, at *4 (citing Gascho v. Global Fitness Holdings, LLC, 822 F.3d 269, 282 (6th Cir. 2016); </w:t>
      </w:r>
      <w:r w:rsidRPr="003C3C13">
        <w:rPr>
          <w:i/>
        </w:rPr>
        <w:t>Arledge</w:t>
      </w:r>
      <w:r w:rsidRPr="003C3C13">
        <w:t xml:space="preserve">, 2018 WL 5023950, at *3 (same); </w:t>
      </w:r>
      <w:r w:rsidRPr="003C3C13">
        <w:rPr>
          <w:i/>
        </w:rPr>
        <w:t>Sherman</w:t>
      </w:r>
      <w:r w:rsidRPr="003C3C13">
        <w:t>, 2009 WL 48150, at *3.</w:t>
      </w:r>
    </w:p>
  </w:footnote>
  <w:footnote w:id="230">
    <w:p w14:paraId="4F69E4FE" w14:textId="7A293605" w:rsidR="003C3C13" w:rsidRPr="00CE2995" w:rsidRDefault="003C3C13" w:rsidP="003C3C13">
      <w:pPr>
        <w:pStyle w:val="FootnoteText"/>
      </w:pPr>
      <w:r w:rsidRPr="003C3C13">
        <w:rPr>
          <w:rStyle w:val="FootnoteReference"/>
        </w:rPr>
        <w:footnoteRef/>
      </w:r>
      <w:r w:rsidRPr="003C3C13">
        <w:rPr>
          <w:i/>
        </w:rPr>
        <w:t>Mullins</w:t>
      </w:r>
      <w:r w:rsidRPr="003C3C13">
        <w:t>, 2019 WL 275711, at *4 (citing Boeing Co. v. Van Gemert, 444 U.S. 472, 480–81 (1980) (non-FLSA case)).</w:t>
      </w:r>
    </w:p>
  </w:footnote>
  <w:footnote w:id="231">
    <w:p w14:paraId="20C50ACF" w14:textId="702B4B62" w:rsidR="003C3C13" w:rsidRPr="00CE2995" w:rsidRDefault="003C3C13" w:rsidP="003C3C13">
      <w:pPr>
        <w:pStyle w:val="FootnoteText"/>
      </w:pPr>
      <w:r w:rsidRPr="003C3C13">
        <w:rPr>
          <w:rStyle w:val="FootnoteReference"/>
        </w:rPr>
        <w:footnoteRef/>
      </w:r>
      <w:r w:rsidRPr="003C3C13">
        <w:t>Roes, 1-2 v. SFBSC Mgmt., LLC, 944 F.3d 1035, 1055–56 (9th Cir. 2019) (in hybrid FLSA and state wage and hour law case, Ninth Circuit instructed district court on remand to carefully scrutinize value of credit pool that exotic dancers could use to offset future dance pool fees and other “injunctive relief” to determine value of whole settlement).</w:t>
      </w:r>
    </w:p>
  </w:footnote>
  <w:footnote w:id="232">
    <w:p w14:paraId="5F336493" w14:textId="188C912C" w:rsidR="003C3C13" w:rsidRPr="00CE2995" w:rsidRDefault="003C3C13" w:rsidP="003C3C13">
      <w:pPr>
        <w:pStyle w:val="FootnoteText"/>
      </w:pPr>
      <w:r w:rsidRPr="003C3C13">
        <w:rPr>
          <w:rStyle w:val="FootnoteReference"/>
        </w:rPr>
        <w:footnoteRef/>
      </w:r>
      <w:r w:rsidRPr="003C3C13">
        <w:rPr>
          <w:i/>
        </w:rPr>
        <w:t xml:space="preserve">Id. </w:t>
      </w:r>
      <w:r w:rsidRPr="003C3C13">
        <w:t xml:space="preserve">at 1055; </w:t>
      </w:r>
      <w:r w:rsidRPr="003C3C13">
        <w:rPr>
          <w:i/>
        </w:rPr>
        <w:t xml:space="preserve">see also </w:t>
      </w:r>
      <w:r w:rsidRPr="003C3C13">
        <w:t>Bedolla v. Allen, 736 F. App’x 614, 616 (9th Cir. 2018) (upholding fee award of 27% of fund based on monetary and nonmonetary relief, where district court had made “express findings about the value of the nonmonetary relief”).</w:t>
      </w:r>
    </w:p>
  </w:footnote>
  <w:footnote w:id="233">
    <w:p w14:paraId="6C449BBF" w14:textId="7F21F960" w:rsidR="003C3C13" w:rsidRPr="00CE2995" w:rsidRDefault="003C3C13" w:rsidP="003C3C13">
      <w:pPr>
        <w:pStyle w:val="FootnoteText"/>
      </w:pPr>
      <w:r w:rsidRPr="003C3C13">
        <w:rPr>
          <w:rStyle w:val="FootnoteReference"/>
        </w:rPr>
        <w:footnoteRef/>
      </w:r>
      <w:r w:rsidRPr="003C3C13">
        <w:t>See §VII.B [Settlement of Attorneys’ Fees and Costs; Court Approval of Fees] of this chapter.</w:t>
      </w:r>
    </w:p>
  </w:footnote>
  <w:footnote w:id="234">
    <w:p w14:paraId="04E724C3" w14:textId="2C5B7521" w:rsidR="003C3C13" w:rsidRPr="003C3C13" w:rsidRDefault="003C3C13" w:rsidP="003C3C13">
      <w:pPr>
        <w:pStyle w:val="FootnoteText"/>
      </w:pPr>
      <w:r w:rsidRPr="003C3C13">
        <w:rPr>
          <w:rStyle w:val="FootnoteReference"/>
        </w:rPr>
        <w:footnoteRef/>
      </w:r>
      <w:r w:rsidRPr="003C3C13">
        <w:rPr>
          <w:i/>
        </w:rPr>
        <w:t xml:space="preserve">Second Circuit: </w:t>
      </w:r>
      <w:r w:rsidRPr="003C3C13">
        <w:t xml:space="preserve">James v. China Grill Mgmt., 2019 WL 1915298, at *2 (S.D.N.Y. Apr. 30, 2019) (citing Theodore Eisenberg et al., </w:t>
      </w:r>
      <w:r w:rsidRPr="003C3C13">
        <w:rPr>
          <w:i/>
        </w:rPr>
        <w:t>Attorneys’ Fees in Class Actions: 2009–2013</w:t>
      </w:r>
      <w:r w:rsidRPr="003C3C13">
        <w:t xml:space="preserve">, 92 N.Y.U. L. </w:t>
      </w:r>
      <w:r w:rsidRPr="003C3C13">
        <w:rPr>
          <w:smallCaps/>
        </w:rPr>
        <w:t>Rev</w:t>
      </w:r>
      <w:r w:rsidRPr="003C3C13">
        <w:t xml:space="preserve">. 938, 959 (2017)) (study of fee awards in wage and hour cases found that mean fee in “high risk” FLSA cases was 30.41%, while mean fee in “low/medium risk” FLSA cases was 29.99%); Frank v. Eastman Kodak Co., 228 F.R.D. 174 (W.D.N.Y. 2005) (awarding 38.26% of settlement for fees). </w:t>
      </w:r>
      <w:r w:rsidRPr="003C3C13">
        <w:rPr>
          <w:i/>
        </w:rPr>
        <w:t>But see</w:t>
      </w:r>
      <w:r w:rsidRPr="003C3C13">
        <w:t xml:space="preserve"> Espinal v. Victor's Café 52nd St., Inc., 2019 WL 5425475 (S.D.N.Y. Oct. 23, 2019) (reducing requested fee from 33.33% to 21%, based on median fee percentages for settlements below $750,000 and equity factors, including policy considerations against reversionary settlements).</w:t>
      </w:r>
    </w:p>
    <w:p w14:paraId="327A0E67" w14:textId="49EFC387" w:rsidR="003C3C13" w:rsidRPr="003C3C13" w:rsidRDefault="003C3C13" w:rsidP="003C3C13">
      <w:pPr>
        <w:pStyle w:val="FootnoteText"/>
      </w:pPr>
      <w:r w:rsidRPr="003C3C13">
        <w:rPr>
          <w:i/>
        </w:rPr>
        <w:t>Third Circuit</w:t>
      </w:r>
      <w:r w:rsidRPr="003C3C13">
        <w:t>: Acevedo v. Brightview Landscapes, LLC, 2017 WL 4354809, at *16 (M.D. Pa. Oct. 2, 2017) (collecting cases, and noting courts approving fees in FLSA collective actions in range of 20–45%, and approving fee of 31.6667%).</w:t>
      </w:r>
    </w:p>
    <w:p w14:paraId="0F875CCA" w14:textId="0E2CEB10" w:rsidR="003C3C13" w:rsidRPr="003C3C13" w:rsidRDefault="003C3C13" w:rsidP="003C3C13">
      <w:pPr>
        <w:pStyle w:val="FootnoteText"/>
      </w:pPr>
      <w:r w:rsidRPr="003C3C13">
        <w:rPr>
          <w:rFonts w:eastAsia="Calibri"/>
          <w:i/>
        </w:rPr>
        <w:t>Fourth Circuit</w:t>
      </w:r>
      <w:r w:rsidRPr="003C3C13">
        <w:rPr>
          <w:rFonts w:eastAsia="Calibri"/>
        </w:rPr>
        <w:t>: Lupardus v. ELK Energy Servs., LLC, 2021 BL 252747, 2021 WL 2815977, at *1 (S.D. W. Va. July 6, 2021)</w:t>
      </w:r>
      <w:r w:rsidRPr="003C3C13">
        <w:t xml:space="preserve"> (awarding 40% of settlement fund for fees </w:t>
      </w:r>
      <w:r w:rsidRPr="003C3C13">
        <w:rPr>
          <w:rFonts w:eastAsia="Calibri"/>
        </w:rPr>
        <w:t xml:space="preserve">which court found reasonable </w:t>
      </w:r>
      <w:r w:rsidRPr="003C3C13">
        <w:t xml:space="preserve">because of </w:t>
      </w:r>
      <w:r w:rsidRPr="003C3C13">
        <w:rPr>
          <w:rFonts w:eastAsia="Calibri"/>
        </w:rPr>
        <w:t>(1) time and labor expended by counsel</w:t>
      </w:r>
      <w:r w:rsidRPr="003C3C13">
        <w:t>,</w:t>
      </w:r>
      <w:r w:rsidRPr="003C3C13">
        <w:rPr>
          <w:rFonts w:eastAsia="Calibri"/>
        </w:rPr>
        <w:t xml:space="preserve"> (2) </w:t>
      </w:r>
      <w:r w:rsidRPr="003C3C13">
        <w:t>complexity and difficulty of c</w:t>
      </w:r>
      <w:r w:rsidRPr="003C3C13">
        <w:rPr>
          <w:rFonts w:eastAsia="Calibri"/>
        </w:rPr>
        <w:t>ollective actions</w:t>
      </w:r>
      <w:r w:rsidRPr="003C3C13">
        <w:t>, which require “</w:t>
      </w:r>
      <w:r w:rsidRPr="003C3C13">
        <w:rPr>
          <w:rFonts w:eastAsia="Calibri"/>
        </w:rPr>
        <w:t>an understanding of a specialized area of the law</w:t>
      </w:r>
      <w:r w:rsidRPr="003C3C13">
        <w:t>,</w:t>
      </w:r>
      <w:r w:rsidRPr="003C3C13">
        <w:rPr>
          <w:rFonts w:eastAsia="Calibri"/>
        </w:rPr>
        <w:t>”</w:t>
      </w:r>
      <w:r w:rsidRPr="003C3C13">
        <w:t xml:space="preserve"> </w:t>
      </w:r>
      <w:r w:rsidRPr="003C3C13">
        <w:rPr>
          <w:rFonts w:eastAsia="Calibri"/>
        </w:rPr>
        <w:t>and (3) counsel’s expertise in this area</w:t>
      </w:r>
      <w:r w:rsidRPr="003C3C13">
        <w:t>)</w:t>
      </w:r>
      <w:r w:rsidRPr="003C3C13">
        <w:rPr>
          <w:rFonts w:eastAsia="Calibri"/>
        </w:rPr>
        <w:t>; Gagliastre v. Captain George’s Seafood Rest., LP, 2019 WL 2288441, at *5 (E.D. Va. May 29, 2019) (noting that fee awards from settlement funds under $100 million have raged from 15–40%, with most awards falling in range of 25–30%); Devine v. City of Hampton, 2015 WL 10793424, at *3 (E.D. Va. Dec. 1, 2015) (approving fee of nearly 34% of fund, and noting that it was in line with similar FLSA settlement fee awards); Winingear v. City of Norfolk, 2014 WL 3500996 (E.D. Va. July 14, 2014) (awarding approximately 38% of settlement for fees and costs).</w:t>
      </w:r>
    </w:p>
    <w:p w14:paraId="56FF5CEA" w14:textId="6C427032" w:rsidR="003C3C13" w:rsidRPr="003C3C13" w:rsidRDefault="003C3C13" w:rsidP="003C3C13">
      <w:pPr>
        <w:pStyle w:val="FootnoteText"/>
      </w:pPr>
      <w:r w:rsidRPr="003C3C13">
        <w:rPr>
          <w:i/>
        </w:rPr>
        <w:t>Fifth Circuit</w:t>
      </w:r>
      <w:r w:rsidRPr="003C3C13">
        <w:t>: George v. Academy Mortg. Corp., 369 F. Supp. 3d 1356, 1382 (N.D. Ga. 2019) (awarding 33% fee and noting it “falls within the range of the private marketplace, where contingency-fee arrangements are often between 30 and 40 percent”).</w:t>
      </w:r>
    </w:p>
    <w:p w14:paraId="1D9C6B4E" w14:textId="1454F4F0" w:rsidR="003C3C13" w:rsidRPr="003C3C13" w:rsidRDefault="003C3C13" w:rsidP="003C3C13">
      <w:pPr>
        <w:pStyle w:val="FootnoteText"/>
      </w:pPr>
      <w:r w:rsidRPr="003C3C13">
        <w:rPr>
          <w:i/>
        </w:rPr>
        <w:t>Sixth Circuit</w:t>
      </w:r>
      <w:r w:rsidRPr="003C3C13">
        <w:t xml:space="preserve">: Dillow v. Home Care Network, Inc., 2018 WL 4776977, at *5 (S.D. Ohio Oct. 3, 2018) (finding 33% fee reasonable). </w:t>
      </w:r>
      <w:r w:rsidRPr="003C3C13">
        <w:rPr>
          <w:i/>
        </w:rPr>
        <w:t>But see</w:t>
      </w:r>
      <w:r w:rsidRPr="003C3C13">
        <w:t xml:space="preserve"> Hebert v. Chesapeake Operating, Inc., 2019 WL 4574509 (S.D. Ohio Sept. 20, 2019) (finding 40% fee unreasonable based on value of services rendered and failure to provide lodestar records for cross-check).</w:t>
      </w:r>
    </w:p>
    <w:p w14:paraId="14CD5133" w14:textId="1A454EE4" w:rsidR="003C3C13" w:rsidRPr="00CE2995" w:rsidRDefault="003C3C13" w:rsidP="003C3C13">
      <w:pPr>
        <w:pStyle w:val="FootnoteText"/>
      </w:pPr>
      <w:r w:rsidRPr="003C3C13">
        <w:rPr>
          <w:rFonts w:eastAsiaTheme="minorEastAsia"/>
          <w:i/>
        </w:rPr>
        <w:t>Ninth Circuit</w:t>
      </w:r>
      <w:r w:rsidRPr="003C3C13">
        <w:rPr>
          <w:rFonts w:eastAsiaTheme="minorEastAsia"/>
        </w:rPr>
        <w:t>: Denham v. Glo</w:t>
      </w:r>
      <w:r w:rsidRPr="003C3C13">
        <w:t>bal</w:t>
      </w:r>
      <w:r w:rsidRPr="003C3C13">
        <w:rPr>
          <w:rFonts w:eastAsiaTheme="minorEastAsia"/>
        </w:rPr>
        <w:t xml:space="preserve"> Distrib</w:t>
      </w:r>
      <w:r w:rsidRPr="003C3C13">
        <w:t xml:space="preserve">. </w:t>
      </w:r>
      <w:r w:rsidRPr="003C3C13">
        <w:rPr>
          <w:rFonts w:eastAsiaTheme="minorEastAsia"/>
        </w:rPr>
        <w:t xml:space="preserve">Servs., Inc., 2021 BL 329335, 2021 WL 3886203 (S.D. Cal. Aug. 31, 2021) </w:t>
      </w:r>
      <w:r w:rsidRPr="003C3C13">
        <w:t xml:space="preserve">(rejecting request for fees representing 34% of settlement fund, explaining that </w:t>
      </w:r>
      <w:r w:rsidRPr="003C3C13">
        <w:rPr>
          <w:rFonts w:eastAsiaTheme="minorEastAsia"/>
        </w:rPr>
        <w:t xml:space="preserve">departure from </w:t>
      </w:r>
      <w:r w:rsidRPr="003C3C13">
        <w:t xml:space="preserve">25% </w:t>
      </w:r>
      <w:r w:rsidRPr="003C3C13">
        <w:rPr>
          <w:rFonts w:eastAsiaTheme="minorEastAsia"/>
        </w:rPr>
        <w:t xml:space="preserve">benchmark </w:t>
      </w:r>
      <w:r w:rsidRPr="003C3C13">
        <w:t xml:space="preserve">in common fund cases </w:t>
      </w:r>
      <w:r w:rsidRPr="003C3C13">
        <w:rPr>
          <w:rFonts w:eastAsiaTheme="minorEastAsia"/>
        </w:rPr>
        <w:t>is only justified under special circumstances</w:t>
      </w:r>
      <w:r w:rsidRPr="003C3C13">
        <w:t>)</w:t>
      </w:r>
      <w:r w:rsidRPr="003C3C13">
        <w:rPr>
          <w:rFonts w:eastAsiaTheme="minorEastAsia"/>
        </w:rPr>
        <w:t>.</w:t>
      </w:r>
    </w:p>
  </w:footnote>
  <w:footnote w:id="235">
    <w:p w14:paraId="0A9C1E3B" w14:textId="6FF0410A" w:rsidR="003C3C13" w:rsidRPr="003C3C13" w:rsidRDefault="003C3C13" w:rsidP="003C3C13">
      <w:pPr>
        <w:pStyle w:val="FootnoteText"/>
      </w:pPr>
      <w:r w:rsidRPr="003C3C13">
        <w:rPr>
          <w:rStyle w:val="FootnoteReference"/>
        </w:rPr>
        <w:footnoteRef/>
      </w:r>
      <w:r w:rsidRPr="003C3C13">
        <w:rPr>
          <w:i/>
        </w:rPr>
        <w:t>Second Circuit</w:t>
      </w:r>
      <w:r w:rsidRPr="003C3C13">
        <w:t>: Bryant v. Potbelly Sandwich Works, LLC, 2020 WL 563804, at *5–6 (S.D.N.Y. Feb. 4, 2020) (1/3 fee consistent with practice in Second Circuit); Cruz v. Sal-Mark Rest. Corp., 2019 U.S. Dist. LEXIS 13529, 2019 WL 355334 at *21 (N.D.N.Y. Jan. 28, 2019) (1/3 is consistent with what market would pay); Xiao v. Grand Sichuan Int’l St. Marks, Inc., 2016 WL 4074444, at *3 (S.D.N.Y. Jul. 29, 2016) (same).</w:t>
      </w:r>
    </w:p>
    <w:p w14:paraId="224086CA" w14:textId="6EFC1005" w:rsidR="003C3C13" w:rsidRPr="003C3C13" w:rsidRDefault="003C3C13" w:rsidP="003C3C13">
      <w:pPr>
        <w:pStyle w:val="FootnoteText"/>
      </w:pPr>
      <w:r w:rsidRPr="003C3C13">
        <w:rPr>
          <w:i/>
        </w:rPr>
        <w:t>Third Circuit</w:t>
      </w:r>
      <w:r w:rsidRPr="003C3C13">
        <w:t>: Chemi v. Champion Mortg., 2009 WL 1470429, at *12 (D.N.J. May 26, 2009) (awarding 30% fee award and noting that such percentage award was “common” in Third Circuit).</w:t>
      </w:r>
    </w:p>
    <w:p w14:paraId="207FC68E" w14:textId="23B273AC" w:rsidR="003C3C13" w:rsidRPr="003C3C13" w:rsidRDefault="003C3C13" w:rsidP="003C3C13">
      <w:pPr>
        <w:pStyle w:val="FootnoteText"/>
      </w:pPr>
      <w:r w:rsidRPr="003C3C13">
        <w:rPr>
          <w:i/>
        </w:rPr>
        <w:t>Fifth Circuit</w:t>
      </w:r>
      <w:r w:rsidRPr="003C3C13">
        <w:t xml:space="preserve">: </w:t>
      </w:r>
      <w:r w:rsidRPr="003C3C13">
        <w:rPr>
          <w:i/>
        </w:rPr>
        <w:t>George</w:t>
      </w:r>
      <w:r w:rsidRPr="003C3C13">
        <w:t>, 369 F. Supp. 3d at 1382 (collecting cases and noting that 1/3 fee was typical in FLSA cases).</w:t>
      </w:r>
    </w:p>
    <w:p w14:paraId="60F100E3" w14:textId="100C48FB" w:rsidR="003C3C13" w:rsidRPr="003C3C13" w:rsidRDefault="003C3C13" w:rsidP="003C3C13">
      <w:pPr>
        <w:pStyle w:val="FootnoteText"/>
      </w:pPr>
      <w:r w:rsidRPr="003C3C13">
        <w:rPr>
          <w:i/>
        </w:rPr>
        <w:t>Sixth Circuit</w:t>
      </w:r>
      <w:r w:rsidRPr="003C3C13">
        <w:t>: Osman v. Grube, Inc., 2018 WL 2095172, at *3 (N.D. Ohio May 4, 2018) (awarding 1/3 fee and noting that it was consistent with similar awards in FLSA collective actions resolved in district).</w:t>
      </w:r>
    </w:p>
    <w:p w14:paraId="18BBF35D" w14:textId="42588134" w:rsidR="003C3C13" w:rsidRPr="003C3C13" w:rsidRDefault="003C3C13" w:rsidP="003C3C13">
      <w:pPr>
        <w:pStyle w:val="FootnoteText"/>
      </w:pPr>
      <w:r w:rsidRPr="003C3C13">
        <w:rPr>
          <w:i/>
        </w:rPr>
        <w:t>Seventh Circuit</w:t>
      </w:r>
      <w:r w:rsidRPr="003C3C13">
        <w:t>: King v. Trek Travel, LLC, 2019 WL 6790398, at *3 (W.D. Wis. Dec. 12, 2019) (awarding 1/3 fee and noting that it was in line with awards in other FLSA cases); Brewer v. Molina Healthcare, Inc., 2018 WL 2966956, at *3 (N.D. Ill. June 12, 2018) (“Plaintiff’s request for one-third of the settlement in attorneys’ fees is consistent with the market in the Northern District of Illinois.”) (citing Taubenfeld v. AON Corp., 415 F.3d 597, 600 (7th Cir. 2005) (approving award of common fund fee award in securities fraud case)); Briggs v. PNC Fin. Servs. Grp., Inc., 2016 WL 7018566, at *4 (N.D. Ill. Nov. 29, 2016) (1/3 fee is consistent with market and contingency fee arrangement agreed to between counsel and plaintiffs); Campbell v. Advantage Sales &amp; Mktg. LLC, 2012 WL 1424417, at *2 (S.D. Ind. Apr. 24, 2012) (awarding 1/3 fee in FLSA collective action and noting that it was consistent with other awards “approved by a number of courts across the country in similar cases”) (citing cases).</w:t>
      </w:r>
    </w:p>
    <w:p w14:paraId="7D73E3AA" w14:textId="58616E52" w:rsidR="003C3C13" w:rsidRPr="003C3C13" w:rsidRDefault="003C3C13" w:rsidP="003C3C13">
      <w:pPr>
        <w:pStyle w:val="FootnoteText"/>
      </w:pPr>
      <w:r w:rsidRPr="003C3C13">
        <w:rPr>
          <w:i/>
        </w:rPr>
        <w:t>Tenth Circuit</w:t>
      </w:r>
      <w:r w:rsidRPr="003C3C13">
        <w:t>: Diaz v. Lost Dog Pizza, LLC, 2019 2189485, at *5 (D. Colo. May 21, 2019) (“A 33% fee award falls within the norm for these [FLSA common fund] types of cases.”); Aragon v. Clear Water Prods. LLC, 2018 WL 6620724, at *4–6 (D. Colo. Dec. 18, 2018) (awarding fee between 32–33% of fund).</w:t>
      </w:r>
    </w:p>
    <w:p w14:paraId="61F1E964" w14:textId="2CD2361A" w:rsidR="003C3C13" w:rsidRPr="00CE2995" w:rsidRDefault="003C3C13" w:rsidP="003C3C13">
      <w:pPr>
        <w:pStyle w:val="FootnoteText"/>
      </w:pPr>
      <w:r w:rsidRPr="003C3C13">
        <w:rPr>
          <w:i/>
        </w:rPr>
        <w:t xml:space="preserve">But cf. </w:t>
      </w:r>
      <w:r w:rsidRPr="003C3C13">
        <w:t>Ortiz v. Chop’t Creative Salad Co. LLC, 89 F. Supp. 3d 573, 596–98 (S.D.N.Y. 2015) (rejecting 1/3 fee where court found that lodestar included duplicative and unnecessary work, among other factors).</w:t>
      </w:r>
    </w:p>
  </w:footnote>
  <w:footnote w:id="236">
    <w:p w14:paraId="37B1F3D5" w14:textId="66F729E9" w:rsidR="003C3C13" w:rsidRPr="003C3C13" w:rsidRDefault="003C3C13" w:rsidP="003C3C13">
      <w:pPr>
        <w:pStyle w:val="FootnoteText"/>
      </w:pPr>
      <w:r w:rsidRPr="003C3C13">
        <w:rPr>
          <w:rStyle w:val="FootnoteReference"/>
        </w:rPr>
        <w:footnoteRef/>
      </w:r>
      <w:r w:rsidRPr="003C3C13">
        <w:t>Fisher v. SD Prot. Inc., 948 F.3d 593, 602 (2d Cir. 2020).</w:t>
      </w:r>
    </w:p>
    <w:p w14:paraId="40E40F37" w14:textId="77777777" w:rsidR="003C3C13" w:rsidRPr="00CE2995" w:rsidRDefault="003C3C13" w:rsidP="0034266C">
      <w:pPr>
        <w:pStyle w:val="14Footnote"/>
      </w:pPr>
    </w:p>
  </w:footnote>
  <w:footnote w:id="237">
    <w:p w14:paraId="4923E4D0" w14:textId="012F3189" w:rsidR="003C3C13" w:rsidRPr="003C3C13" w:rsidRDefault="003C3C13" w:rsidP="003C3C13">
      <w:pPr>
        <w:pStyle w:val="FootnoteText"/>
      </w:pPr>
      <w:r w:rsidRPr="003C3C13">
        <w:rPr>
          <w:rStyle w:val="FootnoteReference"/>
        </w:rPr>
        <w:footnoteRef/>
      </w:r>
      <w:r w:rsidRPr="003C3C13">
        <w:t>Rembert v. A Plus Home Health Care Agency LLC, 986 F.3d 613, 617 (6th Cir. 2021) (internal quotations omitted) (citing Fisher).</w:t>
      </w:r>
    </w:p>
    <w:p w14:paraId="010DEBC4" w14:textId="77777777" w:rsidR="003C3C13" w:rsidRPr="00CE2995" w:rsidRDefault="003C3C13" w:rsidP="0034266C">
      <w:pPr>
        <w:pStyle w:val="14Footnote"/>
      </w:pPr>
    </w:p>
  </w:footnote>
  <w:footnote w:id="238">
    <w:p w14:paraId="07ACFAC0" w14:textId="185AB7BD" w:rsidR="003C3C13" w:rsidRPr="003C3C13" w:rsidRDefault="003C3C13" w:rsidP="003C3C13">
      <w:pPr>
        <w:pStyle w:val="FootnoteText"/>
      </w:pPr>
      <w:r w:rsidRPr="003C3C13">
        <w:rPr>
          <w:rStyle w:val="FootnoteReference"/>
        </w:rPr>
        <w:footnoteRef/>
      </w:r>
      <w:r w:rsidRPr="003C3C13">
        <w:t xml:space="preserve">Vizcaino v. Microsoft Corp., 290 F.3d 1043, 1047 (9th Cir. 2002). </w:t>
      </w:r>
      <w:r w:rsidRPr="003C3C13">
        <w:rPr>
          <w:i/>
        </w:rPr>
        <w:t>Accord</w:t>
      </w:r>
      <w:r w:rsidRPr="003C3C13">
        <w:t xml:space="preserve"> Camilo v. Ozuna, 2020 WL 1557428 (N.D. Cal. Apr. 1, 2020) (reducing requested fee of 30% to 25% of fund, noting 25% benchmark and finding no basis for upward adjustment); O’Connor v. Uber Techs., Inc., 2019 WL 4394401, at *6 (N.D. Cal. Sept. 13, 2019) (approving 25% fee, consistent with benchmark) (citing </w:t>
      </w:r>
      <w:r w:rsidRPr="003C3C13">
        <w:rPr>
          <w:i/>
        </w:rPr>
        <w:t>In re</w:t>
      </w:r>
      <w:r w:rsidRPr="003C3C13">
        <w:t xml:space="preserve"> Bluetooth Headset Prods. Liab. Litig., 654 F.3d 935, 942 (9th Cir. 2011)).</w:t>
      </w:r>
    </w:p>
    <w:p w14:paraId="121C56FE" w14:textId="77777777" w:rsidR="003C3C13" w:rsidRPr="00CE2995" w:rsidRDefault="003C3C13" w:rsidP="0034266C">
      <w:pPr>
        <w:pStyle w:val="14Footnote"/>
      </w:pPr>
    </w:p>
  </w:footnote>
  <w:footnote w:id="239">
    <w:p w14:paraId="36915929" w14:textId="6B4790CB" w:rsidR="003C3C13" w:rsidRPr="00CE2995" w:rsidRDefault="003C3C13" w:rsidP="003C3C13">
      <w:pPr>
        <w:pStyle w:val="FootnoteText"/>
      </w:pPr>
      <w:r w:rsidRPr="003C3C13">
        <w:rPr>
          <w:rStyle w:val="FootnoteReference"/>
        </w:rPr>
        <w:footnoteRef/>
      </w:r>
      <w:r w:rsidRPr="003C3C13">
        <w:rPr>
          <w:i/>
        </w:rPr>
        <w:t xml:space="preserve">See </w:t>
      </w:r>
      <w:r w:rsidRPr="003C3C13">
        <w:t>Bedolla v. Allen, 736 F. App’x 614, 617 (9th Cir. 2018) (approving 27% fee); Englert v. City of Merced, 2020 WL 2215749, at *12 (E.D. Cal. May 7, 2020) (awarding 31% fee—less than lodestar, but noting that fee request was “well above the Ninth Circuit benchmark” and thus warranted “a more detailed review in calculating the lodestar [for the cross-check] to determine whether the amount requested is reasonable”); Galeener v. Source Refrigeration &amp; HVAC, Inc., 2015 WL 12976106, at *2 (N.D. Cal. Aug. 20, 2015) (awarding 1/3 of $10 million for fees in FLSA/state law hybrid action); Hightower v. JPMorgan Chase Bank, N.A., 2015 WL 9664959, at *11 (C.D. Cal. Aug. 4, 2015) (awarding 30% fee in FLSA/state law hybrid action); Vasquez v. Coast Valley Roofing, Inc., 266 F.R.D. 482, 491 (E.D. Cal. 2010) (awarding 1/3 fee in FLSA/state law hybrid action, and noting that is common for fees to exceed the benchmark in common fund cases).</w:t>
      </w:r>
    </w:p>
  </w:footnote>
  <w:footnote w:id="240">
    <w:p w14:paraId="4855E2F7" w14:textId="338AB25C" w:rsidR="003C3C13" w:rsidRPr="003C3C13" w:rsidRDefault="003C3C13" w:rsidP="003C3C13">
      <w:pPr>
        <w:pStyle w:val="FootnoteText"/>
      </w:pPr>
      <w:r w:rsidRPr="003C3C13">
        <w:rPr>
          <w:rStyle w:val="FootnoteReference"/>
        </w:rPr>
        <w:footnoteRef/>
      </w:r>
      <w:r w:rsidRPr="003C3C13">
        <w:t xml:space="preserve">Johnson v. Georgia Highway Express, Inc., 488 F.2d 714 (5th Cir. 1974). The </w:t>
      </w:r>
      <w:r w:rsidRPr="003C3C13">
        <w:rPr>
          <w:i/>
        </w:rPr>
        <w:t xml:space="preserve">Johnson </w:t>
      </w:r>
      <w:r w:rsidRPr="003C3C13">
        <w:t>factors are:</w:t>
      </w:r>
    </w:p>
    <w:p w14:paraId="21F102F6" w14:textId="6BA9006E" w:rsidR="003C3C13" w:rsidRPr="003C3C13" w:rsidRDefault="003C3C13" w:rsidP="003C3C13">
      <w:pPr>
        <w:pStyle w:val="BQuotelong"/>
      </w:pPr>
      <w:r w:rsidRPr="003C3C13">
        <w:t>(1)</w:t>
      </w:r>
      <w:r w:rsidRPr="003C3C13">
        <w:tab/>
        <w:t>the time and labor required;</w:t>
      </w:r>
    </w:p>
    <w:p w14:paraId="360B5A0E" w14:textId="4D826F0D" w:rsidR="003C3C13" w:rsidRPr="003C3C13" w:rsidRDefault="003C3C13" w:rsidP="003C3C13">
      <w:pPr>
        <w:pStyle w:val="BQuotelong"/>
      </w:pPr>
      <w:r w:rsidRPr="003C3C13">
        <w:t>(2)</w:t>
      </w:r>
      <w:r w:rsidRPr="003C3C13">
        <w:tab/>
        <w:t>the novelty and difficulty of the questions presented;</w:t>
      </w:r>
    </w:p>
    <w:p w14:paraId="6C8A97E3" w14:textId="1FEB1F90" w:rsidR="003C3C13" w:rsidRPr="003C3C13" w:rsidRDefault="003C3C13" w:rsidP="003C3C13">
      <w:pPr>
        <w:pStyle w:val="BQuotelong"/>
      </w:pPr>
      <w:r w:rsidRPr="003C3C13">
        <w:t>(3)</w:t>
      </w:r>
      <w:r w:rsidRPr="003C3C13">
        <w:tab/>
        <w:t>the necessary skills to litigate the case successfully;</w:t>
      </w:r>
    </w:p>
    <w:p w14:paraId="1BF1C046" w14:textId="1A26A8FD" w:rsidR="003C3C13" w:rsidRPr="003C3C13" w:rsidRDefault="003C3C13" w:rsidP="003C3C13">
      <w:pPr>
        <w:pStyle w:val="BQuotelong"/>
      </w:pPr>
      <w:r w:rsidRPr="003C3C13">
        <w:t>(4)</w:t>
      </w:r>
      <w:r w:rsidRPr="003C3C13">
        <w:tab/>
        <w:t>preclusion of other engagements due to acceptance of the case;</w:t>
      </w:r>
    </w:p>
    <w:p w14:paraId="246A0AFC" w14:textId="582DA4EF" w:rsidR="003C3C13" w:rsidRPr="003C3C13" w:rsidRDefault="003C3C13" w:rsidP="003C3C13">
      <w:pPr>
        <w:pStyle w:val="BQuotelong"/>
      </w:pPr>
      <w:r w:rsidRPr="003C3C13">
        <w:t>(5)</w:t>
      </w:r>
      <w:r w:rsidRPr="003C3C13">
        <w:tab/>
        <w:t>the customary fee;</w:t>
      </w:r>
    </w:p>
    <w:p w14:paraId="133418F3" w14:textId="6A1D5969" w:rsidR="003C3C13" w:rsidRPr="003C3C13" w:rsidRDefault="003C3C13" w:rsidP="003C3C13">
      <w:pPr>
        <w:pStyle w:val="BQuotelong"/>
      </w:pPr>
      <w:r w:rsidRPr="003C3C13">
        <w:t>(6)</w:t>
      </w:r>
      <w:r w:rsidRPr="003C3C13">
        <w:tab/>
        <w:t>whether the fee is fixed or contingent;</w:t>
      </w:r>
    </w:p>
    <w:p w14:paraId="50ADECFB" w14:textId="02FC0344" w:rsidR="003C3C13" w:rsidRPr="003C3C13" w:rsidRDefault="003C3C13" w:rsidP="003C3C13">
      <w:pPr>
        <w:pStyle w:val="BQuotelong"/>
      </w:pPr>
      <w:r w:rsidRPr="003C3C13">
        <w:t>(7)</w:t>
      </w:r>
      <w:r w:rsidRPr="003C3C13">
        <w:tab/>
        <w:t>time limitations imposed by the client or circumstances;</w:t>
      </w:r>
    </w:p>
    <w:p w14:paraId="3B6936B2" w14:textId="1915ED52" w:rsidR="003C3C13" w:rsidRPr="003C3C13" w:rsidRDefault="003C3C13" w:rsidP="003C3C13">
      <w:pPr>
        <w:pStyle w:val="BQuotelong"/>
      </w:pPr>
      <w:r w:rsidRPr="003C3C13">
        <w:t>(8)</w:t>
      </w:r>
      <w:r w:rsidRPr="003C3C13">
        <w:tab/>
        <w:t>the amount involved and results obtained;</w:t>
      </w:r>
    </w:p>
    <w:p w14:paraId="4E641884" w14:textId="793E1D4F" w:rsidR="003C3C13" w:rsidRPr="003C3C13" w:rsidRDefault="003C3C13" w:rsidP="003C3C13">
      <w:pPr>
        <w:pStyle w:val="BQuotelong"/>
      </w:pPr>
      <w:r w:rsidRPr="003C3C13">
        <w:t>(9)</w:t>
      </w:r>
      <w:r w:rsidRPr="003C3C13">
        <w:tab/>
        <w:t>the experience, reputation, and ability of the attorneys involved;</w:t>
      </w:r>
    </w:p>
    <w:p w14:paraId="710D4F39" w14:textId="5EF74B38" w:rsidR="003C3C13" w:rsidRPr="003C3C13" w:rsidRDefault="003C3C13" w:rsidP="003C3C13">
      <w:pPr>
        <w:pStyle w:val="BQuotelong"/>
      </w:pPr>
      <w:r w:rsidRPr="003C3C13">
        <w:t>(10)</w:t>
      </w:r>
      <w:r w:rsidRPr="003C3C13">
        <w:tab/>
        <w:t>the undesirability of the case</w:t>
      </w:r>
    </w:p>
    <w:p w14:paraId="26A544A8" w14:textId="500D965C" w:rsidR="003C3C13" w:rsidRPr="003C3C13" w:rsidRDefault="003C3C13" w:rsidP="003C3C13">
      <w:pPr>
        <w:pStyle w:val="BQuotelong"/>
      </w:pPr>
      <w:r w:rsidRPr="003C3C13">
        <w:t>(11)</w:t>
      </w:r>
      <w:r w:rsidRPr="003C3C13">
        <w:tab/>
        <w:t>nature and length of the professional relationship with the client; and</w:t>
      </w:r>
    </w:p>
    <w:p w14:paraId="2D4799C1" w14:textId="344E1A4B" w:rsidR="003C3C13" w:rsidRPr="003C3C13" w:rsidRDefault="003C3C13" w:rsidP="003C3C13">
      <w:pPr>
        <w:pStyle w:val="BQuotelong"/>
      </w:pPr>
      <w:r w:rsidRPr="003C3C13">
        <w:t>(12)</w:t>
      </w:r>
      <w:r w:rsidRPr="003C3C13">
        <w:tab/>
        <w:t>awards in similar cases.</w:t>
      </w:r>
    </w:p>
    <w:p w14:paraId="2EE247D9" w14:textId="6AE93B93" w:rsidR="003C3C13" w:rsidRPr="003C3C13" w:rsidRDefault="003C3C13" w:rsidP="003C3C13">
      <w:pPr>
        <w:pStyle w:val="FootnoteText"/>
      </w:pPr>
      <w:r w:rsidRPr="003C3C13">
        <w:rPr>
          <w:i/>
        </w:rPr>
        <w:t>Id</w:t>
      </w:r>
      <w:r w:rsidRPr="003C3C13">
        <w:t>. at 717–19.</w:t>
      </w:r>
    </w:p>
    <w:p w14:paraId="39EB154B" w14:textId="109F7389" w:rsidR="003C3C13" w:rsidRPr="003C3C13" w:rsidRDefault="003C3C13" w:rsidP="003C3C13">
      <w:pPr>
        <w:pStyle w:val="FootnoteText"/>
      </w:pPr>
      <w:r w:rsidRPr="003C3C13">
        <w:t xml:space="preserve">Courts considering the </w:t>
      </w:r>
      <w:r w:rsidRPr="003C3C13">
        <w:rPr>
          <w:i/>
        </w:rPr>
        <w:t xml:space="preserve">Johnson </w:t>
      </w:r>
      <w:r w:rsidRPr="003C3C13">
        <w:t>factors in approving fee settlements in FLSA cases include:</w:t>
      </w:r>
    </w:p>
    <w:p w14:paraId="0A9CA056" w14:textId="50200F6F" w:rsidR="003C3C13" w:rsidRPr="003C3C13" w:rsidRDefault="003C3C13" w:rsidP="003C3C13">
      <w:pPr>
        <w:pStyle w:val="FootnoteText"/>
      </w:pPr>
      <w:r w:rsidRPr="003C3C13">
        <w:rPr>
          <w:i/>
        </w:rPr>
        <w:t>Fourth Circuit</w:t>
      </w:r>
      <w:r w:rsidRPr="003C3C13">
        <w:t>: LaFleur v. Dollar Tree Stores, Inc., 189 F. Supp. 3d 588, 595 (E.D. Va. 2016); Winingear v. City of Norfolk, 2014 WL 3500996, at *6–7 (E.D. Va. July 14, 2014).</w:t>
      </w:r>
    </w:p>
    <w:p w14:paraId="35BFBEA9" w14:textId="1908A019" w:rsidR="003C3C13" w:rsidRPr="003C3C13" w:rsidRDefault="003C3C13" w:rsidP="003C3C13">
      <w:pPr>
        <w:pStyle w:val="FootnoteText"/>
      </w:pPr>
      <w:r w:rsidRPr="003C3C13">
        <w:rPr>
          <w:i/>
        </w:rPr>
        <w:t>Fifth Circuit</w:t>
      </w:r>
      <w:r w:rsidRPr="003C3C13">
        <w:t xml:space="preserve">: George v. Academy Mortg. Corp., 369 F. Supp. 3d 1356, 1376 (N.D. Ga. 2019) (applying 12-factor test from </w:t>
      </w:r>
      <w:r w:rsidRPr="003C3C13">
        <w:rPr>
          <w:rStyle w:val="BCasenamefull"/>
        </w:rPr>
        <w:t>Camden 1 Condominium Ass’n v. Dunkle</w:t>
      </w:r>
      <w:r w:rsidRPr="003C3C13">
        <w:t xml:space="preserve">, 946 F.3d 768, 772 n.3 (11th Cir. 1991), which were derived from </w:t>
      </w:r>
      <w:r w:rsidRPr="003C3C13">
        <w:rPr>
          <w:i/>
        </w:rPr>
        <w:t>Johnson</w:t>
      </w:r>
      <w:r w:rsidRPr="003C3C13">
        <w:t>).</w:t>
      </w:r>
    </w:p>
    <w:p w14:paraId="180234CF" w14:textId="49546DF2" w:rsidR="003C3C13" w:rsidRPr="003C3C13" w:rsidRDefault="003C3C13" w:rsidP="003C3C13">
      <w:pPr>
        <w:pStyle w:val="FootnoteText"/>
      </w:pPr>
      <w:r w:rsidRPr="003C3C13">
        <w:rPr>
          <w:i/>
        </w:rPr>
        <w:t>Tenth Circuit</w:t>
      </w:r>
      <w:r w:rsidRPr="003C3C13">
        <w:t xml:space="preserve">: </w:t>
      </w:r>
      <w:r w:rsidRPr="003C3C13">
        <w:rPr>
          <w:i/>
        </w:rPr>
        <w:t>Aragon</w:t>
      </w:r>
      <w:r w:rsidRPr="003C3C13">
        <w:t>, 2018 WL 6620724, at *4–6.</w:t>
      </w:r>
    </w:p>
    <w:p w14:paraId="27B0B3C1" w14:textId="470AB6C1" w:rsidR="003C3C13" w:rsidRPr="00CE2995" w:rsidRDefault="003C3C13" w:rsidP="003C3C13">
      <w:pPr>
        <w:pStyle w:val="FootnoteText"/>
      </w:pPr>
      <w:r w:rsidRPr="003C3C13">
        <w:rPr>
          <w:i/>
        </w:rPr>
        <w:t>Eleventh Circuit</w:t>
      </w:r>
      <w:r w:rsidRPr="003C3C13">
        <w:t>: Crabtree v. Volkert, Inc., 2013 WL 593500, at *8 (S.D. Ala. Feb. 14, 2013); Zegers v. Countrywide Mortg. Ventures, LC, 569 F. Supp. 2d 1259, 1261 (M.D. Fla. 2008).</w:t>
      </w:r>
    </w:p>
  </w:footnote>
  <w:footnote w:id="241">
    <w:p w14:paraId="762276E9" w14:textId="12FB89A6" w:rsidR="003C3C13" w:rsidRPr="003C3C13" w:rsidRDefault="003C3C13" w:rsidP="003C3C13">
      <w:pPr>
        <w:pStyle w:val="FootnoteText"/>
      </w:pPr>
      <w:r w:rsidRPr="003C3C13">
        <w:rPr>
          <w:rStyle w:val="FootnoteReference"/>
        </w:rPr>
        <w:footnoteRef/>
      </w:r>
      <w:r w:rsidRPr="003C3C13">
        <w:t>488 F.2d 714 (5th Cir. 1974).</w:t>
      </w:r>
    </w:p>
    <w:p w14:paraId="2338BEF5" w14:textId="77777777" w:rsidR="003C3C13" w:rsidRPr="00CE2995" w:rsidRDefault="003C3C13" w:rsidP="0034266C">
      <w:pPr>
        <w:pStyle w:val="14Footnote"/>
      </w:pPr>
    </w:p>
  </w:footnote>
  <w:footnote w:id="242">
    <w:p w14:paraId="55FF23F4" w14:textId="2DDA9F3F" w:rsidR="003C3C13" w:rsidRPr="00CE2995" w:rsidRDefault="003C3C13" w:rsidP="003C3C13">
      <w:pPr>
        <w:pStyle w:val="FootnoteText"/>
      </w:pPr>
      <w:r w:rsidRPr="003C3C13">
        <w:rPr>
          <w:rStyle w:val="FootnoteReference"/>
        </w:rPr>
        <w:footnoteRef/>
      </w:r>
      <w:r w:rsidRPr="003C3C13">
        <w:rPr>
          <w:i/>
        </w:rPr>
        <w:t xml:space="preserve">See </w:t>
      </w:r>
      <w:r w:rsidRPr="003C3C13">
        <w:t xml:space="preserve">Cruz v. Maverick Cnty., 957 F.3d 563 (5th Cir. 2020) (analyzing 12 factors articulated in </w:t>
      </w:r>
      <w:r w:rsidRPr="003C3C13">
        <w:rPr>
          <w:i/>
        </w:rPr>
        <w:t>Johnson</w:t>
      </w:r>
      <w:r w:rsidRPr="003C3C13">
        <w:t xml:space="preserve">). Many of the </w:t>
      </w:r>
      <w:r w:rsidRPr="003C3C13">
        <w:rPr>
          <w:i/>
        </w:rPr>
        <w:t xml:space="preserve">Johnson </w:t>
      </w:r>
      <w:r w:rsidRPr="003C3C13">
        <w:t xml:space="preserve">factors are subsumed in the lodestar analysis. </w:t>
      </w:r>
      <w:r w:rsidRPr="003C3C13">
        <w:rPr>
          <w:i/>
        </w:rPr>
        <w:t xml:space="preserve">See </w:t>
      </w:r>
      <w:r w:rsidRPr="003C3C13">
        <w:t xml:space="preserve">Perdue v. Kenny A., 559 U.S. 542, 553 (2010). For a full discussion of the </w:t>
      </w:r>
      <w:r w:rsidRPr="003C3C13">
        <w:rPr>
          <w:i/>
        </w:rPr>
        <w:t xml:space="preserve">Johnson </w:t>
      </w:r>
      <w:r w:rsidRPr="003C3C13">
        <w:t xml:space="preserve">factors and their limited use after </w:t>
      </w:r>
      <w:r w:rsidRPr="003C3C13">
        <w:rPr>
          <w:i/>
        </w:rPr>
        <w:t>Perdue</w:t>
      </w:r>
      <w:r w:rsidRPr="003C3C13">
        <w:t>, see Chapter 16, Litigation Issues, §IX.F.3.b [Remedies; Attorneys’ Fees; Calculating “Reasonable” Attorneys’ Fees; Adjusting the Lodestar Amount].</w:t>
      </w:r>
    </w:p>
  </w:footnote>
  <w:footnote w:id="243">
    <w:p w14:paraId="36AC2F71" w14:textId="163DCC29" w:rsidR="003C3C13" w:rsidRPr="003C3C13" w:rsidRDefault="003C3C13" w:rsidP="003C3C13">
      <w:pPr>
        <w:pStyle w:val="FootnoteText"/>
      </w:pPr>
      <w:r w:rsidRPr="003C3C13">
        <w:rPr>
          <w:rStyle w:val="FootnoteReference"/>
        </w:rPr>
        <w:footnoteRef/>
      </w:r>
      <w:r w:rsidRPr="003C3C13">
        <w:rPr>
          <w:i/>
        </w:rPr>
        <w:t>Second Circuit</w:t>
      </w:r>
      <w:r w:rsidRPr="003C3C13">
        <w:t xml:space="preserve">: Courts apply six factors set forth in </w:t>
      </w:r>
      <w:r w:rsidRPr="003C3C13">
        <w:rPr>
          <w:rStyle w:val="BCasenamefull"/>
        </w:rPr>
        <w:t>Goldberger v. Integrated Resources, Inc.</w:t>
      </w:r>
      <w:r w:rsidRPr="003C3C13">
        <w:t xml:space="preserve">, 209 F.3d 43 (2d Cir. 2000): (1) time and labor expended by plaintiffs’ counsel; (2) magnitude and complexity of the case; (3) risk of the litigation; (4) quality of representation; (5) requested fee in relation to the settlement; and (6) public policy considerations. </w:t>
      </w:r>
      <w:r w:rsidRPr="003C3C13">
        <w:rPr>
          <w:i/>
        </w:rPr>
        <w:t>See, e.g.</w:t>
      </w:r>
      <w:r w:rsidRPr="003C3C13">
        <w:t xml:space="preserve">, Ortiz v. Chop’t Creative Salad Co. LLC, 89 F. Supp. 3d 573, 590–91 (S.D.N.Y. 2015) (applying six factors set forth in </w:t>
      </w:r>
      <w:r w:rsidRPr="003C3C13">
        <w:rPr>
          <w:i/>
        </w:rPr>
        <w:t>Goldberger</w:t>
      </w:r>
      <w:r w:rsidRPr="003C3C13">
        <w:t xml:space="preserve">, among other factors); Monserrate v. Tequipment, Inc., 2012 WL 5830557, at *1 (E.D.N.Y. Nov. 16, 2012) (applying </w:t>
      </w:r>
      <w:r w:rsidRPr="003C3C13">
        <w:rPr>
          <w:i/>
        </w:rPr>
        <w:t xml:space="preserve">Goldberger </w:t>
      </w:r>
      <w:r w:rsidRPr="003C3C13">
        <w:t>factors); Frank v. Eastman Kodak Co., 228 F.R.D. 174, 188 (W.D.N.Y. 2005) (same).</w:t>
      </w:r>
    </w:p>
    <w:p w14:paraId="06A4C8DD" w14:textId="04AFD793" w:rsidR="003C3C13" w:rsidRPr="003C3C13" w:rsidRDefault="003C3C13" w:rsidP="003C3C13">
      <w:pPr>
        <w:pStyle w:val="FootnoteText"/>
      </w:pPr>
      <w:r w:rsidRPr="003C3C13">
        <w:rPr>
          <w:i/>
        </w:rPr>
        <w:t>Third Circuit</w:t>
      </w:r>
      <w:r w:rsidRPr="003C3C13">
        <w:t xml:space="preserve">: Courts apply the seven factors set forth in </w:t>
      </w:r>
      <w:r w:rsidRPr="003C3C13">
        <w:rPr>
          <w:rStyle w:val="BCasenamefull"/>
        </w:rPr>
        <w:t>Gunter v. Ridgewood Energy Corp.</w:t>
      </w:r>
      <w:r w:rsidRPr="003C3C13">
        <w:t xml:space="preserve">, 223 F.3d 190, 195 n.1 (3d Cir. 2000): (1) size of fund and group/class that will benefit; (2) number and nature of objections by group/class members; (3) skills and efficiency of plaintiffs’ attorneys involved; (4) complexity and duration of the litigation; (5) risk of nonpayment; (6) time devoted to case by plaintiffs’ counsel; and (7) fee awards in similar cases. </w:t>
      </w:r>
      <w:r w:rsidRPr="003C3C13">
        <w:rPr>
          <w:i/>
        </w:rPr>
        <w:t>See, e.g.</w:t>
      </w:r>
      <w:r w:rsidRPr="003C3C13">
        <w:t xml:space="preserve">, Acevedo v. Brightview Landscapes, LLC, 2017 WL 4354809, at *16 (M.D. Pa. Oct. 2, 2017) (applying </w:t>
      </w:r>
      <w:r w:rsidRPr="003C3C13">
        <w:rPr>
          <w:i/>
        </w:rPr>
        <w:t xml:space="preserve">Gunter </w:t>
      </w:r>
      <w:r w:rsidRPr="003C3C13">
        <w:t xml:space="preserve">factors); </w:t>
      </w:r>
      <w:r w:rsidRPr="003C3C13">
        <w:rPr>
          <w:i/>
        </w:rPr>
        <w:t>In re</w:t>
      </w:r>
      <w:r w:rsidRPr="003C3C13">
        <w:t xml:space="preserve"> Staples Inc. Wage &amp; Hour Emp. Practices, 2011 WL 5413221, at *4 (D.N.J. Nov. 4, 2011) (same); Chemi v. Champion Mortg., 2009 WL 1470429, at *10–11 (D.N.J. May 26, 2009) (same). Courts may look at three additional factors set forth in </w:t>
      </w:r>
      <w:r w:rsidRPr="003C3C13">
        <w:rPr>
          <w:rStyle w:val="BCasenamefull"/>
        </w:rPr>
        <w:t>In re Prudential Ins. Co. Sales Practice Litigation</w:t>
      </w:r>
      <w:r w:rsidRPr="003C3C13">
        <w:t xml:space="preserve">, 148 F.3d 283, 338–40 (3d Cir. 1988): (1) the value of the benefits attributable to plaintiffs’ counsel compared to the efforts of other groups or government agencies; (2) the percentage fee that would have been negotiated had the case been subject to a private contingent fee arrangement at the time counsel was retained; and (3) any innovative terms of settlement. </w:t>
      </w:r>
      <w:r w:rsidRPr="003C3C13">
        <w:rPr>
          <w:i/>
        </w:rPr>
        <w:t>See, e.g.</w:t>
      </w:r>
      <w:r w:rsidRPr="003C3C13">
        <w:t>,</w:t>
      </w:r>
      <w:r w:rsidRPr="003C3C13">
        <w:rPr>
          <w:i/>
        </w:rPr>
        <w:t xml:space="preserve"> Acevedo</w:t>
      </w:r>
      <w:r w:rsidRPr="003C3C13">
        <w:t xml:space="preserve">, 2017 WL 4354809, at *16 (applying </w:t>
      </w:r>
      <w:r w:rsidRPr="003C3C13">
        <w:rPr>
          <w:i/>
        </w:rPr>
        <w:t xml:space="preserve">Prudential </w:t>
      </w:r>
      <w:r w:rsidRPr="003C3C13">
        <w:t xml:space="preserve">factors); </w:t>
      </w:r>
      <w:r w:rsidRPr="003C3C13">
        <w:rPr>
          <w:i/>
        </w:rPr>
        <w:t>In re</w:t>
      </w:r>
      <w:r w:rsidRPr="003C3C13">
        <w:t xml:space="preserve"> </w:t>
      </w:r>
      <w:r w:rsidRPr="003C3C13">
        <w:rPr>
          <w:i/>
        </w:rPr>
        <w:t>Staples</w:t>
      </w:r>
      <w:r w:rsidRPr="003C3C13">
        <w:t>, 2011 WL 5413221, at *4–5.</w:t>
      </w:r>
    </w:p>
    <w:p w14:paraId="7ABA6C58" w14:textId="4D88B827" w:rsidR="003C3C13" w:rsidRPr="003C3C13" w:rsidRDefault="003C3C13" w:rsidP="003C3C13">
      <w:pPr>
        <w:pStyle w:val="FootnoteText"/>
      </w:pPr>
      <w:r w:rsidRPr="003C3C13">
        <w:rPr>
          <w:i/>
        </w:rPr>
        <w:t>Sixth Circuit</w:t>
      </w:r>
      <w:r w:rsidRPr="003C3C13">
        <w:t xml:space="preserve">: Courts apply the following six factors from </w:t>
      </w:r>
      <w:r w:rsidRPr="003C3C13">
        <w:rPr>
          <w:rStyle w:val="BCasenamefull"/>
        </w:rPr>
        <w:t>Ramey v. Cincinnati Enquirer, Inc</w:t>
      </w:r>
      <w:r w:rsidRPr="003C3C13">
        <w:t xml:space="preserve">., 508 F.2d 1188, 1196 (6th Cir. 1974): (1) value of the benefits rendered to the class; (2) society’s stake in awarding fees to incentivize others to pursue such societal benefits; (3) whether services were rendered on a contingency basis; (4) lodestar cross-check; (5) complexity of the litigation; and (6) skill and reputation of counsel on both sides. </w:t>
      </w:r>
      <w:r w:rsidRPr="003C3C13">
        <w:rPr>
          <w:i/>
        </w:rPr>
        <w:t>See, e.g.</w:t>
      </w:r>
      <w:r w:rsidRPr="003C3C13">
        <w:t xml:space="preserve">, Arledge v. Domino’s Pizza, Inc., 2018 WL 5023950, at *3 (S.D. Ohio Oct. 17, 2018) (applying </w:t>
      </w:r>
      <w:r w:rsidRPr="003C3C13">
        <w:rPr>
          <w:i/>
        </w:rPr>
        <w:t>Ramey</w:t>
      </w:r>
      <w:r w:rsidRPr="003C3C13">
        <w:t xml:space="preserve"> factors); Dillow v. Home Care Network, Inc., 2018 WL 4776977, at *5–6 (S.D. Ohio Oct. 3, 2018) (same); Osman v. Grube, Inc., 2018 WL 2095172, at *5 (N.D. Ohio May 4, 2018) (same).</w:t>
      </w:r>
    </w:p>
    <w:p w14:paraId="5CDB76A9" w14:textId="50AD924D" w:rsidR="003C3C13" w:rsidRPr="003C3C13" w:rsidRDefault="003C3C13" w:rsidP="003C3C13">
      <w:pPr>
        <w:pStyle w:val="FootnoteText"/>
      </w:pPr>
      <w:r w:rsidRPr="003C3C13">
        <w:rPr>
          <w:i/>
        </w:rPr>
        <w:t>Seventh Circuit</w:t>
      </w:r>
      <w:r w:rsidRPr="003C3C13">
        <w:t xml:space="preserve">: King v. Trek Travel, LLC, 2019 WL 6790398, at *3 (W.D. Wis. Dec. 12, 2019) (awarding 1/3 fee and noting that it was justified by efforts of counsel, risk taken, and results obtained); Knox v. Jones Grp., 2017 WL 3834929, at *5 (S.D. Ind. Aug. 31, 2017) (applying 10 factors similar to </w:t>
      </w:r>
      <w:r w:rsidRPr="003C3C13">
        <w:rPr>
          <w:i/>
        </w:rPr>
        <w:t>Johnson</w:t>
      </w:r>
      <w:r w:rsidRPr="003C3C13">
        <w:t xml:space="preserve"> factors) (citing People Who Care v. Rockford Bd. of Educ., 90 F.3d 1307, 1310–11 (7th Cir. 1996)); Briggs v. PNC Fin. Servs. Grp., Inc., 2016 WL 7018566, at *4 (N.D. Ill. Nov. 29, 2016) (awarding 1/3 fee where plaintiffs’ and their counsel had agreed to that contingency fee and it was supported by “market” and awards in similar cases, attorneys’ skills, results, and risks).</w:t>
      </w:r>
    </w:p>
    <w:p w14:paraId="6A6413A0" w14:textId="2DD27887" w:rsidR="003C3C13" w:rsidRPr="00CE2995" w:rsidRDefault="003C3C13" w:rsidP="003C3C13">
      <w:pPr>
        <w:pStyle w:val="FootnoteText"/>
      </w:pPr>
      <w:r w:rsidRPr="003C3C13">
        <w:rPr>
          <w:i/>
        </w:rPr>
        <w:t>Ninth Circuit</w:t>
      </w:r>
      <w:r w:rsidRPr="003C3C13">
        <w:t xml:space="preserve">: Viceral v. Mistras Grp., Inc., 2017 WL 661352, at *3 (N.D. Cal. Feb. 17, 2017) (considering (1) results obtained; (2) litigation risks; (3) skill required; (4) contingent nature of fee and burden carried by plaintiffs; and (5) awards in similar cases) (citing </w:t>
      </w:r>
      <w:r w:rsidRPr="003C3C13">
        <w:rPr>
          <w:rStyle w:val="BCasenamefull"/>
        </w:rPr>
        <w:t xml:space="preserve">In re </w:t>
      </w:r>
      <w:r w:rsidRPr="003C3C13">
        <w:t>Bluetooth Headset Prod. Liab. Litig., 654 F.3d 953, 942 (9th Cir. 2011)).</w:t>
      </w:r>
    </w:p>
  </w:footnote>
  <w:footnote w:id="244">
    <w:p w14:paraId="64B9BAA1" w14:textId="7E66A3BD" w:rsidR="003C3C13" w:rsidRPr="003C3C13" w:rsidRDefault="003C3C13" w:rsidP="003C3C13">
      <w:pPr>
        <w:pStyle w:val="FootnoteText"/>
      </w:pPr>
      <w:r w:rsidRPr="003C3C13">
        <w:rPr>
          <w:rStyle w:val="FootnoteReference"/>
        </w:rPr>
        <w:footnoteRef/>
      </w:r>
      <w:r w:rsidRPr="003C3C13">
        <w:rPr>
          <w:i/>
        </w:rPr>
        <w:t>Second Circuit</w:t>
      </w:r>
      <w:r w:rsidRPr="003C3C13">
        <w:t>: James v. China Grill Mgmt., 2019 WL 1915298, at *3 (S.D.N.Y. Apr. 30, 2019).</w:t>
      </w:r>
    </w:p>
    <w:p w14:paraId="4439A62D" w14:textId="0926F348" w:rsidR="003C3C13" w:rsidRPr="003C3C13" w:rsidRDefault="003C3C13" w:rsidP="003C3C13">
      <w:pPr>
        <w:pStyle w:val="FootnoteText"/>
      </w:pPr>
      <w:r w:rsidRPr="003C3C13">
        <w:rPr>
          <w:i/>
        </w:rPr>
        <w:t>Third Circuit</w:t>
      </w:r>
      <w:r w:rsidRPr="003C3C13">
        <w:t xml:space="preserve">: </w:t>
      </w:r>
      <w:r w:rsidRPr="003C3C13">
        <w:rPr>
          <w:i/>
        </w:rPr>
        <w:t>Acevedo</w:t>
      </w:r>
      <w:r w:rsidRPr="003C3C13">
        <w:t xml:space="preserve">, 2017 WL 4354809, at *16 (citing </w:t>
      </w:r>
      <w:r w:rsidRPr="003C3C13">
        <w:rPr>
          <w:i/>
        </w:rPr>
        <w:t>In re</w:t>
      </w:r>
      <w:r w:rsidRPr="003C3C13">
        <w:t xml:space="preserve"> Cendant Corp. Sec. Litig., 404 F.3d 173, 188 (3d Cir. 2005)).</w:t>
      </w:r>
    </w:p>
    <w:p w14:paraId="72A8F791" w14:textId="364FBE30" w:rsidR="003C3C13" w:rsidRPr="003C3C13" w:rsidRDefault="003C3C13" w:rsidP="003C3C13">
      <w:pPr>
        <w:pStyle w:val="FootnoteText"/>
      </w:pPr>
      <w:r w:rsidRPr="003C3C13">
        <w:rPr>
          <w:i/>
        </w:rPr>
        <w:t>Fourth Circuit</w:t>
      </w:r>
      <w:r w:rsidRPr="003C3C13">
        <w:t>: Gagliastre v. Captain George’s Seafood Rest., LP, 2019 WL 2288441, at *4 (E.D. Va. May 29, 2019).</w:t>
      </w:r>
    </w:p>
    <w:p w14:paraId="572E731B" w14:textId="31D7F779" w:rsidR="003C3C13" w:rsidRPr="003C3C13" w:rsidRDefault="003C3C13" w:rsidP="003C3C13">
      <w:pPr>
        <w:pStyle w:val="FootnoteText"/>
      </w:pPr>
      <w:r w:rsidRPr="003C3C13">
        <w:rPr>
          <w:i/>
        </w:rPr>
        <w:t>Sixth Circuit</w:t>
      </w:r>
      <w:r w:rsidRPr="003C3C13">
        <w:t xml:space="preserve">: </w:t>
      </w:r>
      <w:r w:rsidRPr="003C3C13">
        <w:rPr>
          <w:i/>
        </w:rPr>
        <w:t>Osman</w:t>
      </w:r>
      <w:r w:rsidRPr="003C3C13">
        <w:t>, 2018 WL 2095172, at *3 (citing Bowling v. Pfizer, Inc., 102 F.3d 777, 780 (6th Cir. 1996)).</w:t>
      </w:r>
    </w:p>
    <w:p w14:paraId="2C02AF59" w14:textId="453DB154" w:rsidR="003C3C13" w:rsidRPr="003C3C13" w:rsidRDefault="003C3C13" w:rsidP="003C3C13">
      <w:pPr>
        <w:pStyle w:val="FootnoteText"/>
      </w:pPr>
      <w:r w:rsidRPr="003C3C13">
        <w:rPr>
          <w:i/>
        </w:rPr>
        <w:t>Ninth Circuit</w:t>
      </w:r>
      <w:r w:rsidRPr="003C3C13">
        <w:t>: Englert v. City of Merced, 2020 WL 2215749, at *11 (E.D. Cal. May 7, 2020) (citing Vizcaino v. Microsoft Corp., 290 F.3d 1043, 1047 (9th Cir. 2002)).</w:t>
      </w:r>
    </w:p>
    <w:p w14:paraId="7E0DA951" w14:textId="6AC8AB38" w:rsidR="003C3C13" w:rsidRPr="00CE2995" w:rsidRDefault="003C3C13" w:rsidP="003C3C13">
      <w:pPr>
        <w:pStyle w:val="FootnoteText"/>
      </w:pPr>
      <w:r w:rsidRPr="003C3C13">
        <w:rPr>
          <w:i/>
        </w:rPr>
        <w:t>Tenth Circuit</w:t>
      </w:r>
      <w:r w:rsidRPr="003C3C13">
        <w:t>: Flerlage v. US Foods, Inc., 2020 BL 304239, 2020 WL 4673155 (D. Kan. Aug. 12, 2020); Aragon v. Clear Water Prods. LLC, 2018 WL 6620724, at *7–8 (D. Colo. Dec. 18, 2018).</w:t>
      </w:r>
    </w:p>
  </w:footnote>
  <w:footnote w:id="245">
    <w:p w14:paraId="4A9109D4" w14:textId="2F5D7D07" w:rsidR="003C3C13" w:rsidRPr="00CE2995" w:rsidRDefault="003C3C13" w:rsidP="003C3C13">
      <w:pPr>
        <w:pStyle w:val="FootnoteText"/>
      </w:pPr>
      <w:r w:rsidRPr="003C3C13">
        <w:rPr>
          <w:rStyle w:val="FootnoteReference"/>
        </w:rPr>
        <w:footnoteRef/>
      </w:r>
      <w:r w:rsidRPr="003C3C13">
        <w:rPr>
          <w:i/>
        </w:rPr>
        <w:t>See Gagliastre</w:t>
      </w:r>
      <w:r w:rsidRPr="003C3C13">
        <w:t>, 2019 WL 2288441, at *6–7 (reducing award from 33% to 25% due to lack of billing documentation); Kraus v. PA Fit II, LLC, 155 F. Supp. 3d 516, 534 (E.D. Pa. 2016) (refusing to award 39% of settlement to attorneys’ fees without further documentation from plaintiffs’ counsel showing the amount to be reasonable).</w:t>
      </w:r>
    </w:p>
  </w:footnote>
  <w:footnote w:id="246">
    <w:p w14:paraId="7DF6E657" w14:textId="2F3AEBB2" w:rsidR="003C3C13" w:rsidRPr="003C3C13" w:rsidRDefault="003C3C13" w:rsidP="003C3C13">
      <w:pPr>
        <w:pStyle w:val="FootnoteText"/>
      </w:pPr>
      <w:r w:rsidRPr="003C3C13">
        <w:rPr>
          <w:rStyle w:val="FootnoteReference"/>
        </w:rPr>
        <w:footnoteRef/>
      </w:r>
      <w:r w:rsidRPr="003C3C13">
        <w:rPr>
          <w:i/>
        </w:rPr>
        <w:t>Second Circuit</w:t>
      </w:r>
      <w:r w:rsidRPr="003C3C13">
        <w:t xml:space="preserve">: Bryant v. Potbelly Sandwich Works, 2020 WL 563804, at *19 (noting courts in Second Circuit regularly award lodestar multipliers of two to six); </w:t>
      </w:r>
      <w:r w:rsidRPr="003C3C13">
        <w:rPr>
          <w:i/>
        </w:rPr>
        <w:t>James</w:t>
      </w:r>
      <w:r w:rsidRPr="003C3C13">
        <w:t xml:space="preserve">, 2019 WL 1915298, at *3 (awarding 30% fee award resulting in 3.53 multiplier); Sakiko Fujiwara v. Sushi Yasuda Ltd., 58 F. Supp. 3d 424, 439 (S.D.N.Y. 2014) (“[A] multiplier near 2 should, in most cases be sufficient compensation for the risk associated with contingent fees in FLSA cases.”); </w:t>
      </w:r>
      <w:r w:rsidRPr="003C3C13">
        <w:rPr>
          <w:i/>
        </w:rPr>
        <w:t>Monserrate</w:t>
      </w:r>
      <w:r w:rsidRPr="003C3C13">
        <w:t>, 2012 WL 5830557, at *4 (justifying reduction of fess to 15% of fund because it still resulted in 4.34 multiplier of lodestar).</w:t>
      </w:r>
    </w:p>
    <w:p w14:paraId="03EF9EC8" w14:textId="3DF3B0A0" w:rsidR="003C3C13" w:rsidRPr="003C3C13" w:rsidRDefault="003C3C13" w:rsidP="003C3C13">
      <w:pPr>
        <w:pStyle w:val="FootnoteText"/>
      </w:pPr>
      <w:r w:rsidRPr="003C3C13">
        <w:rPr>
          <w:i/>
        </w:rPr>
        <w:t>Third Circuit</w:t>
      </w:r>
      <w:r w:rsidRPr="003C3C13">
        <w:t xml:space="preserve">: Starnes v. Amazon.com, Inc., 2023 BL 155421, 2023 WL 3305159 (E.D. Pa. May 8, 2023) (after performing a lodestar cross-check, approving multiplier of roughly 3 as within an acceptable range of 1 to 4 multiplier); </w:t>
      </w:r>
      <w:r w:rsidRPr="003C3C13">
        <w:rPr>
          <w:i/>
        </w:rPr>
        <w:t>Acevedo</w:t>
      </w:r>
      <w:r w:rsidRPr="003C3C13">
        <w:t xml:space="preserve">, 2017 WL 4354809, at *16, 20 (noting multiplier between 1 and 4 is “common” in Third Circuit, citing </w:t>
      </w:r>
      <w:r w:rsidRPr="003C3C13">
        <w:rPr>
          <w:rStyle w:val="BCasenamefull"/>
        </w:rPr>
        <w:t>In re Prudential</w:t>
      </w:r>
      <w:r w:rsidRPr="003C3C13">
        <w:t xml:space="preserve">, 148 F.3d at 341, and finding 1.3 multiplier of lodestar justified fee award of more than 31%); </w:t>
      </w:r>
      <w:r w:rsidRPr="003C3C13">
        <w:rPr>
          <w:rStyle w:val="BCasenamefull"/>
        </w:rPr>
        <w:t>In re Staples</w:t>
      </w:r>
      <w:r w:rsidRPr="003C3C13">
        <w:t>, 2011 WL 5413221, at *5 ($11.5 million fee representing 27.5% of common fund was justified by 1.8 lodestar multiplier cross-check).</w:t>
      </w:r>
    </w:p>
    <w:p w14:paraId="1AAB05D9" w14:textId="1105D6BB" w:rsidR="003C3C13" w:rsidRPr="003C3C13" w:rsidRDefault="003C3C13" w:rsidP="003C3C13">
      <w:pPr>
        <w:pStyle w:val="FootnoteText"/>
      </w:pPr>
      <w:r w:rsidRPr="003C3C13">
        <w:rPr>
          <w:i/>
        </w:rPr>
        <w:t>Sixth Circuit</w:t>
      </w:r>
      <w:r w:rsidRPr="003C3C13">
        <w:t xml:space="preserve">: Mullins v. Southern Ohio Pizza, Inc., 2019 WL 275711, at *5 (S.D. Ohio Jan. 18, 2019) (3.16 multiplier found reasonable); </w:t>
      </w:r>
      <w:r w:rsidRPr="003C3C13">
        <w:rPr>
          <w:i/>
        </w:rPr>
        <w:t>Arledge</w:t>
      </w:r>
      <w:r w:rsidRPr="003C3C13">
        <w:t xml:space="preserve">, 2018 WL 5023950, at *5 (2.57 multiplier “well within the acceptable range of multipliers for cases such as this,” citing other FLSA cases); </w:t>
      </w:r>
      <w:r w:rsidRPr="003C3C13">
        <w:rPr>
          <w:i/>
        </w:rPr>
        <w:t>Dillow</w:t>
      </w:r>
      <w:r w:rsidRPr="003C3C13">
        <w:t>, 2018 WL 4776977, at *6 (finding 2.9 times lodestar was “well within the acceptable range of multipliers for cases such as this”) (citing cases).</w:t>
      </w:r>
    </w:p>
    <w:p w14:paraId="2E0C093C" w14:textId="280B7204" w:rsidR="003C3C13" w:rsidRPr="003C3C13" w:rsidRDefault="003C3C13" w:rsidP="003C3C13">
      <w:pPr>
        <w:pStyle w:val="FootnoteText"/>
      </w:pPr>
      <w:r w:rsidRPr="003C3C13">
        <w:rPr>
          <w:i/>
        </w:rPr>
        <w:t>Seventh Circuit: King</w:t>
      </w:r>
      <w:r w:rsidRPr="003C3C13">
        <w:t>, 2019 WL 6790398, at *3 (lodestar cross-check showing over 1.4 multiplier justified 1/3 fee award).</w:t>
      </w:r>
    </w:p>
    <w:p w14:paraId="1ECB0D81" w14:textId="5A21D220" w:rsidR="003C3C13" w:rsidRPr="003C3C13" w:rsidRDefault="003C3C13" w:rsidP="003C3C13">
      <w:pPr>
        <w:pStyle w:val="FootnoteText"/>
      </w:pPr>
      <w:r w:rsidRPr="003C3C13">
        <w:rPr>
          <w:i/>
        </w:rPr>
        <w:t xml:space="preserve">Ninth Circuit: </w:t>
      </w:r>
      <w:r w:rsidRPr="003C3C13">
        <w:t>Bisaccia v. Revel Sys. Inc., 2019 WL 3220275, at *8 (N.D. Cal. July 17, 2019) (approving fees with 2.23 lodestar multiplier).</w:t>
      </w:r>
    </w:p>
    <w:p w14:paraId="6ED1C502" w14:textId="7DC50A0C" w:rsidR="003C3C13" w:rsidRPr="00CE2995" w:rsidRDefault="003C3C13" w:rsidP="003C3C13">
      <w:pPr>
        <w:pStyle w:val="FootnoteText"/>
      </w:pPr>
      <w:r w:rsidRPr="003C3C13">
        <w:rPr>
          <w:i/>
        </w:rPr>
        <w:t>Tenth Circuit</w:t>
      </w:r>
      <w:r w:rsidRPr="003C3C13">
        <w:t xml:space="preserve">: Diaz v. Lost Dog Pizza, LLC, 2019 2189485, at *5 (D. Colo. May 21, 2019) (1.86 multiplier justified 33% fee award); </w:t>
      </w:r>
      <w:r w:rsidRPr="003C3C13">
        <w:rPr>
          <w:i/>
        </w:rPr>
        <w:t>Aragon</w:t>
      </w:r>
      <w:r w:rsidRPr="003C3C13">
        <w:t>, 2018 WL 6620724, at *7–8 (approving fee with 1.15 multiplier).</w:t>
      </w:r>
    </w:p>
  </w:footnote>
  <w:footnote w:id="247">
    <w:p w14:paraId="2F4D41B1" w14:textId="03A77FC6" w:rsidR="003C3C13" w:rsidRPr="00CE2995" w:rsidRDefault="003C3C13" w:rsidP="003C3C13">
      <w:pPr>
        <w:pStyle w:val="FootnoteText"/>
      </w:pPr>
      <w:r w:rsidRPr="003C3C13">
        <w:rPr>
          <w:rStyle w:val="FootnoteReference"/>
        </w:rPr>
        <w:footnoteRef/>
      </w:r>
      <w:r w:rsidRPr="003C3C13">
        <w:t>Young v. Rolling in the Dough, Inc., 2020 WL 969616, at *6 (N.D. Ill. Feb. 27, 2020) (in FLSA collective action settlement stating that “[a] lodestar cross-check is not necessary”) (citing Williams v. Rohm &amp; Haas Pension Plan, 658 F.3d 629, 636 (7th Cir. 2011) (stating “consideration of a lodestar cross check is not an issue of required methodology”)).</w:t>
      </w:r>
    </w:p>
  </w:footnote>
  <w:footnote w:id="248">
    <w:p w14:paraId="65B231AA" w14:textId="35ED0FB5" w:rsidR="003C3C13" w:rsidRPr="00CE2995" w:rsidRDefault="003C3C13" w:rsidP="003C3C13">
      <w:pPr>
        <w:pStyle w:val="FootnoteText"/>
      </w:pPr>
      <w:r w:rsidRPr="003C3C13">
        <w:rPr>
          <w:rStyle w:val="FootnoteReference"/>
        </w:rPr>
        <w:footnoteRef/>
      </w:r>
      <w:r w:rsidRPr="003C3C13">
        <w:t>450 U.S. 728 (1981).</w:t>
      </w:r>
    </w:p>
  </w:footnote>
  <w:footnote w:id="249">
    <w:p w14:paraId="1BFEBFB0" w14:textId="0B1F77DB" w:rsidR="003C3C13" w:rsidRPr="00CE2995" w:rsidRDefault="003C3C13" w:rsidP="003C3C13">
      <w:pPr>
        <w:pStyle w:val="FootnoteText"/>
      </w:pPr>
      <w:r w:rsidRPr="003C3C13">
        <w:rPr>
          <w:rStyle w:val="FootnoteReference"/>
        </w:rPr>
        <w:footnoteRef/>
      </w:r>
      <w:r w:rsidRPr="003C3C13">
        <w:rPr>
          <w:i/>
        </w:rPr>
        <w:t xml:space="preserve">Id. </w:t>
      </w:r>
      <w:r w:rsidRPr="003C3C13">
        <w:t>at 743.</w:t>
      </w:r>
    </w:p>
  </w:footnote>
  <w:footnote w:id="250">
    <w:p w14:paraId="634A7450" w14:textId="5145CC06" w:rsidR="003C3C13" w:rsidRPr="003C3C13" w:rsidRDefault="003C3C13" w:rsidP="003C3C13">
      <w:pPr>
        <w:pStyle w:val="FootnoteText"/>
      </w:pPr>
      <w:r w:rsidRPr="003C3C13">
        <w:rPr>
          <w:rStyle w:val="FootnoteReference"/>
        </w:rPr>
        <w:footnoteRef/>
      </w:r>
      <w:r w:rsidRPr="003C3C13">
        <w:rPr>
          <w:i/>
        </w:rPr>
        <w:t>See, e.g.</w:t>
      </w:r>
      <w:r w:rsidRPr="003C3C13">
        <w:t>,</w:t>
      </w:r>
    </w:p>
    <w:p w14:paraId="3A5D150D" w14:textId="7DB0D63F" w:rsidR="003C3C13" w:rsidRPr="003C3C13" w:rsidRDefault="003C3C13" w:rsidP="003C3C13">
      <w:pPr>
        <w:pStyle w:val="FootnoteText"/>
      </w:pPr>
      <w:r w:rsidRPr="003C3C13">
        <w:rPr>
          <w:i/>
        </w:rPr>
        <w:t>Second Circuit</w:t>
      </w:r>
      <w:r w:rsidRPr="003C3C13">
        <w:t>: Frank v. Eastman Kodak Co., 228 F.R.D. 174, 189 (W.D.N.Y. 2005).</w:t>
      </w:r>
    </w:p>
    <w:p w14:paraId="1FFD7475" w14:textId="04182773" w:rsidR="003C3C13" w:rsidRPr="003C3C13" w:rsidRDefault="003C3C13" w:rsidP="003C3C13">
      <w:pPr>
        <w:pStyle w:val="FootnoteText"/>
      </w:pPr>
      <w:r w:rsidRPr="003C3C13">
        <w:rPr>
          <w:i/>
        </w:rPr>
        <w:t>Third Circuit</w:t>
      </w:r>
      <w:r w:rsidRPr="003C3C13">
        <w:t>: Acevedo v. Brightview Landscapes, LLC, 2017 WL 4354809, at *18 (M.D. Pa. Oct. 2, 2017); Chemi v. Champion Mortg., 2009 WL 1470429, at *11 (D.N.J. May 26, 2009).</w:t>
      </w:r>
    </w:p>
    <w:p w14:paraId="59697316" w14:textId="2DAE244B" w:rsidR="003C3C13" w:rsidRPr="003C3C13" w:rsidRDefault="003C3C13" w:rsidP="003C3C13">
      <w:pPr>
        <w:pStyle w:val="FootnoteText"/>
      </w:pPr>
      <w:r w:rsidRPr="003C3C13">
        <w:rPr>
          <w:i/>
        </w:rPr>
        <w:t>Sixth Circuit</w:t>
      </w:r>
      <w:r w:rsidRPr="003C3C13">
        <w:t>: Arledge v. Domino’s Pizza, Inc., 2018 WL 5023950, at *5 (S.D. Ohio Oct. 17, 2018); Osman v. Grube, Inc., 2018 WL 2095172, at *3 (N.D. Ohio May 4, 2018).</w:t>
      </w:r>
    </w:p>
    <w:p w14:paraId="3D70F0E1" w14:textId="0CB32FF5" w:rsidR="003C3C13" w:rsidRPr="003C3C13" w:rsidRDefault="003C3C13" w:rsidP="003C3C13">
      <w:pPr>
        <w:pStyle w:val="FootnoteText"/>
      </w:pPr>
      <w:r w:rsidRPr="003C3C13">
        <w:rPr>
          <w:i/>
        </w:rPr>
        <w:t>Tenth Circuit</w:t>
      </w:r>
      <w:r w:rsidRPr="003C3C13">
        <w:t>: Aragon v. Clear Water Prods. LLC, 2018 WL 6620724, at *5 (D. Colo. Dec. 18, 2018).</w:t>
      </w:r>
    </w:p>
    <w:p w14:paraId="30D5B212" w14:textId="51439442" w:rsidR="003C3C13" w:rsidRPr="003C3C13" w:rsidRDefault="003C3C13" w:rsidP="003C3C13">
      <w:pPr>
        <w:pStyle w:val="FootnoteText"/>
      </w:pPr>
      <w:r w:rsidRPr="003C3C13">
        <w:rPr>
          <w:i/>
        </w:rPr>
        <w:t>Eleventh Circuit</w:t>
      </w:r>
      <w:r w:rsidRPr="003C3C13">
        <w:t>: George v. Academy Mortg. Corp., 369 F. Supp. 3d 1356, 1377 (N.D. Ga. 2019).</w:t>
      </w:r>
    </w:p>
    <w:p w14:paraId="111D1736" w14:textId="289B820B" w:rsidR="003C3C13" w:rsidRPr="00CE2995" w:rsidRDefault="003C3C13" w:rsidP="003C3C13">
      <w:pPr>
        <w:pStyle w:val="FootnoteText"/>
      </w:pPr>
      <w:r w:rsidRPr="003C3C13">
        <w:rPr>
          <w:i/>
        </w:rPr>
        <w:t xml:space="preserve">But cf. </w:t>
      </w:r>
      <w:r w:rsidRPr="003C3C13">
        <w:t>Ortiz v. Chop’t Creative Salad Co. LLC, 89 F. Supp. 3d 573, 593–96 (S.D.N.Y. 2015) (finding risk factors not compelling where action was “a simple and straightforward action for violations of FLSA and [New York Labor Law]”).</w:t>
      </w:r>
    </w:p>
  </w:footnote>
  <w:footnote w:id="251">
    <w:p w14:paraId="7A0B01F6" w14:textId="70D8A035" w:rsidR="003C3C13" w:rsidRPr="003C3C13" w:rsidRDefault="003C3C13" w:rsidP="003C3C13">
      <w:pPr>
        <w:pStyle w:val="FootnoteText"/>
      </w:pPr>
      <w:r w:rsidRPr="003C3C13">
        <w:rPr>
          <w:rStyle w:val="FootnoteReference"/>
        </w:rPr>
        <w:footnoteRef/>
      </w:r>
      <w:r w:rsidRPr="003C3C13">
        <w:rPr>
          <w:i/>
        </w:rPr>
        <w:t>See, e.g.</w:t>
      </w:r>
      <w:r w:rsidRPr="003C3C13">
        <w:t>,</w:t>
      </w:r>
    </w:p>
    <w:p w14:paraId="13572C56" w14:textId="2706E770" w:rsidR="003C3C13" w:rsidRPr="003C3C13" w:rsidRDefault="003C3C13" w:rsidP="003C3C13">
      <w:pPr>
        <w:pStyle w:val="FootnoteText"/>
      </w:pPr>
      <w:r w:rsidRPr="003C3C13">
        <w:rPr>
          <w:i/>
        </w:rPr>
        <w:t>Second Circuit</w:t>
      </w:r>
      <w:r w:rsidRPr="003C3C13">
        <w:t xml:space="preserve">: </w:t>
      </w:r>
      <w:r w:rsidRPr="003C3C13">
        <w:rPr>
          <w:i/>
        </w:rPr>
        <w:t>Ortiz</w:t>
      </w:r>
      <w:r w:rsidRPr="003C3C13">
        <w:t xml:space="preserve">, 89 F. Supp. 3d at 590 (citing Goldberger v. Integrated Res. Inc., 209 F.3d 43, 51 (2d Cir. 2000); </w:t>
      </w:r>
      <w:r w:rsidRPr="003C3C13">
        <w:rPr>
          <w:i/>
        </w:rPr>
        <w:t>Frank</w:t>
      </w:r>
      <w:r w:rsidRPr="003C3C13">
        <w:t>, 228 F.R.D. at 189; Butt v. Megabus Ne. LLC, 2012 U.S. Dist. LEXIS 137683, at *22 (S.D.N.Y. 2012)).</w:t>
      </w:r>
    </w:p>
    <w:p w14:paraId="124C9D5C" w14:textId="6DB812BD" w:rsidR="003C3C13" w:rsidRPr="003C3C13" w:rsidRDefault="003C3C13" w:rsidP="003C3C13">
      <w:pPr>
        <w:pStyle w:val="FootnoteText"/>
      </w:pPr>
      <w:r w:rsidRPr="003C3C13">
        <w:rPr>
          <w:i/>
        </w:rPr>
        <w:t>Third Circuit</w:t>
      </w:r>
      <w:r w:rsidRPr="003C3C13">
        <w:t xml:space="preserve">: </w:t>
      </w:r>
      <w:r w:rsidRPr="003C3C13">
        <w:rPr>
          <w:i/>
        </w:rPr>
        <w:t>Acevedo</w:t>
      </w:r>
      <w:r w:rsidRPr="003C3C13">
        <w:t xml:space="preserve">, 2017 WL 4354809, at *18; </w:t>
      </w:r>
      <w:r w:rsidRPr="003C3C13">
        <w:rPr>
          <w:i/>
        </w:rPr>
        <w:t>Chemi</w:t>
      </w:r>
      <w:r w:rsidRPr="003C3C13">
        <w:t xml:space="preserve">, 2009 WL 1470429, at *12 (citing </w:t>
      </w:r>
      <w:r w:rsidRPr="003C3C13">
        <w:rPr>
          <w:i/>
        </w:rPr>
        <w:t>In re</w:t>
      </w:r>
      <w:r w:rsidRPr="003C3C13">
        <w:t xml:space="preserve"> Prudential Ins. Co. Am. Sales Practice Agent Actions, 148 F.3d 283, 340–41 (3d Cir. 1998)).</w:t>
      </w:r>
    </w:p>
    <w:p w14:paraId="203D9C27" w14:textId="49DA8E05" w:rsidR="003C3C13" w:rsidRPr="003C3C13" w:rsidRDefault="003C3C13" w:rsidP="003C3C13">
      <w:pPr>
        <w:pStyle w:val="FootnoteText"/>
      </w:pPr>
      <w:r w:rsidRPr="003C3C13">
        <w:rPr>
          <w:i/>
        </w:rPr>
        <w:t>Sixth Circuit</w:t>
      </w:r>
      <w:r w:rsidRPr="003C3C13">
        <w:t xml:space="preserve">: </w:t>
      </w:r>
      <w:r w:rsidRPr="003C3C13">
        <w:rPr>
          <w:i/>
        </w:rPr>
        <w:t>Arledge</w:t>
      </w:r>
      <w:r w:rsidRPr="003C3C13">
        <w:t xml:space="preserve">, 2018 WL 5023950, at *4; </w:t>
      </w:r>
      <w:r w:rsidRPr="003C3C13">
        <w:rPr>
          <w:i/>
        </w:rPr>
        <w:t>Osman</w:t>
      </w:r>
      <w:r w:rsidRPr="003C3C13">
        <w:t>, 2018 WL 2095172, at *3.</w:t>
      </w:r>
    </w:p>
    <w:p w14:paraId="769C53D0" w14:textId="60873FFD" w:rsidR="003C3C13" w:rsidRPr="003C3C13" w:rsidRDefault="003C3C13" w:rsidP="003C3C13">
      <w:pPr>
        <w:pStyle w:val="FootnoteText"/>
      </w:pPr>
      <w:r w:rsidRPr="003C3C13">
        <w:rPr>
          <w:i/>
        </w:rPr>
        <w:t>Seventh Circuit</w:t>
      </w:r>
      <w:r w:rsidRPr="003C3C13">
        <w:t>: King v. Trek Travel, LLC, 2019 WL 6790398, at *3 (W.D. Wis. Dec. 12, 2019) (citing “the factual and legal uncertainties” as justification for amount of fees awarded); Briggs v. PNC Fin. Servs. Grp., Inc., 2016 WL 7018566, at *5 (N.D. Ill. Nov. 29, 2016).</w:t>
      </w:r>
    </w:p>
    <w:p w14:paraId="664855FC" w14:textId="2C762BF2" w:rsidR="003C3C13" w:rsidRPr="003C3C13" w:rsidRDefault="003C3C13" w:rsidP="003C3C13">
      <w:pPr>
        <w:pStyle w:val="FootnoteText"/>
      </w:pPr>
      <w:r w:rsidRPr="003C3C13">
        <w:rPr>
          <w:i/>
        </w:rPr>
        <w:t>Tenth Circuit</w:t>
      </w:r>
      <w:r w:rsidRPr="003C3C13">
        <w:t xml:space="preserve">: </w:t>
      </w:r>
      <w:r w:rsidRPr="003C3C13">
        <w:rPr>
          <w:i/>
        </w:rPr>
        <w:t>Aragon</w:t>
      </w:r>
      <w:r w:rsidRPr="003C3C13">
        <w:t>, 2018 WL 6620724, at *6.</w:t>
      </w:r>
    </w:p>
    <w:p w14:paraId="00179578" w14:textId="00D6354D" w:rsidR="003C3C13" w:rsidRPr="00CE2995" w:rsidRDefault="003C3C13" w:rsidP="003C3C13">
      <w:pPr>
        <w:pStyle w:val="FootnoteText"/>
      </w:pPr>
      <w:r w:rsidRPr="003C3C13">
        <w:rPr>
          <w:i/>
        </w:rPr>
        <w:t>Eleventh Circuit</w:t>
      </w:r>
      <w:r w:rsidRPr="003C3C13">
        <w:t xml:space="preserve">: </w:t>
      </w:r>
      <w:r w:rsidRPr="003C3C13">
        <w:rPr>
          <w:i/>
        </w:rPr>
        <w:t>George</w:t>
      </w:r>
      <w:r w:rsidRPr="003C3C13">
        <w:t>, 369 F. Supp. 3d at 1380</w:t>
      </w:r>
    </w:p>
  </w:footnote>
  <w:footnote w:id="252">
    <w:p w14:paraId="3F78E443" w14:textId="24153AED" w:rsidR="003C3C13" w:rsidRPr="00CE2995" w:rsidRDefault="003C3C13" w:rsidP="003C3C13">
      <w:pPr>
        <w:pStyle w:val="FootnoteText"/>
      </w:pPr>
      <w:r w:rsidRPr="003C3C13">
        <w:rPr>
          <w:rStyle w:val="FootnoteReference"/>
        </w:rPr>
        <w:footnoteRef/>
      </w:r>
      <w:r w:rsidRPr="003C3C13">
        <w:rPr>
          <w:rFonts w:eastAsiaTheme="minorEastAsia"/>
          <w:i/>
        </w:rPr>
        <w:t>See</w:t>
      </w:r>
      <w:r w:rsidRPr="003C3C13">
        <w:t xml:space="preserve"> Skaggs v. Mobile Climate Control Corp., 2021 BL 222936, 2021 WL 2434125, at *2–4 (E.D. Mich. June 15, 2021) (rejecting request of 40% of settlement amount for fees where case was pending for 10 weeks and work performed “was minimal at best”). </w:t>
      </w:r>
      <w:r w:rsidRPr="003C3C13">
        <w:rPr>
          <w:rFonts w:eastAsiaTheme="minorEastAsia"/>
          <w:i/>
        </w:rPr>
        <w:t>See also</w:t>
      </w:r>
      <w:r w:rsidRPr="003C3C13">
        <w:t xml:space="preserve"> </w:t>
      </w:r>
      <w:r w:rsidRPr="003C3C13">
        <w:rPr>
          <w:rFonts w:eastAsiaTheme="minorEastAsia"/>
          <w:i/>
        </w:rPr>
        <w:t>Ortiz</w:t>
      </w:r>
      <w:r w:rsidRPr="003C3C13">
        <w:t>, 89 F. Supp. 3d at 593–96; Zegers v. Countrywide Mortg. Ventures, LC, 569 F. Supp. 2d 1259, 1268 (M.D. Fla. 2008).</w:t>
      </w:r>
    </w:p>
  </w:footnote>
  <w:footnote w:id="253">
    <w:p w14:paraId="23D93283" w14:textId="5D82691E" w:rsidR="003C3C13" w:rsidRPr="003C3C13" w:rsidRDefault="003C3C13" w:rsidP="003C3C13">
      <w:pPr>
        <w:pStyle w:val="FootnoteText"/>
      </w:pPr>
      <w:r w:rsidRPr="003C3C13">
        <w:rPr>
          <w:rStyle w:val="FootnoteReference"/>
        </w:rPr>
        <w:footnoteRef/>
      </w:r>
      <w:r w:rsidRPr="003C3C13">
        <w:rPr>
          <w:i/>
        </w:rPr>
        <w:t>See, e.g.</w:t>
      </w:r>
      <w:r w:rsidRPr="003C3C13">
        <w:t>,</w:t>
      </w:r>
    </w:p>
    <w:p w14:paraId="5E73952B" w14:textId="0EEAFC44" w:rsidR="003C3C13" w:rsidRPr="003C3C13" w:rsidRDefault="003C3C13" w:rsidP="003C3C13">
      <w:pPr>
        <w:pStyle w:val="FootnoteText"/>
      </w:pPr>
      <w:r w:rsidRPr="003C3C13">
        <w:rPr>
          <w:i/>
        </w:rPr>
        <w:t>Second Circuit: Ortiz</w:t>
      </w:r>
      <w:r w:rsidRPr="003C3C13">
        <w:t xml:space="preserve">, 89 F. Supp. 3d at 591 (quoting </w:t>
      </w:r>
      <w:r w:rsidRPr="003C3C13">
        <w:rPr>
          <w:i/>
        </w:rPr>
        <w:t>Goldberger</w:t>
      </w:r>
      <w:r w:rsidRPr="003C3C13">
        <w:t>, 209 F.3d at 55).</w:t>
      </w:r>
    </w:p>
    <w:p w14:paraId="132E7AB3" w14:textId="67DC68FC" w:rsidR="003C3C13" w:rsidRPr="003C3C13" w:rsidRDefault="003C3C13" w:rsidP="003C3C13">
      <w:pPr>
        <w:pStyle w:val="FootnoteText"/>
      </w:pPr>
      <w:r w:rsidRPr="003C3C13">
        <w:rPr>
          <w:i/>
        </w:rPr>
        <w:t>Seventh Circuit: Briggs</w:t>
      </w:r>
      <w:r w:rsidRPr="003C3C13">
        <w:t>, 2016 WL 7018566, at *5.</w:t>
      </w:r>
    </w:p>
    <w:p w14:paraId="7925E3F7" w14:textId="0DB472CD" w:rsidR="003C3C13" w:rsidRPr="00CE2995" w:rsidRDefault="003C3C13" w:rsidP="003C3C13">
      <w:pPr>
        <w:pStyle w:val="FootnoteText"/>
      </w:pPr>
      <w:r w:rsidRPr="003C3C13">
        <w:rPr>
          <w:i/>
        </w:rPr>
        <w:t>Eleventh Circuit: George</w:t>
      </w:r>
      <w:r w:rsidRPr="003C3C13">
        <w:t>, 369 F. Supp. 3d at 1380.</w:t>
      </w:r>
    </w:p>
  </w:footnote>
  <w:footnote w:id="254">
    <w:p w14:paraId="41B9CE26" w14:textId="5EA4E17C" w:rsidR="003C3C13" w:rsidRPr="003C3C13" w:rsidRDefault="003C3C13" w:rsidP="003C3C13">
      <w:pPr>
        <w:pStyle w:val="FootnoteText"/>
      </w:pPr>
      <w:r w:rsidRPr="003C3C13">
        <w:rPr>
          <w:rStyle w:val="FootnoteReference"/>
        </w:rPr>
        <w:footnoteRef/>
      </w:r>
      <w:r w:rsidRPr="003C3C13">
        <w:rPr>
          <w:i/>
        </w:rPr>
        <w:t>See, e.g.</w:t>
      </w:r>
      <w:r w:rsidRPr="003C3C13">
        <w:t>,</w:t>
      </w:r>
    </w:p>
    <w:p w14:paraId="10265954" w14:textId="0CDDA2D5" w:rsidR="003C3C13" w:rsidRPr="003C3C13" w:rsidRDefault="003C3C13" w:rsidP="003C3C13">
      <w:pPr>
        <w:pStyle w:val="FootnoteText"/>
      </w:pPr>
      <w:r w:rsidRPr="003C3C13">
        <w:rPr>
          <w:i/>
        </w:rPr>
        <w:t>Third Circuit</w:t>
      </w:r>
      <w:r w:rsidRPr="003C3C13">
        <w:t xml:space="preserve">: </w:t>
      </w:r>
      <w:r w:rsidRPr="003C3C13">
        <w:rPr>
          <w:i/>
        </w:rPr>
        <w:t>Acevedo</w:t>
      </w:r>
      <w:r w:rsidRPr="003C3C13">
        <w:t>, 2017 WL 4354809, at *18, 19.</w:t>
      </w:r>
    </w:p>
    <w:p w14:paraId="2A3DB6F8" w14:textId="33A02DC8" w:rsidR="003C3C13" w:rsidRPr="003C3C13" w:rsidRDefault="003C3C13" w:rsidP="003C3C13">
      <w:pPr>
        <w:pStyle w:val="FootnoteText"/>
      </w:pPr>
      <w:r w:rsidRPr="003C3C13">
        <w:rPr>
          <w:i/>
        </w:rPr>
        <w:t>Sixth Circuit</w:t>
      </w:r>
      <w:r w:rsidRPr="003C3C13">
        <w:t xml:space="preserve">: </w:t>
      </w:r>
      <w:r w:rsidRPr="003C3C13">
        <w:rPr>
          <w:i/>
        </w:rPr>
        <w:t>Osman</w:t>
      </w:r>
      <w:r w:rsidRPr="003C3C13">
        <w:t>, 2018 WL 2095172, at *5.</w:t>
      </w:r>
    </w:p>
    <w:p w14:paraId="1CA11E90" w14:textId="30C844F7" w:rsidR="003C3C13" w:rsidRPr="003C3C13" w:rsidRDefault="003C3C13" w:rsidP="003C3C13">
      <w:pPr>
        <w:pStyle w:val="FootnoteText"/>
      </w:pPr>
      <w:r w:rsidRPr="003C3C13">
        <w:rPr>
          <w:i/>
        </w:rPr>
        <w:t>Seventh Circuit</w:t>
      </w:r>
      <w:r w:rsidRPr="003C3C13">
        <w:t xml:space="preserve">: </w:t>
      </w:r>
      <w:r w:rsidRPr="003C3C13">
        <w:rPr>
          <w:i/>
        </w:rPr>
        <w:t>Briggs</w:t>
      </w:r>
      <w:r w:rsidRPr="003C3C13">
        <w:t>, 2016 WL 7018566, at *4.</w:t>
      </w:r>
    </w:p>
    <w:p w14:paraId="6C1E4550" w14:textId="46FDDA05" w:rsidR="003C3C13" w:rsidRPr="003C3C13" w:rsidRDefault="003C3C13" w:rsidP="003C3C13">
      <w:pPr>
        <w:pStyle w:val="FootnoteText"/>
      </w:pPr>
      <w:r w:rsidRPr="003C3C13">
        <w:rPr>
          <w:i/>
        </w:rPr>
        <w:t>Eleventh Circuit</w:t>
      </w:r>
      <w:r w:rsidRPr="003C3C13">
        <w:t xml:space="preserve">: </w:t>
      </w:r>
      <w:r w:rsidRPr="003C3C13">
        <w:rPr>
          <w:i/>
        </w:rPr>
        <w:t>George</w:t>
      </w:r>
      <w:r w:rsidRPr="003C3C13">
        <w:t>, 369 F. Supp. 3d at 1381–82.</w:t>
      </w:r>
    </w:p>
    <w:p w14:paraId="60560772" w14:textId="13A1D5B3" w:rsidR="003C3C13" w:rsidRPr="00CE2995" w:rsidRDefault="003C3C13" w:rsidP="003C3C13">
      <w:pPr>
        <w:pStyle w:val="FootnoteText"/>
      </w:pPr>
      <w:r w:rsidRPr="003C3C13">
        <w:rPr>
          <w:i/>
        </w:rPr>
        <w:t>But cf. Zegers</w:t>
      </w:r>
      <w:r w:rsidRPr="003C3C13">
        <w:t>, 569 F. Supp. 2d at 1268 (“The Court … must determine what is a reasonable fee and will find any contingency fee agreement that requires an additional payment to be unenforceable.”).</w:t>
      </w:r>
    </w:p>
  </w:footnote>
  <w:footnote w:id="255">
    <w:p w14:paraId="3B31AD93" w14:textId="428FEC60" w:rsidR="003C3C13" w:rsidRPr="003C3C13" w:rsidRDefault="003C3C13" w:rsidP="003C3C13">
      <w:pPr>
        <w:pStyle w:val="FootnoteText"/>
      </w:pPr>
      <w:r w:rsidRPr="003C3C13">
        <w:rPr>
          <w:rStyle w:val="FootnoteReference"/>
        </w:rPr>
        <w:footnoteRef/>
      </w:r>
      <w:r w:rsidRPr="003C3C13">
        <w:rPr>
          <w:i/>
        </w:rPr>
        <w:t>See, e.g.</w:t>
      </w:r>
      <w:r w:rsidRPr="003C3C13">
        <w:t>,</w:t>
      </w:r>
    </w:p>
    <w:p w14:paraId="7BDCB60B" w14:textId="14DB710E" w:rsidR="003C3C13" w:rsidRPr="003C3C13" w:rsidRDefault="003C3C13" w:rsidP="003C3C13">
      <w:pPr>
        <w:pStyle w:val="FootnoteText"/>
      </w:pPr>
      <w:r w:rsidRPr="003C3C13">
        <w:rPr>
          <w:i/>
        </w:rPr>
        <w:t>Third Circuit</w:t>
      </w:r>
      <w:r w:rsidRPr="003C3C13">
        <w:t xml:space="preserve">: </w:t>
      </w:r>
      <w:r w:rsidRPr="003C3C13">
        <w:rPr>
          <w:i/>
        </w:rPr>
        <w:t>In re</w:t>
      </w:r>
      <w:r w:rsidRPr="003C3C13">
        <w:t xml:space="preserve"> Staples Inc. Wage &amp; Hour Emp. Practices, 2011 WL 5413221, at *4 (D.N.J. Nov. 4, 2011).</w:t>
      </w:r>
    </w:p>
    <w:p w14:paraId="5D40B570" w14:textId="418CE64D" w:rsidR="003C3C13" w:rsidRPr="003C3C13" w:rsidRDefault="003C3C13" w:rsidP="003C3C13">
      <w:pPr>
        <w:pStyle w:val="FootnoteText"/>
      </w:pPr>
      <w:r w:rsidRPr="003C3C13">
        <w:rPr>
          <w:i/>
        </w:rPr>
        <w:t>Sixth Circuit</w:t>
      </w:r>
      <w:r w:rsidRPr="003C3C13">
        <w:t>: Arledge v. Domino’s Pizza, Inc., 2018 WL 5023950, at *5 (S.D. Ohio Oct. 17, 2018).</w:t>
      </w:r>
    </w:p>
    <w:p w14:paraId="167D63D4" w14:textId="556BE4FF" w:rsidR="003C3C13" w:rsidRPr="003C3C13" w:rsidRDefault="003C3C13" w:rsidP="003C3C13">
      <w:pPr>
        <w:pStyle w:val="FootnoteText"/>
      </w:pPr>
      <w:r w:rsidRPr="003C3C13">
        <w:rPr>
          <w:i/>
        </w:rPr>
        <w:t>Eleventh Circuit</w:t>
      </w:r>
      <w:r w:rsidRPr="003C3C13">
        <w:t>: George v. Academy Mortg. Corp., 369 F. Supp. 3d 1356, 1378 (N.D. Ga. 2019) (citing cases).</w:t>
      </w:r>
    </w:p>
    <w:p w14:paraId="636B8332" w14:textId="77777777" w:rsidR="003C3C13" w:rsidRPr="00CE2995" w:rsidRDefault="003C3C13" w:rsidP="0034266C">
      <w:pPr>
        <w:pStyle w:val="14Footnote"/>
      </w:pPr>
    </w:p>
  </w:footnote>
  <w:footnote w:id="256">
    <w:p w14:paraId="44D90535" w14:textId="273D005A" w:rsidR="003C3C13" w:rsidRPr="003C3C13" w:rsidRDefault="003C3C13" w:rsidP="003C3C13">
      <w:pPr>
        <w:pStyle w:val="FootnoteText"/>
      </w:pPr>
      <w:r w:rsidRPr="003C3C13">
        <w:rPr>
          <w:rStyle w:val="FootnoteReference"/>
        </w:rPr>
        <w:footnoteRef/>
      </w:r>
      <w:r w:rsidRPr="003C3C13">
        <w:rPr>
          <w:i/>
        </w:rPr>
        <w:t>See, e.g.,</w:t>
      </w:r>
    </w:p>
    <w:p w14:paraId="54A9919A" w14:textId="6A433DE1" w:rsidR="003C3C13" w:rsidRPr="003C3C13" w:rsidRDefault="003C3C13" w:rsidP="003C3C13">
      <w:pPr>
        <w:pStyle w:val="FootnoteText"/>
      </w:pPr>
      <w:r w:rsidRPr="003C3C13">
        <w:rPr>
          <w:i/>
        </w:rPr>
        <w:t>Second Circuit</w:t>
      </w:r>
      <w:r w:rsidRPr="003C3C13">
        <w:t>: Fisher v. SD Prot. Inc., 948 F.3d 593, 603–4 (2d Cir. 2020); Frank v. Eastman Kodak Co., 228 F.R.D. 174, 189 (W.D.N.Y. 2005); Bozak v. FedEx Ground Package Sys., 2014 WL 3778211, at *16 (D. Conn. July 31, 2014).</w:t>
      </w:r>
    </w:p>
    <w:p w14:paraId="0843A880" w14:textId="004F8D6B" w:rsidR="003C3C13" w:rsidRPr="003C3C13" w:rsidRDefault="003C3C13" w:rsidP="003C3C13">
      <w:pPr>
        <w:pStyle w:val="FootnoteText"/>
      </w:pPr>
      <w:r w:rsidRPr="003C3C13">
        <w:rPr>
          <w:i/>
        </w:rPr>
        <w:t>Sixth Circuit</w:t>
      </w:r>
      <w:r w:rsidRPr="003C3C13">
        <w:t xml:space="preserve">: </w:t>
      </w:r>
      <w:r w:rsidRPr="003C3C13">
        <w:rPr>
          <w:i/>
        </w:rPr>
        <w:t>Arledge</w:t>
      </w:r>
      <w:r w:rsidRPr="003C3C13">
        <w:t>, 2018 WL 5023950, at *4; Osman v. Grube, Inc., 2018 WL 2095172, at *3 (N.D. Ohio May 4, 2018).</w:t>
      </w:r>
    </w:p>
    <w:p w14:paraId="26A3EB07" w14:textId="06F0E192" w:rsidR="003C3C13" w:rsidRPr="003C3C13" w:rsidRDefault="003C3C13" w:rsidP="003C3C13">
      <w:pPr>
        <w:pStyle w:val="FootnoteText"/>
      </w:pPr>
      <w:r w:rsidRPr="003C3C13">
        <w:rPr>
          <w:i/>
        </w:rPr>
        <w:t>Tenth Circuit</w:t>
      </w:r>
      <w:r w:rsidRPr="003C3C13">
        <w:t>: Aragon v. Clear Water Prods. LLC, 2018 WL 6620724, at *6 (D. Colo. Dec. 18, 2018).</w:t>
      </w:r>
    </w:p>
    <w:p w14:paraId="797C2BAE" w14:textId="3FF1BFFF" w:rsidR="003C3C13" w:rsidRPr="003C3C13" w:rsidRDefault="003C3C13" w:rsidP="003C3C13">
      <w:pPr>
        <w:pStyle w:val="FootnoteText"/>
      </w:pPr>
      <w:r w:rsidRPr="003C3C13">
        <w:rPr>
          <w:i/>
        </w:rPr>
        <w:t>Eleventh Circuit</w:t>
      </w:r>
      <w:r w:rsidRPr="003C3C13">
        <w:t xml:space="preserve">: </w:t>
      </w:r>
      <w:r w:rsidRPr="003C3C13">
        <w:rPr>
          <w:i/>
        </w:rPr>
        <w:t>George</w:t>
      </w:r>
      <w:r w:rsidRPr="003C3C13">
        <w:t>, 369 F. Supp. 3d at 1380–81.</w:t>
      </w:r>
    </w:p>
    <w:p w14:paraId="2BA49EA2" w14:textId="385F63F7" w:rsidR="003C3C13" w:rsidRPr="00CE2995" w:rsidRDefault="003C3C13" w:rsidP="003C3C13">
      <w:pPr>
        <w:pStyle w:val="FootnoteText"/>
      </w:pPr>
      <w:r w:rsidRPr="003C3C13">
        <w:rPr>
          <w:i/>
        </w:rPr>
        <w:t xml:space="preserve">But cf. </w:t>
      </w:r>
      <w:r w:rsidRPr="003C3C13">
        <w:t>Ortiz v. Chop’t Creative Salad Co. LLC, 89 F. Supp. 3d 573, 598 (S.D.N.Y. 2015) (expressing wariness of case law citing public policy supporting fee awards).</w:t>
      </w:r>
    </w:p>
  </w:footnote>
  <w:footnote w:id="257">
    <w:p w14:paraId="43F0AEBA" w14:textId="24EFFFD7" w:rsidR="003C3C13" w:rsidRPr="00CE2995" w:rsidRDefault="003C3C13" w:rsidP="003C3C13">
      <w:pPr>
        <w:pStyle w:val="FootnoteText"/>
      </w:pPr>
      <w:r w:rsidRPr="003C3C13">
        <w:rPr>
          <w:rStyle w:val="FootnoteReference"/>
        </w:rPr>
        <w:footnoteRef/>
      </w:r>
      <w:r w:rsidRPr="003C3C13">
        <w:t>948 F.3d 593 (2d Cir. 2020).</w:t>
      </w:r>
    </w:p>
  </w:footnote>
  <w:footnote w:id="258">
    <w:p w14:paraId="0F446F07" w14:textId="3E8ADBC3" w:rsidR="003C3C13" w:rsidRPr="00CE2995" w:rsidRDefault="003C3C13" w:rsidP="003C3C13">
      <w:pPr>
        <w:pStyle w:val="FootnoteText"/>
      </w:pPr>
      <w:r w:rsidRPr="003C3C13">
        <w:rPr>
          <w:rStyle w:val="FootnoteReference"/>
        </w:rPr>
        <w:footnoteRef/>
      </w:r>
      <w:r w:rsidRPr="003C3C13">
        <w:rPr>
          <w:i/>
        </w:rPr>
        <w:t xml:space="preserve">Id. </w:t>
      </w:r>
      <w:r w:rsidRPr="003C3C13">
        <w:t>at 603. Many courts that have addressed contested fee awards have also held that fees can exceed back pay damages awards. See Chapter 16, Litigation Issues, §IX.F.1 [Remedies; Attorneys’ Fees; Generally].</w:t>
      </w:r>
    </w:p>
  </w:footnote>
  <w:footnote w:id="259">
    <w:p w14:paraId="7D21090B" w14:textId="701DAA4B" w:rsidR="003C3C13" w:rsidRPr="003C3C13" w:rsidRDefault="003C3C13" w:rsidP="003C3C13">
      <w:pPr>
        <w:pStyle w:val="FootnoteText"/>
      </w:pPr>
      <w:r w:rsidRPr="003C3C13">
        <w:rPr>
          <w:rStyle w:val="FootnoteReference"/>
        </w:rPr>
        <w:footnoteRef/>
      </w:r>
      <w:r w:rsidRPr="003C3C13">
        <w:t xml:space="preserve">948 F.3d at 605; </w:t>
      </w:r>
      <w:r w:rsidRPr="003C3C13">
        <w:rPr>
          <w:i/>
        </w:rPr>
        <w:t>see also</w:t>
      </w:r>
    </w:p>
    <w:p w14:paraId="7764EC8B" w14:textId="3D1AF303" w:rsidR="003C3C13" w:rsidRPr="003C3C13" w:rsidRDefault="003C3C13" w:rsidP="003C3C13">
      <w:pPr>
        <w:pStyle w:val="FootnoteText"/>
      </w:pPr>
      <w:r w:rsidRPr="003C3C13">
        <w:rPr>
          <w:i/>
        </w:rPr>
        <w:t>Seventh Circuit</w:t>
      </w:r>
      <w:r w:rsidRPr="003C3C13">
        <w:t>: Binissia v. ABM Indus., Inc., 2017 WL 4180289, at *5 (N.D. Ill. Sept. 21, 2017) (rejecting “disproportionality as substantially fatal,” but rather “[t]he disproportionality of fees to benefits to class members causes the court to take a close look at the proposed settlement to assure that it results from arm’s-length negotiations and settles a bona fide dispute”).</w:t>
      </w:r>
    </w:p>
    <w:p w14:paraId="75D392F1" w14:textId="4DE985FE" w:rsidR="003C3C13" w:rsidRPr="00CE2995" w:rsidRDefault="003C3C13" w:rsidP="003C3C13">
      <w:pPr>
        <w:pStyle w:val="FootnoteText"/>
      </w:pPr>
      <w:r w:rsidRPr="003C3C13">
        <w:rPr>
          <w:i/>
        </w:rPr>
        <w:t>Eighth Circuit</w:t>
      </w:r>
      <w:r w:rsidRPr="003C3C13">
        <w:t>: Melgar v. OK Foods, 902 F.3d 775, 779 (8th Cir. 2018) (“While we understand the district court’s concern as to the attorneys’ fees-to-recovery ratio, this ratio alone is not the sole determining factor.”).</w:t>
      </w:r>
    </w:p>
  </w:footnote>
  <w:footnote w:id="260">
    <w:p w14:paraId="1F8238A3" w14:textId="04181D98" w:rsidR="003C3C13" w:rsidRPr="00CE2995" w:rsidRDefault="003C3C13" w:rsidP="003C3C13">
      <w:pPr>
        <w:pStyle w:val="FootnoteText"/>
      </w:pPr>
      <w:r w:rsidRPr="003C3C13">
        <w:rPr>
          <w:rStyle w:val="FootnoteReference"/>
        </w:rPr>
        <w:footnoteRef/>
      </w:r>
      <w:r w:rsidRPr="003C3C13">
        <w:t>Stephens v. Farmers Rest. Grp., 2019 WL 2550674, at *9 (D.D.C. June 20, 2019) (awarding amount agreed to by parties representing 32% discount from what plaintiffs could have sought as reasonable); Knox v. Jones Grp., 2017 WL 3834929 (S.D. Ind. Aug. 31, 2017) (awarding $675,000 of $1,300,000 settlement for fees under lodestar method); Sherman v. Gateway Elec. Med. Mgmt., 2009 WL 48150, at *3–4 (S.D. Ind. Jan. 7, 2009) (awarding agreed-on “statutory” fees based on lodestar).</w:t>
      </w:r>
    </w:p>
  </w:footnote>
  <w:footnote w:id="261">
    <w:p w14:paraId="48B16EF5" w14:textId="12C63B31" w:rsidR="003C3C13" w:rsidRPr="00CE2995" w:rsidRDefault="003C3C13" w:rsidP="003C3C13">
      <w:pPr>
        <w:pStyle w:val="FootnoteText"/>
      </w:pPr>
      <w:r w:rsidRPr="003C3C13">
        <w:rPr>
          <w:rStyle w:val="FootnoteReference"/>
        </w:rPr>
        <w:footnoteRef/>
      </w:r>
      <w:r w:rsidRPr="003C3C13">
        <w:rPr>
          <w:i/>
        </w:rPr>
        <w:t>Melgar</w:t>
      </w:r>
      <w:r w:rsidRPr="003C3C13">
        <w:t>, 902 F.3d 775; Atkins v. Sunbelt Rentals, Inc., 2016 WL 3647610, at *4–6 (D. Md. June 30, 2016).</w:t>
      </w:r>
    </w:p>
  </w:footnote>
  <w:footnote w:id="262">
    <w:p w14:paraId="2845DD52" w14:textId="59D97914" w:rsidR="003C3C13" w:rsidRPr="003C3C13" w:rsidRDefault="003C3C13" w:rsidP="003C3C13">
      <w:pPr>
        <w:pStyle w:val="FootnoteText"/>
      </w:pPr>
      <w:r w:rsidRPr="003C3C13">
        <w:rPr>
          <w:rStyle w:val="FootnoteReference"/>
        </w:rPr>
        <w:footnoteRef/>
      </w:r>
      <w:r w:rsidRPr="003C3C13">
        <w:rPr>
          <w:i/>
        </w:rPr>
        <w:t>See</w:t>
      </w:r>
    </w:p>
    <w:p w14:paraId="1B486D74" w14:textId="66B413BE" w:rsidR="003C3C13" w:rsidRPr="003C3C13" w:rsidRDefault="003C3C13" w:rsidP="003C3C13">
      <w:pPr>
        <w:pStyle w:val="FootnoteText"/>
      </w:pPr>
      <w:r w:rsidRPr="003C3C13">
        <w:rPr>
          <w:i/>
        </w:rPr>
        <w:t xml:space="preserve">Fourth Circuit: </w:t>
      </w:r>
      <w:r w:rsidRPr="003C3C13">
        <w:t xml:space="preserve">Randolph v. PowerComm Constr., Inc., 780 F. App’x 16 (4th Cir. 2019) (reducing district court’s award of fees by 25% because lower court failed to properly consider limited degree of success, dismissal of 10 plaintiffs, and failure to recover liquidated damages); </w:t>
      </w:r>
      <w:r w:rsidRPr="003C3C13">
        <w:rPr>
          <w:i/>
        </w:rPr>
        <w:t>Atkins</w:t>
      </w:r>
      <w:r w:rsidRPr="003C3C13">
        <w:t xml:space="preserve">, 2016 WL 3647610, at *5 (applying </w:t>
      </w:r>
      <w:r w:rsidRPr="003C3C13">
        <w:rPr>
          <w:i/>
        </w:rPr>
        <w:t xml:space="preserve">Johnson </w:t>
      </w:r>
      <w:r w:rsidRPr="003C3C13">
        <w:t>factors and finding that request, which was 90% of total lodestar, was reasonable).</w:t>
      </w:r>
    </w:p>
    <w:p w14:paraId="449BCCBD" w14:textId="5E5C1E3B" w:rsidR="003C3C13" w:rsidRPr="003C3C13" w:rsidRDefault="003C3C13" w:rsidP="003C3C13">
      <w:pPr>
        <w:pStyle w:val="FootnoteText"/>
      </w:pPr>
      <w:r w:rsidRPr="003C3C13">
        <w:rPr>
          <w:i/>
        </w:rPr>
        <w:t xml:space="preserve">Sixth Circuit: </w:t>
      </w:r>
      <w:r w:rsidRPr="003C3C13">
        <w:t>O’Bryant v. ABC Phones of N.C., Inc., 2020 BL 292509, 2020 WL 4493157 (W.D. Tenn. Aug. 4, 2020) (noting that either lodestar method or percentage-of-recovery method may be used in determining attorneys’ fees, that awards in the 25–35% range are typically approved, but stating that fees within that range are not automatically reasonable and identifying inclusion of clauses that (1) defendant would not oppose fee award and (2) any difference between requested fee and fee approved by court would revert to defendant, as red flags for potential unreasonableness of fee).</w:t>
      </w:r>
      <w:r w:rsidRPr="003C3C13">
        <w:rPr>
          <w:i/>
        </w:rPr>
        <w:t>Seventh Circuit: Knox</w:t>
      </w:r>
      <w:r w:rsidRPr="003C3C13">
        <w:t>, 2017 WL 3834929, at *5 (considering (1) time and labor required; (2) novelty and difficulty of questions; (3) skill required; (4) preclusion of other employment; (5) customary fee; (6) whether fee is fixed or contingent; (7) time limitations; (8) attorneys’ experience, reputation, and ability; (9) undesirability of case; and (10) nature and length of relationship with client).</w:t>
      </w:r>
    </w:p>
    <w:p w14:paraId="280A4115" w14:textId="0F00A6B6" w:rsidR="003C3C13" w:rsidRPr="003C3C13" w:rsidRDefault="003C3C13" w:rsidP="003C3C13">
      <w:pPr>
        <w:pStyle w:val="FootnoteText"/>
      </w:pPr>
      <w:r w:rsidRPr="003C3C13">
        <w:rPr>
          <w:i/>
        </w:rPr>
        <w:t>Eighth Circuit: Melgar</w:t>
      </w:r>
      <w:r w:rsidRPr="003C3C13">
        <w:t>, 902 F.3d at 779 (citing several factors supporting stipulated fee award).</w:t>
      </w:r>
    </w:p>
    <w:p w14:paraId="2C6F94FA" w14:textId="27084F76" w:rsidR="003C3C13" w:rsidRPr="003C3C13" w:rsidRDefault="003C3C13" w:rsidP="003C3C13">
      <w:pPr>
        <w:pStyle w:val="FootnoteText"/>
      </w:pPr>
      <w:r w:rsidRPr="003C3C13">
        <w:rPr>
          <w:i/>
        </w:rPr>
        <w:t>Ninth Circuit</w:t>
      </w:r>
      <w:r w:rsidRPr="003C3C13">
        <w:t>: Pelayo v. Platinum Limousine Servs, Inc., 804 F. App’x 522 (9th Cir. 2020) (affirming lower court’s attorneys’ fees order, rejecting parties’ arguments that district court erred in applying 50% reduction in lodestar where court properly considered plaintiffs’ declarations, fee awards in other similar cases, and customary rates); McKinnon v. City of Merced, 2020 BL 317828, 2020 WL 4813206 (E.D. Cal. Aug. 19, 2020) (awarding 42.8% of total common fund after lodestar crosscheck that demonstrated reasonableness of fees sought).</w:t>
      </w:r>
    </w:p>
    <w:p w14:paraId="4FB30633" w14:textId="357969BD" w:rsidR="003C3C13" w:rsidRPr="003C3C13" w:rsidRDefault="003C3C13" w:rsidP="003C3C13">
      <w:pPr>
        <w:pStyle w:val="FootnoteText"/>
      </w:pPr>
      <w:r w:rsidRPr="003C3C13">
        <w:rPr>
          <w:i/>
        </w:rPr>
        <w:t>Tenth Circuit</w:t>
      </w:r>
      <w:r w:rsidRPr="003C3C13">
        <w:t xml:space="preserve">: Flerlage v. US Foods, Inc., 2020 BL 304239, 2020 WL 4673155 (D. Kan. Aug. 12, 2020) (rejecting proposed settlement of attorneys’ fees after analysis of </w:t>
      </w:r>
      <w:r w:rsidRPr="003C3C13">
        <w:rPr>
          <w:i/>
        </w:rPr>
        <w:t xml:space="preserve">Johnson </w:t>
      </w:r>
      <w:r w:rsidRPr="003C3C13">
        <w:t>factors and finding fee unreasonable).</w:t>
      </w:r>
    </w:p>
    <w:p w14:paraId="2201A207" w14:textId="77777777" w:rsidR="003C3C13" w:rsidRPr="00CE2995" w:rsidRDefault="003C3C13" w:rsidP="0034266C">
      <w:pPr>
        <w:pStyle w:val="14Footnote"/>
      </w:pPr>
    </w:p>
  </w:footnote>
  <w:footnote w:id="263">
    <w:p w14:paraId="75AFB39C" w14:textId="09DD3F8A" w:rsidR="003C3C13" w:rsidRPr="00CE2995" w:rsidRDefault="003C3C13" w:rsidP="003C3C13">
      <w:pPr>
        <w:pStyle w:val="FootnoteText"/>
      </w:pPr>
      <w:r w:rsidRPr="003C3C13">
        <w:rPr>
          <w:rStyle w:val="FootnoteReference"/>
        </w:rPr>
        <w:footnoteRef/>
      </w:r>
      <w:r w:rsidRPr="003C3C13">
        <w:rPr>
          <w:i/>
        </w:rPr>
        <w:t>Melgar</w:t>
      </w:r>
      <w:r w:rsidRPr="003C3C13">
        <w:t xml:space="preserve">, 902 F.3d at 779 (“While we understand the district court’s concern as to the attorneys’ fees-to-recovery ratio, this ratio alone is not the sole determining factor.”); Johnson v. Southern Fla. Paving Grp. LLC, 2020 BL 331294, 2020 WL 5113592 (S.D. Fla. Aug. 31, 2020) (reducing fee award from proposed $10,320 to $6,288.75 where defendant paid $700 to plaintiff to settle case); </w:t>
      </w:r>
      <w:r w:rsidRPr="003C3C13">
        <w:rPr>
          <w:i/>
        </w:rPr>
        <w:t>Atkins</w:t>
      </w:r>
      <w:r w:rsidRPr="003C3C13">
        <w:t>, 2016 WL 3647610, at *4 (awarding fees that were approximately three times recovery realized by plaintiffs).</w:t>
      </w:r>
    </w:p>
  </w:footnote>
  <w:footnote w:id="264">
    <w:p w14:paraId="1A25C4D7" w14:textId="4473A2E3" w:rsidR="003C3C13" w:rsidRPr="003C3C13" w:rsidRDefault="003C3C13" w:rsidP="003C3C13">
      <w:pPr>
        <w:pStyle w:val="FootnoteText"/>
      </w:pPr>
      <w:r w:rsidRPr="003C3C13">
        <w:rPr>
          <w:rStyle w:val="FootnoteReference"/>
        </w:rPr>
        <w:footnoteRef/>
      </w:r>
      <w:r w:rsidRPr="003C3C13">
        <w:t>986 F.3d 613 (6th Cir. 2021).</w:t>
      </w:r>
    </w:p>
    <w:p w14:paraId="35FD2893" w14:textId="77777777" w:rsidR="003C3C13" w:rsidRPr="00CE2995" w:rsidRDefault="003C3C13" w:rsidP="0034266C">
      <w:pPr>
        <w:pStyle w:val="14Footnote"/>
      </w:pPr>
    </w:p>
  </w:footnote>
  <w:footnote w:id="265">
    <w:p w14:paraId="71574054" w14:textId="07DB4DE7" w:rsidR="003C3C13" w:rsidRPr="00CE2995" w:rsidRDefault="003C3C13" w:rsidP="003C3C13">
      <w:pPr>
        <w:pStyle w:val="FootnoteText"/>
      </w:pPr>
      <w:r w:rsidRPr="003C3C13">
        <w:rPr>
          <w:vertAlign w:val="superscript"/>
        </w:rPr>
        <w:footnoteRef/>
      </w:r>
      <w:r w:rsidRPr="003C3C13">
        <w:rPr>
          <w:i/>
        </w:rPr>
        <w:t xml:space="preserve">Id. </w:t>
      </w:r>
      <w:r w:rsidRPr="003C3C13">
        <w:t>at 617.</w:t>
      </w:r>
    </w:p>
  </w:footnote>
  <w:footnote w:id="266">
    <w:p w14:paraId="0800F503" w14:textId="5CA83354" w:rsidR="003C3C13" w:rsidRPr="00CE2995" w:rsidRDefault="003C3C13" w:rsidP="003C3C13">
      <w:pPr>
        <w:pStyle w:val="FootnoteText"/>
      </w:pPr>
      <w:r w:rsidRPr="003C3C13">
        <w:rPr>
          <w:rStyle w:val="FootnoteReference"/>
        </w:rPr>
        <w:footnoteRef/>
      </w:r>
      <w:r w:rsidRPr="003C3C13">
        <w:t>Viceral v. Mistras Grp., Inc., 2017 WL 661352, at *4 (N.D. Cal. Feb. 17, 2017) (observing that hours claimed appeared excessive and that “10% haircut,” without “more specific explanation,” was appropriate in Ninth Circuit) (quoting Moreno v. City of Sacramento, 534 F.3d 1106, 1112 (9th Cir. 2008)).</w:t>
      </w:r>
    </w:p>
  </w:footnote>
  <w:footnote w:id="267">
    <w:p w14:paraId="50E6CBEC" w14:textId="03485650" w:rsidR="003C3C13" w:rsidRPr="00CE2995" w:rsidRDefault="003C3C13" w:rsidP="003C3C13">
      <w:pPr>
        <w:pStyle w:val="FootnoteText"/>
      </w:pPr>
      <w:r w:rsidRPr="003C3C13">
        <w:rPr>
          <w:rStyle w:val="FootnoteReference"/>
        </w:rPr>
        <w:footnoteRef/>
      </w:r>
      <w:r w:rsidRPr="003C3C13">
        <w:rPr>
          <w:i/>
        </w:rPr>
        <w:t>Sherman</w:t>
      </w:r>
      <w:r w:rsidRPr="003C3C13">
        <w:t>, 2009 WL 48150, at *3–4.</w:t>
      </w:r>
    </w:p>
  </w:footnote>
  <w:footnote w:id="268">
    <w:p w14:paraId="007485F3" w14:textId="73F11B3A" w:rsidR="003C3C13" w:rsidRPr="003C3C13" w:rsidRDefault="003C3C13" w:rsidP="003C3C13">
      <w:pPr>
        <w:pStyle w:val="FootnoteText"/>
      </w:pPr>
      <w:r w:rsidRPr="003C3C13">
        <w:rPr>
          <w:rStyle w:val="FootnoteReference"/>
        </w:rPr>
        <w:footnoteRef/>
      </w:r>
      <w:r w:rsidRPr="003C3C13">
        <w:t>Bonetti v. Embarq Mgmt. Co., 715 F. Supp. 2d 1222, 1228 (M.D. Fla. 2009).</w:t>
      </w:r>
    </w:p>
    <w:p w14:paraId="11437041" w14:textId="77777777" w:rsidR="003C3C13" w:rsidRPr="00CE2995" w:rsidRDefault="003C3C13" w:rsidP="0034266C">
      <w:pPr>
        <w:pStyle w:val="14Footnote"/>
      </w:pPr>
    </w:p>
  </w:footnote>
  <w:footnote w:id="269">
    <w:p w14:paraId="5463D74B" w14:textId="13A2C50E" w:rsidR="003C3C13" w:rsidRPr="00CE2995" w:rsidRDefault="003C3C13" w:rsidP="003C3C13">
      <w:pPr>
        <w:pStyle w:val="FootnoteText"/>
      </w:pPr>
      <w:r w:rsidRPr="003C3C13">
        <w:rPr>
          <w:rStyle w:val="FootnoteReference"/>
        </w:rPr>
        <w:footnoteRef/>
      </w:r>
      <w:r w:rsidRPr="003C3C13">
        <w:t>McNamara v. Infusion Software, Inc., 2020 BL 319688, 2020 WL 4921984, at *2 (D. Ariz. Aug. 21, 2020).</w:t>
      </w:r>
    </w:p>
  </w:footnote>
  <w:footnote w:id="270">
    <w:p w14:paraId="51DD542A" w14:textId="0923E1CE" w:rsidR="003C3C13" w:rsidRPr="003C3C13" w:rsidRDefault="003C3C13" w:rsidP="003C3C13">
      <w:pPr>
        <w:pStyle w:val="FootnoteText"/>
      </w:pPr>
      <w:r w:rsidRPr="003C3C13">
        <w:rPr>
          <w:rStyle w:val="FootnoteReference"/>
        </w:rPr>
        <w:footnoteRef/>
      </w:r>
      <w:r w:rsidRPr="003C3C13">
        <w:rPr>
          <w:i/>
        </w:rPr>
        <w:t>Second Circuit</w:t>
      </w:r>
      <w:r w:rsidRPr="003C3C13">
        <w:t>: Fisher v. SD Prot., Inc., 948 F.3d 593, 600 (2d Cir. 2020).</w:t>
      </w:r>
    </w:p>
    <w:p w14:paraId="32F29ED6" w14:textId="409A4BCB" w:rsidR="003C3C13" w:rsidRPr="003C3C13" w:rsidRDefault="003C3C13" w:rsidP="003C3C13">
      <w:pPr>
        <w:pStyle w:val="FootnoteText"/>
      </w:pPr>
      <w:r w:rsidRPr="003C3C13">
        <w:rPr>
          <w:i/>
        </w:rPr>
        <w:t xml:space="preserve">Sixth Circuit: </w:t>
      </w:r>
      <w:r w:rsidRPr="003C3C13">
        <w:t>Mullins v. Southern Ohio Pizza, Inc., 2019 WL 275711, at *6 (S.D. Ohio Jan. 18, 2019); Dillow v. Home Care Network, Inc., 2018 WL 4776977, at *7 (S.D. Ohio Oct. 3, 2018).</w:t>
      </w:r>
    </w:p>
    <w:p w14:paraId="20C43E7A" w14:textId="7A5A7ECE" w:rsidR="003C3C13" w:rsidRPr="003C3C13" w:rsidRDefault="003C3C13" w:rsidP="003C3C13">
      <w:pPr>
        <w:pStyle w:val="FootnoteText"/>
      </w:pPr>
      <w:r w:rsidRPr="003C3C13">
        <w:rPr>
          <w:i/>
        </w:rPr>
        <w:t xml:space="preserve">Ninth Circuit: </w:t>
      </w:r>
      <w:r w:rsidRPr="003C3C13">
        <w:t>Englert v. City of Merced, 2020 WL 2215749, at *14 (E.D. Cal. May 7, 2020).</w:t>
      </w:r>
    </w:p>
    <w:p w14:paraId="239D93C8" w14:textId="7CBF8E1B" w:rsidR="003C3C13" w:rsidRPr="00CE2995" w:rsidRDefault="003C3C13" w:rsidP="003C3C13">
      <w:pPr>
        <w:pStyle w:val="FootnoteText"/>
      </w:pPr>
      <w:r w:rsidRPr="003C3C13">
        <w:rPr>
          <w:i/>
        </w:rPr>
        <w:t>Tenth Circuit</w:t>
      </w:r>
      <w:r w:rsidRPr="003C3C13">
        <w:t>: Aragon v. Clear Water Prods. LLC, 2018 WL 6620724, at *7 (D. Colo. Dec. 18, 2018).</w:t>
      </w:r>
    </w:p>
  </w:footnote>
  <w:footnote w:id="271">
    <w:p w14:paraId="2D07381C" w14:textId="4973D121" w:rsidR="003C3C13" w:rsidRPr="003C3C13" w:rsidRDefault="003C3C13" w:rsidP="003C3C13">
      <w:pPr>
        <w:pStyle w:val="FootnoteText"/>
      </w:pPr>
      <w:r w:rsidRPr="003C3C13">
        <w:rPr>
          <w:rStyle w:val="FootnoteReference"/>
        </w:rPr>
        <w:footnoteRef/>
      </w:r>
      <w:r w:rsidRPr="003C3C13">
        <w:rPr>
          <w:i/>
        </w:rPr>
        <w:t>Second Circuit</w:t>
      </w:r>
      <w:r w:rsidRPr="003C3C13">
        <w:t xml:space="preserve">: </w:t>
      </w:r>
      <w:r w:rsidRPr="003C3C13">
        <w:rPr>
          <w:i/>
        </w:rPr>
        <w:t>Fisher</w:t>
      </w:r>
      <w:r w:rsidRPr="003C3C13">
        <w:t>, 948 F.3d at 601; Monserrate v. Tequipment, Inc., 2012 WL 5830557, at *4 (E.D.N.Y. Nov. 16, 2012).</w:t>
      </w:r>
    </w:p>
    <w:p w14:paraId="0900478B" w14:textId="7B2AB082" w:rsidR="003C3C13" w:rsidRPr="003C3C13" w:rsidRDefault="003C3C13" w:rsidP="003C3C13">
      <w:pPr>
        <w:pStyle w:val="FootnoteText"/>
      </w:pPr>
      <w:r w:rsidRPr="003C3C13">
        <w:rPr>
          <w:i/>
        </w:rPr>
        <w:t>Seventh Circuit</w:t>
      </w:r>
      <w:r w:rsidRPr="003C3C13">
        <w:t>: Briggs v. PNC Fin. Servs. Grp., Inc., 2016 WL 7018566, at *5 (N.D. Ill. Nov. 29, 2016).</w:t>
      </w:r>
    </w:p>
    <w:p w14:paraId="6AC549E7" w14:textId="4E78458A" w:rsidR="003C3C13" w:rsidRPr="00CE2995" w:rsidRDefault="003C3C13" w:rsidP="003C3C13">
      <w:pPr>
        <w:pStyle w:val="FootnoteText"/>
      </w:pPr>
      <w:r w:rsidRPr="003C3C13">
        <w:rPr>
          <w:i/>
        </w:rPr>
        <w:t>Ninth Circuit</w:t>
      </w:r>
      <w:r w:rsidRPr="003C3C13">
        <w:t xml:space="preserve">: </w:t>
      </w:r>
      <w:r w:rsidRPr="003C3C13">
        <w:rPr>
          <w:i/>
        </w:rPr>
        <w:t>Englert</w:t>
      </w:r>
      <w:r w:rsidRPr="003C3C13">
        <w:t>, 2020 WL 2215749, at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81C0" w14:textId="77777777" w:rsidR="003C3C13" w:rsidRPr="003C3C13" w:rsidRDefault="003C3C13" w:rsidP="003C3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8EF9" w14:textId="77777777" w:rsidR="003C3C13" w:rsidRPr="003C3C13" w:rsidRDefault="003C3C13" w:rsidP="003C3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D8B3" w14:textId="77777777" w:rsidR="003C3C13" w:rsidRPr="003C3C13" w:rsidRDefault="003C3C13" w:rsidP="003C3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BA"/>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19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3C13"/>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58"/>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2FA"/>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5E67"/>
    <w:rsid w:val="006E6B2C"/>
    <w:rsid w:val="006E78FB"/>
    <w:rsid w:val="006F00A3"/>
    <w:rsid w:val="006F13EF"/>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1ABA"/>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5C8E"/>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2F02"/>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4FFD"/>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55D"/>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E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uiPriority w:val="9"/>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uiPriority w:val="9"/>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uiPriority w:val="9"/>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uiPriority w:val="9"/>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uiPriority w:val="9"/>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qFormat/>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rsid w:val="000E1CF7"/>
    <w:rPr>
      <w:rFonts w:eastAsia="Times New Roman"/>
      <w:lang w:bidi="ar-SA"/>
    </w:rPr>
  </w:style>
  <w:style w:type="character" w:styleId="CommentReference">
    <w:name w:val="annotation reference"/>
    <w:basedOn w:val="DefaultParagraphFont"/>
    <w:uiPriority w:val="99"/>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aliases w:val="Footnote Text Char Char Char,Footnote Text Char Char Char Char Char,Footnote Text Char Char1,Footnote Text Char1 Char,Footnote Text Char1 Char Char Char,ft Char,ft Char Char,ft Char Char Char,ft Char Char Char Char Char"/>
    <w:basedOn w:val="Normal"/>
    <w:link w:val="FootnoteTextChar"/>
    <w:qFormat/>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aliases w:val="Footnote Text Char Char Char Char,Footnote Text Char Char Char Char Char Char,Footnote Text Char Char1 Char,Footnote Text Char1 Char Char,Footnote Text Char1 Char Char Char Char,ft Char Char1,ft Char Char Char1,ft Char Char Char Char"/>
    <w:basedOn w:val="DefaultParagraphFont"/>
    <w:link w:val="FootnoteText"/>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link w:val="DocIDChar"/>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uiPriority w:val="10"/>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uiPriority w:val="10"/>
    <w:semiHidden/>
    <w:rsid w:val="000E1CF7"/>
    <w:rPr>
      <w:rFonts w:eastAsia="Times New Roman" w:cs="Arial"/>
      <w:b/>
      <w:bCs/>
      <w:kern w:val="28"/>
      <w:sz w:val="28"/>
      <w:szCs w:val="32"/>
      <w:lang w:bidi="ar-SA"/>
    </w:rPr>
  </w:style>
  <w:style w:type="paragraph" w:styleId="Subtitle">
    <w:name w:val="Subtitle"/>
    <w:basedOn w:val="Normal"/>
    <w:link w:val="SubtitleChar"/>
    <w:uiPriority w:val="11"/>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uiPriority w:val="11"/>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
    <w:basedOn w:val="text"/>
    <w:autoRedefine/>
    <w:uiPriority w:val="99"/>
    <w:semiHidden/>
    <w:rsid w:val="00A85C8E"/>
    <w:pPr>
      <w:widowControl w:val="0"/>
      <w:autoSpaceDE w:val="0"/>
      <w:autoSpaceDN w:val="0"/>
      <w:adjustRightInd w:val="0"/>
      <w:spacing w:after="120"/>
      <w:jc w:val="both"/>
      <w:textAlignment w:val="center"/>
    </w:pPr>
    <w:rPr>
      <w:rFonts w:eastAsiaTheme="minorEastAsia" w:cs="ITC New Baskerville Std"/>
      <w:color w:val="000000"/>
      <w:szCs w:val="22"/>
    </w:rPr>
  </w:style>
  <w:style w:type="paragraph" w:customStyle="1" w:styleId="toc5a">
    <w:name w:val="toc 5(a)"/>
    <w:basedOn w:val="Normal"/>
    <w:autoRedefine/>
    <w:uiPriority w:val="99"/>
    <w:semiHidden/>
    <w:rsid w:val="00A85C8E"/>
    <w:pPr>
      <w:tabs>
        <w:tab w:val="left" w:pos="2100"/>
        <w:tab w:val="left" w:leader="dot" w:pos="6240"/>
        <w:tab w:val="left" w:pos="6960"/>
      </w:tabs>
      <w:suppressAutoHyphens/>
      <w:autoSpaceDE w:val="0"/>
      <w:autoSpaceDN w:val="0"/>
      <w:adjustRightInd w:val="0"/>
      <w:spacing w:before="0" w:after="0" w:line="240" w:lineRule="atLeast"/>
      <w:ind w:left="2580" w:hanging="480"/>
      <w:textAlignment w:val="center"/>
    </w:pPr>
    <w:rPr>
      <w:rFonts w:eastAsiaTheme="minorEastAsia" w:cs="ITC New Baskerville Std"/>
      <w:color w:val="000000"/>
      <w:kern w:val="0"/>
      <w:sz w:val="22"/>
      <w:szCs w:val="22"/>
      <w:lang w:bidi="ar-SA"/>
    </w:rPr>
  </w:style>
  <w:style w:type="paragraph" w:customStyle="1" w:styleId="1stlevelheadIrb">
    <w:name w:val="1st level head I._rb"/>
    <w:basedOn w:val="Normal"/>
    <w:autoRedefine/>
    <w:uiPriority w:val="99"/>
    <w:semiHidden/>
    <w:rsid w:val="00A85C8E"/>
    <w:pPr>
      <w:keepNext/>
      <w:widowControl w:val="0"/>
      <w:suppressAutoHyphens/>
      <w:autoSpaceDE w:val="0"/>
      <w:autoSpaceDN w:val="0"/>
      <w:adjustRightInd w:val="0"/>
      <w:spacing w:before="360" w:after="240"/>
      <w:textAlignment w:val="center"/>
    </w:pPr>
    <w:rPr>
      <w:rFonts w:eastAsiaTheme="minorEastAsia" w:cs="Times LT Std"/>
      <w:b/>
      <w:bCs/>
      <w:color w:val="000000"/>
      <w:kern w:val="0"/>
      <w:lang w:bidi="ar-SA"/>
    </w:rPr>
  </w:style>
  <w:style w:type="paragraph" w:customStyle="1" w:styleId="1stlevehead10ES">
    <w:name w:val="1st leve head 10. ES"/>
    <w:basedOn w:val="1stlevelheadIrb"/>
    <w:autoRedefine/>
    <w:semiHidden/>
    <w:qFormat/>
    <w:rsid w:val="00A85C8E"/>
    <w:pPr>
      <w:tabs>
        <w:tab w:val="left" w:pos="960"/>
      </w:tabs>
      <w:ind w:left="960" w:hanging="960"/>
    </w:pPr>
    <w:rPr>
      <w:rFonts w:cs="Times New Roman"/>
    </w:rPr>
  </w:style>
  <w:style w:type="paragraph" w:customStyle="1" w:styleId="1stlevelheadboldcentered">
    <w:name w:val="1st level head / bold centered"/>
    <w:basedOn w:val="Normal"/>
    <w:autoRedefine/>
    <w:uiPriority w:val="99"/>
    <w:semiHidden/>
    <w:rsid w:val="00A85C8E"/>
    <w:pPr>
      <w:keepNext/>
      <w:widowControl w:val="0"/>
      <w:suppressAutoHyphens/>
      <w:autoSpaceDE w:val="0"/>
      <w:autoSpaceDN w:val="0"/>
      <w:adjustRightInd w:val="0"/>
      <w:spacing w:after="240"/>
      <w:jc w:val="center"/>
      <w:textAlignment w:val="center"/>
    </w:pPr>
    <w:rPr>
      <w:rFonts w:eastAsiaTheme="minorEastAsia" w:cs="ITC New Baskerville Std"/>
      <w:b/>
      <w:bCs/>
      <w:color w:val="000000"/>
      <w:kern w:val="0"/>
      <w:szCs w:val="22"/>
      <w:lang w:bidi="ar-SA"/>
    </w:rPr>
  </w:style>
  <w:style w:type="paragraph" w:customStyle="1" w:styleId="1stLevelHeadI">
    <w:name w:val="1st Level Head I."/>
    <w:basedOn w:val="Normal"/>
    <w:autoRedefine/>
    <w:uiPriority w:val="99"/>
    <w:semiHidden/>
    <w:rsid w:val="00A85C8E"/>
    <w:pPr>
      <w:keepNext/>
      <w:widowControl w:val="0"/>
      <w:suppressAutoHyphens/>
      <w:autoSpaceDE w:val="0"/>
      <w:autoSpaceDN w:val="0"/>
      <w:adjustRightInd w:val="0"/>
      <w:spacing w:before="360" w:after="240"/>
      <w:jc w:val="center"/>
      <w:textAlignment w:val="center"/>
    </w:pPr>
    <w:rPr>
      <w:rFonts w:ascii="Times New Roman Bold" w:eastAsiaTheme="minorEastAsia" w:hAnsi="Times New Roman Bold" w:cs="Times SC"/>
      <w:b/>
      <w:bCs/>
      <w:smallCaps/>
      <w:color w:val="000000"/>
      <w:kern w:val="0"/>
      <w:lang w:bidi="ar-SA"/>
    </w:rPr>
  </w:style>
  <w:style w:type="paragraph" w:customStyle="1" w:styleId="1stlevelheadI0">
    <w:name w:val="1st level head I."/>
    <w:basedOn w:val="Normal"/>
    <w:autoRedefine/>
    <w:uiPriority w:val="99"/>
    <w:semiHidden/>
    <w:rsid w:val="00A85C8E"/>
    <w:pPr>
      <w:keepNext/>
      <w:keepLines/>
      <w:widowControl w:val="0"/>
      <w:suppressAutoHyphens/>
      <w:autoSpaceDE w:val="0"/>
      <w:autoSpaceDN w:val="0"/>
      <w:adjustRightInd w:val="0"/>
      <w:spacing w:before="360" w:after="240"/>
      <w:jc w:val="center"/>
      <w:textAlignment w:val="center"/>
    </w:pPr>
    <w:rPr>
      <w:rFonts w:eastAsiaTheme="minorEastAsia" w:cs="ITC New Baskerville Std"/>
      <w:smallCaps/>
      <w:color w:val="000000"/>
      <w:kern w:val="0"/>
      <w:szCs w:val="22"/>
      <w:lang w:bidi="ar-SA"/>
    </w:rPr>
  </w:style>
  <w:style w:type="paragraph" w:customStyle="1" w:styleId="1stlevelheadIb">
    <w:name w:val="1st level head I._b"/>
    <w:basedOn w:val="Normal"/>
    <w:autoRedefine/>
    <w:uiPriority w:val="99"/>
    <w:semiHidden/>
    <w:qFormat/>
    <w:rsid w:val="00A85C8E"/>
    <w:pPr>
      <w:tabs>
        <w:tab w:val="left" w:pos="1200"/>
      </w:tabs>
      <w:spacing w:before="360" w:after="240"/>
    </w:pPr>
    <w:rPr>
      <w:rFonts w:ascii="Times New Roman Bold" w:eastAsiaTheme="minorEastAsia" w:hAnsi="Times New Roman Bold" w:cs="Calibri"/>
      <w:b/>
      <w:kern w:val="0"/>
      <w:szCs w:val="22"/>
      <w:lang w:bidi="ar-SA"/>
    </w:rPr>
  </w:style>
  <w:style w:type="paragraph" w:customStyle="1" w:styleId="1stlevelheadIbfl">
    <w:name w:val="1st level head I._b_fl"/>
    <w:basedOn w:val="1stlevelheadIb"/>
    <w:autoRedefine/>
    <w:semiHidden/>
    <w:qFormat/>
    <w:rsid w:val="00A85C8E"/>
    <w:rPr>
      <w:rFonts w:cs="Times New Roman"/>
      <w:smallCaps/>
    </w:rPr>
  </w:style>
  <w:style w:type="paragraph" w:customStyle="1" w:styleId="1stlevelheadIr">
    <w:name w:val="1st level head I._r"/>
    <w:basedOn w:val="1stlevelheadIb"/>
    <w:autoRedefine/>
    <w:uiPriority w:val="99"/>
    <w:semiHidden/>
    <w:qFormat/>
    <w:rsid w:val="00A85C8E"/>
    <w:pPr>
      <w:spacing w:after="360"/>
      <w:jc w:val="center"/>
    </w:pPr>
    <w:rPr>
      <w:rFonts w:ascii="Times New Roman" w:hAnsi="Times New Roman"/>
      <w:b w:val="0"/>
      <w:smallCaps/>
    </w:rPr>
  </w:style>
  <w:style w:type="paragraph" w:customStyle="1" w:styleId="1stlevelheadIr0">
    <w:name w:val="1st level head_I._r"/>
    <w:basedOn w:val="Normal"/>
    <w:autoRedefine/>
    <w:uiPriority w:val="99"/>
    <w:semiHidden/>
    <w:rsid w:val="00A85C8E"/>
    <w:pPr>
      <w:widowControl w:val="0"/>
      <w:autoSpaceDE w:val="0"/>
      <w:autoSpaceDN w:val="0"/>
      <w:adjustRightInd w:val="0"/>
      <w:spacing w:before="480" w:after="360"/>
      <w:jc w:val="center"/>
      <w:textAlignment w:val="center"/>
    </w:pPr>
    <w:rPr>
      <w:rFonts w:eastAsiaTheme="minorEastAsia" w:cs="ITC New Baskerville Std"/>
      <w:smallCaps/>
      <w:color w:val="000000"/>
      <w:kern w:val="0"/>
      <w:sz w:val="25"/>
      <w:szCs w:val="25"/>
      <w:lang w:bidi="ar-SA"/>
    </w:rPr>
  </w:style>
  <w:style w:type="paragraph" w:customStyle="1" w:styleId="1stlevelRomanhead11pt">
    <w:name w:val="1st level_Roman head 11 pt."/>
    <w:basedOn w:val="Normal"/>
    <w:autoRedefine/>
    <w:uiPriority w:val="99"/>
    <w:semiHidden/>
    <w:rsid w:val="00A85C8E"/>
    <w:pPr>
      <w:keepNext/>
      <w:widowControl w:val="0"/>
      <w:suppressAutoHyphens/>
      <w:autoSpaceDE w:val="0"/>
      <w:autoSpaceDN w:val="0"/>
      <w:adjustRightInd w:val="0"/>
      <w:spacing w:after="240"/>
      <w:jc w:val="center"/>
      <w:textAlignment w:val="center"/>
    </w:pPr>
    <w:rPr>
      <w:rFonts w:eastAsiaTheme="minorEastAsia" w:cs="ITC New Baskerville Std"/>
      <w:smallCaps/>
      <w:color w:val="000000"/>
      <w:kern w:val="0"/>
      <w:szCs w:val="22"/>
      <w:lang w:bidi="ar-SA"/>
    </w:rPr>
  </w:style>
  <w:style w:type="paragraph" w:customStyle="1" w:styleId="2ndlevelheadbolditaliccentered">
    <w:name w:val="2nd level head / bold italic centered"/>
    <w:basedOn w:val="Normal"/>
    <w:autoRedefine/>
    <w:uiPriority w:val="99"/>
    <w:semiHidden/>
    <w:rsid w:val="00A85C8E"/>
    <w:pPr>
      <w:keepNext/>
      <w:widowControl w:val="0"/>
      <w:suppressAutoHyphens/>
      <w:autoSpaceDE w:val="0"/>
      <w:autoSpaceDN w:val="0"/>
      <w:adjustRightInd w:val="0"/>
      <w:spacing w:after="240"/>
      <w:jc w:val="center"/>
      <w:textAlignment w:val="center"/>
    </w:pPr>
    <w:rPr>
      <w:rFonts w:eastAsiaTheme="minorEastAsia" w:cs="ITC New Baskerville Std"/>
      <w:b/>
      <w:bCs/>
      <w:i/>
      <w:iCs/>
      <w:color w:val="000000"/>
      <w:kern w:val="0"/>
      <w:szCs w:val="22"/>
      <w:lang w:bidi="ar-SA"/>
    </w:rPr>
  </w:style>
  <w:style w:type="paragraph" w:customStyle="1" w:styleId="2ndLevelHeadA">
    <w:name w:val="2nd Level Head A."/>
    <w:basedOn w:val="Normal"/>
    <w:autoRedefine/>
    <w:uiPriority w:val="99"/>
    <w:semiHidden/>
    <w:rsid w:val="00A85C8E"/>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b/>
      <w:bCs/>
      <w:color w:val="000000"/>
      <w:kern w:val="0"/>
      <w:szCs w:val="22"/>
      <w:lang w:bidi="ar-SA"/>
    </w:rPr>
  </w:style>
  <w:style w:type="paragraph" w:customStyle="1" w:styleId="2ndlevelheadAb">
    <w:name w:val="2nd level head A._b"/>
    <w:basedOn w:val="Normal"/>
    <w:autoRedefine/>
    <w:uiPriority w:val="99"/>
    <w:semiHidden/>
    <w:qFormat/>
    <w:rsid w:val="00A85C8E"/>
    <w:pPr>
      <w:tabs>
        <w:tab w:val="left" w:pos="360"/>
      </w:tabs>
      <w:spacing w:after="240"/>
      <w:ind w:left="360" w:hanging="360"/>
    </w:pPr>
    <w:rPr>
      <w:rFonts w:ascii="Times New Roman Bold" w:eastAsiaTheme="minorEastAsia" w:hAnsi="Times New Roman Bold" w:cs="Calibri"/>
      <w:b/>
      <w:kern w:val="0"/>
      <w:szCs w:val="22"/>
      <w:lang w:bidi="ar-SA"/>
    </w:rPr>
  </w:style>
  <w:style w:type="paragraph" w:customStyle="1" w:styleId="2ndlevelheadAbi">
    <w:name w:val="2nd level head A._bi"/>
    <w:basedOn w:val="2ndlevelheadAb"/>
    <w:semiHidden/>
    <w:qFormat/>
    <w:rsid w:val="00A85C8E"/>
    <w:rPr>
      <w:i/>
    </w:rPr>
  </w:style>
  <w:style w:type="paragraph" w:customStyle="1" w:styleId="2ndlevelheadBb">
    <w:name w:val="2nd level head B._b"/>
    <w:basedOn w:val="Normal"/>
    <w:autoRedefine/>
    <w:uiPriority w:val="99"/>
    <w:semiHidden/>
    <w:rsid w:val="00A85C8E"/>
    <w:pPr>
      <w:keepNext/>
      <w:widowControl w:val="0"/>
      <w:tabs>
        <w:tab w:val="left" w:pos="360"/>
      </w:tabs>
      <w:suppressAutoHyphens/>
      <w:autoSpaceDE w:val="0"/>
      <w:autoSpaceDN w:val="0"/>
      <w:adjustRightInd w:val="0"/>
      <w:spacing w:after="240"/>
      <w:ind w:left="360" w:hanging="360"/>
      <w:textAlignment w:val="center"/>
    </w:pPr>
    <w:rPr>
      <w:rFonts w:eastAsiaTheme="minorEastAsia" w:cs="NewCenturySchlbk"/>
      <w:b/>
      <w:bCs/>
      <w:color w:val="000000"/>
      <w:kern w:val="0"/>
      <w:szCs w:val="22"/>
      <w:lang w:bidi="ar-SA"/>
    </w:rPr>
  </w:style>
  <w:style w:type="paragraph" w:customStyle="1" w:styleId="2ndlevelheadBbi">
    <w:name w:val="2nd level head B._bi"/>
    <w:basedOn w:val="Normal"/>
    <w:autoRedefine/>
    <w:uiPriority w:val="99"/>
    <w:semiHidden/>
    <w:rsid w:val="00A85C8E"/>
    <w:pPr>
      <w:widowControl w:val="0"/>
      <w:tabs>
        <w:tab w:val="left" w:pos="360"/>
      </w:tabs>
      <w:suppressAutoHyphens/>
      <w:autoSpaceDE w:val="0"/>
      <w:autoSpaceDN w:val="0"/>
      <w:adjustRightInd w:val="0"/>
      <w:spacing w:before="480" w:after="360"/>
      <w:ind w:left="360" w:hanging="360"/>
      <w:textAlignment w:val="center"/>
    </w:pPr>
    <w:rPr>
      <w:rFonts w:eastAsiaTheme="minorEastAsia" w:cs="Times LT Std"/>
      <w:b/>
      <w:bCs/>
      <w:i/>
      <w:iCs/>
      <w:color w:val="000000"/>
      <w:kern w:val="0"/>
      <w:szCs w:val="22"/>
      <w:lang w:bidi="ar-SA"/>
    </w:rPr>
  </w:style>
  <w:style w:type="paragraph" w:customStyle="1" w:styleId="2ndlevelheadnospace">
    <w:name w:val="2nd level head no space"/>
    <w:basedOn w:val="2ndlevelheadAb"/>
    <w:autoRedefine/>
    <w:uiPriority w:val="99"/>
    <w:semiHidden/>
    <w:rsid w:val="00A85C8E"/>
    <w:pPr>
      <w:keepNext/>
      <w:widowControl w:val="0"/>
      <w:suppressAutoHyphens/>
      <w:autoSpaceDE w:val="0"/>
      <w:autoSpaceDN w:val="0"/>
      <w:adjustRightInd w:val="0"/>
      <w:spacing w:before="0"/>
      <w:textAlignment w:val="center"/>
    </w:pPr>
    <w:rPr>
      <w:rFonts w:ascii="Times New Roman" w:hAnsi="Times New Roman" w:cs="ITC New Baskerville Std"/>
      <w:bCs/>
      <w:color w:val="000000"/>
    </w:rPr>
  </w:style>
  <w:style w:type="paragraph" w:customStyle="1" w:styleId="2ndlevelheadnospaceb">
    <w:name w:val="2nd level head no space_b"/>
    <w:basedOn w:val="2ndlevelheadAb"/>
    <w:autoRedefine/>
    <w:uiPriority w:val="99"/>
    <w:semiHidden/>
    <w:rsid w:val="00A85C8E"/>
    <w:pPr>
      <w:widowControl w:val="0"/>
      <w:autoSpaceDE w:val="0"/>
      <w:autoSpaceDN w:val="0"/>
      <w:adjustRightInd w:val="0"/>
      <w:spacing w:before="0"/>
      <w:textAlignment w:val="center"/>
    </w:pPr>
    <w:rPr>
      <w:rFonts w:ascii="Times New Roman" w:hAnsi="Times New Roman" w:cs="Times LT Std"/>
      <w:bCs/>
      <w:color w:val="000000"/>
    </w:rPr>
  </w:style>
  <w:style w:type="paragraph" w:customStyle="1" w:styleId="2ndlevelheadAbi0">
    <w:name w:val="2nd level headA._bi"/>
    <w:basedOn w:val="2ndlevelheadAb"/>
    <w:semiHidden/>
    <w:qFormat/>
    <w:rsid w:val="00A85C8E"/>
    <w:rPr>
      <w:i/>
    </w:rPr>
  </w:style>
  <w:style w:type="paragraph" w:customStyle="1" w:styleId="2ndlevelheadnospacebi">
    <w:name w:val="2nd level head no space_bi"/>
    <w:basedOn w:val="2ndlevelheadAbi0"/>
    <w:semiHidden/>
    <w:qFormat/>
    <w:rsid w:val="00A85C8E"/>
  </w:style>
  <w:style w:type="paragraph" w:customStyle="1" w:styleId="2ndlevelheadnospace-b">
    <w:name w:val="2nd level head no space-b"/>
    <w:basedOn w:val="2ndlevelheadBb"/>
    <w:autoRedefine/>
    <w:uiPriority w:val="99"/>
    <w:semiHidden/>
    <w:rsid w:val="00A85C8E"/>
    <w:pPr>
      <w:spacing w:before="0"/>
    </w:pPr>
  </w:style>
  <w:style w:type="paragraph" w:customStyle="1" w:styleId="2ndlevelheadAb0">
    <w:name w:val="2nd level head_A._b"/>
    <w:basedOn w:val="Normal"/>
    <w:autoRedefine/>
    <w:uiPriority w:val="99"/>
    <w:semiHidden/>
    <w:rsid w:val="00A85C8E"/>
    <w:pPr>
      <w:widowControl w:val="0"/>
      <w:tabs>
        <w:tab w:val="left" w:pos="340"/>
      </w:tabs>
      <w:autoSpaceDE w:val="0"/>
      <w:autoSpaceDN w:val="0"/>
      <w:adjustRightInd w:val="0"/>
      <w:spacing w:before="360" w:after="240"/>
      <w:ind w:left="360" w:hanging="360"/>
      <w:textAlignment w:val="center"/>
    </w:pPr>
    <w:rPr>
      <w:rFonts w:eastAsiaTheme="minorEastAsia" w:cs="ITC New Baskerville Std"/>
      <w:b/>
      <w:bCs/>
      <w:color w:val="000000"/>
      <w:kern w:val="0"/>
      <w:lang w:bidi="ar-SA"/>
    </w:rPr>
  </w:style>
  <w:style w:type="paragraph" w:customStyle="1" w:styleId="2ndlevelheadAbi1">
    <w:name w:val="2nd level head_A._bi"/>
    <w:basedOn w:val="Normal"/>
    <w:autoRedefine/>
    <w:uiPriority w:val="99"/>
    <w:semiHidden/>
    <w:qFormat/>
    <w:rsid w:val="00A85C8E"/>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lang w:bidi="ar-SA"/>
    </w:rPr>
  </w:style>
  <w:style w:type="paragraph" w:customStyle="1" w:styleId="3rdLevelHead1">
    <w:name w:val="3rd Level Head 1."/>
    <w:basedOn w:val="Normal"/>
    <w:autoRedefine/>
    <w:uiPriority w:val="99"/>
    <w:semiHidden/>
    <w:rsid w:val="00A85C8E"/>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i/>
      <w:iCs/>
      <w:color w:val="000000"/>
      <w:kern w:val="0"/>
      <w:szCs w:val="22"/>
      <w:lang w:bidi="ar-SA"/>
    </w:rPr>
  </w:style>
  <w:style w:type="paragraph" w:customStyle="1" w:styleId="3rdlevelhead10">
    <w:name w:val="3rd level head 1."/>
    <w:basedOn w:val="Normal"/>
    <w:autoRedefine/>
    <w:uiPriority w:val="99"/>
    <w:semiHidden/>
    <w:rsid w:val="00A85C8E"/>
    <w:pPr>
      <w:keepNext/>
      <w:widowControl w:val="0"/>
      <w:tabs>
        <w:tab w:val="left" w:pos="360"/>
      </w:tabs>
      <w:suppressAutoHyphens/>
      <w:autoSpaceDE w:val="0"/>
      <w:autoSpaceDN w:val="0"/>
      <w:adjustRightInd w:val="0"/>
      <w:spacing w:after="0" w:line="480" w:lineRule="auto"/>
      <w:ind w:left="360" w:hanging="360"/>
      <w:textAlignment w:val="center"/>
    </w:pPr>
    <w:rPr>
      <w:rFonts w:eastAsia="Times New Roman" w:cs="ITC New Baskerville Std"/>
      <w:b/>
      <w:bCs/>
      <w:i/>
      <w:iCs/>
      <w:color w:val="000000"/>
      <w:kern w:val="0"/>
      <w:szCs w:val="22"/>
      <w:lang w:bidi="ar-SA"/>
    </w:rPr>
  </w:style>
  <w:style w:type="paragraph" w:customStyle="1" w:styleId="3rdlevelhead1i">
    <w:name w:val="3rd level head 1._i"/>
    <w:basedOn w:val="Normal"/>
    <w:autoRedefine/>
    <w:uiPriority w:val="99"/>
    <w:semiHidden/>
    <w:qFormat/>
    <w:rsid w:val="00A85C8E"/>
    <w:pPr>
      <w:tabs>
        <w:tab w:val="left" w:pos="360"/>
      </w:tabs>
      <w:spacing w:after="240"/>
      <w:ind w:left="360" w:hanging="360"/>
    </w:pPr>
    <w:rPr>
      <w:rFonts w:eastAsiaTheme="minorEastAsia" w:cs="Calibri"/>
      <w:i/>
      <w:kern w:val="0"/>
      <w:szCs w:val="22"/>
      <w:lang w:bidi="ar-SA"/>
    </w:rPr>
  </w:style>
  <w:style w:type="paragraph" w:customStyle="1" w:styleId="3rdlevelhead1bi">
    <w:name w:val="3rd level head 1._bi"/>
    <w:basedOn w:val="3rdlevelhead1i"/>
    <w:semiHidden/>
    <w:qFormat/>
    <w:rsid w:val="00A85C8E"/>
    <w:rPr>
      <w:b/>
    </w:rPr>
  </w:style>
  <w:style w:type="paragraph" w:customStyle="1" w:styleId="3rdlevelhead10bi">
    <w:name w:val="3rd level head 10._bi"/>
    <w:basedOn w:val="3rdlevelhead1bi"/>
    <w:autoRedefine/>
    <w:uiPriority w:val="99"/>
    <w:semiHidden/>
    <w:rsid w:val="00A85C8E"/>
    <w:pPr>
      <w:keepNext/>
      <w:widowControl w:val="0"/>
      <w:tabs>
        <w:tab w:val="clear" w:pos="360"/>
        <w:tab w:val="left" w:pos="480"/>
      </w:tabs>
      <w:suppressAutoHyphens/>
      <w:autoSpaceDE w:val="0"/>
      <w:autoSpaceDN w:val="0"/>
      <w:adjustRightInd w:val="0"/>
      <w:ind w:left="480" w:hanging="480"/>
      <w:textAlignment w:val="center"/>
    </w:pPr>
    <w:rPr>
      <w:rFonts w:cs="NewCenturySchlbk"/>
      <w:bCs/>
      <w:iCs/>
      <w:color w:val="000000"/>
    </w:rPr>
  </w:style>
  <w:style w:type="paragraph" w:customStyle="1" w:styleId="3rdlevelhead3i">
    <w:name w:val="3rd level head 3._i"/>
    <w:basedOn w:val="Normal"/>
    <w:autoRedefine/>
    <w:uiPriority w:val="99"/>
    <w:semiHidden/>
    <w:rsid w:val="00A85C8E"/>
    <w:pPr>
      <w:widowControl w:val="0"/>
      <w:tabs>
        <w:tab w:val="left" w:pos="920"/>
      </w:tabs>
      <w:suppressAutoHyphens/>
      <w:autoSpaceDE w:val="0"/>
      <w:autoSpaceDN w:val="0"/>
      <w:adjustRightInd w:val="0"/>
      <w:ind w:left="919" w:hanging="480"/>
      <w:textAlignment w:val="center"/>
    </w:pPr>
    <w:rPr>
      <w:rFonts w:eastAsiaTheme="minorEastAsia" w:cs="NewCenturySchlbk"/>
      <w:i/>
      <w:iCs/>
      <w:color w:val="000000"/>
      <w:kern w:val="0"/>
      <w:szCs w:val="22"/>
      <w:lang w:bidi="ar-SA"/>
    </w:rPr>
  </w:style>
  <w:style w:type="paragraph" w:customStyle="1" w:styleId="3rdLevelHeadfrom2">
    <w:name w:val="3rd Level Head from 2"/>
    <w:basedOn w:val="3rdLevelHead1"/>
    <w:autoRedefine/>
    <w:uiPriority w:val="99"/>
    <w:semiHidden/>
    <w:rsid w:val="00A85C8E"/>
    <w:pPr>
      <w:spacing w:before="0"/>
    </w:pPr>
    <w:rPr>
      <w:rFonts w:cs="Times LT Std"/>
    </w:rPr>
  </w:style>
  <w:style w:type="paragraph" w:customStyle="1" w:styleId="3rdlevelheadheadnospacei">
    <w:name w:val="3rd level head head no space_i"/>
    <w:basedOn w:val="3rdlevelhead1i"/>
    <w:autoRedefine/>
    <w:uiPriority w:val="99"/>
    <w:semiHidden/>
    <w:rsid w:val="00A85C8E"/>
    <w:pPr>
      <w:widowControl w:val="0"/>
      <w:autoSpaceDE w:val="0"/>
      <w:autoSpaceDN w:val="0"/>
      <w:adjustRightInd w:val="0"/>
      <w:spacing w:before="0"/>
      <w:textAlignment w:val="center"/>
    </w:pPr>
    <w:rPr>
      <w:rFonts w:cs="Times LT Std"/>
      <w:color w:val="000000"/>
    </w:rPr>
  </w:style>
  <w:style w:type="paragraph" w:customStyle="1" w:styleId="3rdlevelheadibi">
    <w:name w:val="3rd level head i._bi"/>
    <w:basedOn w:val="Normal"/>
    <w:autoRedefine/>
    <w:uiPriority w:val="99"/>
    <w:semiHidden/>
    <w:rsid w:val="00A85C8E"/>
    <w:pPr>
      <w:keepNext/>
      <w:widowControl w:val="0"/>
      <w:tabs>
        <w:tab w:val="left" w:pos="360"/>
      </w:tabs>
      <w:suppressAutoHyphens/>
      <w:autoSpaceDE w:val="0"/>
      <w:autoSpaceDN w:val="0"/>
      <w:adjustRightInd w:val="0"/>
      <w:spacing w:after="240" w:line="240" w:lineRule="atLeast"/>
      <w:ind w:left="360" w:hanging="360"/>
      <w:textAlignment w:val="center"/>
    </w:pPr>
    <w:rPr>
      <w:rFonts w:eastAsiaTheme="minorEastAsia" w:cs="NewCenturySchlbk"/>
      <w:b/>
      <w:bCs/>
      <w:i/>
      <w:iCs/>
      <w:color w:val="000000"/>
      <w:kern w:val="0"/>
      <w:szCs w:val="22"/>
      <w:lang w:bidi="ar-SA"/>
    </w:rPr>
  </w:style>
  <w:style w:type="paragraph" w:customStyle="1" w:styleId="3rdlevelheadnospace">
    <w:name w:val="3rd level head no space"/>
    <w:basedOn w:val="3rdlevelhead1bi"/>
    <w:autoRedefine/>
    <w:uiPriority w:val="99"/>
    <w:semiHidden/>
    <w:rsid w:val="00A85C8E"/>
    <w:pPr>
      <w:keepNext/>
      <w:widowControl w:val="0"/>
      <w:suppressAutoHyphens/>
      <w:autoSpaceDE w:val="0"/>
      <w:autoSpaceDN w:val="0"/>
      <w:adjustRightInd w:val="0"/>
      <w:spacing w:before="0"/>
      <w:textAlignment w:val="center"/>
    </w:pPr>
    <w:rPr>
      <w:rFonts w:cs="ITC New Baskerville Std"/>
      <w:bCs/>
      <w:iCs/>
      <w:color w:val="000000"/>
    </w:rPr>
  </w:style>
  <w:style w:type="paragraph" w:customStyle="1" w:styleId="3rdlevelheadnospacebi">
    <w:name w:val="3rd level head no space_bi"/>
    <w:basedOn w:val="3rdlevelhead1bi"/>
    <w:autoRedefine/>
    <w:semiHidden/>
    <w:qFormat/>
    <w:rsid w:val="00A85C8E"/>
    <w:pPr>
      <w:spacing w:before="0"/>
    </w:pPr>
  </w:style>
  <w:style w:type="paragraph" w:customStyle="1" w:styleId="3rdlevelheadnospacei">
    <w:name w:val="3rd level head no space_i"/>
    <w:basedOn w:val="3rdlevelhead1i"/>
    <w:autoRedefine/>
    <w:uiPriority w:val="99"/>
    <w:semiHidden/>
    <w:qFormat/>
    <w:rsid w:val="00A85C8E"/>
    <w:pPr>
      <w:spacing w:before="0"/>
      <w:ind w:left="799"/>
    </w:pPr>
  </w:style>
  <w:style w:type="paragraph" w:customStyle="1" w:styleId="3rdlevelhead1bi0">
    <w:name w:val="3rd level head_1._bi"/>
    <w:basedOn w:val="Normal"/>
    <w:autoRedefine/>
    <w:uiPriority w:val="99"/>
    <w:semiHidden/>
    <w:rsid w:val="00A85C8E"/>
    <w:pPr>
      <w:widowControl w:val="0"/>
      <w:tabs>
        <w:tab w:val="left" w:pos="360"/>
      </w:tabs>
      <w:autoSpaceDE w:val="0"/>
      <w:autoSpaceDN w:val="0"/>
      <w:adjustRightInd w:val="0"/>
      <w:spacing w:after="240" w:line="260" w:lineRule="atLeast"/>
      <w:ind w:left="360" w:hanging="360"/>
      <w:textAlignment w:val="center"/>
    </w:pPr>
    <w:rPr>
      <w:rFonts w:eastAsiaTheme="minorEastAsia" w:cs="ITC New Baskerville Std"/>
      <w:b/>
      <w:bCs/>
      <w:i/>
      <w:iCs/>
      <w:color w:val="000000"/>
      <w:kern w:val="0"/>
      <w:lang w:bidi="ar-SA"/>
    </w:rPr>
  </w:style>
  <w:style w:type="paragraph" w:customStyle="1" w:styleId="3rdlevellevel1bi">
    <w:name w:val="3rd level level 1._bi"/>
    <w:basedOn w:val="Normal"/>
    <w:autoRedefine/>
    <w:uiPriority w:val="99"/>
    <w:semiHidden/>
    <w:qFormat/>
    <w:rsid w:val="00A85C8E"/>
    <w:pPr>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
      <w:bCs/>
      <w:i/>
      <w:iCs/>
      <w:color w:val="000000"/>
      <w:kern w:val="0"/>
      <w:lang w:bidi="ar-SA"/>
    </w:rPr>
  </w:style>
  <w:style w:type="paragraph" w:customStyle="1" w:styleId="4thHeadfrom3">
    <w:name w:val="4th Head from 3"/>
    <w:basedOn w:val="Normal"/>
    <w:autoRedefine/>
    <w:uiPriority w:val="99"/>
    <w:semiHidden/>
    <w:rsid w:val="00A85C8E"/>
    <w:pPr>
      <w:keepNext/>
      <w:widowControl w:val="0"/>
      <w:tabs>
        <w:tab w:val="left" w:pos="800"/>
      </w:tabs>
      <w:suppressAutoHyphens/>
      <w:autoSpaceDE w:val="0"/>
      <w:autoSpaceDN w:val="0"/>
      <w:adjustRightInd w:val="0"/>
      <w:spacing w:before="0" w:after="240"/>
      <w:ind w:left="799" w:hanging="360"/>
      <w:textAlignment w:val="center"/>
    </w:pPr>
    <w:rPr>
      <w:rFonts w:eastAsiaTheme="minorEastAsia" w:cs="Times LT Std"/>
      <w:i/>
      <w:iCs/>
      <w:color w:val="000000"/>
      <w:kern w:val="0"/>
      <w:szCs w:val="22"/>
      <w:lang w:bidi="ar-SA"/>
    </w:rPr>
  </w:style>
  <w:style w:type="paragraph" w:customStyle="1" w:styleId="4thLevelHead">
    <w:name w:val="4th Level Head"/>
    <w:basedOn w:val="Normal"/>
    <w:autoRedefine/>
    <w:uiPriority w:val="99"/>
    <w:semiHidden/>
    <w:qFormat/>
    <w:rsid w:val="00A85C8E"/>
    <w:pPr>
      <w:keepNext/>
      <w:widowControl w:val="0"/>
      <w:tabs>
        <w:tab w:val="left" w:pos="800"/>
      </w:tabs>
      <w:suppressAutoHyphens/>
      <w:autoSpaceDE w:val="0"/>
      <w:autoSpaceDN w:val="0"/>
      <w:adjustRightInd w:val="0"/>
      <w:spacing w:after="240"/>
      <w:ind w:left="799" w:hanging="360"/>
      <w:contextualSpacing/>
      <w:textAlignment w:val="center"/>
    </w:pPr>
    <w:rPr>
      <w:rFonts w:eastAsiaTheme="minorEastAsia" w:cs="Times LT Std"/>
      <w:i/>
      <w:iCs/>
      <w:color w:val="000000"/>
      <w:kern w:val="0"/>
      <w:szCs w:val="22"/>
      <w:lang w:bidi="ar-SA"/>
    </w:rPr>
  </w:style>
  <w:style w:type="paragraph" w:customStyle="1" w:styleId="4thLevelHeada">
    <w:name w:val="4th Level Head a."/>
    <w:basedOn w:val="Normal"/>
    <w:autoRedefine/>
    <w:uiPriority w:val="99"/>
    <w:semiHidden/>
    <w:rsid w:val="00A85C8E"/>
    <w:pPr>
      <w:keepNext/>
      <w:widowControl w:val="0"/>
      <w:tabs>
        <w:tab w:val="left" w:pos="800"/>
      </w:tabs>
      <w:suppressAutoHyphens/>
      <w:autoSpaceDE w:val="0"/>
      <w:autoSpaceDN w:val="0"/>
      <w:adjustRightInd w:val="0"/>
      <w:spacing w:after="240"/>
      <w:ind w:left="799" w:hanging="360"/>
      <w:textAlignment w:val="center"/>
    </w:pPr>
    <w:rPr>
      <w:rFonts w:eastAsiaTheme="minorEastAsia" w:cs="Times LT Std"/>
      <w:i/>
      <w:iCs/>
      <w:color w:val="000000"/>
      <w:kern w:val="0"/>
      <w:szCs w:val="22"/>
      <w:lang w:bidi="ar-SA"/>
    </w:rPr>
  </w:style>
  <w:style w:type="paragraph" w:customStyle="1" w:styleId="4thlevelheadai">
    <w:name w:val="4th level head a._i"/>
    <w:basedOn w:val="Normal"/>
    <w:autoRedefine/>
    <w:uiPriority w:val="99"/>
    <w:semiHidden/>
    <w:qFormat/>
    <w:rsid w:val="00A85C8E"/>
    <w:pPr>
      <w:tabs>
        <w:tab w:val="left" w:pos="720"/>
      </w:tabs>
      <w:spacing w:after="240"/>
      <w:ind w:left="720" w:hanging="360"/>
    </w:pPr>
    <w:rPr>
      <w:rFonts w:eastAsiaTheme="minorEastAsia" w:cs="Calibri"/>
      <w:i/>
      <w:kern w:val="0"/>
      <w:szCs w:val="22"/>
      <w:lang w:bidi="ar-SA"/>
    </w:rPr>
  </w:style>
  <w:style w:type="paragraph" w:customStyle="1" w:styleId="4thlevelheadab">
    <w:name w:val="4th level head a._b"/>
    <w:basedOn w:val="4thlevelheadai"/>
    <w:autoRedefine/>
    <w:uiPriority w:val="99"/>
    <w:semiHidden/>
    <w:qFormat/>
    <w:rsid w:val="00A85C8E"/>
    <w:rPr>
      <w:rFonts w:ascii="Times New Roman Bold" w:hAnsi="Times New Roman Bold"/>
      <w:b/>
      <w:i w:val="0"/>
    </w:rPr>
  </w:style>
  <w:style w:type="paragraph" w:customStyle="1" w:styleId="4thlevelheadascb">
    <w:name w:val="4th level head a._scb"/>
    <w:basedOn w:val="4thlevelheadab"/>
    <w:autoRedefine/>
    <w:semiHidden/>
    <w:qFormat/>
    <w:rsid w:val="00A85C8E"/>
    <w:rPr>
      <w:rFonts w:cs="Times New Roman"/>
      <w:smallCaps/>
    </w:rPr>
  </w:style>
  <w:style w:type="paragraph" w:customStyle="1" w:styleId="4thlevelheadabsc">
    <w:name w:val="4th level head a_bsc"/>
    <w:basedOn w:val="4thlevelheadab"/>
    <w:autoRedefine/>
    <w:semiHidden/>
    <w:qFormat/>
    <w:rsid w:val="00A85C8E"/>
    <w:rPr>
      <w:rFonts w:cs="Times New Roman"/>
      <w:smallCaps/>
    </w:rPr>
  </w:style>
  <w:style w:type="paragraph" w:customStyle="1" w:styleId="4thlevelheadnospace">
    <w:name w:val="4th level head no space"/>
    <w:basedOn w:val="4thlevelheadai"/>
    <w:autoRedefine/>
    <w:uiPriority w:val="99"/>
    <w:semiHidden/>
    <w:rsid w:val="00A85C8E"/>
    <w:pPr>
      <w:keepNext/>
      <w:widowControl w:val="0"/>
      <w:tabs>
        <w:tab w:val="clear" w:pos="720"/>
        <w:tab w:val="left" w:pos="740"/>
      </w:tabs>
      <w:suppressAutoHyphens/>
      <w:autoSpaceDE w:val="0"/>
      <w:autoSpaceDN w:val="0"/>
      <w:adjustRightInd w:val="0"/>
      <w:spacing w:before="0"/>
      <w:ind w:left="701"/>
      <w:textAlignment w:val="center"/>
    </w:pPr>
    <w:rPr>
      <w:rFonts w:cs="ITC New Baskerville Std"/>
      <w:iCs/>
      <w:color w:val="000000"/>
    </w:rPr>
  </w:style>
  <w:style w:type="paragraph" w:customStyle="1" w:styleId="4thlevelheadnospaceb">
    <w:name w:val="4th level head no space_b"/>
    <w:basedOn w:val="4thlevelheadab"/>
    <w:autoRedefine/>
    <w:uiPriority w:val="99"/>
    <w:semiHidden/>
    <w:qFormat/>
    <w:rsid w:val="00A85C8E"/>
    <w:pPr>
      <w:spacing w:before="0"/>
    </w:pPr>
  </w:style>
  <w:style w:type="paragraph" w:customStyle="1" w:styleId="4thlevelheadnospacei">
    <w:name w:val="4th level head no space_i"/>
    <w:basedOn w:val="4thlevelheadai"/>
    <w:autoRedefine/>
    <w:uiPriority w:val="99"/>
    <w:semiHidden/>
    <w:qFormat/>
    <w:rsid w:val="00A85C8E"/>
    <w:pPr>
      <w:spacing w:before="0"/>
    </w:pPr>
  </w:style>
  <w:style w:type="paragraph" w:customStyle="1" w:styleId="4thlevelheadai0">
    <w:name w:val="4th level head_a._i"/>
    <w:basedOn w:val="Normal"/>
    <w:autoRedefine/>
    <w:uiPriority w:val="99"/>
    <w:semiHidden/>
    <w:qFormat/>
    <w:rsid w:val="00A85C8E"/>
    <w:pPr>
      <w:widowControl w:val="0"/>
      <w:tabs>
        <w:tab w:val="left" w:pos="780"/>
      </w:tabs>
      <w:autoSpaceDE w:val="0"/>
      <w:autoSpaceDN w:val="0"/>
      <w:adjustRightInd w:val="0"/>
      <w:spacing w:after="240"/>
      <w:ind w:left="780" w:hanging="300"/>
      <w:textAlignment w:val="center"/>
    </w:pPr>
    <w:rPr>
      <w:rFonts w:eastAsiaTheme="minorEastAsia" w:cs="ITC New Baskerville Std"/>
      <w:i/>
      <w:iCs/>
      <w:color w:val="000000"/>
      <w:kern w:val="0"/>
      <w:lang w:bidi="ar-SA"/>
    </w:rPr>
  </w:style>
  <w:style w:type="paragraph" w:customStyle="1" w:styleId="5hlevelhead1i">
    <w:name w:val="5h level head (1)_i"/>
    <w:basedOn w:val="4thlevelheadnospacei"/>
    <w:autoRedefine/>
    <w:uiPriority w:val="99"/>
    <w:semiHidden/>
    <w:rsid w:val="00A85C8E"/>
    <w:pPr>
      <w:keepNext/>
      <w:widowControl w:val="0"/>
      <w:tabs>
        <w:tab w:val="clear" w:pos="720"/>
        <w:tab w:val="left" w:pos="360"/>
      </w:tabs>
      <w:suppressAutoHyphens/>
      <w:autoSpaceDE w:val="0"/>
      <w:autoSpaceDN w:val="0"/>
      <w:adjustRightInd w:val="0"/>
      <w:spacing w:before="240"/>
      <w:ind w:left="919" w:hanging="480"/>
      <w:textAlignment w:val="center"/>
    </w:pPr>
    <w:rPr>
      <w:rFonts w:cs="NewCenturySchlbk"/>
      <w:iCs/>
      <w:color w:val="000000"/>
    </w:rPr>
  </w:style>
  <w:style w:type="paragraph" w:customStyle="1" w:styleId="5thlevelheadiir">
    <w:name w:val="5th level head ii._r"/>
    <w:basedOn w:val="Normal"/>
    <w:autoRedefine/>
    <w:uiPriority w:val="99"/>
    <w:semiHidden/>
    <w:rsid w:val="00A85C8E"/>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5thleveheadnospacer">
    <w:name w:val="5th leve head no space_r"/>
    <w:basedOn w:val="5thlevelheadiir"/>
    <w:autoRedefine/>
    <w:uiPriority w:val="99"/>
    <w:semiHidden/>
    <w:rsid w:val="00A85C8E"/>
    <w:pPr>
      <w:spacing w:before="0"/>
    </w:pPr>
    <w:rPr>
      <w:rFonts w:cs="Times New Roman"/>
      <w:caps/>
      <w:spacing w:val="2"/>
    </w:rPr>
  </w:style>
  <w:style w:type="paragraph" w:customStyle="1" w:styleId="5thLevelHead">
    <w:name w:val="5th Level Head"/>
    <w:basedOn w:val="Normal"/>
    <w:autoRedefine/>
    <w:uiPriority w:val="99"/>
    <w:semiHidden/>
    <w:qFormat/>
    <w:rsid w:val="00A85C8E"/>
    <w:pPr>
      <w:keepNext/>
      <w:widowControl w:val="0"/>
      <w:tabs>
        <w:tab w:val="left" w:pos="1240"/>
      </w:tabs>
      <w:suppressAutoHyphens/>
      <w:autoSpaceDE w:val="0"/>
      <w:autoSpaceDN w:val="0"/>
      <w:adjustRightInd w:val="0"/>
      <w:spacing w:after="240"/>
      <w:ind w:left="1241" w:hanging="360"/>
      <w:textAlignment w:val="center"/>
    </w:pPr>
    <w:rPr>
      <w:rFonts w:eastAsiaTheme="minorEastAsia" w:cs="Times LT Std"/>
      <w:i/>
      <w:iCs/>
      <w:color w:val="000000"/>
      <w:kern w:val="0"/>
      <w:szCs w:val="22"/>
      <w:lang w:bidi="ar-SA"/>
    </w:rPr>
  </w:style>
  <w:style w:type="paragraph" w:customStyle="1" w:styleId="5thlevelhead1i">
    <w:name w:val="5th level head (1)_i"/>
    <w:basedOn w:val="Normal"/>
    <w:autoRedefine/>
    <w:uiPriority w:val="99"/>
    <w:semiHidden/>
    <w:rsid w:val="00A85C8E"/>
    <w:pPr>
      <w:keepNext/>
      <w:widowControl w:val="0"/>
      <w:tabs>
        <w:tab w:val="left" w:pos="800"/>
      </w:tabs>
      <w:suppressAutoHyphens/>
      <w:autoSpaceDE w:val="0"/>
      <w:autoSpaceDN w:val="0"/>
      <w:adjustRightInd w:val="0"/>
      <w:spacing w:after="240"/>
      <w:ind w:left="1020" w:hanging="360"/>
      <w:textAlignment w:val="center"/>
    </w:pPr>
    <w:rPr>
      <w:rFonts w:eastAsiaTheme="minorEastAsia" w:cs="ITC New Baskerville Std"/>
      <w:i/>
      <w:iCs/>
      <w:color w:val="000000"/>
      <w:kern w:val="0"/>
      <w:szCs w:val="22"/>
      <w:lang w:bidi="ar-SA"/>
    </w:rPr>
  </w:style>
  <w:style w:type="paragraph" w:customStyle="1" w:styleId="5thlevelheadai">
    <w:name w:val="5th level head (a)_i"/>
    <w:basedOn w:val="4thlevelheadnospacei"/>
    <w:autoRedefine/>
    <w:uiPriority w:val="99"/>
    <w:semiHidden/>
    <w:rsid w:val="00A85C8E"/>
    <w:pPr>
      <w:keepNext/>
      <w:widowControl w:val="0"/>
      <w:tabs>
        <w:tab w:val="clear" w:pos="720"/>
        <w:tab w:val="left" w:pos="1240"/>
      </w:tabs>
      <w:suppressAutoHyphens/>
      <w:autoSpaceDE w:val="0"/>
      <w:autoSpaceDN w:val="0"/>
      <w:adjustRightInd w:val="0"/>
      <w:spacing w:before="240"/>
      <w:ind w:left="1241"/>
      <w:textAlignment w:val="center"/>
    </w:pPr>
    <w:rPr>
      <w:rFonts w:cs="Times LT Std"/>
      <w:iCs/>
      <w:color w:val="000000"/>
    </w:rPr>
  </w:style>
  <w:style w:type="paragraph" w:customStyle="1" w:styleId="5thlevelheadii">
    <w:name w:val="5th level head (i)_i"/>
    <w:basedOn w:val="4thlevelheadai"/>
    <w:autoRedefine/>
    <w:uiPriority w:val="99"/>
    <w:semiHidden/>
    <w:rsid w:val="00A85C8E"/>
    <w:pPr>
      <w:widowControl w:val="0"/>
      <w:tabs>
        <w:tab w:val="clear" w:pos="720"/>
        <w:tab w:val="left" w:pos="960"/>
      </w:tabs>
      <w:suppressAutoHyphens/>
      <w:autoSpaceDE w:val="0"/>
      <w:autoSpaceDN w:val="0"/>
      <w:adjustRightInd w:val="0"/>
      <w:ind w:left="1440" w:hanging="480"/>
      <w:textAlignment w:val="center"/>
    </w:pPr>
    <w:rPr>
      <w:rFonts w:cs="Times LT Std"/>
      <w:iCs/>
      <w:color w:val="000000"/>
    </w:rPr>
  </w:style>
  <w:style w:type="paragraph" w:customStyle="1" w:styleId="5thlevelheadii0">
    <w:name w:val="5th level head (i.)_i"/>
    <w:basedOn w:val="Normal"/>
    <w:autoRedefine/>
    <w:uiPriority w:val="99"/>
    <w:semiHidden/>
    <w:qFormat/>
    <w:rsid w:val="00A85C8E"/>
    <w:pPr>
      <w:widowControl w:val="0"/>
      <w:tabs>
        <w:tab w:val="left" w:pos="1280"/>
      </w:tabs>
      <w:autoSpaceDE w:val="0"/>
      <w:autoSpaceDN w:val="0"/>
      <w:adjustRightInd w:val="0"/>
      <w:spacing w:after="240"/>
      <w:ind w:left="1279" w:hanging="360"/>
      <w:textAlignment w:val="center"/>
    </w:pPr>
    <w:rPr>
      <w:rFonts w:eastAsiaTheme="minorEastAsia" w:cs="Times LT Std"/>
      <w:i/>
      <w:iCs/>
      <w:color w:val="000000"/>
      <w:kern w:val="0"/>
      <w:szCs w:val="23"/>
      <w:lang w:bidi="ar-SA"/>
    </w:rPr>
  </w:style>
  <w:style w:type="paragraph" w:customStyle="1" w:styleId="5thlevelheadii1">
    <w:name w:val="5th level head i._i"/>
    <w:basedOn w:val="Normal"/>
    <w:autoRedefine/>
    <w:uiPriority w:val="99"/>
    <w:semiHidden/>
    <w:qFormat/>
    <w:rsid w:val="00A85C8E"/>
    <w:pPr>
      <w:tabs>
        <w:tab w:val="left" w:pos="960"/>
      </w:tabs>
      <w:spacing w:after="240"/>
      <w:ind w:left="960" w:hanging="480"/>
    </w:pPr>
    <w:rPr>
      <w:rFonts w:eastAsiaTheme="minorEastAsia" w:cs="Calibri"/>
      <w:i/>
      <w:kern w:val="0"/>
      <w:szCs w:val="22"/>
      <w:lang w:bidi="ar-SA"/>
    </w:rPr>
  </w:style>
  <w:style w:type="paragraph" w:customStyle="1" w:styleId="5thlevelheadiii">
    <w:name w:val="5th level head ii._i"/>
    <w:basedOn w:val="Normal"/>
    <w:autoRedefine/>
    <w:uiPriority w:val="99"/>
    <w:semiHidden/>
    <w:rsid w:val="00A85C8E"/>
    <w:pPr>
      <w:keepNext/>
      <w:widowControl w:val="0"/>
      <w:tabs>
        <w:tab w:val="left" w:pos="1020"/>
      </w:tabs>
      <w:suppressAutoHyphens/>
      <w:autoSpaceDE w:val="0"/>
      <w:autoSpaceDN w:val="0"/>
      <w:adjustRightInd w:val="0"/>
      <w:spacing w:after="240"/>
      <w:ind w:left="1020" w:hanging="360"/>
      <w:textAlignment w:val="center"/>
    </w:pPr>
    <w:rPr>
      <w:rFonts w:eastAsiaTheme="minorEastAsia" w:cs="ITC New Baskerville Std"/>
      <w:i/>
      <w:iCs/>
      <w:color w:val="000000"/>
      <w:kern w:val="0"/>
      <w:szCs w:val="22"/>
      <w:lang w:bidi="ar-SA"/>
    </w:rPr>
  </w:style>
  <w:style w:type="paragraph" w:customStyle="1" w:styleId="5thlevelheadnospace">
    <w:name w:val="5th level head no space"/>
    <w:basedOn w:val="Normal"/>
    <w:autoRedefine/>
    <w:uiPriority w:val="99"/>
    <w:semiHidden/>
    <w:rsid w:val="00A85C8E"/>
    <w:pPr>
      <w:keepNext/>
      <w:widowControl w:val="0"/>
      <w:suppressAutoHyphens/>
      <w:autoSpaceDE w:val="0"/>
      <w:autoSpaceDN w:val="0"/>
      <w:adjustRightInd w:val="0"/>
      <w:spacing w:after="240"/>
      <w:ind w:left="821" w:hanging="360"/>
      <w:textAlignment w:val="center"/>
    </w:pPr>
    <w:rPr>
      <w:rFonts w:eastAsiaTheme="minorEastAsia" w:cs="ITC New Baskerville Std"/>
      <w:i/>
      <w:iCs/>
      <w:color w:val="000000"/>
      <w:kern w:val="0"/>
      <w:lang w:bidi="ar-SA"/>
    </w:rPr>
  </w:style>
  <w:style w:type="paragraph" w:customStyle="1" w:styleId="5thlevelheadnospacei">
    <w:name w:val="5th level head no space_i"/>
    <w:basedOn w:val="Normal"/>
    <w:autoRedefine/>
    <w:uiPriority w:val="99"/>
    <w:semiHidden/>
    <w:qFormat/>
    <w:rsid w:val="00A85C8E"/>
    <w:pPr>
      <w:keepNext/>
      <w:widowControl w:val="0"/>
      <w:tabs>
        <w:tab w:val="left" w:pos="960"/>
      </w:tabs>
      <w:suppressAutoHyphens/>
      <w:autoSpaceDE w:val="0"/>
      <w:autoSpaceDN w:val="0"/>
      <w:adjustRightInd w:val="0"/>
      <w:spacing w:before="0" w:after="240"/>
      <w:ind w:left="1440" w:hanging="480"/>
      <w:textAlignment w:val="center"/>
    </w:pPr>
    <w:rPr>
      <w:rFonts w:eastAsiaTheme="minorEastAsia" w:cs="Times LT Std"/>
      <w:i/>
      <w:iCs/>
      <w:color w:val="000000"/>
      <w:kern w:val="0"/>
      <w:szCs w:val="22"/>
      <w:lang w:bidi="ar-SA"/>
    </w:rPr>
  </w:style>
  <w:style w:type="paragraph" w:customStyle="1" w:styleId="text">
    <w:name w:val="text"/>
    <w:basedOn w:val="Normal"/>
    <w:next w:val="Normal"/>
    <w:autoRedefine/>
    <w:uiPriority w:val="99"/>
    <w:semiHidden/>
    <w:qFormat/>
    <w:rsid w:val="00A85C8E"/>
    <w:pPr>
      <w:tabs>
        <w:tab w:val="left" w:pos="0"/>
        <w:tab w:val="left" w:pos="720"/>
        <w:tab w:val="left" w:pos="1440"/>
        <w:tab w:val="left" w:pos="2160"/>
        <w:tab w:val="left" w:pos="2880"/>
        <w:tab w:val="left" w:pos="3600"/>
        <w:tab w:val="left" w:pos="4320"/>
        <w:tab w:val="left" w:pos="5040"/>
        <w:tab w:val="left" w:pos="5760"/>
      </w:tabs>
      <w:spacing w:before="0" w:after="0"/>
      <w:ind w:firstLine="720"/>
    </w:pPr>
    <w:rPr>
      <w:rFonts w:eastAsia="Calibri"/>
      <w:kern w:val="0"/>
      <w:lang w:eastAsia="pt-PT" w:bidi="ar-SA"/>
    </w:rPr>
  </w:style>
  <w:style w:type="paragraph" w:customStyle="1" w:styleId="toc10">
    <w:name w:val="toc1"/>
    <w:basedOn w:val="text"/>
    <w:autoRedefine/>
    <w:uiPriority w:val="99"/>
    <w:semiHidden/>
    <w:qFormat/>
    <w:rsid w:val="00A85C8E"/>
    <w:pPr>
      <w:widowControl w:val="0"/>
      <w:tabs>
        <w:tab w:val="clear" w:pos="0"/>
        <w:tab w:val="clear" w:pos="1440"/>
        <w:tab w:val="clear" w:pos="2160"/>
        <w:tab w:val="clear" w:pos="2880"/>
        <w:tab w:val="clear" w:pos="3600"/>
        <w:tab w:val="clear" w:pos="4320"/>
        <w:tab w:val="clear" w:pos="5040"/>
        <w:tab w:val="clear" w:pos="5760"/>
        <w:tab w:val="right" w:pos="600"/>
        <w:tab w:val="right" w:leader="dot" w:pos="6240"/>
        <w:tab w:val="left" w:pos="6960"/>
      </w:tabs>
      <w:autoSpaceDE w:val="0"/>
      <w:autoSpaceDN w:val="0"/>
      <w:adjustRightInd w:val="0"/>
      <w:ind w:left="720" w:hanging="720"/>
      <w:textAlignment w:val="center"/>
    </w:pPr>
    <w:rPr>
      <w:rFonts w:cs="ITC New Baskerville Std"/>
      <w:color w:val="000000"/>
      <w:sz w:val="22"/>
    </w:rPr>
  </w:style>
  <w:style w:type="paragraph" w:customStyle="1" w:styleId="5thlevelheadiii0">
    <w:name w:val="5th level head_ii._i"/>
    <w:basedOn w:val="toc10"/>
    <w:autoRedefine/>
    <w:uiPriority w:val="99"/>
    <w:semiHidden/>
    <w:rsid w:val="00A85C8E"/>
    <w:pPr>
      <w:keepNext/>
      <w:tabs>
        <w:tab w:val="clear" w:pos="6240"/>
        <w:tab w:val="clear" w:pos="6960"/>
        <w:tab w:val="left" w:pos="1080"/>
      </w:tabs>
      <w:spacing w:before="120" w:after="120"/>
      <w:ind w:left="1080" w:hanging="300"/>
    </w:pPr>
    <w:rPr>
      <w:rFonts w:eastAsiaTheme="minorEastAsia"/>
      <w:i/>
      <w:iCs/>
    </w:rPr>
  </w:style>
  <w:style w:type="paragraph" w:customStyle="1" w:styleId="5thlevelheadiiii">
    <w:name w:val="5th level head_iii._i"/>
    <w:basedOn w:val="Normal"/>
    <w:autoRedefine/>
    <w:uiPriority w:val="99"/>
    <w:semiHidden/>
    <w:rsid w:val="00A85C8E"/>
    <w:pPr>
      <w:widowControl w:val="0"/>
      <w:tabs>
        <w:tab w:val="left" w:pos="1200"/>
      </w:tabs>
      <w:autoSpaceDE w:val="0"/>
      <w:autoSpaceDN w:val="0"/>
      <w:adjustRightInd w:val="0"/>
      <w:spacing w:before="120"/>
      <w:ind w:left="1200" w:hanging="420"/>
      <w:textAlignment w:val="center"/>
    </w:pPr>
    <w:rPr>
      <w:rFonts w:eastAsiaTheme="minorEastAsia" w:cs="ITC New Baskerville Std"/>
      <w:i/>
      <w:iCs/>
      <w:color w:val="000000"/>
      <w:kern w:val="0"/>
      <w:lang w:bidi="ar-SA"/>
    </w:rPr>
  </w:style>
  <w:style w:type="paragraph" w:customStyle="1" w:styleId="6thlevelheadai">
    <w:name w:val="6th level head (a)_i"/>
    <w:basedOn w:val="5thlevelhead1i"/>
    <w:autoRedefine/>
    <w:uiPriority w:val="99"/>
    <w:semiHidden/>
    <w:rsid w:val="00A85C8E"/>
    <w:pPr>
      <w:tabs>
        <w:tab w:val="clear" w:pos="800"/>
      </w:tabs>
      <w:ind w:left="1159"/>
    </w:pPr>
  </w:style>
  <w:style w:type="paragraph" w:customStyle="1" w:styleId="6thlevelheadai0">
    <w:name w:val="6th level head (a.)_i"/>
    <w:basedOn w:val="5thlevelheadii"/>
    <w:autoRedefine/>
    <w:uiPriority w:val="99"/>
    <w:semiHidden/>
    <w:rsid w:val="00A85C8E"/>
    <w:pPr>
      <w:tabs>
        <w:tab w:val="clear" w:pos="960"/>
        <w:tab w:val="left" w:pos="1680"/>
      </w:tabs>
      <w:spacing w:after="120"/>
      <w:ind w:left="1680" w:hanging="360"/>
    </w:pPr>
  </w:style>
  <w:style w:type="paragraph" w:customStyle="1" w:styleId="6thLevelHead1">
    <w:name w:val="6th Level Head 1)"/>
    <w:basedOn w:val="Normal"/>
    <w:autoRedefine/>
    <w:uiPriority w:val="99"/>
    <w:semiHidden/>
    <w:rsid w:val="00A85C8E"/>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6thlevelhead1r">
    <w:name w:val="6th level head 1)_r"/>
    <w:basedOn w:val="Normal"/>
    <w:autoRedefine/>
    <w:uiPriority w:val="99"/>
    <w:semiHidden/>
    <w:rsid w:val="00A85C8E"/>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7thLevelHeada">
    <w:name w:val="7th Level Head a)"/>
    <w:basedOn w:val="6thlevelhead1r"/>
    <w:autoRedefine/>
    <w:uiPriority w:val="99"/>
    <w:semiHidden/>
    <w:rsid w:val="00A85C8E"/>
    <w:pPr>
      <w:spacing w:line="240" w:lineRule="atLeast"/>
      <w:ind w:left="800"/>
    </w:pPr>
    <w:rPr>
      <w:i/>
      <w:iCs/>
    </w:rPr>
  </w:style>
  <w:style w:type="paragraph" w:customStyle="1" w:styleId="7thlevelheadnospacei">
    <w:name w:val="7th level head no space_i"/>
    <w:basedOn w:val="Normal"/>
    <w:autoRedefine/>
    <w:uiPriority w:val="99"/>
    <w:semiHidden/>
    <w:qFormat/>
    <w:rsid w:val="00A85C8E"/>
    <w:pPr>
      <w:keepNext/>
      <w:widowControl w:val="0"/>
      <w:tabs>
        <w:tab w:val="left" w:pos="800"/>
      </w:tabs>
      <w:suppressAutoHyphens/>
      <w:autoSpaceDE w:val="0"/>
      <w:autoSpaceDN w:val="0"/>
      <w:adjustRightInd w:val="0"/>
      <w:spacing w:before="0" w:after="240"/>
      <w:ind w:left="799" w:hanging="360"/>
      <w:textAlignment w:val="center"/>
    </w:pPr>
    <w:rPr>
      <w:rFonts w:eastAsiaTheme="minorEastAsia" w:cs="ITC New Baskerville Std"/>
      <w:i/>
      <w:iCs/>
      <w:color w:val="000000"/>
      <w:kern w:val="0"/>
      <w:szCs w:val="22"/>
      <w:lang w:bidi="ar-SA"/>
    </w:rPr>
  </w:style>
  <w:style w:type="paragraph" w:customStyle="1" w:styleId="appeboldhead">
    <w:name w:val="app e bold head"/>
    <w:basedOn w:val="Normal"/>
    <w:autoRedefine/>
    <w:uiPriority w:val="99"/>
    <w:semiHidden/>
    <w:rsid w:val="00A85C8E"/>
    <w:pPr>
      <w:widowControl w:val="0"/>
      <w:autoSpaceDE w:val="0"/>
      <w:autoSpaceDN w:val="0"/>
      <w:adjustRightInd w:val="0"/>
      <w:spacing w:after="240"/>
      <w:textAlignment w:val="center"/>
    </w:pPr>
    <w:rPr>
      <w:rFonts w:eastAsiaTheme="minorEastAsia" w:cs="ITC New Baskerville Std"/>
      <w:b/>
      <w:bCs/>
      <w:color w:val="000000"/>
      <w:kern w:val="0"/>
      <w:szCs w:val="22"/>
      <w:lang w:bidi="ar-SA"/>
    </w:rPr>
  </w:style>
  <w:style w:type="paragraph" w:customStyle="1" w:styleId="appeblditalic">
    <w:name w:val="app e bld italic"/>
    <w:basedOn w:val="appeboldhead"/>
    <w:autoRedefine/>
    <w:uiPriority w:val="99"/>
    <w:semiHidden/>
    <w:rsid w:val="00A85C8E"/>
    <w:rPr>
      <w:i/>
      <w:iCs/>
    </w:rPr>
  </w:style>
  <w:style w:type="paragraph" w:customStyle="1" w:styleId="appestate">
    <w:name w:val="app e state"/>
    <w:basedOn w:val="Normal"/>
    <w:autoRedefine/>
    <w:uiPriority w:val="99"/>
    <w:semiHidden/>
    <w:rsid w:val="00A85C8E"/>
    <w:pPr>
      <w:widowControl w:val="0"/>
      <w:suppressAutoHyphens/>
      <w:autoSpaceDE w:val="0"/>
      <w:autoSpaceDN w:val="0"/>
      <w:adjustRightInd w:val="0"/>
      <w:spacing w:after="0"/>
      <w:jc w:val="center"/>
      <w:textAlignment w:val="center"/>
    </w:pPr>
    <w:rPr>
      <w:rFonts w:eastAsiaTheme="minorEastAsia" w:cs="ITC New Baskerville Std"/>
      <w:smallCaps/>
      <w:color w:val="000000"/>
      <w:kern w:val="0"/>
      <w:szCs w:val="22"/>
      <w:lang w:bidi="ar-SA"/>
    </w:rPr>
  </w:style>
  <w:style w:type="paragraph" w:customStyle="1" w:styleId="appetext">
    <w:name w:val="app e text"/>
    <w:basedOn w:val="text"/>
    <w:autoRedefine/>
    <w:uiPriority w:val="99"/>
    <w:semiHidden/>
    <w:rsid w:val="00A85C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120"/>
      <w:ind w:firstLine="0"/>
      <w:textAlignment w:val="center"/>
    </w:pPr>
    <w:rPr>
      <w:rFonts w:eastAsiaTheme="minorEastAsia" w:cs="ITC New Baskerville Std"/>
      <w:color w:val="000000"/>
      <w:sz w:val="22"/>
      <w:szCs w:val="22"/>
    </w:rPr>
  </w:style>
  <w:style w:type="paragraph" w:customStyle="1" w:styleId="apptext">
    <w:name w:val="app text"/>
    <w:basedOn w:val="text"/>
    <w:autoRedefine/>
    <w:uiPriority w:val="99"/>
    <w:semiHidden/>
    <w:rsid w:val="00A85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textAlignment w:val="center"/>
    </w:pPr>
    <w:rPr>
      <w:rFonts w:cs="Times LT Std"/>
      <w:color w:val="000000"/>
      <w:szCs w:val="20"/>
    </w:rPr>
  </w:style>
  <w:style w:type="paragraph" w:customStyle="1" w:styleId="authorname">
    <w:name w:val="author name"/>
    <w:basedOn w:val="Normal"/>
    <w:autoRedefine/>
    <w:uiPriority w:val="99"/>
    <w:semiHidden/>
    <w:rsid w:val="00A85C8E"/>
    <w:pPr>
      <w:widowControl w:val="0"/>
      <w:suppressAutoHyphens/>
      <w:autoSpaceDE w:val="0"/>
      <w:autoSpaceDN w:val="0"/>
      <w:adjustRightInd w:val="0"/>
      <w:spacing w:before="0" w:after="0"/>
      <w:textAlignment w:val="center"/>
    </w:pPr>
    <w:rPr>
      <w:rFonts w:eastAsiaTheme="minorEastAsia" w:cs="ITC New Baskerville Std"/>
      <w:i/>
      <w:iCs/>
      <w:color w:val="000000"/>
      <w:kern w:val="0"/>
      <w:sz w:val="28"/>
      <w:szCs w:val="28"/>
      <w:lang w:bidi="ar-SA"/>
    </w:rPr>
  </w:style>
  <w:style w:type="paragraph" w:customStyle="1" w:styleId="AuthorAffl">
    <w:name w:val="Author Affl"/>
    <w:basedOn w:val="authorname"/>
    <w:autoRedefine/>
    <w:uiPriority w:val="99"/>
    <w:semiHidden/>
    <w:qFormat/>
    <w:rsid w:val="00A85C8E"/>
    <w:pPr>
      <w:spacing w:after="480" w:line="250" w:lineRule="atLeast"/>
      <w:jc w:val="center"/>
    </w:pPr>
    <w:rPr>
      <w:rFonts w:cs="Times LT Std"/>
      <w:sz w:val="24"/>
      <w:szCs w:val="23"/>
    </w:rPr>
  </w:style>
  <w:style w:type="paragraph" w:customStyle="1" w:styleId="AuthorName0">
    <w:name w:val="Author Name"/>
    <w:basedOn w:val="text"/>
    <w:autoRedefine/>
    <w:uiPriority w:val="99"/>
    <w:semiHidden/>
    <w:qFormat/>
    <w:rsid w:val="00A85C8E"/>
    <w:pPr>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ind w:firstLine="0"/>
      <w:jc w:val="center"/>
      <w:textAlignment w:val="center"/>
    </w:pPr>
    <w:rPr>
      <w:rFonts w:eastAsiaTheme="minorEastAsia" w:cs="Times LT Std"/>
      <w:smallCaps/>
      <w:color w:val="000000"/>
      <w:szCs w:val="25"/>
    </w:rPr>
  </w:style>
  <w:style w:type="paragraph" w:customStyle="1" w:styleId="authornameSC">
    <w:name w:val="author name SC"/>
    <w:basedOn w:val="authorname"/>
    <w:autoRedefine/>
    <w:semiHidden/>
    <w:qFormat/>
    <w:rsid w:val="00A85C8E"/>
    <w:pPr>
      <w:spacing w:after="240"/>
      <w:jc w:val="center"/>
    </w:pPr>
    <w:rPr>
      <w:rFonts w:cs="Times New Roman"/>
      <w:i w:val="0"/>
      <w:smallCaps/>
      <w:sz w:val="24"/>
    </w:rPr>
  </w:style>
  <w:style w:type="paragraph" w:customStyle="1" w:styleId="authortitle">
    <w:name w:val="author title"/>
    <w:basedOn w:val="Normal"/>
    <w:autoRedefine/>
    <w:uiPriority w:val="99"/>
    <w:semiHidden/>
    <w:rsid w:val="00A85C8E"/>
    <w:pPr>
      <w:widowControl w:val="0"/>
      <w:suppressAutoHyphens/>
      <w:autoSpaceDE w:val="0"/>
      <w:autoSpaceDN w:val="0"/>
      <w:adjustRightInd w:val="0"/>
      <w:spacing w:before="0" w:after="240"/>
      <w:ind w:left="240"/>
      <w:textAlignment w:val="center"/>
    </w:pPr>
    <w:rPr>
      <w:rFonts w:eastAsiaTheme="minorEastAsia" w:cs="ITC New Baskerville Std"/>
      <w:i/>
      <w:iCs/>
      <w:color w:val="000000"/>
      <w:kern w:val="0"/>
      <w:sz w:val="22"/>
      <w:szCs w:val="22"/>
      <w:lang w:bidi="ar-SA"/>
    </w:rPr>
  </w:style>
  <w:style w:type="paragraph" w:customStyle="1" w:styleId="block">
    <w:name w:val="block"/>
    <w:basedOn w:val="Normal"/>
    <w:autoRedefine/>
    <w:semiHidden/>
    <w:qFormat/>
    <w:rsid w:val="00A85C8E"/>
    <w:pPr>
      <w:spacing w:after="240"/>
      <w:ind w:left="720" w:firstLine="720"/>
    </w:pPr>
    <w:rPr>
      <w:rFonts w:eastAsiaTheme="minorEastAsia" w:cs="Calibri"/>
      <w:kern w:val="0"/>
      <w:sz w:val="20"/>
      <w:szCs w:val="22"/>
      <w:lang w:bidi="ar-SA"/>
    </w:rPr>
  </w:style>
  <w:style w:type="paragraph" w:customStyle="1" w:styleId="block-f--">
    <w:name w:val="block-f/-/-"/>
    <w:basedOn w:val="Normal"/>
    <w:autoRedefine/>
    <w:semiHidden/>
    <w:qFormat/>
    <w:rsid w:val="00A85C8E"/>
    <w:pPr>
      <w:spacing w:before="0" w:after="0"/>
      <w:ind w:left="720"/>
    </w:pPr>
    <w:rPr>
      <w:rFonts w:eastAsiaTheme="minorEastAsia" w:cs="Calibri"/>
      <w:kern w:val="0"/>
      <w:sz w:val="20"/>
      <w:szCs w:val="22"/>
      <w:lang w:bidi="ar-SA"/>
    </w:rPr>
  </w:style>
  <w:style w:type="paragraph" w:customStyle="1" w:styleId="block-p">
    <w:name w:val="block-p/+/+"/>
    <w:basedOn w:val="block-f--"/>
    <w:uiPriority w:val="99"/>
    <w:semiHidden/>
    <w:qFormat/>
    <w:rsid w:val="00A85C8E"/>
    <w:pPr>
      <w:spacing w:before="240" w:after="240"/>
    </w:pPr>
  </w:style>
  <w:style w:type="paragraph" w:customStyle="1" w:styleId="block--">
    <w:name w:val="block- /+/-"/>
    <w:basedOn w:val="block-p"/>
    <w:autoRedefine/>
    <w:semiHidden/>
    <w:qFormat/>
    <w:rsid w:val="00A85C8E"/>
    <w:pPr>
      <w:spacing w:after="0"/>
      <w:ind w:firstLine="720"/>
    </w:pPr>
  </w:style>
  <w:style w:type="paragraph" w:customStyle="1" w:styleId="block---">
    <w:name w:val="block- /-/-"/>
    <w:basedOn w:val="block--"/>
    <w:autoRedefine/>
    <w:semiHidden/>
    <w:qFormat/>
    <w:rsid w:val="00A85C8E"/>
    <w:pPr>
      <w:spacing w:before="0"/>
    </w:pPr>
  </w:style>
  <w:style w:type="paragraph" w:customStyle="1" w:styleId="block2ndindent">
    <w:name w:val="block 2nd indent"/>
    <w:basedOn w:val="Normal"/>
    <w:autoRedefine/>
    <w:uiPriority w:val="99"/>
    <w:semiHidden/>
    <w:rsid w:val="00A85C8E"/>
    <w:pPr>
      <w:widowControl w:val="0"/>
      <w:autoSpaceDE w:val="0"/>
      <w:autoSpaceDN w:val="0"/>
      <w:adjustRightInd w:val="0"/>
      <w:spacing w:before="0" w:after="0"/>
      <w:ind w:left="1440"/>
      <w:textAlignment w:val="center"/>
    </w:pPr>
    <w:rPr>
      <w:rFonts w:eastAsiaTheme="minorEastAsia" w:cs="ITC New Baskerville Std"/>
      <w:color w:val="000000"/>
      <w:kern w:val="0"/>
      <w:sz w:val="20"/>
      <w:szCs w:val="20"/>
      <w:lang w:bidi="ar-SA"/>
    </w:rPr>
  </w:style>
  <w:style w:type="paragraph" w:customStyle="1" w:styleId="block2ndindent-">
    <w:name w:val="block 2nd indent -/+"/>
    <w:basedOn w:val="Normal"/>
    <w:autoRedefine/>
    <w:uiPriority w:val="99"/>
    <w:semiHidden/>
    <w:rsid w:val="00A85C8E"/>
    <w:pPr>
      <w:widowControl w:val="0"/>
      <w:autoSpaceDE w:val="0"/>
      <w:autoSpaceDN w:val="0"/>
      <w:adjustRightInd w:val="0"/>
      <w:spacing w:before="0" w:after="240"/>
      <w:ind w:left="1440"/>
      <w:textAlignment w:val="center"/>
    </w:pPr>
    <w:rPr>
      <w:rFonts w:cs="ITC New Baskerville Std"/>
      <w:color w:val="000000"/>
      <w:kern w:val="0"/>
      <w:sz w:val="20"/>
      <w:szCs w:val="20"/>
      <w:lang w:bidi="ar-SA"/>
    </w:rPr>
  </w:style>
  <w:style w:type="paragraph" w:customStyle="1" w:styleId="block2ndindent-6">
    <w:name w:val="block 2nd indent -/+ 6"/>
    <w:basedOn w:val="Normal"/>
    <w:autoRedefine/>
    <w:uiPriority w:val="99"/>
    <w:semiHidden/>
    <w:rsid w:val="00A85C8E"/>
    <w:pPr>
      <w:widowControl w:val="0"/>
      <w:autoSpaceDE w:val="0"/>
      <w:autoSpaceDN w:val="0"/>
      <w:adjustRightInd w:val="0"/>
      <w:spacing w:before="0"/>
      <w:ind w:left="1440"/>
      <w:textAlignment w:val="center"/>
    </w:pPr>
    <w:rPr>
      <w:rFonts w:eastAsiaTheme="minorEastAsia" w:cs="ITC New Baskerville Std"/>
      <w:color w:val="000000"/>
      <w:kern w:val="0"/>
      <w:sz w:val="20"/>
      <w:szCs w:val="20"/>
      <w:lang w:bidi="ar-SA"/>
    </w:rPr>
  </w:style>
  <w:style w:type="paragraph" w:customStyle="1" w:styleId="block2ndindent-space">
    <w:name w:val="block 2nd indent -/+ space"/>
    <w:basedOn w:val="block2ndindent"/>
    <w:uiPriority w:val="99"/>
    <w:semiHidden/>
    <w:rsid w:val="00A85C8E"/>
    <w:pPr>
      <w:spacing w:before="120"/>
    </w:pPr>
  </w:style>
  <w:style w:type="paragraph" w:customStyle="1" w:styleId="block2ndindentspace">
    <w:name w:val="block 2nd indent + space"/>
    <w:basedOn w:val="block2ndindent"/>
    <w:autoRedefine/>
    <w:uiPriority w:val="99"/>
    <w:semiHidden/>
    <w:rsid w:val="00A85C8E"/>
    <w:pPr>
      <w:spacing w:before="120"/>
    </w:pPr>
  </w:style>
  <w:style w:type="paragraph" w:customStyle="1" w:styleId="block2ndindentnew-">
    <w:name w:val="block 2nd indent new -/+"/>
    <w:basedOn w:val="Normal"/>
    <w:autoRedefine/>
    <w:semiHidden/>
    <w:qFormat/>
    <w:rsid w:val="00A85C8E"/>
    <w:pPr>
      <w:spacing w:before="0" w:after="0"/>
      <w:ind w:left="1440"/>
    </w:pPr>
    <w:rPr>
      <w:rFonts w:eastAsiaTheme="minorEastAsia"/>
      <w:kern w:val="0"/>
      <w:sz w:val="20"/>
      <w:szCs w:val="22"/>
      <w:lang w:bidi="ar-SA"/>
    </w:rPr>
  </w:style>
  <w:style w:type="paragraph" w:customStyle="1" w:styleId="block2ndindentnl">
    <w:name w:val="block 2nd indent nl"/>
    <w:basedOn w:val="block2ndindent"/>
    <w:uiPriority w:val="99"/>
    <w:semiHidden/>
    <w:rsid w:val="00A85C8E"/>
    <w:pPr>
      <w:tabs>
        <w:tab w:val="left" w:pos="1260"/>
      </w:tabs>
      <w:ind w:left="1920" w:hanging="480"/>
    </w:pPr>
  </w:style>
  <w:style w:type="paragraph" w:customStyle="1" w:styleId="block2ndindent0">
    <w:name w:val="block 2nd indent/+/+"/>
    <w:basedOn w:val="Normal"/>
    <w:autoRedefine/>
    <w:uiPriority w:val="99"/>
    <w:semiHidden/>
    <w:rsid w:val="00A85C8E"/>
    <w:pPr>
      <w:spacing w:before="0" w:after="240"/>
      <w:ind w:left="1440" w:firstLine="720"/>
    </w:pPr>
    <w:rPr>
      <w:rFonts w:cs="Calibri"/>
      <w:kern w:val="0"/>
      <w:sz w:val="20"/>
      <w:lang w:bidi="ar-SA"/>
    </w:rPr>
  </w:style>
  <w:style w:type="paragraph" w:customStyle="1" w:styleId="block2ndindent-p">
    <w:name w:val="block 2nd indent-p"/>
    <w:basedOn w:val="block2ndindent"/>
    <w:autoRedefine/>
    <w:uiPriority w:val="99"/>
    <w:semiHidden/>
    <w:rsid w:val="00A85C8E"/>
    <w:pPr>
      <w:ind w:firstLine="720"/>
    </w:pPr>
  </w:style>
  <w:style w:type="paragraph" w:customStyle="1" w:styleId="block3rdindent">
    <w:name w:val="block 3rd indent"/>
    <w:basedOn w:val="Normal"/>
    <w:autoRedefine/>
    <w:uiPriority w:val="99"/>
    <w:semiHidden/>
    <w:qFormat/>
    <w:rsid w:val="00A85C8E"/>
    <w:pPr>
      <w:spacing w:before="0" w:after="240"/>
      <w:ind w:left="2160" w:firstLine="720"/>
    </w:pPr>
    <w:rPr>
      <w:rFonts w:eastAsiaTheme="minorEastAsia"/>
      <w:kern w:val="0"/>
      <w:sz w:val="20"/>
      <w:szCs w:val="22"/>
      <w:lang w:bidi="ar-SA"/>
    </w:rPr>
  </w:style>
  <w:style w:type="paragraph" w:customStyle="1" w:styleId="blockbullet">
    <w:name w:val="block bullet"/>
    <w:basedOn w:val="Normal"/>
    <w:autoRedefine/>
    <w:semiHidden/>
    <w:qFormat/>
    <w:rsid w:val="00A85C8E"/>
    <w:pPr>
      <w:spacing w:before="0" w:after="0"/>
      <w:ind w:left="900" w:hanging="180"/>
    </w:pPr>
    <w:rPr>
      <w:rFonts w:eastAsiaTheme="minorEastAsia" w:cs="Calibri"/>
      <w:kern w:val="0"/>
      <w:sz w:val="20"/>
      <w:szCs w:val="22"/>
      <w:lang w:bidi="ar-SA"/>
    </w:rPr>
  </w:style>
  <w:style w:type="paragraph" w:customStyle="1" w:styleId="block-f">
    <w:name w:val="block-f +/+"/>
    <w:basedOn w:val="Normal"/>
    <w:autoRedefine/>
    <w:uiPriority w:val="99"/>
    <w:semiHidden/>
    <w:qFormat/>
    <w:rsid w:val="00A85C8E"/>
    <w:pPr>
      <w:spacing w:after="240"/>
      <w:ind w:left="720"/>
    </w:pPr>
    <w:rPr>
      <w:rFonts w:eastAsiaTheme="minorEastAsia" w:cs="Calibri"/>
      <w:kern w:val="0"/>
      <w:sz w:val="20"/>
      <w:lang w:bidi="ar-SA"/>
    </w:rPr>
  </w:style>
  <w:style w:type="paragraph" w:customStyle="1" w:styleId="blocknumberlist">
    <w:name w:val="block number list"/>
    <w:basedOn w:val="block-f"/>
    <w:autoRedefine/>
    <w:uiPriority w:val="99"/>
    <w:semiHidden/>
    <w:qFormat/>
    <w:rsid w:val="00A85C8E"/>
    <w:pPr>
      <w:widowControl w:val="0"/>
      <w:tabs>
        <w:tab w:val="left" w:pos="1080"/>
      </w:tabs>
      <w:autoSpaceDE w:val="0"/>
      <w:autoSpaceDN w:val="0"/>
      <w:adjustRightInd w:val="0"/>
      <w:spacing w:before="0" w:after="0"/>
      <w:ind w:left="1440" w:hanging="360"/>
      <w:textAlignment w:val="center"/>
    </w:pPr>
    <w:rPr>
      <w:rFonts w:cs="ITC New Baskerville Std"/>
      <w:color w:val="000000"/>
      <w:szCs w:val="21"/>
    </w:rPr>
  </w:style>
  <w:style w:type="paragraph" w:customStyle="1" w:styleId="blocknumberlistnlii">
    <w:name w:val="block number list/nl/(ii)"/>
    <w:basedOn w:val="blocknumberlist"/>
    <w:autoRedefine/>
    <w:uiPriority w:val="99"/>
    <w:semiHidden/>
    <w:qFormat/>
    <w:rsid w:val="00A85C8E"/>
    <w:pPr>
      <w:tabs>
        <w:tab w:val="left" w:pos="1400"/>
      </w:tabs>
      <w:ind w:left="2160"/>
    </w:pPr>
  </w:style>
  <w:style w:type="paragraph" w:customStyle="1" w:styleId="blocknumberlistnlii1">
    <w:name w:val="block number list nl/(ii)(1)"/>
    <w:basedOn w:val="blocknumberlistnlii"/>
    <w:autoRedefine/>
    <w:uiPriority w:val="99"/>
    <w:semiHidden/>
    <w:qFormat/>
    <w:rsid w:val="00A85C8E"/>
  </w:style>
  <w:style w:type="paragraph" w:customStyle="1" w:styleId="blocknumberlistal">
    <w:name w:val="block number list/al"/>
    <w:basedOn w:val="Normal"/>
    <w:autoRedefine/>
    <w:semiHidden/>
    <w:qFormat/>
    <w:rsid w:val="00A85C8E"/>
    <w:pPr>
      <w:widowControl w:val="0"/>
      <w:tabs>
        <w:tab w:val="left" w:pos="1200"/>
      </w:tabs>
      <w:autoSpaceDE w:val="0"/>
      <w:autoSpaceDN w:val="0"/>
      <w:adjustRightInd w:val="0"/>
      <w:spacing w:before="0" w:after="0"/>
      <w:ind w:left="1560" w:hanging="360"/>
      <w:textAlignment w:val="center"/>
    </w:pPr>
    <w:rPr>
      <w:rFonts w:eastAsiaTheme="minorEastAsia"/>
      <w:color w:val="000000"/>
      <w:kern w:val="0"/>
      <w:sz w:val="20"/>
      <w:szCs w:val="20"/>
      <w:lang w:bidi="ar-SA"/>
    </w:rPr>
  </w:style>
  <w:style w:type="paragraph" w:customStyle="1" w:styleId="blockquotenumberliststart">
    <w:name w:val="block quote number list start"/>
    <w:basedOn w:val="Normal"/>
    <w:autoRedefine/>
    <w:semiHidden/>
    <w:qFormat/>
    <w:rsid w:val="00A85C8E"/>
    <w:pPr>
      <w:tabs>
        <w:tab w:val="left" w:pos="1200"/>
      </w:tabs>
      <w:spacing w:after="0"/>
      <w:ind w:left="1200" w:hanging="480"/>
    </w:pPr>
    <w:rPr>
      <w:rFonts w:eastAsiaTheme="minorEastAsia" w:cs="Calibri"/>
      <w:kern w:val="0"/>
      <w:sz w:val="20"/>
      <w:szCs w:val="20"/>
      <w:lang w:bidi="ar-SA"/>
    </w:rPr>
  </w:style>
  <w:style w:type="paragraph" w:customStyle="1" w:styleId="blocknumbernl">
    <w:name w:val="block number nl"/>
    <w:basedOn w:val="blockquotenumberliststart"/>
    <w:autoRedefine/>
    <w:semiHidden/>
    <w:qFormat/>
    <w:rsid w:val="00A85C8E"/>
    <w:pPr>
      <w:spacing w:before="0"/>
    </w:pPr>
  </w:style>
  <w:style w:type="paragraph" w:customStyle="1" w:styleId="footnote">
    <w:name w:val="footnote"/>
    <w:basedOn w:val="Normal"/>
    <w:autoRedefine/>
    <w:uiPriority w:val="99"/>
    <w:semiHidden/>
    <w:qFormat/>
    <w:rsid w:val="00A85C8E"/>
    <w:pPr>
      <w:widowControl w:val="0"/>
      <w:spacing w:before="0" w:after="0"/>
      <w:ind w:firstLine="720"/>
    </w:pPr>
    <w:rPr>
      <w:rFonts w:eastAsia="Times New Roman"/>
      <w:kern w:val="0"/>
      <w:sz w:val="20"/>
      <w:szCs w:val="22"/>
      <w:lang w:bidi="ar-SA"/>
    </w:rPr>
  </w:style>
  <w:style w:type="paragraph" w:customStyle="1" w:styleId="blocknumbernlstart">
    <w:name w:val="block number nl start"/>
    <w:basedOn w:val="footnote"/>
    <w:autoRedefine/>
    <w:semiHidden/>
    <w:qFormat/>
    <w:rsid w:val="00A85C8E"/>
    <w:pPr>
      <w:spacing w:before="240"/>
      <w:ind w:left="1200" w:hanging="480"/>
    </w:pPr>
  </w:style>
  <w:style w:type="paragraph" w:customStyle="1" w:styleId="blockp">
    <w:name w:val="block p +/+"/>
    <w:basedOn w:val="Normal"/>
    <w:autoRedefine/>
    <w:uiPriority w:val="99"/>
    <w:semiHidden/>
    <w:rsid w:val="00A85C8E"/>
    <w:pPr>
      <w:widowControl w:val="0"/>
      <w:autoSpaceDE w:val="0"/>
      <w:autoSpaceDN w:val="0"/>
      <w:adjustRightInd w:val="0"/>
      <w:spacing w:after="240"/>
      <w:ind w:left="439" w:firstLine="439"/>
      <w:textAlignment w:val="center"/>
    </w:pPr>
    <w:rPr>
      <w:rFonts w:eastAsiaTheme="minorEastAsia" w:cs="ITC New Baskerville Std"/>
      <w:color w:val="000000"/>
      <w:kern w:val="0"/>
      <w:sz w:val="20"/>
      <w:szCs w:val="20"/>
      <w:lang w:bidi="ar-SA"/>
    </w:rPr>
  </w:style>
  <w:style w:type="paragraph" w:customStyle="1" w:styleId="blockquote">
    <w:name w:val="block quote"/>
    <w:basedOn w:val="Normal"/>
    <w:autoRedefine/>
    <w:uiPriority w:val="99"/>
    <w:semiHidden/>
    <w:qFormat/>
    <w:rsid w:val="00A85C8E"/>
    <w:pPr>
      <w:spacing w:after="240"/>
      <w:ind w:left="720"/>
    </w:pPr>
    <w:rPr>
      <w:rFonts w:eastAsiaTheme="minorEastAsia" w:cs="Calibri"/>
      <w:kern w:val="0"/>
      <w:sz w:val="20"/>
      <w:szCs w:val="28"/>
      <w:lang w:bidi="ar-SA"/>
    </w:rPr>
  </w:style>
  <w:style w:type="paragraph" w:customStyle="1" w:styleId="Blockquote0">
    <w:name w:val="Block quote"/>
    <w:basedOn w:val="text"/>
    <w:autoRedefine/>
    <w:uiPriority w:val="99"/>
    <w:semiHidden/>
    <w:rsid w:val="00A85C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720" w:firstLine="0"/>
      <w:jc w:val="both"/>
      <w:textAlignment w:val="center"/>
    </w:pPr>
    <w:rPr>
      <w:rFonts w:eastAsiaTheme="minorEastAsia" w:cs="NewCenturySchlbk"/>
      <w:color w:val="000000"/>
      <w:sz w:val="20"/>
      <w:szCs w:val="20"/>
    </w:rPr>
  </w:style>
  <w:style w:type="paragraph" w:customStyle="1" w:styleId="blockquotenoparaindent">
    <w:name w:val="block quote / no para indent"/>
    <w:basedOn w:val="Normal"/>
    <w:autoRedefine/>
    <w:uiPriority w:val="99"/>
    <w:semiHidden/>
    <w:rsid w:val="00A85C8E"/>
    <w:pPr>
      <w:widowControl w:val="0"/>
      <w:autoSpaceDE w:val="0"/>
      <w:autoSpaceDN w:val="0"/>
      <w:adjustRightInd w:val="0"/>
      <w:spacing w:after="240"/>
      <w:ind w:left="720"/>
      <w:textAlignment w:val="center"/>
    </w:pPr>
    <w:rPr>
      <w:rFonts w:eastAsiaTheme="minorEastAsia" w:cs="ITC New Baskerville Std"/>
      <w:color w:val="000000"/>
      <w:kern w:val="0"/>
      <w:sz w:val="20"/>
      <w:szCs w:val="20"/>
      <w:lang w:bidi="ar-SA"/>
    </w:rPr>
  </w:style>
  <w:style w:type="paragraph" w:customStyle="1" w:styleId="block-f-">
    <w:name w:val="block-f +/-"/>
    <w:basedOn w:val="Normal"/>
    <w:autoRedefine/>
    <w:uiPriority w:val="99"/>
    <w:semiHidden/>
    <w:rsid w:val="00A85C8E"/>
    <w:pPr>
      <w:widowControl w:val="0"/>
      <w:autoSpaceDE w:val="0"/>
      <w:autoSpaceDN w:val="0"/>
      <w:adjustRightInd w:val="0"/>
      <w:spacing w:after="0"/>
      <w:ind w:left="720"/>
      <w:textAlignment w:val="center"/>
    </w:pPr>
    <w:rPr>
      <w:rFonts w:eastAsiaTheme="minorEastAsia" w:cs="ITC New Baskerville Std"/>
      <w:color w:val="000000"/>
      <w:kern w:val="0"/>
      <w:sz w:val="20"/>
      <w:szCs w:val="20"/>
      <w:lang w:bidi="ar-SA"/>
    </w:rPr>
  </w:style>
  <w:style w:type="paragraph" w:customStyle="1" w:styleId="blockquote16pt">
    <w:name w:val="block quote 1/6 pt"/>
    <w:basedOn w:val="block-f-"/>
    <w:autoRedefine/>
    <w:uiPriority w:val="99"/>
    <w:semiHidden/>
    <w:rsid w:val="00A85C8E"/>
    <w:pPr>
      <w:spacing w:after="120"/>
    </w:pPr>
  </w:style>
  <w:style w:type="paragraph" w:customStyle="1" w:styleId="blockquote2ndindent-2pt">
    <w:name w:val="block quote 2nd indent -/2 pt"/>
    <w:basedOn w:val="Normal"/>
    <w:autoRedefine/>
    <w:uiPriority w:val="99"/>
    <w:semiHidden/>
    <w:rsid w:val="00A85C8E"/>
    <w:pPr>
      <w:widowControl w:val="0"/>
      <w:autoSpaceDE w:val="0"/>
      <w:autoSpaceDN w:val="0"/>
      <w:adjustRightInd w:val="0"/>
      <w:spacing w:before="0" w:after="0"/>
      <w:ind w:left="1440"/>
      <w:textAlignment w:val="center"/>
    </w:pPr>
    <w:rPr>
      <w:rFonts w:eastAsiaTheme="minorEastAsia" w:cs="Times LT Std"/>
      <w:color w:val="000000"/>
      <w:kern w:val="0"/>
      <w:sz w:val="20"/>
      <w:szCs w:val="20"/>
      <w:lang w:bidi="ar-SA"/>
    </w:rPr>
  </w:style>
  <w:style w:type="paragraph" w:customStyle="1" w:styleId="blockquote3rdindent">
    <w:name w:val="block quote 3rd indent"/>
    <w:basedOn w:val="Normal"/>
    <w:autoRedefine/>
    <w:uiPriority w:val="99"/>
    <w:semiHidden/>
    <w:rsid w:val="00A85C8E"/>
    <w:pPr>
      <w:widowControl w:val="0"/>
      <w:autoSpaceDE w:val="0"/>
      <w:autoSpaceDN w:val="0"/>
      <w:adjustRightInd w:val="0"/>
      <w:spacing w:before="0" w:after="0"/>
      <w:ind w:left="2160"/>
      <w:textAlignment w:val="center"/>
    </w:pPr>
    <w:rPr>
      <w:rFonts w:eastAsiaTheme="minorEastAsia" w:cs="Times LT Std"/>
      <w:color w:val="000000"/>
      <w:kern w:val="0"/>
      <w:sz w:val="20"/>
      <w:szCs w:val="20"/>
      <w:lang w:bidi="ar-SA"/>
    </w:rPr>
  </w:style>
  <w:style w:type="paragraph" w:customStyle="1" w:styleId="blockquote62">
    <w:name w:val="block quote 6/2"/>
    <w:basedOn w:val="blockquote"/>
    <w:autoRedefine/>
    <w:uiPriority w:val="99"/>
    <w:semiHidden/>
    <w:rsid w:val="00A85C8E"/>
    <w:pPr>
      <w:widowControl w:val="0"/>
      <w:autoSpaceDE w:val="0"/>
      <w:autoSpaceDN w:val="0"/>
      <w:adjustRightInd w:val="0"/>
      <w:spacing w:after="0"/>
      <w:textAlignment w:val="center"/>
    </w:pPr>
    <w:rPr>
      <w:rFonts w:cs="Times LT Std"/>
      <w:color w:val="000000"/>
    </w:rPr>
  </w:style>
  <w:style w:type="paragraph" w:customStyle="1" w:styleId="Blockquoteflush">
    <w:name w:val="Block quote flush"/>
    <w:basedOn w:val="Normal"/>
    <w:autoRedefine/>
    <w:uiPriority w:val="99"/>
    <w:semiHidden/>
    <w:rsid w:val="00A85C8E"/>
    <w:pPr>
      <w:spacing w:after="240"/>
      <w:ind w:left="720"/>
    </w:pPr>
    <w:rPr>
      <w:rFonts w:eastAsiaTheme="minorEastAsia" w:cs="Calibri"/>
      <w:kern w:val="0"/>
      <w:sz w:val="20"/>
      <w:szCs w:val="20"/>
      <w:lang w:bidi="ar-SA"/>
    </w:rPr>
  </w:style>
  <w:style w:type="paragraph" w:customStyle="1" w:styleId="blockquotenumberlist">
    <w:name w:val="block quote number list"/>
    <w:basedOn w:val="blockquotenumberliststart"/>
    <w:autoRedefine/>
    <w:semiHidden/>
    <w:qFormat/>
    <w:rsid w:val="00A85C8E"/>
    <w:pPr>
      <w:spacing w:before="0"/>
    </w:pPr>
  </w:style>
  <w:style w:type="paragraph" w:customStyle="1" w:styleId="blockquotelist1p6">
    <w:name w:val="block quote list 1p6"/>
    <w:basedOn w:val="blockquotenumberlist"/>
    <w:autoRedefine/>
    <w:uiPriority w:val="99"/>
    <w:semiHidden/>
    <w:rsid w:val="00A85C8E"/>
    <w:pPr>
      <w:widowControl w:val="0"/>
      <w:tabs>
        <w:tab w:val="clear" w:pos="1200"/>
        <w:tab w:val="left" w:pos="760"/>
      </w:tabs>
      <w:autoSpaceDE w:val="0"/>
      <w:autoSpaceDN w:val="0"/>
      <w:adjustRightInd w:val="0"/>
      <w:ind w:left="1080" w:hanging="360"/>
      <w:textAlignment w:val="center"/>
    </w:pPr>
    <w:rPr>
      <w:rFonts w:cs="Times LT Std"/>
      <w:color w:val="000000"/>
    </w:rPr>
  </w:style>
  <w:style w:type="paragraph" w:customStyle="1" w:styleId="blockquotenumberlistend">
    <w:name w:val="block quote number list end"/>
    <w:basedOn w:val="Normal"/>
    <w:autoRedefine/>
    <w:semiHidden/>
    <w:qFormat/>
    <w:rsid w:val="00A85C8E"/>
    <w:pPr>
      <w:tabs>
        <w:tab w:val="left" w:pos="1200"/>
      </w:tabs>
      <w:spacing w:before="0" w:after="240"/>
      <w:ind w:left="1200" w:hanging="480"/>
    </w:pPr>
    <w:rPr>
      <w:rFonts w:eastAsiaTheme="minorEastAsia" w:cs="Calibri"/>
      <w:kern w:val="0"/>
      <w:sz w:val="20"/>
      <w:szCs w:val="20"/>
      <w:lang w:bidi="ar-SA"/>
    </w:rPr>
  </w:style>
  <w:style w:type="paragraph" w:customStyle="1" w:styleId="blockquotepara02">
    <w:name w:val="block quote para 0/2"/>
    <w:basedOn w:val="Normal"/>
    <w:autoRedefine/>
    <w:uiPriority w:val="99"/>
    <w:semiHidden/>
    <w:rsid w:val="00A85C8E"/>
    <w:pPr>
      <w:widowControl w:val="0"/>
      <w:autoSpaceDE w:val="0"/>
      <w:autoSpaceDN w:val="0"/>
      <w:adjustRightInd w:val="0"/>
      <w:spacing w:before="0" w:after="0"/>
      <w:ind w:left="720" w:firstLine="720"/>
      <w:textAlignment w:val="center"/>
    </w:pPr>
    <w:rPr>
      <w:rFonts w:eastAsiaTheme="minorEastAsia" w:cs="Times LT Std"/>
      <w:color w:val="000000"/>
      <w:kern w:val="0"/>
      <w:sz w:val="20"/>
      <w:szCs w:val="22"/>
      <w:lang w:bidi="ar-SA"/>
    </w:rPr>
  </w:style>
  <w:style w:type="paragraph" w:customStyle="1" w:styleId="blockquotepara06">
    <w:name w:val="block quote para 0/6"/>
    <w:basedOn w:val="Normal"/>
    <w:autoRedefine/>
    <w:uiPriority w:val="99"/>
    <w:semiHidden/>
    <w:rsid w:val="00A85C8E"/>
    <w:pPr>
      <w:widowControl w:val="0"/>
      <w:autoSpaceDE w:val="0"/>
      <w:autoSpaceDN w:val="0"/>
      <w:adjustRightInd w:val="0"/>
      <w:spacing w:before="0" w:after="240"/>
      <w:ind w:left="720" w:firstLine="720"/>
      <w:textAlignment w:val="center"/>
    </w:pPr>
    <w:rPr>
      <w:rFonts w:eastAsiaTheme="minorEastAsia" w:cs="Times LT Std"/>
      <w:color w:val="000000"/>
      <w:kern w:val="0"/>
      <w:sz w:val="20"/>
      <w:szCs w:val="22"/>
      <w:lang w:bidi="ar-SA"/>
    </w:rPr>
  </w:style>
  <w:style w:type="paragraph" w:customStyle="1" w:styleId="blockquotepara62">
    <w:name w:val="block quote para 6/2"/>
    <w:basedOn w:val="Normal"/>
    <w:autoRedefine/>
    <w:uiPriority w:val="99"/>
    <w:semiHidden/>
    <w:rsid w:val="00A85C8E"/>
    <w:pPr>
      <w:widowControl w:val="0"/>
      <w:autoSpaceDE w:val="0"/>
      <w:autoSpaceDN w:val="0"/>
      <w:adjustRightInd w:val="0"/>
      <w:spacing w:after="0"/>
      <w:ind w:left="720" w:firstLine="720"/>
      <w:textAlignment w:val="center"/>
    </w:pPr>
    <w:rPr>
      <w:rFonts w:eastAsiaTheme="minorEastAsia" w:cs="Times LT Std"/>
      <w:color w:val="000000"/>
      <w:kern w:val="0"/>
      <w:sz w:val="20"/>
      <w:szCs w:val="22"/>
      <w:lang w:bidi="ar-SA"/>
    </w:rPr>
  </w:style>
  <w:style w:type="paragraph" w:customStyle="1" w:styleId="block-p-">
    <w:name w:val="block-p/+/-"/>
    <w:basedOn w:val="block-p"/>
    <w:autoRedefine/>
    <w:semiHidden/>
    <w:qFormat/>
    <w:rsid w:val="00A85C8E"/>
    <w:pPr>
      <w:spacing w:after="0"/>
      <w:ind w:firstLine="720"/>
    </w:pPr>
  </w:style>
  <w:style w:type="paragraph" w:customStyle="1" w:styleId="block-p--">
    <w:name w:val="block-p/-/-"/>
    <w:basedOn w:val="block-p-"/>
    <w:autoRedefine/>
    <w:semiHidden/>
    <w:qFormat/>
    <w:rsid w:val="00A85C8E"/>
    <w:pPr>
      <w:spacing w:before="0"/>
    </w:pPr>
  </w:style>
  <w:style w:type="paragraph" w:customStyle="1" w:styleId="blockquote-f--">
    <w:name w:val="block quote-f /-/-"/>
    <w:basedOn w:val="block-p--"/>
    <w:autoRedefine/>
    <w:uiPriority w:val="99"/>
    <w:semiHidden/>
    <w:rsid w:val="00A85C8E"/>
    <w:pPr>
      <w:widowControl w:val="0"/>
      <w:autoSpaceDE w:val="0"/>
      <w:autoSpaceDN w:val="0"/>
      <w:adjustRightInd w:val="0"/>
      <w:ind w:firstLine="0"/>
      <w:jc w:val="both"/>
      <w:textAlignment w:val="center"/>
    </w:pPr>
    <w:rPr>
      <w:rFonts w:cs="ITC New Baskerville Std"/>
      <w:color w:val="000000"/>
      <w:szCs w:val="20"/>
    </w:rPr>
  </w:style>
  <w:style w:type="paragraph" w:customStyle="1" w:styleId="blockquote-p">
    <w:name w:val="block quote-p"/>
    <w:basedOn w:val="Normal"/>
    <w:autoRedefine/>
    <w:semiHidden/>
    <w:qFormat/>
    <w:rsid w:val="00A85C8E"/>
    <w:pPr>
      <w:spacing w:after="240"/>
      <w:ind w:left="720" w:firstLine="720"/>
    </w:pPr>
    <w:rPr>
      <w:rFonts w:eastAsiaTheme="minorEastAsia" w:cs="Calibri"/>
      <w:kern w:val="0"/>
      <w:szCs w:val="22"/>
      <w:lang w:bidi="ar-SA"/>
    </w:rPr>
  </w:style>
  <w:style w:type="paragraph" w:customStyle="1" w:styleId="blockquote-p0">
    <w:name w:val="block quote-p +/+"/>
    <w:basedOn w:val="Normal"/>
    <w:autoRedefine/>
    <w:uiPriority w:val="99"/>
    <w:semiHidden/>
    <w:rsid w:val="00A85C8E"/>
    <w:pPr>
      <w:widowControl w:val="0"/>
      <w:autoSpaceDE w:val="0"/>
      <w:autoSpaceDN w:val="0"/>
      <w:adjustRightInd w:val="0"/>
      <w:spacing w:after="240"/>
      <w:ind w:left="720" w:firstLine="720"/>
      <w:jc w:val="both"/>
      <w:textAlignment w:val="center"/>
    </w:pPr>
    <w:rPr>
      <w:rFonts w:eastAsiaTheme="minorEastAsia"/>
      <w:color w:val="000000"/>
      <w:kern w:val="0"/>
      <w:sz w:val="20"/>
      <w:szCs w:val="20"/>
      <w:lang w:bidi="ar-SA"/>
    </w:rPr>
  </w:style>
  <w:style w:type="paragraph" w:styleId="BlockText">
    <w:name w:val="Block Text"/>
    <w:basedOn w:val="Normal"/>
    <w:autoRedefine/>
    <w:uiPriority w:val="99"/>
    <w:semiHidden/>
    <w:rsid w:val="00A85C8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720" w:firstLine="720"/>
    </w:pPr>
    <w:rPr>
      <w:rFonts w:eastAsiaTheme="minorEastAsia" w:cs="Calibri"/>
      <w:i/>
      <w:iCs/>
      <w:kern w:val="0"/>
      <w:sz w:val="20"/>
      <w:szCs w:val="22"/>
      <w:lang w:bidi="ar-SA"/>
    </w:rPr>
  </w:style>
  <w:style w:type="paragraph" w:customStyle="1" w:styleId="block-bl">
    <w:name w:val="block-bl"/>
    <w:basedOn w:val="Normal"/>
    <w:autoRedefine/>
    <w:uiPriority w:val="99"/>
    <w:semiHidden/>
    <w:rsid w:val="00A85C8E"/>
    <w:pPr>
      <w:widowControl w:val="0"/>
      <w:tabs>
        <w:tab w:val="left" w:pos="900"/>
      </w:tabs>
      <w:autoSpaceDE w:val="0"/>
      <w:autoSpaceDN w:val="0"/>
      <w:adjustRightInd w:val="0"/>
      <w:spacing w:before="0" w:after="0"/>
      <w:ind w:left="900" w:hanging="180"/>
      <w:textAlignment w:val="center"/>
    </w:pPr>
    <w:rPr>
      <w:rFonts w:eastAsiaTheme="minorEastAsia" w:cs="ITC New Baskerville Std"/>
      <w:color w:val="000000"/>
      <w:kern w:val="0"/>
      <w:sz w:val="20"/>
      <w:szCs w:val="20"/>
      <w:lang w:bidi="ar-SA"/>
    </w:rPr>
  </w:style>
  <w:style w:type="paragraph" w:customStyle="1" w:styleId="block-f--0">
    <w:name w:val="block-f -/-"/>
    <w:basedOn w:val="Normal"/>
    <w:autoRedefine/>
    <w:uiPriority w:val="99"/>
    <w:semiHidden/>
    <w:qFormat/>
    <w:rsid w:val="00A85C8E"/>
    <w:pPr>
      <w:spacing w:before="0" w:after="0"/>
      <w:ind w:left="720"/>
    </w:pPr>
    <w:rPr>
      <w:rFonts w:eastAsiaTheme="minorEastAsia" w:cs="Calibri"/>
      <w:kern w:val="0"/>
      <w:sz w:val="20"/>
      <w:szCs w:val="22"/>
      <w:lang w:bidi="ar-SA"/>
    </w:rPr>
  </w:style>
  <w:style w:type="paragraph" w:customStyle="1" w:styleId="block-f-0">
    <w:name w:val="block-f/+/-"/>
    <w:basedOn w:val="Normal"/>
    <w:autoRedefine/>
    <w:semiHidden/>
    <w:qFormat/>
    <w:rsid w:val="00A85C8E"/>
    <w:pPr>
      <w:spacing w:after="0"/>
      <w:ind w:left="720"/>
    </w:pPr>
    <w:rPr>
      <w:rFonts w:eastAsiaTheme="minorEastAsia" w:cs="Calibri"/>
      <w:kern w:val="0"/>
      <w:sz w:val="20"/>
      <w:szCs w:val="22"/>
      <w:lang w:bidi="ar-SA"/>
    </w:rPr>
  </w:style>
  <w:style w:type="paragraph" w:customStyle="1" w:styleId="block-f-1">
    <w:name w:val="block-f -/+"/>
    <w:basedOn w:val="block-f-0"/>
    <w:autoRedefine/>
    <w:semiHidden/>
    <w:qFormat/>
    <w:rsid w:val="00A85C8E"/>
    <w:pPr>
      <w:spacing w:before="0" w:after="240"/>
    </w:pPr>
  </w:style>
  <w:style w:type="paragraph" w:customStyle="1" w:styleId="block-f-6">
    <w:name w:val="block-f -/6"/>
    <w:basedOn w:val="block-f-"/>
    <w:autoRedefine/>
    <w:uiPriority w:val="99"/>
    <w:semiHidden/>
    <w:rsid w:val="00A85C8E"/>
    <w:pPr>
      <w:spacing w:before="0" w:after="120"/>
    </w:pPr>
  </w:style>
  <w:style w:type="paragraph" w:customStyle="1" w:styleId="block-f-6pt">
    <w:name w:val="block-f -/6 pt"/>
    <w:basedOn w:val="block-f-"/>
    <w:autoRedefine/>
    <w:uiPriority w:val="99"/>
    <w:semiHidden/>
    <w:qFormat/>
    <w:rsid w:val="00A85C8E"/>
    <w:pPr>
      <w:spacing w:before="120"/>
      <w:ind w:left="439"/>
    </w:pPr>
    <w:rPr>
      <w:szCs w:val="21"/>
    </w:rPr>
  </w:style>
  <w:style w:type="paragraph" w:customStyle="1" w:styleId="Block-f-2">
    <w:name w:val="Block-f +/-"/>
    <w:basedOn w:val="blockquote"/>
    <w:autoRedefine/>
    <w:uiPriority w:val="99"/>
    <w:semiHidden/>
    <w:rsid w:val="00A85C8E"/>
    <w:pPr>
      <w:widowControl w:val="0"/>
      <w:autoSpaceDE w:val="0"/>
      <w:autoSpaceDN w:val="0"/>
      <w:adjustRightInd w:val="0"/>
      <w:spacing w:after="0"/>
      <w:textAlignment w:val="center"/>
    </w:pPr>
    <w:rPr>
      <w:rFonts w:cs="NewCenturySchlbk"/>
      <w:color w:val="000000"/>
      <w:szCs w:val="20"/>
    </w:rPr>
  </w:style>
  <w:style w:type="paragraph" w:customStyle="1" w:styleId="Block-f0">
    <w:name w:val="Block-f +/+"/>
    <w:basedOn w:val="Normal"/>
    <w:autoRedefine/>
    <w:semiHidden/>
    <w:qFormat/>
    <w:rsid w:val="00A85C8E"/>
    <w:pPr>
      <w:spacing w:after="240"/>
      <w:ind w:left="720"/>
    </w:pPr>
    <w:rPr>
      <w:rFonts w:eastAsiaTheme="minorEastAsia" w:cs="Calibri"/>
      <w:kern w:val="0"/>
      <w:sz w:val="20"/>
      <w:szCs w:val="22"/>
      <w:lang w:bidi="ar-SA"/>
    </w:rPr>
  </w:style>
  <w:style w:type="paragraph" w:customStyle="1" w:styleId="block-f-3">
    <w:name w:val="block-f/-/+"/>
    <w:basedOn w:val="block-f-0"/>
    <w:autoRedefine/>
    <w:semiHidden/>
    <w:qFormat/>
    <w:rsid w:val="00A85C8E"/>
    <w:pPr>
      <w:spacing w:before="0" w:after="240"/>
    </w:pPr>
  </w:style>
  <w:style w:type="paragraph" w:customStyle="1" w:styleId="block-p-0">
    <w:name w:val="block-p -/+"/>
    <w:basedOn w:val="Normal"/>
    <w:autoRedefine/>
    <w:uiPriority w:val="99"/>
    <w:semiHidden/>
    <w:qFormat/>
    <w:rsid w:val="00A85C8E"/>
    <w:pPr>
      <w:spacing w:before="0" w:after="240"/>
      <w:ind w:left="720" w:firstLine="720"/>
    </w:pPr>
    <w:rPr>
      <w:rFonts w:eastAsiaTheme="minorEastAsia" w:cs="Calibri"/>
      <w:kern w:val="0"/>
      <w:sz w:val="20"/>
      <w:szCs w:val="22"/>
      <w:lang w:bidi="ar-SA"/>
    </w:rPr>
  </w:style>
  <w:style w:type="paragraph" w:customStyle="1" w:styleId="block-p--0">
    <w:name w:val="block-p -/-"/>
    <w:basedOn w:val="block-p-0"/>
    <w:autoRedefine/>
    <w:uiPriority w:val="99"/>
    <w:semiHidden/>
    <w:qFormat/>
    <w:rsid w:val="00A85C8E"/>
    <w:pPr>
      <w:spacing w:after="0"/>
    </w:pPr>
  </w:style>
  <w:style w:type="paragraph" w:customStyle="1" w:styleId="Block-p-1">
    <w:name w:val="Block-p -/+"/>
    <w:basedOn w:val="Normal"/>
    <w:autoRedefine/>
    <w:uiPriority w:val="99"/>
    <w:semiHidden/>
    <w:rsid w:val="00A85C8E"/>
    <w:pPr>
      <w:widowControl w:val="0"/>
      <w:autoSpaceDE w:val="0"/>
      <w:autoSpaceDN w:val="0"/>
      <w:adjustRightInd w:val="0"/>
      <w:spacing w:before="0" w:after="240"/>
      <w:ind w:left="720" w:firstLine="720"/>
      <w:textAlignment w:val="center"/>
    </w:pPr>
    <w:rPr>
      <w:rFonts w:eastAsiaTheme="minorEastAsia" w:cs="NewCenturySchlbk"/>
      <w:color w:val="000000"/>
      <w:kern w:val="0"/>
      <w:sz w:val="20"/>
      <w:szCs w:val="20"/>
      <w:lang w:bidi="ar-SA"/>
    </w:rPr>
  </w:style>
  <w:style w:type="paragraph" w:customStyle="1" w:styleId="block-p-6">
    <w:name w:val="block-p -/6"/>
    <w:basedOn w:val="block-p-0"/>
    <w:autoRedefine/>
    <w:uiPriority w:val="99"/>
    <w:semiHidden/>
    <w:rsid w:val="00A85C8E"/>
    <w:pPr>
      <w:widowControl w:val="0"/>
      <w:autoSpaceDE w:val="0"/>
      <w:autoSpaceDN w:val="0"/>
      <w:adjustRightInd w:val="0"/>
      <w:spacing w:after="120"/>
      <w:textAlignment w:val="center"/>
    </w:pPr>
    <w:rPr>
      <w:rFonts w:cs="ITC New Baskerville Std"/>
      <w:color w:val="000000"/>
      <w:szCs w:val="20"/>
    </w:rPr>
  </w:style>
  <w:style w:type="paragraph" w:customStyle="1" w:styleId="block-p-2">
    <w:name w:val="block-p +/-"/>
    <w:basedOn w:val="Normal"/>
    <w:autoRedefine/>
    <w:uiPriority w:val="99"/>
    <w:semiHidden/>
    <w:qFormat/>
    <w:rsid w:val="00A85C8E"/>
    <w:pPr>
      <w:spacing w:after="0"/>
      <w:ind w:left="720" w:firstLine="720"/>
    </w:pPr>
    <w:rPr>
      <w:rFonts w:eastAsiaTheme="minorEastAsia" w:cs="Calibri"/>
      <w:kern w:val="0"/>
      <w:sz w:val="20"/>
      <w:szCs w:val="22"/>
      <w:lang w:bidi="ar-SA"/>
    </w:rPr>
  </w:style>
  <w:style w:type="paragraph" w:customStyle="1" w:styleId="Block-p0">
    <w:name w:val="Block-p +/+"/>
    <w:basedOn w:val="Block-f0"/>
    <w:autoRedefine/>
    <w:semiHidden/>
    <w:qFormat/>
    <w:rsid w:val="00A85C8E"/>
    <w:pPr>
      <w:ind w:firstLine="720"/>
    </w:pPr>
  </w:style>
  <w:style w:type="paragraph" w:customStyle="1" w:styleId="block-p1">
    <w:name w:val="block-p +/+"/>
    <w:basedOn w:val="Normal"/>
    <w:autoRedefine/>
    <w:uiPriority w:val="99"/>
    <w:semiHidden/>
    <w:qFormat/>
    <w:rsid w:val="00A85C8E"/>
    <w:pPr>
      <w:spacing w:after="240"/>
      <w:ind w:left="720" w:firstLine="720"/>
    </w:pPr>
    <w:rPr>
      <w:rFonts w:eastAsiaTheme="minorEastAsia"/>
      <w:kern w:val="0"/>
      <w:sz w:val="20"/>
      <w:szCs w:val="22"/>
      <w:lang w:bidi="ar-SA"/>
    </w:rPr>
  </w:style>
  <w:style w:type="paragraph" w:customStyle="1" w:styleId="block-p16pt">
    <w:name w:val="block-p 1/6 pt"/>
    <w:basedOn w:val="Normal"/>
    <w:autoRedefine/>
    <w:uiPriority w:val="99"/>
    <w:semiHidden/>
    <w:rsid w:val="00A85C8E"/>
    <w:pPr>
      <w:widowControl w:val="0"/>
      <w:autoSpaceDE w:val="0"/>
      <w:autoSpaceDN w:val="0"/>
      <w:adjustRightInd w:val="0"/>
      <w:ind w:left="720" w:firstLine="720"/>
      <w:textAlignment w:val="center"/>
    </w:pPr>
    <w:rPr>
      <w:rFonts w:eastAsiaTheme="minorEastAsia" w:cs="ITC New Baskerville Std"/>
      <w:color w:val="000000"/>
      <w:kern w:val="0"/>
      <w:sz w:val="20"/>
      <w:szCs w:val="20"/>
      <w:lang w:bidi="ar-SA"/>
    </w:rPr>
  </w:style>
  <w:style w:type="paragraph" w:customStyle="1" w:styleId="block-p--3p4para">
    <w:name w:val="block-p/-/- 3p4 para"/>
    <w:basedOn w:val="block-p--"/>
    <w:autoRedefine/>
    <w:uiPriority w:val="99"/>
    <w:semiHidden/>
    <w:rsid w:val="00A85C8E"/>
    <w:pPr>
      <w:widowControl w:val="0"/>
      <w:autoSpaceDE w:val="0"/>
      <w:autoSpaceDN w:val="0"/>
      <w:adjustRightInd w:val="0"/>
      <w:ind w:firstLine="1440"/>
      <w:jc w:val="both"/>
      <w:textAlignment w:val="center"/>
    </w:pPr>
    <w:rPr>
      <w:rFonts w:cs="ITC New Baskerville Std"/>
      <w:color w:val="000000"/>
      <w:szCs w:val="20"/>
    </w:rPr>
  </w:style>
  <w:style w:type="paragraph" w:customStyle="1" w:styleId="block-p-3">
    <w:name w:val="block-p/-/+"/>
    <w:basedOn w:val="Normal"/>
    <w:autoRedefine/>
    <w:semiHidden/>
    <w:qFormat/>
    <w:rsid w:val="00A85C8E"/>
    <w:pPr>
      <w:spacing w:before="0" w:after="240"/>
      <w:ind w:left="720" w:firstLine="720"/>
    </w:pPr>
    <w:rPr>
      <w:rFonts w:eastAsiaTheme="minorEastAsia" w:cs="Calibri"/>
      <w:kern w:val="0"/>
      <w:sz w:val="20"/>
      <w:szCs w:val="22"/>
      <w:lang w:bidi="ar-SA"/>
    </w:rPr>
  </w:style>
  <w:style w:type="paragraph" w:customStyle="1" w:styleId="boldflush">
    <w:name w:val="bold flush"/>
    <w:basedOn w:val="text"/>
    <w:autoRedefine/>
    <w:uiPriority w:val="99"/>
    <w:semiHidden/>
    <w:rsid w:val="00A85C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ITC New Baskerville Std"/>
      <w:b/>
      <w:bCs/>
      <w:color w:val="000000"/>
      <w:szCs w:val="22"/>
    </w:rPr>
  </w:style>
  <w:style w:type="paragraph" w:customStyle="1" w:styleId="boldhead">
    <w:name w:val="bold head"/>
    <w:basedOn w:val="text"/>
    <w:autoRedefine/>
    <w:uiPriority w:val="99"/>
    <w:semiHidden/>
    <w:rsid w:val="00A85C8E"/>
    <w:pPr>
      <w:widowControl w:val="0"/>
      <w:tabs>
        <w:tab w:val="clear" w:pos="0"/>
        <w:tab w:val="clear" w:pos="4320"/>
        <w:tab w:val="clear" w:pos="5040"/>
        <w:tab w:val="clear" w:pos="5760"/>
        <w:tab w:val="left" w:pos="360"/>
        <w:tab w:val="left" w:pos="1080"/>
        <w:tab w:val="left" w:pos="1800"/>
      </w:tabs>
      <w:suppressAutoHyphen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flush">
    <w:name w:val="text flush"/>
    <w:basedOn w:val="Normal"/>
    <w:autoRedefine/>
    <w:uiPriority w:val="99"/>
    <w:semiHidden/>
    <w:qFormat/>
    <w:rsid w:val="00A85C8E"/>
    <w:pPr>
      <w:spacing w:before="0" w:after="0"/>
    </w:pPr>
    <w:rPr>
      <w:rFonts w:eastAsia="Calibri" w:cs="ITC New Baskerville Std"/>
      <w:color w:val="000000"/>
      <w:kern w:val="0"/>
      <w:lang w:bidi="ar-SA"/>
    </w:rPr>
  </w:style>
  <w:style w:type="paragraph" w:customStyle="1" w:styleId="boldheadflush">
    <w:name w:val="bold head flush"/>
    <w:basedOn w:val="textflush"/>
    <w:autoRedefine/>
    <w:uiPriority w:val="99"/>
    <w:semiHidden/>
    <w:rsid w:val="00A85C8E"/>
    <w:pPr>
      <w:widowControl w:val="0"/>
      <w:suppressAutoHyphens/>
      <w:autoSpaceDE w:val="0"/>
      <w:autoSpaceDN w:val="0"/>
      <w:adjustRightInd w:val="0"/>
      <w:spacing w:before="240" w:after="240"/>
      <w:textAlignment w:val="center"/>
    </w:pPr>
    <w:rPr>
      <w:rFonts w:eastAsiaTheme="minorEastAsia"/>
      <w:b/>
      <w:bCs/>
      <w:szCs w:val="22"/>
    </w:rPr>
  </w:style>
  <w:style w:type="paragraph" w:customStyle="1" w:styleId="bolditalicflushheadA">
    <w:name w:val="bold italic flush head A."/>
    <w:basedOn w:val="Normal"/>
    <w:autoRedefine/>
    <w:uiPriority w:val="99"/>
    <w:semiHidden/>
    <w:rsid w:val="00A85C8E"/>
    <w:pPr>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
      <w:bCs/>
      <w:i/>
      <w:iCs/>
      <w:color w:val="000000"/>
      <w:kern w:val="0"/>
      <w:sz w:val="22"/>
      <w:szCs w:val="22"/>
      <w:lang w:bidi="ar-SA"/>
    </w:rPr>
  </w:style>
  <w:style w:type="paragraph" w:customStyle="1" w:styleId="boldnumberlist">
    <w:name w:val="bold number list"/>
    <w:basedOn w:val="textflush"/>
    <w:autoRedefine/>
    <w:uiPriority w:val="99"/>
    <w:semiHidden/>
    <w:rsid w:val="00A85C8E"/>
    <w:pPr>
      <w:widowControl w:val="0"/>
      <w:tabs>
        <w:tab w:val="left" w:pos="420"/>
      </w:tabs>
      <w:autoSpaceDE w:val="0"/>
      <w:autoSpaceDN w:val="0"/>
      <w:adjustRightInd w:val="0"/>
      <w:spacing w:before="60"/>
      <w:ind w:left="420" w:hanging="420"/>
      <w:textAlignment w:val="center"/>
    </w:pPr>
    <w:rPr>
      <w:rFonts w:eastAsiaTheme="minorEastAsia" w:cs="Times LT Std"/>
      <w:b/>
      <w:bCs/>
      <w:szCs w:val="22"/>
    </w:rPr>
  </w:style>
  <w:style w:type="paragraph" w:customStyle="1" w:styleId="bulletliststart">
    <w:name w:val="bullet list start"/>
    <w:basedOn w:val="Normal"/>
    <w:autoRedefine/>
    <w:uiPriority w:val="99"/>
    <w:semiHidden/>
    <w:qFormat/>
    <w:rsid w:val="00A85C8E"/>
    <w:pPr>
      <w:spacing w:after="0"/>
      <w:ind w:left="619" w:hanging="180"/>
    </w:pPr>
    <w:rPr>
      <w:rFonts w:eastAsiaTheme="minorEastAsia" w:cs="Calibri"/>
      <w:kern w:val="0"/>
      <w:szCs w:val="22"/>
      <w:lang w:bidi="ar-SA"/>
    </w:rPr>
  </w:style>
  <w:style w:type="paragraph" w:customStyle="1" w:styleId="bullet">
    <w:name w:val="bullet"/>
    <w:basedOn w:val="bulletliststart"/>
    <w:autoRedefine/>
    <w:uiPriority w:val="99"/>
    <w:semiHidden/>
    <w:qFormat/>
    <w:rsid w:val="00A85C8E"/>
    <w:pPr>
      <w:spacing w:before="0"/>
    </w:pPr>
    <w:rPr>
      <w:rFonts w:eastAsia="Times New Roman" w:cs="Times New Roman"/>
    </w:rPr>
  </w:style>
  <w:style w:type="paragraph" w:customStyle="1" w:styleId="bulletdash">
    <w:name w:val="bullet dash"/>
    <w:basedOn w:val="Normal"/>
    <w:autoRedefine/>
    <w:uiPriority w:val="99"/>
    <w:semiHidden/>
    <w:rsid w:val="00A85C8E"/>
    <w:pPr>
      <w:widowControl w:val="0"/>
      <w:tabs>
        <w:tab w:val="left" w:pos="900"/>
      </w:tabs>
      <w:autoSpaceDE w:val="0"/>
      <w:autoSpaceDN w:val="0"/>
      <w:adjustRightInd w:val="0"/>
      <w:spacing w:before="0" w:after="0"/>
      <w:ind w:left="900" w:hanging="180"/>
      <w:jc w:val="both"/>
      <w:textAlignment w:val="center"/>
    </w:pPr>
    <w:rPr>
      <w:rFonts w:eastAsiaTheme="minorEastAsia" w:cs="Times LT Std"/>
      <w:color w:val="000000"/>
      <w:kern w:val="0"/>
      <w:szCs w:val="22"/>
      <w:lang w:bidi="ar-SA"/>
    </w:rPr>
  </w:style>
  <w:style w:type="paragraph" w:customStyle="1" w:styleId="bulletend">
    <w:name w:val="bullet end"/>
    <w:basedOn w:val="Normal"/>
    <w:autoRedefine/>
    <w:uiPriority w:val="99"/>
    <w:semiHidden/>
    <w:rsid w:val="00A85C8E"/>
    <w:pPr>
      <w:spacing w:before="0" w:after="240"/>
      <w:ind w:left="619" w:hanging="180"/>
    </w:pPr>
    <w:rPr>
      <w:rFonts w:eastAsiaTheme="minorEastAsia"/>
      <w:kern w:val="0"/>
      <w:szCs w:val="22"/>
      <w:lang w:bidi="ar-SA"/>
    </w:rPr>
  </w:style>
  <w:style w:type="paragraph" w:customStyle="1" w:styleId="bulletlist">
    <w:name w:val="bullet list"/>
    <w:basedOn w:val="bulletliststart"/>
    <w:autoRedefine/>
    <w:uiPriority w:val="99"/>
    <w:semiHidden/>
    <w:qFormat/>
    <w:rsid w:val="00A85C8E"/>
    <w:pPr>
      <w:spacing w:before="0"/>
    </w:pPr>
  </w:style>
  <w:style w:type="paragraph" w:customStyle="1" w:styleId="BulletList0">
    <w:name w:val="Bullet List"/>
    <w:basedOn w:val="Normal"/>
    <w:autoRedefine/>
    <w:semiHidden/>
    <w:qFormat/>
    <w:rsid w:val="00A85C8E"/>
    <w:pPr>
      <w:spacing w:before="0" w:after="0"/>
      <w:ind w:left="619" w:hanging="180"/>
    </w:pPr>
    <w:rPr>
      <w:rFonts w:eastAsiaTheme="minorEastAsia" w:cs="Calibri"/>
      <w:kern w:val="0"/>
      <w:szCs w:val="22"/>
      <w:lang w:bidi="ar-SA"/>
    </w:rPr>
  </w:style>
  <w:style w:type="paragraph" w:customStyle="1" w:styleId="bulletlistend">
    <w:name w:val="bullet list end"/>
    <w:basedOn w:val="bulletlist"/>
    <w:autoRedefine/>
    <w:uiPriority w:val="99"/>
    <w:semiHidden/>
    <w:qFormat/>
    <w:rsid w:val="00A85C8E"/>
    <w:pPr>
      <w:spacing w:after="240"/>
    </w:pPr>
  </w:style>
  <w:style w:type="paragraph" w:customStyle="1" w:styleId="bulletlistspaceabove">
    <w:name w:val="bullet list space above"/>
    <w:basedOn w:val="bulletlist"/>
    <w:autoRedefine/>
    <w:uiPriority w:val="99"/>
    <w:semiHidden/>
    <w:rsid w:val="00A85C8E"/>
    <w:pPr>
      <w:widowControl w:val="0"/>
      <w:tabs>
        <w:tab w:val="left" w:pos="660"/>
      </w:tabs>
      <w:autoSpaceDE w:val="0"/>
      <w:autoSpaceDN w:val="0"/>
      <w:adjustRightInd w:val="0"/>
      <w:spacing w:before="240"/>
      <w:textAlignment w:val="center"/>
    </w:pPr>
    <w:rPr>
      <w:rFonts w:cs="ITC New Baskerville Std"/>
      <w:color w:val="000000"/>
      <w:szCs w:val="24"/>
    </w:rPr>
  </w:style>
  <w:style w:type="paragraph" w:customStyle="1" w:styleId="bulletlistblpnl">
    <w:name w:val="bullet list/ bl/pnl"/>
    <w:basedOn w:val="bulletlist"/>
    <w:autoRedefine/>
    <w:uiPriority w:val="99"/>
    <w:semiHidden/>
    <w:rsid w:val="00A85C8E"/>
    <w:pPr>
      <w:widowControl w:val="0"/>
      <w:tabs>
        <w:tab w:val="left" w:pos="1140"/>
      </w:tabs>
      <w:autoSpaceDE w:val="0"/>
      <w:autoSpaceDN w:val="0"/>
      <w:adjustRightInd w:val="0"/>
      <w:ind w:left="1140" w:hanging="480"/>
      <w:textAlignment w:val="center"/>
    </w:pPr>
    <w:rPr>
      <w:rFonts w:cs="Times LT Std"/>
      <w:color w:val="000000"/>
    </w:rPr>
  </w:style>
  <w:style w:type="paragraph" w:customStyle="1" w:styleId="bulletnumberbullet">
    <w:name w:val="bullet number/bullet"/>
    <w:basedOn w:val="Normal"/>
    <w:autoRedefine/>
    <w:uiPriority w:val="99"/>
    <w:semiHidden/>
    <w:rsid w:val="00A85C8E"/>
    <w:pPr>
      <w:widowControl w:val="0"/>
      <w:tabs>
        <w:tab w:val="left" w:pos="940"/>
      </w:tabs>
      <w:autoSpaceDE w:val="0"/>
      <w:autoSpaceDN w:val="0"/>
      <w:adjustRightInd w:val="0"/>
      <w:spacing w:before="0" w:after="0"/>
      <w:ind w:left="941" w:hanging="180"/>
      <w:textAlignment w:val="center"/>
    </w:pPr>
    <w:rPr>
      <w:rFonts w:eastAsiaTheme="minorEastAsia" w:cs="Times LT Std"/>
      <w:color w:val="000000"/>
      <w:kern w:val="0"/>
      <w:sz w:val="20"/>
      <w:szCs w:val="20"/>
      <w:lang w:bidi="ar-SA"/>
    </w:rPr>
  </w:style>
  <w:style w:type="paragraph" w:customStyle="1" w:styleId="bulletspaceabove">
    <w:name w:val="bullet space above"/>
    <w:basedOn w:val="Normal"/>
    <w:autoRedefine/>
    <w:uiPriority w:val="99"/>
    <w:semiHidden/>
    <w:qFormat/>
    <w:rsid w:val="00A85C8E"/>
    <w:pPr>
      <w:spacing w:after="0"/>
      <w:ind w:left="619" w:hanging="180"/>
    </w:pPr>
    <w:rPr>
      <w:rFonts w:eastAsiaTheme="minorEastAsia" w:cs="Calibri"/>
      <w:kern w:val="0"/>
      <w:szCs w:val="22"/>
      <w:lang w:bidi="ar-SA"/>
    </w:rPr>
  </w:style>
  <w:style w:type="paragraph" w:customStyle="1" w:styleId="bulletspacebelow">
    <w:name w:val="bullet space below"/>
    <w:basedOn w:val="bulletspaceabove"/>
    <w:autoRedefine/>
    <w:semiHidden/>
    <w:qFormat/>
    <w:rsid w:val="00A85C8E"/>
    <w:pPr>
      <w:spacing w:before="0" w:after="240"/>
    </w:pPr>
  </w:style>
  <w:style w:type="paragraph" w:customStyle="1" w:styleId="bulletstart">
    <w:name w:val="bullet start"/>
    <w:basedOn w:val="bullet"/>
    <w:autoRedefine/>
    <w:uiPriority w:val="99"/>
    <w:semiHidden/>
    <w:rsid w:val="00A85C8E"/>
    <w:pPr>
      <w:widowControl w:val="0"/>
      <w:tabs>
        <w:tab w:val="left" w:pos="620"/>
      </w:tabs>
      <w:autoSpaceDE w:val="0"/>
      <w:autoSpaceDN w:val="0"/>
      <w:adjustRightInd w:val="0"/>
      <w:spacing w:before="240"/>
      <w:jc w:val="both"/>
      <w:textAlignment w:val="center"/>
    </w:pPr>
    <w:rPr>
      <w:rFonts w:cs="ITC New Baskerville Std"/>
      <w:color w:val="000000"/>
    </w:rPr>
  </w:style>
  <w:style w:type="paragraph" w:customStyle="1" w:styleId="bulletbullet">
    <w:name w:val="bullet/bullet"/>
    <w:basedOn w:val="bulletlist"/>
    <w:autoRedefine/>
    <w:uiPriority w:val="99"/>
    <w:semiHidden/>
    <w:rsid w:val="00A85C8E"/>
    <w:pPr>
      <w:widowControl w:val="0"/>
      <w:tabs>
        <w:tab w:val="left" w:pos="800"/>
      </w:tabs>
      <w:autoSpaceDE w:val="0"/>
      <w:autoSpaceDN w:val="0"/>
      <w:adjustRightInd w:val="0"/>
      <w:ind w:left="1080"/>
      <w:textAlignment w:val="center"/>
    </w:pPr>
    <w:rPr>
      <w:rFonts w:cs="Times LT Std"/>
      <w:color w:val="000000"/>
    </w:rPr>
  </w:style>
  <w:style w:type="paragraph" w:customStyle="1" w:styleId="bulletdash0">
    <w:name w:val="bullet/dash"/>
    <w:basedOn w:val="Normal"/>
    <w:autoRedefine/>
    <w:semiHidden/>
    <w:qFormat/>
    <w:rsid w:val="00A85C8E"/>
    <w:pPr>
      <w:tabs>
        <w:tab w:val="left" w:pos="900"/>
      </w:tabs>
      <w:spacing w:before="0" w:after="0"/>
      <w:ind w:left="900" w:hanging="180"/>
    </w:pPr>
    <w:rPr>
      <w:rFonts w:eastAsiaTheme="minorEastAsia" w:cs="Calibri"/>
      <w:kern w:val="0"/>
      <w:szCs w:val="22"/>
      <w:lang w:bidi="ar-SA"/>
    </w:rPr>
  </w:style>
  <w:style w:type="paragraph" w:customStyle="1" w:styleId="caseheadbolditalic">
    <w:name w:val="case head (bold italic)"/>
    <w:basedOn w:val="text"/>
    <w:autoRedefine/>
    <w:uiPriority w:val="99"/>
    <w:semiHidden/>
    <w:rsid w:val="00A85C8E"/>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b/>
      <w:bCs/>
      <w:i/>
      <w:iCs/>
      <w:color w:val="000000"/>
      <w:szCs w:val="22"/>
    </w:rPr>
  </w:style>
  <w:style w:type="paragraph" w:customStyle="1" w:styleId="caseheadunderscore">
    <w:name w:val="case head (underscore)"/>
    <w:basedOn w:val="text"/>
    <w:autoRedefine/>
    <w:uiPriority w:val="99"/>
    <w:semiHidden/>
    <w:rsid w:val="00A85C8E"/>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120"/>
      <w:ind w:firstLine="0"/>
      <w:textAlignment w:val="center"/>
    </w:pPr>
    <w:rPr>
      <w:rFonts w:eastAsiaTheme="minorEastAsia" w:cs="ITC New Baskerville Std"/>
      <w:color w:val="000000"/>
      <w:szCs w:val="22"/>
      <w:u w:val="thick"/>
    </w:rPr>
  </w:style>
  <w:style w:type="paragraph" w:customStyle="1" w:styleId="caseheadunderscorespaceabove">
    <w:name w:val="case head (underscore + space above)"/>
    <w:basedOn w:val="caseheadunderscore"/>
    <w:autoRedefine/>
    <w:uiPriority w:val="99"/>
    <w:semiHidden/>
    <w:rsid w:val="00A85C8E"/>
    <w:pPr>
      <w:spacing w:before="240" w:after="240"/>
    </w:pPr>
  </w:style>
  <w:style w:type="paragraph" w:customStyle="1" w:styleId="chspacebelownoneabove">
    <w:name w:val="ch space below / none above"/>
    <w:basedOn w:val="Normal"/>
    <w:next w:val="Normal"/>
    <w:autoRedefine/>
    <w:uiPriority w:val="99"/>
    <w:semiHidden/>
    <w:rsid w:val="00A85C8E"/>
    <w:pPr>
      <w:keepNext/>
      <w:widowControl w:val="0"/>
      <w:suppressAutoHyphens/>
      <w:autoSpaceDE w:val="0"/>
      <w:autoSpaceDN w:val="0"/>
      <w:adjustRightInd w:val="0"/>
      <w:spacing w:before="0" w:after="240"/>
      <w:jc w:val="center"/>
      <w:textAlignment w:val="center"/>
    </w:pPr>
    <w:rPr>
      <w:rFonts w:eastAsiaTheme="minorEastAsia" w:cs="ITC New Baskerville Std"/>
      <w:smallCaps/>
      <w:color w:val="000000"/>
      <w:kern w:val="0"/>
      <w:lang w:bidi="ar-SA"/>
    </w:rPr>
  </w:style>
  <w:style w:type="paragraph" w:customStyle="1" w:styleId="ChapterNumber">
    <w:name w:val="Chapter Number"/>
    <w:basedOn w:val="Normal"/>
    <w:next w:val="Normal"/>
    <w:autoRedefine/>
    <w:uiPriority w:val="99"/>
    <w:semiHidden/>
    <w:qFormat/>
    <w:rsid w:val="00A85C8E"/>
    <w:pPr>
      <w:widowControl w:val="0"/>
      <w:suppressAutoHyphens/>
      <w:autoSpaceDE w:val="0"/>
      <w:autoSpaceDN w:val="0"/>
      <w:adjustRightInd w:val="0"/>
      <w:spacing w:before="0" w:after="240"/>
      <w:jc w:val="center"/>
      <w:textAlignment w:val="center"/>
    </w:pPr>
    <w:rPr>
      <w:rFonts w:eastAsiaTheme="minorEastAsia"/>
      <w:smallCaps/>
      <w:color w:val="000000"/>
      <w:kern w:val="0"/>
      <w:sz w:val="20"/>
      <w:szCs w:val="28"/>
      <w:lang w:bidi="ar-SA"/>
    </w:rPr>
  </w:style>
  <w:style w:type="paragraph" w:customStyle="1" w:styleId="chapternumber0">
    <w:name w:val="chapter number"/>
    <w:basedOn w:val="Normal"/>
    <w:autoRedefine/>
    <w:uiPriority w:val="99"/>
    <w:semiHidden/>
    <w:rsid w:val="00A85C8E"/>
    <w:pPr>
      <w:widowControl w:val="0"/>
      <w:suppressAutoHyphens/>
      <w:autoSpaceDE w:val="0"/>
      <w:autoSpaceDN w:val="0"/>
      <w:adjustRightInd w:val="0"/>
      <w:spacing w:before="0" w:after="240"/>
      <w:textAlignment w:val="center"/>
    </w:pPr>
    <w:rPr>
      <w:rFonts w:eastAsia="Times New Roman" w:cs="ITC New Baskerville Std"/>
      <w:b/>
      <w:bCs/>
      <w:color w:val="000000"/>
      <w:kern w:val="0"/>
      <w:sz w:val="28"/>
      <w:szCs w:val="56"/>
      <w:lang w:bidi="ar-SA"/>
    </w:rPr>
  </w:style>
  <w:style w:type="paragraph" w:customStyle="1" w:styleId="ChapterTitle">
    <w:name w:val="Chapter Title"/>
    <w:basedOn w:val="ChapterNumber"/>
    <w:autoRedefine/>
    <w:uiPriority w:val="99"/>
    <w:semiHidden/>
    <w:qFormat/>
    <w:rsid w:val="00A85C8E"/>
    <w:pPr>
      <w:spacing w:after="720"/>
    </w:pPr>
    <w:rPr>
      <w:b/>
      <w:smallCaps w:val="0"/>
      <w:sz w:val="28"/>
      <w:szCs w:val="40"/>
    </w:rPr>
  </w:style>
  <w:style w:type="paragraph" w:customStyle="1" w:styleId="chaptertitle0">
    <w:name w:val="chapter title"/>
    <w:basedOn w:val="Normal"/>
    <w:autoRedefine/>
    <w:uiPriority w:val="99"/>
    <w:semiHidden/>
    <w:qFormat/>
    <w:rsid w:val="00A85C8E"/>
    <w:pPr>
      <w:spacing w:before="0" w:after="240"/>
    </w:pPr>
    <w:rPr>
      <w:rFonts w:eastAsiaTheme="minorEastAsia" w:cs="Calibri"/>
      <w:kern w:val="0"/>
      <w:sz w:val="28"/>
      <w:szCs w:val="22"/>
      <w:lang w:bidi="ar-SA"/>
    </w:rPr>
  </w:style>
  <w:style w:type="paragraph" w:customStyle="1" w:styleId="ChapterTitle14ptBoldCentered">
    <w:name w:val="Chapter Title 14 pt Bold Centered"/>
    <w:basedOn w:val="Normal"/>
    <w:autoRedefine/>
    <w:semiHidden/>
    <w:qFormat/>
    <w:rsid w:val="00A85C8E"/>
    <w:pPr>
      <w:spacing w:before="0" w:after="480"/>
      <w:jc w:val="center"/>
    </w:pPr>
    <w:rPr>
      <w:rFonts w:eastAsiaTheme="minorEastAsia" w:cs="Calibri"/>
      <w:b/>
      <w:caps/>
      <w:kern w:val="0"/>
      <w:sz w:val="28"/>
      <w:szCs w:val="22"/>
      <w:lang w:bidi="ar-SA"/>
    </w:rPr>
  </w:style>
  <w:style w:type="paragraph" w:customStyle="1" w:styleId="dhscpapertitle">
    <w:name w:val="dh s/c paper title"/>
    <w:basedOn w:val="Normal"/>
    <w:autoRedefine/>
    <w:uiPriority w:val="99"/>
    <w:semiHidden/>
    <w:rsid w:val="00A85C8E"/>
    <w:pPr>
      <w:widowControl w:val="0"/>
      <w:autoSpaceDE w:val="0"/>
      <w:autoSpaceDN w:val="0"/>
      <w:adjustRightInd w:val="0"/>
      <w:spacing w:before="0" w:after="240"/>
      <w:jc w:val="center"/>
      <w:textAlignment w:val="center"/>
    </w:pPr>
    <w:rPr>
      <w:rFonts w:eastAsiaTheme="minorEastAsia" w:cs="ITC New Baskerville Std"/>
      <w:smallCaps/>
      <w:color w:val="000000"/>
      <w:kern w:val="0"/>
      <w:szCs w:val="20"/>
      <w:lang w:bidi="ar-SA"/>
    </w:rPr>
  </w:style>
  <w:style w:type="paragraph" w:customStyle="1" w:styleId="flushitalichead">
    <w:name w:val="flush italic head"/>
    <w:basedOn w:val="3rdlevelhead1i"/>
    <w:autoRedefine/>
    <w:uiPriority w:val="99"/>
    <w:semiHidden/>
    <w:rsid w:val="00A85C8E"/>
    <w:pPr>
      <w:keepNext/>
      <w:widowControl w:val="0"/>
      <w:suppressAutoHyphens/>
      <w:autoSpaceDE w:val="0"/>
      <w:autoSpaceDN w:val="0"/>
      <w:adjustRightInd w:val="0"/>
      <w:ind w:left="0" w:firstLine="0"/>
      <w:textAlignment w:val="center"/>
    </w:pPr>
    <w:rPr>
      <w:rFonts w:cs="ITC New Baskerville Std"/>
      <w:iCs/>
      <w:color w:val="000000"/>
    </w:rPr>
  </w:style>
  <w:style w:type="paragraph" w:customStyle="1" w:styleId="flushitalichead-">
    <w:name w:val="flush italic head -/+"/>
    <w:basedOn w:val="flushitalichead"/>
    <w:autoRedefine/>
    <w:uiPriority w:val="99"/>
    <w:semiHidden/>
    <w:rsid w:val="00A85C8E"/>
    <w:pPr>
      <w:keepNext w:val="0"/>
      <w:suppressAutoHyphens w:val="0"/>
      <w:spacing w:before="0"/>
    </w:pPr>
  </w:style>
  <w:style w:type="paragraph" w:customStyle="1" w:styleId="footnote0">
    <w:name w:val="footnote *"/>
    <w:basedOn w:val="footnote"/>
    <w:autoRedefine/>
    <w:uiPriority w:val="99"/>
    <w:semiHidden/>
    <w:rsid w:val="00A85C8E"/>
    <w:pPr>
      <w:pBdr>
        <w:top w:val="single" w:sz="4" w:space="12" w:color="auto"/>
      </w:pBdr>
      <w:autoSpaceDE w:val="0"/>
      <w:autoSpaceDN w:val="0"/>
      <w:adjustRightInd w:val="0"/>
      <w:textAlignment w:val="center"/>
    </w:pPr>
    <w:rPr>
      <w:rFonts w:cs="Times LT Std"/>
      <w:color w:val="000000"/>
      <w:szCs w:val="18"/>
    </w:rPr>
  </w:style>
  <w:style w:type="paragraph" w:customStyle="1" w:styleId="Footnote1">
    <w:name w:val="Footnote *"/>
    <w:basedOn w:val="Normal"/>
    <w:autoRedefine/>
    <w:uiPriority w:val="99"/>
    <w:semiHidden/>
    <w:rsid w:val="00A85C8E"/>
    <w:pPr>
      <w:pBdr>
        <w:top w:val="single" w:sz="4" w:space="12" w:color="auto"/>
      </w:pBdr>
      <w:autoSpaceDE w:val="0"/>
      <w:autoSpaceDN w:val="0"/>
      <w:adjustRightInd w:val="0"/>
      <w:spacing w:before="0" w:after="0"/>
      <w:ind w:firstLine="720"/>
      <w:textAlignment w:val="center"/>
    </w:pPr>
    <w:rPr>
      <w:rFonts w:eastAsiaTheme="minorEastAsia"/>
      <w:color w:val="000000"/>
      <w:kern w:val="0"/>
      <w:sz w:val="20"/>
      <w:szCs w:val="18"/>
      <w:lang w:bidi="ar-SA"/>
    </w:rPr>
  </w:style>
  <w:style w:type="paragraph" w:customStyle="1" w:styleId="footnoteindent">
    <w:name w:val="footnote indent"/>
    <w:basedOn w:val="Normal"/>
    <w:autoRedefine/>
    <w:uiPriority w:val="99"/>
    <w:semiHidden/>
    <w:rsid w:val="00A85C8E"/>
    <w:pPr>
      <w:widowControl w:val="0"/>
      <w:autoSpaceDE w:val="0"/>
      <w:autoSpaceDN w:val="0"/>
      <w:adjustRightInd w:val="0"/>
      <w:spacing w:before="0" w:after="0"/>
      <w:ind w:left="720"/>
      <w:textAlignment w:val="center"/>
    </w:pPr>
    <w:rPr>
      <w:rFonts w:eastAsiaTheme="minorEastAsia" w:cs="ITC New Baskerville Std"/>
      <w:color w:val="000000"/>
      <w:kern w:val="0"/>
      <w:sz w:val="20"/>
      <w:szCs w:val="16"/>
      <w:lang w:bidi="ar-SA"/>
    </w:rPr>
  </w:style>
  <w:style w:type="paragraph" w:customStyle="1" w:styleId="footnote2ndindent">
    <w:name w:val="footnote 2nd indent"/>
    <w:basedOn w:val="footnoteindent"/>
    <w:autoRedefine/>
    <w:uiPriority w:val="99"/>
    <w:semiHidden/>
    <w:rsid w:val="00A85C8E"/>
  </w:style>
  <w:style w:type="paragraph" w:customStyle="1" w:styleId="footnote2ndindentwpara">
    <w:name w:val="footnote 2nd indent w/para"/>
    <w:basedOn w:val="Normal"/>
    <w:autoRedefine/>
    <w:uiPriority w:val="99"/>
    <w:semiHidden/>
    <w:rsid w:val="00A85C8E"/>
    <w:pPr>
      <w:widowControl w:val="0"/>
      <w:autoSpaceDE w:val="0"/>
      <w:autoSpaceDN w:val="0"/>
      <w:adjustRightInd w:val="0"/>
      <w:spacing w:before="0" w:after="240"/>
      <w:ind w:left="720" w:firstLine="720"/>
      <w:textAlignment w:val="center"/>
    </w:pPr>
    <w:rPr>
      <w:rFonts w:eastAsiaTheme="minorEastAsia" w:cs="ITC New Baskerville Std"/>
      <w:color w:val="000000"/>
      <w:kern w:val="0"/>
      <w:sz w:val="20"/>
      <w:szCs w:val="16"/>
      <w:lang w:bidi="ar-SA"/>
    </w:rPr>
  </w:style>
  <w:style w:type="paragraph" w:customStyle="1" w:styleId="footnotebl">
    <w:name w:val="footnote bl"/>
    <w:basedOn w:val="Normal"/>
    <w:autoRedefine/>
    <w:uiPriority w:val="99"/>
    <w:semiHidden/>
    <w:rsid w:val="00A85C8E"/>
    <w:pPr>
      <w:widowControl w:val="0"/>
      <w:tabs>
        <w:tab w:val="left" w:pos="540"/>
      </w:tabs>
      <w:autoSpaceDE w:val="0"/>
      <w:autoSpaceDN w:val="0"/>
      <w:adjustRightInd w:val="0"/>
      <w:spacing w:before="0" w:after="0"/>
      <w:ind w:left="540" w:hanging="180"/>
      <w:textAlignment w:val="center"/>
    </w:pPr>
    <w:rPr>
      <w:rFonts w:eastAsiaTheme="minorEastAsia" w:cs="ITC New Baskerville Std"/>
      <w:color w:val="000000"/>
      <w:kern w:val="0"/>
      <w:sz w:val="20"/>
      <w:szCs w:val="18"/>
      <w:lang w:bidi="ar-SA"/>
    </w:rPr>
  </w:style>
  <w:style w:type="paragraph" w:customStyle="1" w:styleId="footnoteblock">
    <w:name w:val="footnote block"/>
    <w:basedOn w:val="footnote"/>
    <w:autoRedefine/>
    <w:uiPriority w:val="99"/>
    <w:semiHidden/>
    <w:qFormat/>
    <w:rsid w:val="00A85C8E"/>
    <w:pPr>
      <w:autoSpaceDE w:val="0"/>
      <w:autoSpaceDN w:val="0"/>
      <w:adjustRightInd w:val="0"/>
      <w:ind w:left="720" w:firstLine="0"/>
      <w:textAlignment w:val="center"/>
    </w:pPr>
    <w:rPr>
      <w:rFonts w:cs="ITC New Baskerville Std"/>
      <w:color w:val="000000"/>
      <w:szCs w:val="18"/>
    </w:rPr>
  </w:style>
  <w:style w:type="paragraph" w:customStyle="1" w:styleId="footnoteblockindent">
    <w:name w:val="footnote block indent"/>
    <w:basedOn w:val="footnote"/>
    <w:autoRedefine/>
    <w:uiPriority w:val="99"/>
    <w:semiHidden/>
    <w:rsid w:val="00A85C8E"/>
    <w:pPr>
      <w:autoSpaceDE w:val="0"/>
      <w:autoSpaceDN w:val="0"/>
      <w:adjustRightInd w:val="0"/>
      <w:spacing w:before="40"/>
      <w:ind w:left="720" w:firstLine="0"/>
      <w:textAlignment w:val="center"/>
    </w:pPr>
    <w:rPr>
      <w:rFonts w:cs="NewCenturySchlbk"/>
      <w:color w:val="000000"/>
      <w:szCs w:val="18"/>
    </w:rPr>
  </w:style>
  <w:style w:type="paragraph" w:customStyle="1" w:styleId="footnoteblockindentnoparaindent">
    <w:name w:val="footnote block indent (no para indent)"/>
    <w:basedOn w:val="footnote"/>
    <w:autoRedefine/>
    <w:uiPriority w:val="99"/>
    <w:semiHidden/>
    <w:rsid w:val="00A85C8E"/>
    <w:pPr>
      <w:autoSpaceDE w:val="0"/>
      <w:autoSpaceDN w:val="0"/>
      <w:adjustRightInd w:val="0"/>
      <w:ind w:left="720" w:firstLine="0"/>
      <w:textAlignment w:val="center"/>
    </w:pPr>
    <w:rPr>
      <w:rFonts w:cs="NewCenturySchlbk"/>
      <w:color w:val="000000"/>
      <w:szCs w:val="16"/>
    </w:rPr>
  </w:style>
  <w:style w:type="paragraph" w:customStyle="1" w:styleId="footnoteblockindentwpara">
    <w:name w:val="footnote block indent w/ para"/>
    <w:basedOn w:val="footnoteblockindentnoparaindent"/>
    <w:autoRedefine/>
    <w:uiPriority w:val="99"/>
    <w:semiHidden/>
    <w:rsid w:val="00A85C8E"/>
    <w:pPr>
      <w:ind w:firstLine="720"/>
    </w:pPr>
  </w:style>
  <w:style w:type="paragraph" w:customStyle="1" w:styleId="footnoteblockwithparaindent">
    <w:name w:val="footnote block with para indent"/>
    <w:basedOn w:val="footnoteblock"/>
    <w:autoRedefine/>
    <w:uiPriority w:val="99"/>
    <w:semiHidden/>
    <w:qFormat/>
    <w:rsid w:val="00A85C8E"/>
    <w:pPr>
      <w:ind w:firstLine="720"/>
    </w:pPr>
  </w:style>
  <w:style w:type="paragraph" w:customStyle="1" w:styleId="footnotebulletlist">
    <w:name w:val="footnote bullet list"/>
    <w:basedOn w:val="Normal"/>
    <w:autoRedefine/>
    <w:uiPriority w:val="99"/>
    <w:semiHidden/>
    <w:rsid w:val="00A85C8E"/>
    <w:pPr>
      <w:widowControl w:val="0"/>
      <w:tabs>
        <w:tab w:val="left" w:pos="620"/>
      </w:tabs>
      <w:autoSpaceDE w:val="0"/>
      <w:autoSpaceDN w:val="0"/>
      <w:adjustRightInd w:val="0"/>
      <w:spacing w:before="0" w:after="0"/>
      <w:ind w:left="900" w:hanging="180"/>
      <w:textAlignment w:val="center"/>
    </w:pPr>
    <w:rPr>
      <w:rFonts w:eastAsiaTheme="minorEastAsia" w:cs="Times LT Std"/>
      <w:color w:val="000000"/>
      <w:kern w:val="0"/>
      <w:sz w:val="20"/>
      <w:szCs w:val="16"/>
      <w:lang w:bidi="ar-SA"/>
    </w:rPr>
  </w:style>
  <w:style w:type="paragraph" w:customStyle="1" w:styleId="footnotecircuit">
    <w:name w:val="footnote circuit"/>
    <w:basedOn w:val="Normal"/>
    <w:autoRedefine/>
    <w:uiPriority w:val="99"/>
    <w:semiHidden/>
    <w:rsid w:val="00A85C8E"/>
    <w:pPr>
      <w:widowControl w:val="0"/>
      <w:tabs>
        <w:tab w:val="left" w:pos="1680"/>
      </w:tabs>
      <w:autoSpaceDE w:val="0"/>
      <w:autoSpaceDN w:val="0"/>
      <w:adjustRightInd w:val="0"/>
      <w:spacing w:before="0" w:after="0"/>
      <w:ind w:left="2040" w:hanging="1320"/>
      <w:textAlignment w:val="center"/>
    </w:pPr>
    <w:rPr>
      <w:rFonts w:eastAsiaTheme="minorEastAsia" w:cs="Times LT Std"/>
      <w:color w:val="000000"/>
      <w:kern w:val="0"/>
      <w:sz w:val="20"/>
      <w:szCs w:val="18"/>
      <w:lang w:bidi="ar-SA"/>
    </w:rPr>
  </w:style>
  <w:style w:type="paragraph" w:customStyle="1" w:styleId="footnoteflush">
    <w:name w:val="footnote flush"/>
    <w:basedOn w:val="Normal"/>
    <w:autoRedefine/>
    <w:uiPriority w:val="99"/>
    <w:semiHidden/>
    <w:qFormat/>
    <w:rsid w:val="00A85C8E"/>
    <w:pPr>
      <w:widowControl w:val="0"/>
      <w:autoSpaceDE w:val="0"/>
      <w:autoSpaceDN w:val="0"/>
      <w:adjustRightInd w:val="0"/>
      <w:spacing w:before="0" w:after="0"/>
      <w:textAlignment w:val="center"/>
    </w:pPr>
    <w:rPr>
      <w:rFonts w:eastAsiaTheme="minorEastAsia" w:cs="ITC New Baskerville Std"/>
      <w:color w:val="000000"/>
      <w:kern w:val="0"/>
      <w:sz w:val="20"/>
      <w:szCs w:val="16"/>
      <w:lang w:bidi="ar-SA"/>
    </w:rPr>
  </w:style>
  <w:style w:type="paragraph" w:customStyle="1" w:styleId="footnoteindentpara">
    <w:name w:val="footnote indent / para"/>
    <w:basedOn w:val="footnoteindent"/>
    <w:autoRedefine/>
    <w:uiPriority w:val="99"/>
    <w:semiHidden/>
    <w:rsid w:val="00A85C8E"/>
    <w:pPr>
      <w:ind w:firstLine="720"/>
    </w:pPr>
    <w:rPr>
      <w:rFonts w:cs="Times LT Std"/>
      <w:szCs w:val="19"/>
    </w:rPr>
  </w:style>
  <w:style w:type="paragraph" w:customStyle="1" w:styleId="footnoteindentflush">
    <w:name w:val="footnote indent flush"/>
    <w:basedOn w:val="Normal"/>
    <w:autoRedefine/>
    <w:uiPriority w:val="99"/>
    <w:semiHidden/>
    <w:qFormat/>
    <w:rsid w:val="00A85C8E"/>
    <w:pPr>
      <w:widowControl w:val="0"/>
      <w:autoSpaceDE w:val="0"/>
      <w:autoSpaceDN w:val="0"/>
      <w:adjustRightInd w:val="0"/>
      <w:spacing w:before="40" w:after="40"/>
      <w:ind w:left="720"/>
      <w:textAlignment w:val="center"/>
    </w:pPr>
    <w:rPr>
      <w:rFonts w:eastAsiaTheme="minorEastAsia" w:cs="Times LT Std"/>
      <w:color w:val="000000"/>
      <w:kern w:val="0"/>
      <w:sz w:val="20"/>
      <w:szCs w:val="18"/>
      <w:lang w:bidi="ar-SA"/>
    </w:rPr>
  </w:style>
  <w:style w:type="paragraph" w:customStyle="1" w:styleId="footnoteindentparaindent">
    <w:name w:val="footnote indent para indent"/>
    <w:basedOn w:val="Normal"/>
    <w:autoRedefine/>
    <w:uiPriority w:val="99"/>
    <w:semiHidden/>
    <w:rsid w:val="00A85C8E"/>
    <w:pPr>
      <w:widowControl w:val="0"/>
      <w:autoSpaceDE w:val="0"/>
      <w:autoSpaceDN w:val="0"/>
      <w:adjustRightInd w:val="0"/>
      <w:spacing w:before="0" w:after="0"/>
      <w:ind w:left="720" w:firstLine="720"/>
      <w:textAlignment w:val="center"/>
    </w:pPr>
    <w:rPr>
      <w:rFonts w:eastAsiaTheme="minorEastAsia" w:cs="Times LT Std"/>
      <w:color w:val="000000"/>
      <w:kern w:val="0"/>
      <w:sz w:val="20"/>
      <w:szCs w:val="18"/>
      <w:lang w:bidi="ar-SA"/>
    </w:rPr>
  </w:style>
  <w:style w:type="paragraph" w:customStyle="1" w:styleId="footnoteindentwpara">
    <w:name w:val="footnote indent w/para"/>
    <w:basedOn w:val="footnoteindent"/>
    <w:autoRedefine/>
    <w:uiPriority w:val="99"/>
    <w:semiHidden/>
    <w:rsid w:val="00A85C8E"/>
  </w:style>
  <w:style w:type="paragraph" w:customStyle="1" w:styleId="footnoteindentwpnospace">
    <w:name w:val="footnote indent w/p no space"/>
    <w:basedOn w:val="footnoteindentwpara"/>
    <w:autoRedefine/>
    <w:uiPriority w:val="99"/>
    <w:semiHidden/>
    <w:rsid w:val="00A85C8E"/>
  </w:style>
  <w:style w:type="paragraph" w:customStyle="1" w:styleId="footnoteindentwpara0">
    <w:name w:val="footnote indent/w para"/>
    <w:basedOn w:val="Normal"/>
    <w:autoRedefine/>
    <w:uiPriority w:val="99"/>
    <w:semiHidden/>
    <w:rsid w:val="00A85C8E"/>
    <w:pPr>
      <w:widowControl w:val="0"/>
      <w:autoSpaceDE w:val="0"/>
      <w:autoSpaceDN w:val="0"/>
      <w:adjustRightInd w:val="0"/>
      <w:spacing w:before="0" w:after="0"/>
      <w:ind w:left="720" w:firstLine="720"/>
      <w:textAlignment w:val="center"/>
    </w:pPr>
    <w:rPr>
      <w:rFonts w:eastAsiaTheme="minorEastAsia" w:cs="Times LT Std"/>
      <w:color w:val="000000"/>
      <w:kern w:val="0"/>
      <w:sz w:val="20"/>
      <w:szCs w:val="18"/>
      <w:lang w:bidi="ar-SA"/>
    </w:rPr>
  </w:style>
  <w:style w:type="paragraph" w:customStyle="1" w:styleId="footnoteindent-p">
    <w:name w:val="footnote indent-p"/>
    <w:basedOn w:val="footnoteindent"/>
    <w:autoRedefine/>
    <w:uiPriority w:val="99"/>
    <w:semiHidden/>
    <w:rsid w:val="00A85C8E"/>
    <w:pPr>
      <w:ind w:firstLine="720"/>
    </w:pPr>
    <w:rPr>
      <w:rFonts w:cs="Times LT Std"/>
      <w:szCs w:val="18"/>
    </w:rPr>
  </w:style>
  <w:style w:type="paragraph" w:customStyle="1" w:styleId="footnotenl">
    <w:name w:val="footnote nl"/>
    <w:basedOn w:val="footnoteindent"/>
    <w:autoRedefine/>
    <w:uiPriority w:val="99"/>
    <w:semiHidden/>
    <w:qFormat/>
    <w:rsid w:val="00A85C8E"/>
    <w:pPr>
      <w:tabs>
        <w:tab w:val="left" w:pos="680"/>
      </w:tabs>
      <w:ind w:left="1032" w:hanging="312"/>
    </w:pPr>
  </w:style>
  <w:style w:type="paragraph" w:customStyle="1" w:styleId="footnotenlal">
    <w:name w:val="footnote nl/al"/>
    <w:basedOn w:val="footnotenl"/>
    <w:autoRedefine/>
    <w:uiPriority w:val="99"/>
    <w:semiHidden/>
    <w:qFormat/>
    <w:rsid w:val="00A85C8E"/>
    <w:pPr>
      <w:tabs>
        <w:tab w:val="left" w:pos="1040"/>
      </w:tabs>
      <w:ind w:left="1440" w:hanging="360"/>
    </w:pPr>
  </w:style>
  <w:style w:type="paragraph" w:customStyle="1" w:styleId="footnotenumberlist">
    <w:name w:val="footnote number list"/>
    <w:basedOn w:val="Normal"/>
    <w:autoRedefine/>
    <w:uiPriority w:val="99"/>
    <w:semiHidden/>
    <w:rsid w:val="00A85C8E"/>
    <w:pPr>
      <w:widowControl w:val="0"/>
      <w:tabs>
        <w:tab w:val="left" w:pos="600"/>
      </w:tabs>
      <w:autoSpaceDE w:val="0"/>
      <w:autoSpaceDN w:val="0"/>
      <w:adjustRightInd w:val="0"/>
      <w:spacing w:before="0" w:after="0"/>
      <w:ind w:left="960" w:hanging="240"/>
      <w:textAlignment w:val="center"/>
    </w:pPr>
    <w:rPr>
      <w:rFonts w:eastAsiaTheme="minorEastAsia" w:cs="Times LT Std"/>
      <w:color w:val="000000"/>
      <w:kern w:val="0"/>
      <w:sz w:val="20"/>
      <w:szCs w:val="18"/>
      <w:lang w:bidi="ar-SA"/>
    </w:rPr>
  </w:style>
  <w:style w:type="paragraph" w:customStyle="1" w:styleId="footnotenumberlist2ndlevel">
    <w:name w:val="footnote number list 2nd level"/>
    <w:basedOn w:val="footnotenumberlist"/>
    <w:autoRedefine/>
    <w:uiPriority w:val="99"/>
    <w:semiHidden/>
    <w:rsid w:val="00A85C8E"/>
    <w:pPr>
      <w:tabs>
        <w:tab w:val="clear" w:pos="600"/>
        <w:tab w:val="left" w:pos="1080"/>
      </w:tabs>
      <w:spacing w:before="40"/>
      <w:ind w:left="1440" w:hanging="360"/>
    </w:pPr>
    <w:rPr>
      <w:rFonts w:cs="NewCenturySchlbk"/>
    </w:rPr>
  </w:style>
  <w:style w:type="paragraph" w:customStyle="1" w:styleId="footnotenumberpl">
    <w:name w:val="footnote number pl"/>
    <w:basedOn w:val="Normal"/>
    <w:autoRedefine/>
    <w:uiPriority w:val="99"/>
    <w:semiHidden/>
    <w:rsid w:val="00A85C8E"/>
    <w:pPr>
      <w:widowControl w:val="0"/>
      <w:tabs>
        <w:tab w:val="left" w:pos="720"/>
      </w:tabs>
      <w:autoSpaceDE w:val="0"/>
      <w:autoSpaceDN w:val="0"/>
      <w:adjustRightInd w:val="0"/>
      <w:spacing w:before="0" w:after="0"/>
      <w:ind w:left="1080" w:hanging="360"/>
      <w:textAlignment w:val="center"/>
    </w:pPr>
    <w:rPr>
      <w:rFonts w:eastAsiaTheme="minorEastAsia" w:cs="Times LT Std"/>
      <w:color w:val="000000"/>
      <w:kern w:val="0"/>
      <w:sz w:val="20"/>
      <w:szCs w:val="18"/>
      <w:lang w:bidi="ar-SA"/>
    </w:rPr>
  </w:style>
  <w:style w:type="paragraph" w:customStyle="1" w:styleId="footnotepara0">
    <w:name w:val="footnote para"/>
    <w:basedOn w:val="footnote"/>
    <w:autoRedefine/>
    <w:uiPriority w:val="99"/>
    <w:semiHidden/>
    <w:rsid w:val="00A85C8E"/>
    <w:pPr>
      <w:autoSpaceDE w:val="0"/>
      <w:autoSpaceDN w:val="0"/>
      <w:adjustRightInd w:val="0"/>
      <w:textAlignment w:val="center"/>
    </w:pPr>
    <w:rPr>
      <w:rFonts w:cs="Times LT Std"/>
      <w:color w:val="000000"/>
      <w:szCs w:val="18"/>
    </w:rPr>
  </w:style>
  <w:style w:type="paragraph" w:customStyle="1" w:styleId="footnoteparaindent">
    <w:name w:val="footnote para indent"/>
    <w:basedOn w:val="Normal"/>
    <w:autoRedefine/>
    <w:uiPriority w:val="99"/>
    <w:semiHidden/>
    <w:qFormat/>
    <w:rsid w:val="00A85C8E"/>
    <w:pPr>
      <w:widowControl w:val="0"/>
      <w:autoSpaceDE w:val="0"/>
      <w:autoSpaceDN w:val="0"/>
      <w:adjustRightInd w:val="0"/>
      <w:spacing w:before="0" w:after="0"/>
      <w:ind w:firstLine="720"/>
      <w:textAlignment w:val="center"/>
    </w:pPr>
    <w:rPr>
      <w:rFonts w:eastAsiaTheme="minorEastAsia" w:cs="ITC New Baskerville Std"/>
      <w:color w:val="000000"/>
      <w:kern w:val="0"/>
      <w:sz w:val="20"/>
      <w:szCs w:val="16"/>
      <w:lang w:bidi="ar-SA"/>
    </w:rPr>
  </w:style>
  <w:style w:type="paragraph" w:customStyle="1" w:styleId="footnoteregpara">
    <w:name w:val="footnote reg para"/>
    <w:basedOn w:val="footnote"/>
    <w:autoRedefine/>
    <w:uiPriority w:val="99"/>
    <w:semiHidden/>
    <w:rsid w:val="00A85C8E"/>
    <w:pPr>
      <w:autoSpaceDE w:val="0"/>
      <w:autoSpaceDN w:val="0"/>
      <w:adjustRightInd w:val="0"/>
      <w:textAlignment w:val="center"/>
    </w:pPr>
    <w:rPr>
      <w:rFonts w:cs="ITC New Baskerville Std"/>
      <w:color w:val="000000"/>
      <w:szCs w:val="18"/>
    </w:rPr>
  </w:style>
  <w:style w:type="paragraph" w:customStyle="1" w:styleId="footnoteregparaindent">
    <w:name w:val="footnote reg para indent"/>
    <w:basedOn w:val="footnote"/>
    <w:autoRedefine/>
    <w:uiPriority w:val="99"/>
    <w:semiHidden/>
    <w:rsid w:val="00A85C8E"/>
    <w:pPr>
      <w:autoSpaceDE w:val="0"/>
      <w:autoSpaceDN w:val="0"/>
      <w:adjustRightInd w:val="0"/>
      <w:textAlignment w:val="center"/>
    </w:pPr>
    <w:rPr>
      <w:rFonts w:cs="Times LT Std"/>
      <w:color w:val="000000"/>
      <w:szCs w:val="18"/>
    </w:rPr>
  </w:style>
  <w:style w:type="paragraph" w:customStyle="1" w:styleId="footnoteregwpara">
    <w:name w:val="footnote reg w/para"/>
    <w:basedOn w:val="Normal"/>
    <w:autoRedefine/>
    <w:uiPriority w:val="99"/>
    <w:semiHidden/>
    <w:rsid w:val="00A85C8E"/>
    <w:pPr>
      <w:widowControl w:val="0"/>
      <w:autoSpaceDE w:val="0"/>
      <w:autoSpaceDN w:val="0"/>
      <w:adjustRightInd w:val="0"/>
      <w:spacing w:before="0" w:after="0"/>
      <w:ind w:firstLine="720"/>
      <w:textAlignment w:val="center"/>
    </w:pPr>
    <w:rPr>
      <w:rFonts w:eastAsiaTheme="minorEastAsia" w:cs="Times LT Std"/>
      <w:color w:val="000000"/>
      <w:kern w:val="0"/>
      <w:sz w:val="20"/>
      <w:szCs w:val="16"/>
      <w:lang w:bidi="ar-SA"/>
    </w:rPr>
  </w:style>
  <w:style w:type="paragraph" w:customStyle="1" w:styleId="footnoteregular">
    <w:name w:val="footnote regular"/>
    <w:basedOn w:val="footnote"/>
    <w:autoRedefine/>
    <w:uiPriority w:val="99"/>
    <w:semiHidden/>
    <w:rsid w:val="00A85C8E"/>
    <w:pPr>
      <w:autoSpaceDE w:val="0"/>
      <w:autoSpaceDN w:val="0"/>
      <w:adjustRightInd w:val="0"/>
      <w:textAlignment w:val="center"/>
    </w:pPr>
    <w:rPr>
      <w:rFonts w:cs="ITC New Baskerville Std"/>
      <w:color w:val="000000"/>
      <w:szCs w:val="16"/>
    </w:rPr>
  </w:style>
  <w:style w:type="paragraph" w:customStyle="1" w:styleId="footnotewithpara">
    <w:name w:val="footnote with para"/>
    <w:basedOn w:val="footnote"/>
    <w:autoRedefine/>
    <w:uiPriority w:val="99"/>
    <w:semiHidden/>
    <w:rsid w:val="00A85C8E"/>
    <w:pPr>
      <w:autoSpaceDE w:val="0"/>
      <w:autoSpaceDN w:val="0"/>
      <w:adjustRightInd w:val="0"/>
      <w:jc w:val="both"/>
      <w:textAlignment w:val="center"/>
    </w:pPr>
    <w:rPr>
      <w:rFonts w:cs="NewCenturySchlbk"/>
      <w:color w:val="000000"/>
      <w:szCs w:val="16"/>
    </w:rPr>
  </w:style>
  <w:style w:type="paragraph" w:customStyle="1" w:styleId="footnotewithparaident">
    <w:name w:val="footnote with para ident"/>
    <w:basedOn w:val="footnoteflush"/>
    <w:autoRedefine/>
    <w:uiPriority w:val="99"/>
    <w:semiHidden/>
    <w:rsid w:val="00A85C8E"/>
    <w:pPr>
      <w:ind w:firstLine="720"/>
    </w:pPr>
    <w:rPr>
      <w:rFonts w:cs="Times LT Std"/>
      <w:szCs w:val="19"/>
    </w:rPr>
  </w:style>
  <w:style w:type="paragraph" w:customStyle="1" w:styleId="hangtext">
    <w:name w:val="hang text"/>
    <w:basedOn w:val="text"/>
    <w:autoRedefine/>
    <w:uiPriority w:val="99"/>
    <w:semiHidden/>
    <w:rsid w:val="00A85C8E"/>
    <w:pPr>
      <w:widowControl w:val="0"/>
      <w:autoSpaceDE w:val="0"/>
      <w:autoSpaceDN w:val="0"/>
      <w:adjustRightInd w:val="0"/>
      <w:ind w:left="439" w:hanging="439"/>
      <w:jc w:val="both"/>
      <w:textAlignment w:val="center"/>
    </w:pPr>
    <w:rPr>
      <w:rFonts w:eastAsiaTheme="minorEastAsia" w:cs="NewCenturySchlbk"/>
      <w:color w:val="000000"/>
      <w:szCs w:val="22"/>
    </w:rPr>
  </w:style>
  <w:style w:type="paragraph" w:customStyle="1" w:styleId="hangingblurb">
    <w:name w:val="hanging blurb"/>
    <w:basedOn w:val="text"/>
    <w:autoRedefine/>
    <w:uiPriority w:val="99"/>
    <w:semiHidden/>
    <w:rsid w:val="00A85C8E"/>
    <w:pPr>
      <w:widowControl w:val="0"/>
      <w:tabs>
        <w:tab w:val="clear" w:pos="0"/>
        <w:tab w:val="clear" w:pos="720"/>
        <w:tab w:val="clear" w:pos="2160"/>
        <w:tab w:val="clear" w:pos="2880"/>
        <w:tab w:val="clear" w:pos="3600"/>
        <w:tab w:val="clear" w:pos="4320"/>
        <w:tab w:val="clear" w:pos="5040"/>
        <w:tab w:val="clear" w:pos="5760"/>
      </w:tabs>
      <w:autoSpaceDE w:val="0"/>
      <w:autoSpaceDN w:val="0"/>
      <w:adjustRightInd w:val="0"/>
      <w:ind w:left="1680" w:hanging="1680"/>
      <w:textAlignment w:val="center"/>
    </w:pPr>
    <w:rPr>
      <w:rFonts w:eastAsiaTheme="minorEastAsia" w:cs="ITC New Baskerville Std"/>
      <w:color w:val="000000"/>
      <w:szCs w:val="22"/>
    </w:rPr>
  </w:style>
  <w:style w:type="paragraph" w:customStyle="1" w:styleId="ItalicHead">
    <w:name w:val="Italic Head"/>
    <w:basedOn w:val="text"/>
    <w:autoRedefine/>
    <w:uiPriority w:val="99"/>
    <w:semiHidden/>
    <w:rsid w:val="00A85C8E"/>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i/>
      <w:iCs/>
      <w:color w:val="000000"/>
      <w:szCs w:val="22"/>
    </w:rPr>
  </w:style>
  <w:style w:type="paragraph" w:customStyle="1" w:styleId="italichead0">
    <w:name w:val="italic head +/+"/>
    <w:basedOn w:val="Normal"/>
    <w:autoRedefine/>
    <w:uiPriority w:val="99"/>
    <w:semiHidden/>
    <w:rsid w:val="00A85C8E"/>
    <w:pPr>
      <w:widowControl w:val="0"/>
      <w:tabs>
        <w:tab w:val="left" w:pos="480"/>
      </w:tabs>
      <w:suppressAutoHyphens/>
      <w:autoSpaceDE w:val="0"/>
      <w:autoSpaceDN w:val="0"/>
      <w:adjustRightInd w:val="0"/>
      <w:spacing w:after="240"/>
      <w:ind w:left="480" w:hanging="480"/>
      <w:textAlignment w:val="center"/>
    </w:pPr>
    <w:rPr>
      <w:rFonts w:eastAsiaTheme="minorEastAsia" w:cs="Times LT Std"/>
      <w:i/>
      <w:iCs/>
      <w:color w:val="000000"/>
      <w:kern w:val="0"/>
      <w:szCs w:val="22"/>
      <w:lang w:bidi="ar-SA"/>
    </w:rPr>
  </w:style>
  <w:style w:type="paragraph" w:customStyle="1" w:styleId="l1">
    <w:name w:val="l1"/>
    <w:basedOn w:val="Normal"/>
    <w:autoRedefine/>
    <w:uiPriority w:val="99"/>
    <w:semiHidden/>
    <w:rsid w:val="00A85C8E"/>
    <w:pPr>
      <w:keepNext/>
      <w:widowControl w:val="0"/>
      <w:suppressAutoHyphens/>
      <w:autoSpaceDE w:val="0"/>
      <w:autoSpaceDN w:val="0"/>
      <w:adjustRightInd w:val="0"/>
      <w:spacing w:before="480" w:after="240"/>
      <w:ind w:firstLine="720"/>
      <w:jc w:val="center"/>
      <w:textAlignment w:val="center"/>
    </w:pPr>
    <w:rPr>
      <w:rFonts w:eastAsiaTheme="minorEastAsia" w:cs="Times SC"/>
      <w:smallCaps/>
      <w:color w:val="000000"/>
      <w:kern w:val="0"/>
      <w:szCs w:val="22"/>
      <w:lang w:bidi="ar-SA"/>
    </w:rPr>
  </w:style>
  <w:style w:type="paragraph" w:customStyle="1" w:styleId="l1-ct">
    <w:name w:val="l1-ct"/>
    <w:basedOn w:val="l1"/>
    <w:autoRedefine/>
    <w:uiPriority w:val="99"/>
    <w:semiHidden/>
    <w:rsid w:val="00A85C8E"/>
    <w:pPr>
      <w:spacing w:before="0"/>
      <w:contextualSpacing/>
    </w:pPr>
    <w:rPr>
      <w:szCs w:val="24"/>
    </w:rPr>
  </w:style>
  <w:style w:type="paragraph" w:customStyle="1" w:styleId="l2">
    <w:name w:val="l2"/>
    <w:basedOn w:val="Normal"/>
    <w:autoRedefine/>
    <w:uiPriority w:val="99"/>
    <w:semiHidden/>
    <w:rsid w:val="00A85C8E"/>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b/>
      <w:bCs/>
      <w:color w:val="000000"/>
      <w:kern w:val="0"/>
      <w:szCs w:val="22"/>
      <w:lang w:bidi="ar-SA"/>
    </w:rPr>
  </w:style>
  <w:style w:type="paragraph" w:customStyle="1" w:styleId="l2-1">
    <w:name w:val="l2-1"/>
    <w:basedOn w:val="l2"/>
    <w:autoRedefine/>
    <w:uiPriority w:val="99"/>
    <w:semiHidden/>
    <w:rsid w:val="00A85C8E"/>
    <w:pPr>
      <w:spacing w:before="0"/>
    </w:pPr>
  </w:style>
  <w:style w:type="paragraph" w:customStyle="1" w:styleId="l3">
    <w:name w:val="l3"/>
    <w:basedOn w:val="Normal"/>
    <w:autoRedefine/>
    <w:uiPriority w:val="99"/>
    <w:semiHidden/>
    <w:rsid w:val="00A85C8E"/>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i/>
      <w:iCs/>
      <w:color w:val="000000"/>
      <w:kern w:val="0"/>
      <w:szCs w:val="22"/>
      <w:lang w:bidi="ar-SA"/>
    </w:rPr>
  </w:style>
  <w:style w:type="paragraph" w:customStyle="1" w:styleId="l3-2">
    <w:name w:val="l3-2"/>
    <w:basedOn w:val="l3"/>
    <w:autoRedefine/>
    <w:uiPriority w:val="99"/>
    <w:semiHidden/>
    <w:rsid w:val="00A85C8E"/>
    <w:pPr>
      <w:spacing w:before="0"/>
    </w:pPr>
  </w:style>
  <w:style w:type="paragraph" w:customStyle="1" w:styleId="l4">
    <w:name w:val="l4"/>
    <w:basedOn w:val="Normal"/>
    <w:autoRedefine/>
    <w:uiPriority w:val="99"/>
    <w:semiHidden/>
    <w:rsid w:val="00A85C8E"/>
    <w:pPr>
      <w:keepNext/>
      <w:widowControl w:val="0"/>
      <w:tabs>
        <w:tab w:val="left" w:pos="881"/>
      </w:tabs>
      <w:suppressAutoHyphens/>
      <w:autoSpaceDE w:val="0"/>
      <w:autoSpaceDN w:val="0"/>
      <w:adjustRightInd w:val="0"/>
      <w:spacing w:after="240"/>
      <w:ind w:left="799" w:hanging="360"/>
      <w:textAlignment w:val="center"/>
    </w:pPr>
    <w:rPr>
      <w:rFonts w:eastAsiaTheme="minorEastAsia" w:cs="Times LT Std"/>
      <w:i/>
      <w:iCs/>
      <w:color w:val="000000"/>
      <w:kern w:val="0"/>
      <w:szCs w:val="22"/>
      <w:lang w:bidi="ar-SA"/>
    </w:rPr>
  </w:style>
  <w:style w:type="paragraph" w:customStyle="1" w:styleId="l4-3">
    <w:name w:val="l4-3"/>
    <w:basedOn w:val="l4"/>
    <w:autoRedefine/>
    <w:uiPriority w:val="99"/>
    <w:semiHidden/>
    <w:rsid w:val="00A85C8E"/>
    <w:pPr>
      <w:tabs>
        <w:tab w:val="clear" w:pos="881"/>
      </w:tabs>
      <w:spacing w:before="0"/>
    </w:pPr>
  </w:style>
  <w:style w:type="paragraph" w:customStyle="1" w:styleId="l5">
    <w:name w:val="l5"/>
    <w:basedOn w:val="l4"/>
    <w:autoRedefine/>
    <w:uiPriority w:val="99"/>
    <w:semiHidden/>
    <w:rsid w:val="00A85C8E"/>
    <w:pPr>
      <w:tabs>
        <w:tab w:val="left" w:pos="1240"/>
      </w:tabs>
      <w:ind w:left="1241"/>
    </w:pPr>
  </w:style>
  <w:style w:type="paragraph" w:customStyle="1" w:styleId="l5-4">
    <w:name w:val="l5-4"/>
    <w:basedOn w:val="Normal"/>
    <w:autoRedefine/>
    <w:uiPriority w:val="99"/>
    <w:semiHidden/>
    <w:rsid w:val="00A85C8E"/>
    <w:pPr>
      <w:keepNext/>
      <w:widowControl w:val="0"/>
      <w:tabs>
        <w:tab w:val="left" w:pos="1240"/>
      </w:tabs>
      <w:suppressAutoHyphens/>
      <w:autoSpaceDE w:val="0"/>
      <w:autoSpaceDN w:val="0"/>
      <w:adjustRightInd w:val="0"/>
      <w:spacing w:before="0" w:after="240"/>
      <w:ind w:left="1241" w:hanging="360"/>
      <w:textAlignment w:val="center"/>
    </w:pPr>
    <w:rPr>
      <w:rFonts w:eastAsiaTheme="minorEastAsia" w:cs="Times LT Std"/>
      <w:i/>
      <w:iCs/>
      <w:color w:val="000000"/>
      <w:kern w:val="0"/>
      <w:szCs w:val="22"/>
      <w:lang w:bidi="ar-SA"/>
    </w:rPr>
  </w:style>
  <w:style w:type="paragraph" w:customStyle="1" w:styleId="L6">
    <w:name w:val="L6"/>
    <w:basedOn w:val="l5"/>
    <w:autoRedefine/>
    <w:uiPriority w:val="99"/>
    <w:semiHidden/>
    <w:rsid w:val="00A85C8E"/>
    <w:pPr>
      <w:tabs>
        <w:tab w:val="clear" w:pos="881"/>
        <w:tab w:val="left" w:pos="1680"/>
      </w:tabs>
      <w:ind w:left="1680" w:hanging="480"/>
    </w:pPr>
    <w:rPr>
      <w:szCs w:val="24"/>
    </w:rPr>
  </w:style>
  <w:style w:type="paragraph" w:customStyle="1" w:styleId="l60">
    <w:name w:val="l6"/>
    <w:basedOn w:val="text"/>
    <w:autoRedefine/>
    <w:semiHidden/>
    <w:qFormat/>
    <w:rsid w:val="00A85C8E"/>
    <w:pPr>
      <w:tabs>
        <w:tab w:val="left" w:pos="2040"/>
      </w:tabs>
      <w:spacing w:before="240" w:after="240"/>
      <w:ind w:left="840" w:hanging="480"/>
    </w:pPr>
    <w:rPr>
      <w:i/>
    </w:rPr>
  </w:style>
  <w:style w:type="paragraph" w:customStyle="1" w:styleId="Level1Head10">
    <w:name w:val="Level 1 Head (10)"/>
    <w:basedOn w:val="Normal"/>
    <w:autoRedefine/>
    <w:uiPriority w:val="99"/>
    <w:semiHidden/>
    <w:rsid w:val="00A85C8E"/>
    <w:pPr>
      <w:keepNext/>
      <w:widowControl w:val="0"/>
      <w:tabs>
        <w:tab w:val="left" w:pos="720"/>
      </w:tabs>
      <w:suppressAutoHyphens/>
      <w:autoSpaceDE w:val="0"/>
      <w:autoSpaceDN w:val="0"/>
      <w:adjustRightInd w:val="0"/>
      <w:spacing w:before="480" w:after="360"/>
      <w:ind w:left="720" w:hanging="720"/>
      <w:textAlignment w:val="center"/>
    </w:pPr>
    <w:rPr>
      <w:rFonts w:eastAsiaTheme="minorEastAsia" w:cs="NewCenturySchlbk"/>
      <w:b/>
      <w:bCs/>
      <w:color w:val="000000"/>
      <w:kern w:val="0"/>
      <w:lang w:bidi="ar-SA"/>
    </w:rPr>
  </w:style>
  <w:style w:type="paragraph" w:customStyle="1" w:styleId="Level21">
    <w:name w:val="Level 2 / 1"/>
    <w:basedOn w:val="Normal"/>
    <w:autoRedefine/>
    <w:uiPriority w:val="99"/>
    <w:semiHidden/>
    <w:rsid w:val="00A85C8E"/>
    <w:pPr>
      <w:keepNext/>
      <w:widowControl w:val="0"/>
      <w:tabs>
        <w:tab w:val="left" w:pos="480"/>
      </w:tabs>
      <w:suppressAutoHyphens/>
      <w:autoSpaceDE w:val="0"/>
      <w:autoSpaceDN w:val="0"/>
      <w:adjustRightInd w:val="0"/>
      <w:spacing w:before="0" w:after="240"/>
      <w:ind w:left="480" w:hanging="480"/>
      <w:textAlignment w:val="center"/>
    </w:pPr>
    <w:rPr>
      <w:rFonts w:eastAsiaTheme="minorEastAsia" w:cs="NewCenturySchlbk"/>
      <w:b/>
      <w:bCs/>
      <w:i/>
      <w:iCs/>
      <w:color w:val="000000"/>
      <w:kern w:val="0"/>
      <w:szCs w:val="22"/>
      <w:lang w:bidi="ar-SA"/>
    </w:rPr>
  </w:style>
  <w:style w:type="paragraph" w:customStyle="1" w:styleId="Level2Head">
    <w:name w:val="Level 2 Head"/>
    <w:basedOn w:val="Normal"/>
    <w:autoRedefine/>
    <w:uiPriority w:val="99"/>
    <w:semiHidden/>
    <w:rsid w:val="00A85C8E"/>
    <w:pPr>
      <w:keepNext/>
      <w:widowControl w:val="0"/>
      <w:tabs>
        <w:tab w:val="left" w:pos="480"/>
      </w:tabs>
      <w:suppressAutoHyphens/>
      <w:autoSpaceDE w:val="0"/>
      <w:autoSpaceDN w:val="0"/>
      <w:adjustRightInd w:val="0"/>
      <w:spacing w:before="360" w:after="240"/>
      <w:ind w:left="480" w:hanging="480"/>
      <w:textAlignment w:val="center"/>
    </w:pPr>
    <w:rPr>
      <w:rFonts w:eastAsiaTheme="minorEastAsia" w:cs="NewCenturySchlbk"/>
      <w:b/>
      <w:bCs/>
      <w:i/>
      <w:iCs/>
      <w:color w:val="000000"/>
      <w:kern w:val="0"/>
      <w:szCs w:val="22"/>
      <w:lang w:bidi="ar-SA"/>
    </w:rPr>
  </w:style>
  <w:style w:type="paragraph" w:customStyle="1" w:styleId="Level3Head">
    <w:name w:val="Level 3 Head"/>
    <w:basedOn w:val="Normal"/>
    <w:autoRedefine/>
    <w:uiPriority w:val="99"/>
    <w:semiHidden/>
    <w:rsid w:val="00A85C8E"/>
    <w:pPr>
      <w:keepNext/>
      <w:widowControl w:val="0"/>
      <w:tabs>
        <w:tab w:val="left" w:pos="920"/>
      </w:tabs>
      <w:suppressAutoHyphens/>
      <w:autoSpaceDE w:val="0"/>
      <w:autoSpaceDN w:val="0"/>
      <w:adjustRightInd w:val="0"/>
      <w:spacing w:after="240"/>
      <w:ind w:left="919" w:hanging="480"/>
      <w:textAlignment w:val="center"/>
    </w:pPr>
    <w:rPr>
      <w:rFonts w:eastAsiaTheme="minorEastAsia" w:cs="NewCenturySchlbk"/>
      <w:i/>
      <w:iCs/>
      <w:color w:val="000000"/>
      <w:kern w:val="0"/>
      <w:szCs w:val="22"/>
      <w:lang w:bidi="ar-SA"/>
    </w:rPr>
  </w:style>
  <w:style w:type="paragraph" w:customStyle="1" w:styleId="Level32">
    <w:name w:val="Level 3 / 2"/>
    <w:basedOn w:val="Level3Head"/>
    <w:autoRedefine/>
    <w:uiPriority w:val="99"/>
    <w:semiHidden/>
    <w:rsid w:val="00A85C8E"/>
    <w:pPr>
      <w:spacing w:before="0"/>
    </w:pPr>
  </w:style>
  <w:style w:type="paragraph" w:customStyle="1" w:styleId="Level4Head">
    <w:name w:val="Level 4 Head"/>
    <w:basedOn w:val="text"/>
    <w:autoRedefine/>
    <w:uiPriority w:val="99"/>
    <w:semiHidden/>
    <w:rsid w:val="00A85C8E"/>
    <w:pPr>
      <w:keepNext/>
      <w:widowControl w:val="0"/>
      <w:tabs>
        <w:tab w:val="clear" w:pos="0"/>
        <w:tab w:val="clear" w:pos="720"/>
        <w:tab w:val="clear" w:pos="1440"/>
        <w:tab w:val="clear" w:pos="2160"/>
        <w:tab w:val="clear" w:pos="2880"/>
        <w:tab w:val="clear" w:pos="3600"/>
        <w:tab w:val="clear" w:pos="4320"/>
        <w:tab w:val="clear" w:pos="5040"/>
        <w:tab w:val="clear" w:pos="5760"/>
        <w:tab w:val="left" w:pos="920"/>
      </w:tabs>
      <w:suppressAutoHyphens/>
      <w:autoSpaceDE w:val="0"/>
      <w:autoSpaceDN w:val="0"/>
      <w:adjustRightInd w:val="0"/>
      <w:spacing w:before="240" w:after="240"/>
      <w:ind w:left="919" w:hanging="480"/>
      <w:textAlignment w:val="center"/>
    </w:pPr>
    <w:rPr>
      <w:rFonts w:eastAsiaTheme="minorEastAsia" w:cs="NewCenturySchlbk"/>
      <w:i/>
      <w:iCs/>
      <w:color w:val="000000"/>
      <w:szCs w:val="22"/>
    </w:rPr>
  </w:style>
  <w:style w:type="paragraph" w:customStyle="1" w:styleId="Level43">
    <w:name w:val="Level 4/3"/>
    <w:basedOn w:val="Level4Head"/>
    <w:autoRedefine/>
    <w:uiPriority w:val="99"/>
    <w:semiHidden/>
    <w:rsid w:val="00A85C8E"/>
    <w:pPr>
      <w:spacing w:before="0"/>
    </w:pPr>
  </w:style>
  <w:style w:type="paragraph" w:customStyle="1" w:styleId="Level5D">
    <w:name w:val="Level 5 (D)"/>
    <w:basedOn w:val="Level4Head"/>
    <w:autoRedefine/>
    <w:uiPriority w:val="99"/>
    <w:semiHidden/>
    <w:rsid w:val="00A85C8E"/>
    <w:pPr>
      <w:ind w:left="1399"/>
    </w:pPr>
  </w:style>
  <w:style w:type="paragraph" w:customStyle="1" w:styleId="Level6i">
    <w:name w:val="Level 6 (i)"/>
    <w:basedOn w:val="Level5D"/>
    <w:autoRedefine/>
    <w:uiPriority w:val="99"/>
    <w:semiHidden/>
    <w:rsid w:val="00A85C8E"/>
    <w:pPr>
      <w:tabs>
        <w:tab w:val="left" w:pos="1880"/>
      </w:tabs>
      <w:ind w:left="1879"/>
    </w:pPr>
  </w:style>
  <w:style w:type="paragraph" w:customStyle="1" w:styleId="namecentered">
    <w:name w:val="name centered"/>
    <w:basedOn w:val="Normal"/>
    <w:autoRedefine/>
    <w:uiPriority w:val="99"/>
    <w:semiHidden/>
    <w:rsid w:val="00A85C8E"/>
    <w:pPr>
      <w:widowControl w:val="0"/>
      <w:suppressAutoHyphens/>
      <w:autoSpaceDE w:val="0"/>
      <w:autoSpaceDN w:val="0"/>
      <w:adjustRightInd w:val="0"/>
      <w:spacing w:after="0"/>
      <w:ind w:left="221" w:hanging="221"/>
      <w:jc w:val="center"/>
      <w:textAlignment w:val="center"/>
    </w:pPr>
    <w:rPr>
      <w:rFonts w:ascii="Times New Roman Bold" w:eastAsiaTheme="minorEastAsia" w:hAnsi="Times New Roman Bold" w:cs="Times SC"/>
      <w:b/>
      <w:bCs/>
      <w:smallCaps/>
      <w:color w:val="000000"/>
      <w:kern w:val="0"/>
      <w:sz w:val="23"/>
      <w:szCs w:val="23"/>
      <w:lang w:bidi="ar-SA"/>
    </w:rPr>
  </w:style>
  <w:style w:type="paragraph" w:customStyle="1" w:styleId="ntblockindentnoparaindent">
    <w:name w:val="nt block indent (no para indent)"/>
    <w:basedOn w:val="footnote"/>
    <w:autoRedefine/>
    <w:uiPriority w:val="99"/>
    <w:semiHidden/>
    <w:rsid w:val="00A85C8E"/>
    <w:pPr>
      <w:autoSpaceDE w:val="0"/>
      <w:autoSpaceDN w:val="0"/>
      <w:adjustRightInd w:val="0"/>
      <w:ind w:left="720" w:firstLine="0"/>
      <w:jc w:val="both"/>
      <w:textAlignment w:val="center"/>
    </w:pPr>
    <w:rPr>
      <w:rFonts w:cs="NewCenturySchlbk"/>
      <w:color w:val="000000"/>
      <w:szCs w:val="18"/>
    </w:rPr>
  </w:style>
  <w:style w:type="paragraph" w:customStyle="1" w:styleId="ntflush">
    <w:name w:val="nt flush"/>
    <w:basedOn w:val="footnote"/>
    <w:autoRedefine/>
    <w:uiPriority w:val="99"/>
    <w:semiHidden/>
    <w:rsid w:val="00A85C8E"/>
    <w:pPr>
      <w:autoSpaceDE w:val="0"/>
      <w:autoSpaceDN w:val="0"/>
      <w:adjustRightInd w:val="0"/>
      <w:ind w:firstLine="0"/>
      <w:jc w:val="both"/>
      <w:textAlignment w:val="center"/>
    </w:pPr>
    <w:rPr>
      <w:rFonts w:cs="NewCenturySchlbk"/>
      <w:color w:val="000000"/>
      <w:szCs w:val="18"/>
    </w:rPr>
  </w:style>
  <w:style w:type="paragraph" w:customStyle="1" w:styleId="ntindent">
    <w:name w:val="nt indent"/>
    <w:basedOn w:val="footnote"/>
    <w:autoRedefine/>
    <w:uiPriority w:val="99"/>
    <w:semiHidden/>
    <w:rsid w:val="00A85C8E"/>
    <w:pPr>
      <w:autoSpaceDE w:val="0"/>
      <w:autoSpaceDN w:val="0"/>
      <w:adjustRightInd w:val="0"/>
      <w:ind w:left="720" w:firstLine="0"/>
      <w:textAlignment w:val="center"/>
    </w:pPr>
    <w:rPr>
      <w:rFonts w:cs="Times LT Std"/>
      <w:color w:val="000000"/>
      <w:szCs w:val="18"/>
    </w:rPr>
  </w:style>
  <w:style w:type="paragraph" w:customStyle="1" w:styleId="ntnumberlist">
    <w:name w:val="nt number list"/>
    <w:basedOn w:val="Normal"/>
    <w:autoRedefine/>
    <w:uiPriority w:val="99"/>
    <w:semiHidden/>
    <w:rsid w:val="00A85C8E"/>
    <w:pPr>
      <w:widowControl w:val="0"/>
      <w:tabs>
        <w:tab w:val="left" w:pos="600"/>
      </w:tabs>
      <w:autoSpaceDE w:val="0"/>
      <w:autoSpaceDN w:val="0"/>
      <w:adjustRightInd w:val="0"/>
      <w:spacing w:before="0" w:after="0"/>
      <w:ind w:left="960" w:hanging="240"/>
      <w:textAlignment w:val="center"/>
    </w:pPr>
    <w:rPr>
      <w:rFonts w:eastAsiaTheme="minorEastAsia" w:cs="Times LT Std"/>
      <w:color w:val="000000"/>
      <w:kern w:val="0"/>
      <w:sz w:val="20"/>
      <w:szCs w:val="18"/>
      <w:lang w:bidi="ar-SA"/>
    </w:rPr>
  </w:style>
  <w:style w:type="paragraph" w:customStyle="1" w:styleId="ntpara">
    <w:name w:val="nt para"/>
    <w:basedOn w:val="ntblockindentnoparaindent"/>
    <w:autoRedefine/>
    <w:uiPriority w:val="99"/>
    <w:semiHidden/>
    <w:rsid w:val="00A85C8E"/>
    <w:pPr>
      <w:ind w:left="0" w:firstLine="720"/>
      <w:jc w:val="left"/>
    </w:pPr>
  </w:style>
  <w:style w:type="paragraph" w:customStyle="1" w:styleId="ntregpara">
    <w:name w:val="nt reg para"/>
    <w:basedOn w:val="Normal"/>
    <w:autoRedefine/>
    <w:uiPriority w:val="99"/>
    <w:semiHidden/>
    <w:rsid w:val="00A85C8E"/>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before="0" w:after="0"/>
      <w:ind w:firstLine="720"/>
      <w:jc w:val="both"/>
      <w:textAlignment w:val="center"/>
    </w:pPr>
    <w:rPr>
      <w:rFonts w:eastAsiaTheme="minorEastAsia" w:cs="Times LT Std"/>
      <w:color w:val="000000"/>
      <w:kern w:val="0"/>
      <w:sz w:val="20"/>
      <w:szCs w:val="18"/>
      <w:lang w:bidi="ar-SA"/>
    </w:rPr>
  </w:style>
  <w:style w:type="paragraph" w:customStyle="1" w:styleId="nt-indent">
    <w:name w:val="nt-indent"/>
    <w:basedOn w:val="footnote"/>
    <w:autoRedefine/>
    <w:uiPriority w:val="99"/>
    <w:semiHidden/>
    <w:rsid w:val="00A85C8E"/>
    <w:pPr>
      <w:autoSpaceDE w:val="0"/>
      <w:autoSpaceDN w:val="0"/>
      <w:adjustRightInd w:val="0"/>
      <w:ind w:left="720" w:firstLine="0"/>
      <w:textAlignment w:val="center"/>
    </w:pPr>
    <w:rPr>
      <w:rFonts w:cs="Times LT Std"/>
      <w:color w:val="000000"/>
      <w:szCs w:val="16"/>
    </w:rPr>
  </w:style>
  <w:style w:type="paragraph" w:customStyle="1" w:styleId="Numberlist">
    <w:name w:val="Number list"/>
    <w:basedOn w:val="Normal"/>
    <w:autoRedefine/>
    <w:uiPriority w:val="99"/>
    <w:semiHidden/>
    <w:rsid w:val="00A85C8E"/>
    <w:pPr>
      <w:widowControl w:val="0"/>
      <w:tabs>
        <w:tab w:val="left" w:pos="800"/>
      </w:tabs>
      <w:autoSpaceDE w:val="0"/>
      <w:autoSpaceDN w:val="0"/>
      <w:adjustRightInd w:val="0"/>
      <w:spacing w:before="0" w:after="0"/>
      <w:ind w:left="919" w:hanging="480"/>
      <w:jc w:val="both"/>
      <w:textAlignment w:val="center"/>
    </w:pPr>
    <w:rPr>
      <w:rFonts w:eastAsiaTheme="minorEastAsia" w:cs="ITC New Baskerville Std"/>
      <w:color w:val="000000"/>
      <w:kern w:val="0"/>
      <w:szCs w:val="22"/>
      <w:lang w:bidi="ar-SA"/>
    </w:rPr>
  </w:style>
  <w:style w:type="paragraph" w:customStyle="1" w:styleId="numberlistplstart">
    <w:name w:val="number list pl_start"/>
    <w:basedOn w:val="Normal"/>
    <w:autoRedefine/>
    <w:semiHidden/>
    <w:qFormat/>
    <w:rsid w:val="00A85C8E"/>
    <w:pPr>
      <w:tabs>
        <w:tab w:val="left" w:pos="919"/>
      </w:tabs>
      <w:spacing w:after="0"/>
      <w:ind w:left="919" w:hanging="480"/>
    </w:pPr>
    <w:rPr>
      <w:rFonts w:eastAsiaTheme="minorEastAsia" w:cs="NewCenturySchlbk"/>
      <w:color w:val="000000"/>
      <w:kern w:val="0"/>
      <w:szCs w:val="22"/>
      <w:lang w:bidi="ar-SA"/>
    </w:rPr>
  </w:style>
  <w:style w:type="paragraph" w:customStyle="1" w:styleId="numberlist0">
    <w:name w:val="number list"/>
    <w:basedOn w:val="numberlistplstart"/>
    <w:autoRedefine/>
    <w:uiPriority w:val="99"/>
    <w:semiHidden/>
    <w:qFormat/>
    <w:rsid w:val="00A85C8E"/>
    <w:pPr>
      <w:spacing w:before="0"/>
    </w:pPr>
  </w:style>
  <w:style w:type="paragraph" w:customStyle="1" w:styleId="numberlistplend">
    <w:name w:val="number list pl end"/>
    <w:basedOn w:val="Normal"/>
    <w:autoRedefine/>
    <w:uiPriority w:val="99"/>
    <w:semiHidden/>
    <w:rsid w:val="00A85C8E"/>
    <w:pPr>
      <w:tabs>
        <w:tab w:val="left" w:pos="919"/>
      </w:tabs>
      <w:spacing w:before="0" w:after="240"/>
      <w:ind w:left="919" w:hanging="480"/>
    </w:pPr>
    <w:rPr>
      <w:rFonts w:eastAsiaTheme="minorEastAsia"/>
      <w:kern w:val="0"/>
      <w:szCs w:val="22"/>
      <w:lang w:bidi="ar-SA"/>
    </w:rPr>
  </w:style>
  <w:style w:type="paragraph" w:customStyle="1" w:styleId="numberlistend">
    <w:name w:val="number list end"/>
    <w:basedOn w:val="numberlistplend"/>
    <w:autoRedefine/>
    <w:uiPriority w:val="99"/>
    <w:semiHidden/>
    <w:qFormat/>
    <w:rsid w:val="00A85C8E"/>
  </w:style>
  <w:style w:type="paragraph" w:customStyle="1" w:styleId="numberlistpl">
    <w:name w:val="number list pl"/>
    <w:basedOn w:val="Normal"/>
    <w:autoRedefine/>
    <w:uiPriority w:val="99"/>
    <w:semiHidden/>
    <w:qFormat/>
    <w:rsid w:val="00A85C8E"/>
    <w:pPr>
      <w:widowControl w:val="0"/>
      <w:tabs>
        <w:tab w:val="left" w:pos="920"/>
      </w:tabs>
      <w:autoSpaceDE w:val="0"/>
      <w:autoSpaceDN w:val="0"/>
      <w:adjustRightInd w:val="0"/>
      <w:spacing w:before="0" w:after="0"/>
      <w:ind w:left="919" w:hanging="480"/>
      <w:textAlignment w:val="center"/>
    </w:pPr>
    <w:rPr>
      <w:rFonts w:eastAsiaTheme="minorEastAsia" w:cs="ITC New Baskerville Std"/>
      <w:color w:val="000000"/>
      <w:kern w:val="0"/>
      <w:szCs w:val="22"/>
      <w:lang w:bidi="ar-SA"/>
    </w:rPr>
  </w:style>
  <w:style w:type="paragraph" w:customStyle="1" w:styleId="numberlistplstart0">
    <w:name w:val="number list pl start"/>
    <w:basedOn w:val="Normal"/>
    <w:next w:val="numberlistplend"/>
    <w:autoRedefine/>
    <w:uiPriority w:val="99"/>
    <w:semiHidden/>
    <w:rsid w:val="00A85C8E"/>
    <w:pPr>
      <w:widowControl w:val="0"/>
      <w:tabs>
        <w:tab w:val="left" w:pos="920"/>
      </w:tabs>
      <w:autoSpaceDE w:val="0"/>
      <w:autoSpaceDN w:val="0"/>
      <w:adjustRightInd w:val="0"/>
      <w:spacing w:after="0"/>
      <w:ind w:left="919" w:hanging="480"/>
      <w:textAlignment w:val="center"/>
    </w:pPr>
    <w:rPr>
      <w:rFonts w:eastAsiaTheme="minorEastAsia" w:cs="ITC New Baskerville Std"/>
      <w:color w:val="000000"/>
      <w:kern w:val="0"/>
      <w:szCs w:val="22"/>
      <w:lang w:bidi="ar-SA"/>
    </w:rPr>
  </w:style>
  <w:style w:type="paragraph" w:customStyle="1" w:styleId="numberlistplal">
    <w:name w:val="number list pl / al"/>
    <w:basedOn w:val="numberlistplstart0"/>
    <w:autoRedefine/>
    <w:semiHidden/>
    <w:qFormat/>
    <w:rsid w:val="00A85C8E"/>
    <w:pPr>
      <w:tabs>
        <w:tab w:val="clear" w:pos="920"/>
        <w:tab w:val="left" w:pos="1399"/>
      </w:tabs>
      <w:spacing w:before="0"/>
      <w:ind w:left="1399"/>
    </w:pPr>
  </w:style>
  <w:style w:type="paragraph" w:customStyle="1" w:styleId="numberlistpl2ndlevela">
    <w:name w:val="number list pl /2nd level (a)"/>
    <w:basedOn w:val="numberlistpl"/>
    <w:autoRedefine/>
    <w:uiPriority w:val="99"/>
    <w:semiHidden/>
    <w:rsid w:val="00A85C8E"/>
    <w:pPr>
      <w:tabs>
        <w:tab w:val="clear" w:pos="920"/>
        <w:tab w:val="left" w:pos="1180"/>
      </w:tabs>
      <w:ind w:left="1320" w:hanging="360"/>
    </w:pPr>
    <w:rPr>
      <w:rFonts w:cs="Times LT Std"/>
    </w:rPr>
  </w:style>
  <w:style w:type="paragraph" w:customStyle="1" w:styleId="numberlistplal0">
    <w:name w:val="number list pl/al"/>
    <w:basedOn w:val="numberlistpl"/>
    <w:autoRedefine/>
    <w:uiPriority w:val="99"/>
    <w:semiHidden/>
    <w:rsid w:val="00A85C8E"/>
    <w:pPr>
      <w:tabs>
        <w:tab w:val="clear" w:pos="920"/>
        <w:tab w:val="left" w:pos="1440"/>
      </w:tabs>
      <w:ind w:left="1440"/>
      <w:jc w:val="both"/>
    </w:pPr>
    <w:rPr>
      <w:rFonts w:cs="Times LT Std"/>
    </w:rPr>
  </w:style>
  <w:style w:type="paragraph" w:customStyle="1" w:styleId="numberlistplalnl">
    <w:name w:val="number list pl/al/nl"/>
    <w:basedOn w:val="numberlistplal0"/>
    <w:autoRedefine/>
    <w:uiPriority w:val="99"/>
    <w:semiHidden/>
    <w:rsid w:val="00A85C8E"/>
    <w:pPr>
      <w:tabs>
        <w:tab w:val="clear" w:pos="1440"/>
        <w:tab w:val="left" w:pos="1920"/>
      </w:tabs>
      <w:ind w:left="1920"/>
    </w:pPr>
  </w:style>
  <w:style w:type="paragraph" w:customStyle="1" w:styleId="numberlistplbullet">
    <w:name w:val="number list pl/bullet"/>
    <w:basedOn w:val="Normal"/>
    <w:autoRedefine/>
    <w:uiPriority w:val="99"/>
    <w:semiHidden/>
    <w:rsid w:val="00A85C8E"/>
    <w:pPr>
      <w:widowControl w:val="0"/>
      <w:tabs>
        <w:tab w:val="left" w:pos="1060"/>
      </w:tabs>
      <w:autoSpaceDE w:val="0"/>
      <w:autoSpaceDN w:val="0"/>
      <w:adjustRightInd w:val="0"/>
      <w:spacing w:before="0" w:after="0"/>
      <w:ind w:left="1061" w:hanging="180"/>
      <w:textAlignment w:val="center"/>
    </w:pPr>
    <w:rPr>
      <w:rFonts w:eastAsiaTheme="minorEastAsia" w:cs="Times LT Std"/>
      <w:color w:val="000000"/>
      <w:kern w:val="0"/>
      <w:szCs w:val="22"/>
      <w:lang w:bidi="ar-SA"/>
    </w:rPr>
  </w:style>
  <w:style w:type="paragraph" w:customStyle="1" w:styleId="numberlistplend0">
    <w:name w:val="number list pl_end"/>
    <w:basedOn w:val="Normal"/>
    <w:autoRedefine/>
    <w:uiPriority w:val="99"/>
    <w:semiHidden/>
    <w:rsid w:val="00A85C8E"/>
    <w:pPr>
      <w:widowControl w:val="0"/>
      <w:tabs>
        <w:tab w:val="left" w:pos="920"/>
      </w:tabs>
      <w:autoSpaceDE w:val="0"/>
      <w:autoSpaceDN w:val="0"/>
      <w:adjustRightInd w:val="0"/>
      <w:spacing w:before="0" w:after="240"/>
      <w:ind w:left="919" w:hanging="480"/>
      <w:textAlignment w:val="center"/>
    </w:pPr>
    <w:rPr>
      <w:rFonts w:eastAsiaTheme="minorEastAsia"/>
      <w:kern w:val="0"/>
      <w:szCs w:val="22"/>
      <w:lang w:bidi="ar-SA"/>
    </w:rPr>
  </w:style>
  <w:style w:type="paragraph" w:customStyle="1" w:styleId="numberlistpnl">
    <w:name w:val="number list pnl"/>
    <w:basedOn w:val="Normal"/>
    <w:autoRedefine/>
    <w:uiPriority w:val="99"/>
    <w:semiHidden/>
    <w:qFormat/>
    <w:rsid w:val="00A85C8E"/>
    <w:pPr>
      <w:widowControl w:val="0"/>
      <w:tabs>
        <w:tab w:val="left" w:pos="1020"/>
      </w:tabs>
      <w:autoSpaceDE w:val="0"/>
      <w:autoSpaceDN w:val="0"/>
      <w:adjustRightInd w:val="0"/>
      <w:spacing w:before="0" w:after="0"/>
      <w:ind w:left="919" w:hanging="480"/>
      <w:textAlignment w:val="center"/>
    </w:pPr>
    <w:rPr>
      <w:rFonts w:eastAsiaTheme="minorEastAsia" w:cs="ITC New Baskerville Std"/>
      <w:color w:val="000000"/>
      <w:kern w:val="0"/>
      <w:lang w:bidi="ar-SA"/>
    </w:rPr>
  </w:style>
  <w:style w:type="paragraph" w:customStyle="1" w:styleId="numberliststart">
    <w:name w:val="number list start"/>
    <w:basedOn w:val="Normal"/>
    <w:autoRedefine/>
    <w:uiPriority w:val="99"/>
    <w:semiHidden/>
    <w:qFormat/>
    <w:rsid w:val="00A85C8E"/>
    <w:pPr>
      <w:spacing w:after="0"/>
      <w:ind w:left="919" w:hanging="480"/>
    </w:pPr>
    <w:rPr>
      <w:rFonts w:eastAsiaTheme="minorEastAsia" w:cs="Calibri"/>
      <w:kern w:val="0"/>
      <w:szCs w:val="22"/>
      <w:lang w:bidi="ar-SA"/>
    </w:rPr>
  </w:style>
  <w:style w:type="paragraph" w:customStyle="1" w:styleId="Numberliststart0">
    <w:name w:val="Number list start"/>
    <w:basedOn w:val="Normal"/>
    <w:autoRedefine/>
    <w:uiPriority w:val="99"/>
    <w:semiHidden/>
    <w:rsid w:val="00A85C8E"/>
    <w:pPr>
      <w:widowControl w:val="0"/>
      <w:tabs>
        <w:tab w:val="left" w:pos="800"/>
      </w:tabs>
      <w:autoSpaceDE w:val="0"/>
      <w:autoSpaceDN w:val="0"/>
      <w:adjustRightInd w:val="0"/>
      <w:spacing w:after="0"/>
      <w:ind w:left="919" w:hanging="480"/>
      <w:textAlignment w:val="center"/>
    </w:pPr>
    <w:rPr>
      <w:rFonts w:cs="ITC New Baskerville Std"/>
      <w:color w:val="000000"/>
      <w:kern w:val="0"/>
      <w:lang w:bidi="ar-SA"/>
    </w:rPr>
  </w:style>
  <w:style w:type="paragraph" w:customStyle="1" w:styleId="numberliststop">
    <w:name w:val="number list stop"/>
    <w:basedOn w:val="numberliststart"/>
    <w:autoRedefine/>
    <w:uiPriority w:val="99"/>
    <w:semiHidden/>
    <w:rsid w:val="00A85C8E"/>
    <w:pPr>
      <w:widowControl w:val="0"/>
      <w:tabs>
        <w:tab w:val="left" w:pos="800"/>
      </w:tabs>
      <w:autoSpaceDE w:val="0"/>
      <w:autoSpaceDN w:val="0"/>
      <w:adjustRightInd w:val="0"/>
      <w:spacing w:before="0" w:after="240"/>
      <w:textAlignment w:val="center"/>
    </w:pPr>
    <w:rPr>
      <w:rFonts w:cs="NewCenturySchlbk"/>
      <w:color w:val="000000"/>
    </w:rPr>
  </w:style>
  <w:style w:type="paragraph" w:customStyle="1" w:styleId="numberllistpl2ndlevel">
    <w:name w:val="numberl list pl 2nd level"/>
    <w:basedOn w:val="Normal"/>
    <w:autoRedefine/>
    <w:uiPriority w:val="99"/>
    <w:semiHidden/>
    <w:rsid w:val="00A85C8E"/>
    <w:pPr>
      <w:tabs>
        <w:tab w:val="left" w:pos="1400"/>
      </w:tabs>
      <w:spacing w:before="0" w:after="0"/>
      <w:ind w:left="1399" w:hanging="480"/>
      <w:jc w:val="both"/>
    </w:pPr>
    <w:rPr>
      <w:rFonts w:eastAsiaTheme="minorEastAsia" w:cs="Calibri"/>
      <w:kern w:val="0"/>
      <w:szCs w:val="22"/>
      <w:lang w:bidi="ar-SA"/>
    </w:rPr>
  </w:style>
  <w:style w:type="paragraph" w:customStyle="1" w:styleId="parttextflush">
    <w:name w:val="part text flush"/>
    <w:basedOn w:val="Normal"/>
    <w:autoRedefine/>
    <w:uiPriority w:val="99"/>
    <w:semiHidden/>
    <w:rsid w:val="00A85C8E"/>
    <w:pPr>
      <w:widowControl w:val="0"/>
      <w:autoSpaceDE w:val="0"/>
      <w:autoSpaceDN w:val="0"/>
      <w:adjustRightInd w:val="0"/>
      <w:spacing w:before="0" w:after="0"/>
      <w:textAlignment w:val="center"/>
    </w:pPr>
    <w:rPr>
      <w:rFonts w:eastAsiaTheme="minorEastAsia" w:cs="Times LT Std"/>
      <w:i/>
      <w:iCs/>
      <w:color w:val="000000"/>
      <w:kern w:val="0"/>
      <w:szCs w:val="22"/>
      <w:lang w:bidi="ar-SA"/>
    </w:rPr>
  </w:style>
  <w:style w:type="paragraph" w:customStyle="1" w:styleId="partboldhead-">
    <w:name w:val="part bold head -/+"/>
    <w:basedOn w:val="parttextflush"/>
    <w:autoRedefine/>
    <w:uiPriority w:val="99"/>
    <w:semiHidden/>
    <w:rsid w:val="00A85C8E"/>
    <w:pPr>
      <w:spacing w:after="240"/>
    </w:pPr>
    <w:rPr>
      <w:b/>
      <w:bCs/>
      <w:i w:val="0"/>
      <w:iCs w:val="0"/>
    </w:rPr>
  </w:style>
  <w:style w:type="paragraph" w:customStyle="1" w:styleId="partbulletlist">
    <w:name w:val="part bullet list"/>
    <w:basedOn w:val="Normal"/>
    <w:autoRedefine/>
    <w:uiPriority w:val="99"/>
    <w:semiHidden/>
    <w:rsid w:val="00A85C8E"/>
    <w:pPr>
      <w:widowControl w:val="0"/>
      <w:tabs>
        <w:tab w:val="left" w:pos="180"/>
      </w:tabs>
      <w:autoSpaceDE w:val="0"/>
      <w:autoSpaceDN w:val="0"/>
      <w:adjustRightInd w:val="0"/>
      <w:spacing w:before="0" w:after="0"/>
      <w:ind w:left="180" w:hanging="180"/>
      <w:textAlignment w:val="center"/>
    </w:pPr>
    <w:rPr>
      <w:rFonts w:eastAsiaTheme="minorEastAsia" w:cs="Times LT Std"/>
      <w:color w:val="000000"/>
      <w:kern w:val="0"/>
      <w:szCs w:val="22"/>
      <w:lang w:bidi="ar-SA"/>
    </w:rPr>
  </w:style>
  <w:style w:type="paragraph" w:customStyle="1" w:styleId="parttextitalic">
    <w:name w:val="part text italic"/>
    <w:basedOn w:val="Normal"/>
    <w:autoRedefine/>
    <w:semiHidden/>
    <w:qFormat/>
    <w:rsid w:val="00A85C8E"/>
    <w:pPr>
      <w:spacing w:before="0" w:after="0"/>
    </w:pPr>
    <w:rPr>
      <w:rFonts w:eastAsiaTheme="minorEastAsia" w:cs="Calibri"/>
      <w:i/>
      <w:kern w:val="0"/>
      <w:szCs w:val="22"/>
      <w:lang w:bidi="ar-SA"/>
    </w:rPr>
  </w:style>
  <w:style w:type="paragraph" w:customStyle="1" w:styleId="PracticeTip">
    <w:name w:val="Practice Tip"/>
    <w:basedOn w:val="text"/>
    <w:autoRedefine/>
    <w:uiPriority w:val="99"/>
    <w:semiHidden/>
    <w:rsid w:val="00A85C8E"/>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480" w:right="480" w:firstLine="0"/>
      <w:textAlignment w:val="center"/>
    </w:pPr>
    <w:rPr>
      <w:rFonts w:eastAsiaTheme="minorEastAsia" w:cs="Times LT Std"/>
      <w:iCs/>
      <w:color w:val="000000"/>
    </w:rPr>
  </w:style>
  <w:style w:type="paragraph" w:customStyle="1" w:styleId="practicetiptextnoindentwrule">
    <w:name w:val="practice tip text no indent w/rule"/>
    <w:basedOn w:val="Normal"/>
    <w:autoRedefine/>
    <w:uiPriority w:val="99"/>
    <w:semiHidden/>
    <w:rsid w:val="00A85C8E"/>
    <w:pPr>
      <w:widowControl w:val="0"/>
      <w:pBdr>
        <w:bottom w:val="single" w:sz="8" w:space="12" w:color="auto"/>
      </w:pBdr>
      <w:autoSpaceDE w:val="0"/>
      <w:autoSpaceDN w:val="0"/>
      <w:adjustRightInd w:val="0"/>
      <w:spacing w:before="0" w:after="240"/>
      <w:textAlignment w:val="center"/>
    </w:pPr>
    <w:rPr>
      <w:rFonts w:eastAsiaTheme="minorEastAsia" w:cs="ITC New Baskerville Std"/>
      <w:color w:val="000000"/>
      <w:kern w:val="0"/>
      <w:szCs w:val="22"/>
      <w:lang w:bidi="ar-SA"/>
    </w:rPr>
  </w:style>
  <w:style w:type="paragraph" w:customStyle="1" w:styleId="praticetiphead">
    <w:name w:val="pratice tip head"/>
    <w:basedOn w:val="text"/>
    <w:autoRedefine/>
    <w:uiPriority w:val="99"/>
    <w:semiHidden/>
    <w:rsid w:val="00A85C8E"/>
    <w:pPr>
      <w:widowControl w:val="0"/>
      <w:pBdr>
        <w:top w:val="single" w:sz="8" w:space="18" w:color="auto"/>
      </w:pBd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480" w:after="240"/>
      <w:ind w:firstLine="0"/>
      <w:jc w:val="center"/>
      <w:textAlignment w:val="center"/>
    </w:pPr>
    <w:rPr>
      <w:rFonts w:ascii="Times New Roman Bold" w:eastAsiaTheme="minorEastAsia" w:hAnsi="Times New Roman Bold" w:cs="ITC New Baskerville Std"/>
      <w:b/>
      <w:bCs/>
      <w:caps/>
      <w:color w:val="000000"/>
      <w:szCs w:val="22"/>
    </w:rPr>
  </w:style>
  <w:style w:type="paragraph" w:customStyle="1" w:styleId="romanlistIIA">
    <w:name w:val="roman list II.A."/>
    <w:basedOn w:val="Normal"/>
    <w:autoRedefine/>
    <w:uiPriority w:val="99"/>
    <w:semiHidden/>
    <w:rsid w:val="00A85C8E"/>
    <w:pPr>
      <w:widowControl w:val="0"/>
      <w:tabs>
        <w:tab w:val="left" w:pos="480"/>
      </w:tabs>
      <w:autoSpaceDE w:val="0"/>
      <w:autoSpaceDN w:val="0"/>
      <w:adjustRightInd w:val="0"/>
      <w:spacing w:before="120" w:after="240"/>
      <w:ind w:left="480" w:hanging="480"/>
      <w:textAlignment w:val="center"/>
    </w:pPr>
    <w:rPr>
      <w:rFonts w:eastAsiaTheme="minorEastAsia" w:cs="Times LT Std"/>
      <w:b/>
      <w:bCs/>
      <w:color w:val="000000"/>
      <w:kern w:val="0"/>
      <w:szCs w:val="22"/>
      <w:lang w:bidi="ar-SA"/>
    </w:rPr>
  </w:style>
  <w:style w:type="paragraph" w:customStyle="1" w:styleId="RuleHead">
    <w:name w:val="Rule Head"/>
    <w:basedOn w:val="textflush"/>
    <w:autoRedefine/>
    <w:uiPriority w:val="99"/>
    <w:semiHidden/>
    <w:rsid w:val="00A85C8E"/>
    <w:pPr>
      <w:widowControl w:val="0"/>
      <w:autoSpaceDE w:val="0"/>
      <w:autoSpaceDN w:val="0"/>
      <w:adjustRightInd w:val="0"/>
      <w:spacing w:before="240" w:after="240"/>
      <w:textAlignment w:val="center"/>
    </w:pPr>
    <w:rPr>
      <w:rFonts w:eastAsiaTheme="minorEastAsia"/>
      <w:b/>
      <w:bCs/>
      <w:i/>
      <w:iCs/>
      <w:szCs w:val="22"/>
    </w:rPr>
  </w:style>
  <w:style w:type="character" w:customStyle="1" w:styleId="smallcaps">
    <w:name w:val="small caps"/>
    <w:uiPriority w:val="99"/>
    <w:semiHidden/>
    <w:rsid w:val="00A85C8E"/>
    <w:rPr>
      <w:rFonts w:ascii="Times New Roman" w:hAnsi="Times New Roman" w:cs="NewCenturySchlbk LT Std"/>
      <w:caps w:val="0"/>
      <w:smallCaps/>
      <w:w w:val="70"/>
    </w:rPr>
  </w:style>
  <w:style w:type="paragraph" w:customStyle="1" w:styleId="StateBold">
    <w:name w:val="State Bold"/>
    <w:basedOn w:val="Normal"/>
    <w:uiPriority w:val="99"/>
    <w:semiHidden/>
    <w:rsid w:val="00A85C8E"/>
    <w:pPr>
      <w:widowControl w:val="0"/>
      <w:autoSpaceDE w:val="0"/>
      <w:autoSpaceDN w:val="0"/>
      <w:adjustRightInd w:val="0"/>
      <w:spacing w:after="240"/>
      <w:textAlignment w:val="center"/>
    </w:pPr>
    <w:rPr>
      <w:rFonts w:eastAsiaTheme="minorEastAsia" w:cs="Times LT Std"/>
      <w:b/>
      <w:bCs/>
      <w:color w:val="000000"/>
      <w:kern w:val="0"/>
      <w:lang w:bidi="ar-SA"/>
    </w:rPr>
  </w:style>
  <w:style w:type="character" w:customStyle="1" w:styleId="superscript">
    <w:name w:val="superscript"/>
    <w:uiPriority w:val="99"/>
    <w:semiHidden/>
    <w:rsid w:val="00A85C8E"/>
    <w:rPr>
      <w:vertAlign w:val="superscript"/>
    </w:rPr>
  </w:style>
  <w:style w:type="paragraph" w:customStyle="1" w:styleId="TableTitle">
    <w:name w:val="Table Title"/>
    <w:basedOn w:val="Normal"/>
    <w:autoRedefine/>
    <w:uiPriority w:val="99"/>
    <w:semiHidden/>
    <w:rsid w:val="00A85C8E"/>
    <w:pPr>
      <w:widowControl w:val="0"/>
      <w:suppressAutoHyphens/>
      <w:autoSpaceDE w:val="0"/>
      <w:autoSpaceDN w:val="0"/>
      <w:adjustRightInd w:val="0"/>
      <w:spacing w:after="240"/>
      <w:textAlignment w:val="center"/>
    </w:pPr>
    <w:rPr>
      <w:rFonts w:eastAsiaTheme="minorEastAsia" w:cs="ITC New Baskerville Std"/>
      <w:b/>
      <w:bCs/>
      <w:color w:val="000000"/>
      <w:kern w:val="0"/>
      <w:szCs w:val="22"/>
      <w:lang w:bidi="ar-SA"/>
    </w:rPr>
  </w:style>
  <w:style w:type="paragraph" w:customStyle="1" w:styleId="Text0">
    <w:name w:val="Text"/>
    <w:basedOn w:val="Normal"/>
    <w:autoRedefine/>
    <w:semiHidden/>
    <w:qFormat/>
    <w:rsid w:val="00A85C8E"/>
    <w:pPr>
      <w:spacing w:before="0" w:after="0"/>
    </w:pPr>
    <w:rPr>
      <w:rFonts w:eastAsiaTheme="minorEastAsia" w:cs="Calibri"/>
      <w:kern w:val="0"/>
      <w:szCs w:val="22"/>
      <w:lang w:bidi="ar-SA"/>
    </w:rPr>
  </w:style>
  <w:style w:type="paragraph" w:customStyle="1" w:styleId="text-0">
    <w:name w:val="text +/-"/>
    <w:basedOn w:val="text"/>
    <w:autoRedefine/>
    <w:uiPriority w:val="99"/>
    <w:semiHidden/>
    <w:rsid w:val="00A85C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ind w:firstLine="439"/>
      <w:textAlignment w:val="center"/>
    </w:pPr>
    <w:rPr>
      <w:rFonts w:eastAsiaTheme="minorEastAsia" w:cs="Times LT Std"/>
      <w:color w:val="000000"/>
      <w:szCs w:val="22"/>
    </w:rPr>
  </w:style>
  <w:style w:type="paragraph" w:customStyle="1" w:styleId="text1">
    <w:name w:val="text +/+"/>
    <w:basedOn w:val="Normal"/>
    <w:autoRedefine/>
    <w:uiPriority w:val="99"/>
    <w:semiHidden/>
    <w:rsid w:val="00A85C8E"/>
    <w:pPr>
      <w:widowControl w:val="0"/>
      <w:autoSpaceDE w:val="0"/>
      <w:autoSpaceDN w:val="0"/>
      <w:adjustRightInd w:val="0"/>
      <w:spacing w:before="120"/>
      <w:ind w:firstLine="720"/>
      <w:textAlignment w:val="center"/>
    </w:pPr>
    <w:rPr>
      <w:rFonts w:eastAsiaTheme="minorEastAsia" w:cs="ITC New Baskerville Std"/>
      <w:color w:val="000000"/>
      <w:kern w:val="0"/>
      <w:szCs w:val="22"/>
      <w:lang w:bidi="ar-SA"/>
    </w:rPr>
  </w:style>
  <w:style w:type="paragraph" w:customStyle="1" w:styleId="text16picaindent">
    <w:name w:val="text 1.6 pica indent"/>
    <w:basedOn w:val="Normal"/>
    <w:autoRedefine/>
    <w:uiPriority w:val="99"/>
    <w:semiHidden/>
    <w:rsid w:val="00A85C8E"/>
    <w:pPr>
      <w:widowControl w:val="0"/>
      <w:autoSpaceDE w:val="0"/>
      <w:autoSpaceDN w:val="0"/>
      <w:adjustRightInd w:val="0"/>
      <w:spacing w:before="0" w:after="0"/>
      <w:ind w:left="439"/>
      <w:textAlignment w:val="center"/>
    </w:pPr>
    <w:rPr>
      <w:rFonts w:eastAsiaTheme="minorEastAsia" w:cs="Times LT Std"/>
      <w:color w:val="000000"/>
      <w:kern w:val="0"/>
      <w:szCs w:val="22"/>
      <w:lang w:bidi="ar-SA"/>
    </w:rPr>
  </w:style>
  <w:style w:type="paragraph" w:customStyle="1" w:styleId="text6emparaindent">
    <w:name w:val="text 6 em para indent"/>
    <w:basedOn w:val="Normal"/>
    <w:autoRedefine/>
    <w:uiPriority w:val="99"/>
    <w:semiHidden/>
    <w:rsid w:val="00A85C8E"/>
    <w:pPr>
      <w:widowControl w:val="0"/>
      <w:tabs>
        <w:tab w:val="left" w:pos="360"/>
        <w:tab w:val="left" w:pos="720"/>
        <w:tab w:val="left" w:pos="1080"/>
        <w:tab w:val="left" w:pos="1440"/>
        <w:tab w:val="left" w:pos="1800"/>
      </w:tabs>
      <w:autoSpaceDE w:val="0"/>
      <w:autoSpaceDN w:val="0"/>
      <w:adjustRightInd w:val="0"/>
      <w:spacing w:before="0" w:after="0"/>
      <w:ind w:firstLine="1320"/>
      <w:textAlignment w:val="center"/>
    </w:pPr>
    <w:rPr>
      <w:rFonts w:eastAsiaTheme="minorEastAsia" w:cs="Times LT Std"/>
      <w:b/>
      <w:bCs/>
      <w:color w:val="000000"/>
      <w:kern w:val="0"/>
      <w:szCs w:val="22"/>
      <w:lang w:bidi="ar-SA"/>
    </w:rPr>
  </w:style>
  <w:style w:type="paragraph" w:customStyle="1" w:styleId="text6ptsbelow">
    <w:name w:val="text 6 pts below"/>
    <w:basedOn w:val="Normal"/>
    <w:autoRedefine/>
    <w:uiPriority w:val="99"/>
    <w:semiHidden/>
    <w:rsid w:val="00A85C8E"/>
    <w:pPr>
      <w:widowControl w:val="0"/>
      <w:autoSpaceDE w:val="0"/>
      <w:autoSpaceDN w:val="0"/>
      <w:adjustRightInd w:val="0"/>
      <w:spacing w:before="0"/>
      <w:ind w:firstLine="720"/>
      <w:textAlignment w:val="center"/>
    </w:pPr>
    <w:rPr>
      <w:rFonts w:eastAsiaTheme="minorEastAsia" w:cs="Times LT Std"/>
      <w:color w:val="000000"/>
      <w:kern w:val="0"/>
      <w:szCs w:val="22"/>
      <w:lang w:bidi="ar-SA"/>
    </w:rPr>
  </w:style>
  <w:style w:type="paragraph" w:customStyle="1" w:styleId="text8emparaindent">
    <w:name w:val="text 8 em para indent"/>
    <w:basedOn w:val="text6emparaindent"/>
    <w:autoRedefine/>
    <w:uiPriority w:val="99"/>
    <w:semiHidden/>
    <w:rsid w:val="00A85C8E"/>
    <w:pPr>
      <w:ind w:firstLine="1760"/>
    </w:pPr>
    <w:rPr>
      <w:b w:val="0"/>
    </w:rPr>
  </w:style>
  <w:style w:type="paragraph" w:customStyle="1" w:styleId="textaddbld-">
    <w:name w:val="text add bld -/+"/>
    <w:basedOn w:val="Normal"/>
    <w:autoRedefine/>
    <w:uiPriority w:val="99"/>
    <w:semiHidden/>
    <w:rsid w:val="00A85C8E"/>
    <w:pPr>
      <w:widowControl w:val="0"/>
      <w:autoSpaceDE w:val="0"/>
      <w:autoSpaceDN w:val="0"/>
      <w:adjustRightInd w:val="0"/>
      <w:spacing w:before="0" w:after="240"/>
      <w:textAlignment w:val="center"/>
    </w:pPr>
    <w:rPr>
      <w:rFonts w:eastAsiaTheme="minorEastAsia" w:cs="NewCenturySchlbk"/>
      <w:b/>
      <w:bCs/>
      <w:color w:val="000000"/>
      <w:kern w:val="0"/>
      <w:szCs w:val="22"/>
      <w:lang w:bidi="ar-SA"/>
    </w:rPr>
  </w:style>
  <w:style w:type="paragraph" w:customStyle="1" w:styleId="textaddbld">
    <w:name w:val="text add bld +/+"/>
    <w:basedOn w:val="textaddbld-"/>
    <w:autoRedefine/>
    <w:uiPriority w:val="99"/>
    <w:semiHidden/>
    <w:rsid w:val="00A85C8E"/>
    <w:pPr>
      <w:spacing w:before="240"/>
    </w:pPr>
  </w:style>
  <w:style w:type="paragraph" w:customStyle="1" w:styleId="textbold-">
    <w:name w:val="text bold -/+"/>
    <w:basedOn w:val="text"/>
    <w:autoRedefine/>
    <w:uiPriority w:val="99"/>
    <w:semiHidden/>
    <w:rsid w:val="00A85C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 bold +/+"/>
    <w:basedOn w:val="textbold-"/>
    <w:autoRedefine/>
    <w:uiPriority w:val="99"/>
    <w:semiHidden/>
    <w:rsid w:val="00A85C8E"/>
    <w:pPr>
      <w:spacing w:before="240"/>
    </w:pPr>
    <w:rPr>
      <w:rFonts w:cs="Times LT Std"/>
      <w:szCs w:val="22"/>
    </w:rPr>
  </w:style>
  <w:style w:type="paragraph" w:customStyle="1" w:styleId="textcentered">
    <w:name w:val="text centered"/>
    <w:basedOn w:val="textflush"/>
    <w:autoRedefine/>
    <w:uiPriority w:val="99"/>
    <w:semiHidden/>
    <w:rsid w:val="00A85C8E"/>
    <w:pPr>
      <w:widowControl w:val="0"/>
      <w:autoSpaceDE w:val="0"/>
      <w:autoSpaceDN w:val="0"/>
      <w:adjustRightInd w:val="0"/>
      <w:spacing w:after="120"/>
      <w:jc w:val="center"/>
      <w:textAlignment w:val="center"/>
    </w:pPr>
    <w:rPr>
      <w:rFonts w:eastAsiaTheme="minorEastAsia" w:cs="Times LT Std"/>
      <w:szCs w:val="22"/>
    </w:rPr>
  </w:style>
  <w:style w:type="paragraph" w:customStyle="1" w:styleId="textEdNote">
    <w:name w:val="text Ed Note"/>
    <w:basedOn w:val="text"/>
    <w:autoRedefine/>
    <w:uiPriority w:val="99"/>
    <w:semiHidden/>
    <w:rsid w:val="00A85C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jc w:val="both"/>
      <w:textAlignment w:val="center"/>
    </w:pPr>
    <w:rPr>
      <w:rFonts w:eastAsiaTheme="minorEastAsia" w:cs="Times LT Std"/>
      <w:color w:val="000000"/>
    </w:rPr>
  </w:style>
  <w:style w:type="paragraph" w:customStyle="1" w:styleId="textEdNote-">
    <w:name w:val="text Ed Note -/+"/>
    <w:basedOn w:val="text"/>
    <w:autoRedefine/>
    <w:uiPriority w:val="99"/>
    <w:semiHidden/>
    <w:rsid w:val="00A85C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color w:val="000000"/>
    </w:rPr>
  </w:style>
  <w:style w:type="paragraph" w:customStyle="1" w:styleId="textflushspacebelow">
    <w:name w:val="text flush + space below"/>
    <w:basedOn w:val="textflush"/>
    <w:autoRedefine/>
    <w:uiPriority w:val="99"/>
    <w:semiHidden/>
    <w:rsid w:val="00A85C8E"/>
    <w:pPr>
      <w:widowControl w:val="0"/>
      <w:autoSpaceDE w:val="0"/>
      <w:autoSpaceDN w:val="0"/>
      <w:adjustRightInd w:val="0"/>
      <w:spacing w:after="240"/>
      <w:jc w:val="both"/>
      <w:textAlignment w:val="center"/>
    </w:pPr>
    <w:rPr>
      <w:rFonts w:eastAsiaTheme="minorEastAsia" w:cs="Times LT Std"/>
      <w:szCs w:val="22"/>
    </w:rPr>
  </w:style>
  <w:style w:type="paragraph" w:customStyle="1" w:styleId="textednote0">
    <w:name w:val="text ed note +/+"/>
    <w:basedOn w:val="textflushspacebelow"/>
    <w:autoRedefine/>
    <w:uiPriority w:val="99"/>
    <w:semiHidden/>
    <w:rsid w:val="00A85C8E"/>
    <w:pPr>
      <w:spacing w:before="240"/>
      <w:jc w:val="left"/>
    </w:pPr>
    <w:rPr>
      <w:i/>
      <w:iCs/>
    </w:rPr>
  </w:style>
  <w:style w:type="paragraph" w:customStyle="1" w:styleId="texteditorsnote">
    <w:name w:val="text editors note +/+"/>
    <w:basedOn w:val="text"/>
    <w:autoRedefine/>
    <w:uiPriority w:val="99"/>
    <w:semiHidden/>
    <w:rsid w:val="00A85C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editorsnote-">
    <w:name w:val="text editors note -/+"/>
    <w:basedOn w:val="texteditorsnote"/>
    <w:autoRedefine/>
    <w:uiPriority w:val="99"/>
    <w:semiHidden/>
    <w:rsid w:val="00A85C8E"/>
    <w:pPr>
      <w:spacing w:before="0"/>
    </w:pPr>
  </w:style>
  <w:style w:type="paragraph" w:customStyle="1" w:styleId="texteditorsnote-0">
    <w:name w:val="text editors note +/-"/>
    <w:basedOn w:val="Normal"/>
    <w:autoRedefine/>
    <w:uiPriority w:val="99"/>
    <w:semiHidden/>
    <w:rsid w:val="00A85C8E"/>
    <w:pPr>
      <w:widowControl w:val="0"/>
      <w:autoSpaceDE w:val="0"/>
      <w:autoSpaceDN w:val="0"/>
      <w:adjustRightInd w:val="0"/>
      <w:spacing w:after="0"/>
      <w:ind w:firstLine="720"/>
      <w:textAlignment w:val="center"/>
    </w:pPr>
    <w:rPr>
      <w:rFonts w:eastAsiaTheme="minorEastAsia" w:cs="ITC New Baskerville Std"/>
      <w:color w:val="000000"/>
      <w:kern w:val="0"/>
      <w:lang w:bidi="ar-SA"/>
    </w:rPr>
  </w:style>
  <w:style w:type="paragraph" w:customStyle="1" w:styleId="textflush-">
    <w:name w:val="text flush -/+"/>
    <w:basedOn w:val="textflush"/>
    <w:autoRedefine/>
    <w:uiPriority w:val="99"/>
    <w:semiHidden/>
    <w:rsid w:val="00A85C8E"/>
    <w:pPr>
      <w:widowControl w:val="0"/>
      <w:autoSpaceDE w:val="0"/>
      <w:autoSpaceDN w:val="0"/>
      <w:adjustRightInd w:val="0"/>
      <w:spacing w:after="240"/>
      <w:textAlignment w:val="center"/>
    </w:pPr>
    <w:rPr>
      <w:rFonts w:eastAsiaTheme="minorEastAsia"/>
      <w:i/>
      <w:iCs/>
      <w:szCs w:val="22"/>
    </w:rPr>
  </w:style>
  <w:style w:type="paragraph" w:customStyle="1" w:styleId="textflush0">
    <w:name w:val="text flush +/+"/>
    <w:basedOn w:val="textflush"/>
    <w:autoRedefine/>
    <w:uiPriority w:val="99"/>
    <w:semiHidden/>
    <w:rsid w:val="00A85C8E"/>
    <w:pPr>
      <w:widowControl w:val="0"/>
      <w:autoSpaceDE w:val="0"/>
      <w:autoSpaceDN w:val="0"/>
      <w:adjustRightInd w:val="0"/>
      <w:spacing w:before="240" w:after="240"/>
      <w:textAlignment w:val="center"/>
    </w:pPr>
    <w:rPr>
      <w:rFonts w:eastAsiaTheme="minorEastAsia"/>
      <w:i/>
      <w:iCs/>
      <w:szCs w:val="22"/>
    </w:rPr>
  </w:style>
  <w:style w:type="paragraph" w:customStyle="1" w:styleId="textflushbold">
    <w:name w:val="text flush bold +/+"/>
    <w:basedOn w:val="Normal"/>
    <w:autoRedefine/>
    <w:uiPriority w:val="99"/>
    <w:semiHidden/>
    <w:rsid w:val="00A85C8E"/>
    <w:pPr>
      <w:widowControl w:val="0"/>
      <w:autoSpaceDE w:val="0"/>
      <w:autoSpaceDN w:val="0"/>
      <w:adjustRightInd w:val="0"/>
      <w:spacing w:after="240"/>
      <w:contextualSpacing/>
      <w:textAlignment w:val="center"/>
    </w:pPr>
    <w:rPr>
      <w:rFonts w:eastAsiaTheme="minorEastAsia" w:cs="ITC New Baskerville Std"/>
      <w:b/>
      <w:bCs/>
      <w:color w:val="000000"/>
      <w:kern w:val="0"/>
      <w:szCs w:val="22"/>
      <w:lang w:bidi="ar-SA"/>
    </w:rPr>
  </w:style>
  <w:style w:type="paragraph" w:customStyle="1" w:styleId="textflushbold-">
    <w:name w:val="text flush bold -/+"/>
    <w:basedOn w:val="textflushbold"/>
    <w:autoRedefine/>
    <w:uiPriority w:val="99"/>
    <w:semiHidden/>
    <w:rsid w:val="00A85C8E"/>
    <w:pPr>
      <w:spacing w:before="0"/>
      <w:contextualSpacing w:val="0"/>
    </w:pPr>
  </w:style>
  <w:style w:type="paragraph" w:customStyle="1" w:styleId="textflushbold--">
    <w:name w:val="text flush bold -/-"/>
    <w:basedOn w:val="textflushbold-"/>
    <w:autoRedefine/>
    <w:uiPriority w:val="99"/>
    <w:semiHidden/>
    <w:rsid w:val="00A85C8E"/>
    <w:pPr>
      <w:spacing w:after="0"/>
    </w:pPr>
  </w:style>
  <w:style w:type="paragraph" w:customStyle="1" w:styleId="textflushednote-">
    <w:name w:val="text flush ed note -/+"/>
    <w:basedOn w:val="Normal"/>
    <w:autoRedefine/>
    <w:uiPriority w:val="99"/>
    <w:semiHidden/>
    <w:qFormat/>
    <w:rsid w:val="00A85C8E"/>
    <w:pPr>
      <w:widowControl w:val="0"/>
      <w:autoSpaceDE w:val="0"/>
      <w:autoSpaceDN w:val="0"/>
      <w:adjustRightInd w:val="0"/>
      <w:spacing w:before="0" w:after="240"/>
      <w:textAlignment w:val="center"/>
    </w:pPr>
    <w:rPr>
      <w:rFonts w:eastAsiaTheme="minorEastAsia" w:cs="Times LT Std"/>
      <w:color w:val="000000"/>
      <w:kern w:val="0"/>
      <w:szCs w:val="22"/>
      <w:lang w:bidi="ar-SA"/>
    </w:rPr>
  </w:style>
  <w:style w:type="paragraph" w:customStyle="1" w:styleId="textflushednote">
    <w:name w:val="text flush ed note +/+"/>
    <w:basedOn w:val="textflushednote-"/>
    <w:autoRedefine/>
    <w:uiPriority w:val="99"/>
    <w:semiHidden/>
    <w:rsid w:val="00A85C8E"/>
    <w:pPr>
      <w:spacing w:before="240"/>
    </w:pPr>
  </w:style>
  <w:style w:type="paragraph" w:customStyle="1" w:styleId="textinsert-">
    <w:name w:val="text insert -/+"/>
    <w:basedOn w:val="Normal"/>
    <w:autoRedefine/>
    <w:uiPriority w:val="99"/>
    <w:semiHidden/>
    <w:rsid w:val="00A85C8E"/>
    <w:pPr>
      <w:widowControl w:val="0"/>
      <w:autoSpaceDE w:val="0"/>
      <w:autoSpaceDN w:val="0"/>
      <w:adjustRightInd w:val="0"/>
      <w:spacing w:after="240"/>
      <w:ind w:firstLine="720"/>
      <w:contextualSpacing/>
      <w:textAlignment w:val="center"/>
    </w:pPr>
    <w:rPr>
      <w:rFonts w:eastAsiaTheme="minorEastAsia" w:cs="ITC New Baskerville Std"/>
      <w:color w:val="000000"/>
      <w:kern w:val="0"/>
      <w:szCs w:val="22"/>
      <w:lang w:bidi="ar-SA"/>
    </w:rPr>
  </w:style>
  <w:style w:type="paragraph" w:customStyle="1" w:styleId="textinsert-0">
    <w:name w:val="text insert /+/-"/>
    <w:basedOn w:val="texteditorsnote"/>
    <w:autoRedefine/>
    <w:uiPriority w:val="99"/>
    <w:semiHidden/>
    <w:rsid w:val="00A85C8E"/>
    <w:pPr>
      <w:spacing w:after="0"/>
    </w:pPr>
    <w:rPr>
      <w:b/>
      <w:bCs/>
      <w:i/>
      <w:iCs/>
    </w:rPr>
  </w:style>
  <w:style w:type="paragraph" w:customStyle="1" w:styleId="textinsert-1">
    <w:name w:val="text insert +/-"/>
    <w:basedOn w:val="texteditorsnote"/>
    <w:autoRedefine/>
    <w:uiPriority w:val="99"/>
    <w:semiHidden/>
    <w:rsid w:val="00A85C8E"/>
    <w:pPr>
      <w:spacing w:after="0"/>
    </w:pPr>
  </w:style>
  <w:style w:type="paragraph" w:customStyle="1" w:styleId="textinsert">
    <w:name w:val="text insert +/+"/>
    <w:basedOn w:val="textflush"/>
    <w:autoRedefine/>
    <w:uiPriority w:val="99"/>
    <w:semiHidden/>
    <w:rsid w:val="00A85C8E"/>
    <w:pPr>
      <w:widowControl w:val="0"/>
      <w:autoSpaceDE w:val="0"/>
      <w:autoSpaceDN w:val="0"/>
      <w:adjustRightInd w:val="0"/>
      <w:spacing w:before="240" w:after="240"/>
      <w:ind w:firstLine="720"/>
      <w:textAlignment w:val="center"/>
    </w:pPr>
    <w:rPr>
      <w:rFonts w:eastAsiaTheme="minorEastAsia"/>
      <w:szCs w:val="22"/>
    </w:rPr>
  </w:style>
  <w:style w:type="paragraph" w:customStyle="1" w:styleId="textinsertparaindent">
    <w:name w:val="text insert +/+ para indent"/>
    <w:basedOn w:val="Normal"/>
    <w:autoRedefine/>
    <w:semiHidden/>
    <w:qFormat/>
    <w:rsid w:val="00A85C8E"/>
    <w:pPr>
      <w:spacing w:after="240"/>
      <w:ind w:firstLine="720"/>
    </w:pPr>
    <w:rPr>
      <w:rFonts w:eastAsiaTheme="minorEastAsia" w:cs="Calibri"/>
      <w:kern w:val="0"/>
      <w:szCs w:val="22"/>
      <w:lang w:bidi="ar-SA"/>
    </w:rPr>
  </w:style>
  <w:style w:type="paragraph" w:customStyle="1" w:styleId="textinsertflushbold-">
    <w:name w:val="text insert flush bold -/+"/>
    <w:basedOn w:val="Normal"/>
    <w:autoRedefine/>
    <w:uiPriority w:val="99"/>
    <w:semiHidden/>
    <w:rsid w:val="00A85C8E"/>
    <w:pPr>
      <w:widowControl w:val="0"/>
      <w:autoSpaceDE w:val="0"/>
      <w:autoSpaceDN w:val="0"/>
      <w:adjustRightInd w:val="0"/>
      <w:spacing w:before="0" w:after="240"/>
      <w:textAlignment w:val="center"/>
    </w:pPr>
    <w:rPr>
      <w:rFonts w:eastAsiaTheme="minorEastAsia" w:cs="Times LT Std"/>
      <w:b/>
      <w:bCs/>
      <w:color w:val="000000"/>
      <w:kern w:val="0"/>
      <w:szCs w:val="22"/>
      <w:lang w:bidi="ar-SA"/>
    </w:rPr>
  </w:style>
  <w:style w:type="paragraph" w:customStyle="1" w:styleId="textinsertflushbold">
    <w:name w:val="text insert flush bold +/+"/>
    <w:basedOn w:val="text"/>
    <w:autoRedefine/>
    <w:uiPriority w:val="99"/>
    <w:semiHidden/>
    <w:rsid w:val="00A85C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insert-f">
    <w:name w:val="text insert-f +/+"/>
    <w:basedOn w:val="textinsert"/>
    <w:autoRedefine/>
    <w:uiPriority w:val="99"/>
    <w:semiHidden/>
    <w:rsid w:val="00A85C8E"/>
  </w:style>
  <w:style w:type="paragraph" w:customStyle="1" w:styleId="textonpage-">
    <w:name w:val="text on page . . .  -/+"/>
    <w:basedOn w:val="text"/>
    <w:autoRedefine/>
    <w:uiPriority w:val="99"/>
    <w:semiHidden/>
    <w:rsid w:val="00A85C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textAlignment w:val="center"/>
    </w:pPr>
    <w:rPr>
      <w:rFonts w:eastAsiaTheme="minorEastAsia" w:cs="ITC New Baskerville Std"/>
      <w:color w:val="000000"/>
    </w:rPr>
  </w:style>
  <w:style w:type="paragraph" w:customStyle="1" w:styleId="textonpage-0">
    <w:name w:val="text on page +/-"/>
    <w:basedOn w:val="text"/>
    <w:autoRedefine/>
    <w:uiPriority w:val="99"/>
    <w:semiHidden/>
    <w:rsid w:val="00A85C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textAlignment w:val="center"/>
    </w:pPr>
    <w:rPr>
      <w:rFonts w:eastAsiaTheme="minorEastAsia" w:cs="ITC New Baskerville Std"/>
      <w:color w:val="000000"/>
    </w:rPr>
  </w:style>
  <w:style w:type="paragraph" w:customStyle="1" w:styleId="textonpage">
    <w:name w:val="text on page +/+"/>
    <w:basedOn w:val="text"/>
    <w:autoRedefine/>
    <w:uiPriority w:val="99"/>
    <w:semiHidden/>
    <w:rsid w:val="00A85C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onpagebold-flush">
    <w:name w:val="text on page bold -/+ flush"/>
    <w:basedOn w:val="Normal"/>
    <w:autoRedefine/>
    <w:uiPriority w:val="99"/>
    <w:semiHidden/>
    <w:qFormat/>
    <w:rsid w:val="00A85C8E"/>
    <w:pPr>
      <w:widowControl w:val="0"/>
      <w:autoSpaceDE w:val="0"/>
      <w:autoSpaceDN w:val="0"/>
      <w:adjustRightInd w:val="0"/>
      <w:spacing w:before="0" w:after="240" w:line="240" w:lineRule="atLeast"/>
      <w:textAlignment w:val="center"/>
    </w:pPr>
    <w:rPr>
      <w:rFonts w:eastAsiaTheme="minorEastAsia" w:cs="Times LT Std"/>
      <w:b/>
      <w:bCs/>
      <w:color w:val="000000"/>
      <w:kern w:val="0"/>
      <w:szCs w:val="22"/>
      <w:lang w:bidi="ar-SA"/>
    </w:rPr>
  </w:style>
  <w:style w:type="paragraph" w:customStyle="1" w:styleId="textonpagebold">
    <w:name w:val="text on page bold +/+"/>
    <w:basedOn w:val="Normal"/>
    <w:autoRedefine/>
    <w:uiPriority w:val="99"/>
    <w:semiHidden/>
    <w:rsid w:val="00A85C8E"/>
    <w:pPr>
      <w:widowControl w:val="0"/>
      <w:autoSpaceDE w:val="0"/>
      <w:autoSpaceDN w:val="0"/>
      <w:adjustRightInd w:val="0"/>
      <w:spacing w:after="240"/>
      <w:textAlignment w:val="center"/>
    </w:pPr>
    <w:rPr>
      <w:rFonts w:eastAsiaTheme="minorEastAsia" w:cs="ITC New Baskerville Std"/>
      <w:b/>
      <w:bCs/>
      <w:color w:val="000000"/>
      <w:kern w:val="0"/>
      <w:lang w:bidi="ar-SA"/>
    </w:rPr>
  </w:style>
  <w:style w:type="paragraph" w:customStyle="1" w:styleId="textonpageboldflush">
    <w:name w:val="text on page bold +/+ flush"/>
    <w:basedOn w:val="Normal"/>
    <w:autoRedefine/>
    <w:uiPriority w:val="99"/>
    <w:semiHidden/>
    <w:rsid w:val="00A85C8E"/>
    <w:pPr>
      <w:widowControl w:val="0"/>
      <w:autoSpaceDE w:val="0"/>
      <w:autoSpaceDN w:val="0"/>
      <w:adjustRightInd w:val="0"/>
      <w:spacing w:after="240"/>
      <w:textAlignment w:val="center"/>
    </w:pPr>
    <w:rPr>
      <w:rFonts w:eastAsiaTheme="minorEastAsia" w:cs="Times LT Std"/>
      <w:b/>
      <w:bCs/>
      <w:color w:val="000000"/>
      <w:kern w:val="0"/>
      <w:szCs w:val="22"/>
      <w:lang w:bidi="ar-SA"/>
    </w:rPr>
  </w:style>
  <w:style w:type="paragraph" w:customStyle="1" w:styleId="textwith6ptbelow">
    <w:name w:val="text with 6 pt below"/>
    <w:basedOn w:val="text"/>
    <w:autoRedefine/>
    <w:uiPriority w:val="99"/>
    <w:semiHidden/>
    <w:rsid w:val="00A85C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bold -/+"/>
    <w:basedOn w:val="text"/>
    <w:autoRedefine/>
    <w:uiPriority w:val="99"/>
    <w:semiHidden/>
    <w:rsid w:val="00A85C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b/>
      <w:bCs/>
      <w:color w:val="000000"/>
      <w:szCs w:val="22"/>
    </w:rPr>
  </w:style>
  <w:style w:type="paragraph" w:customStyle="1" w:styleId="text-bold">
    <w:name w:val="text-bold +/+"/>
    <w:basedOn w:val="text-bold-"/>
    <w:autoRedefine/>
    <w:uiPriority w:val="99"/>
    <w:semiHidden/>
    <w:rsid w:val="00A85C8E"/>
    <w:pPr>
      <w:spacing w:before="240"/>
    </w:pPr>
  </w:style>
  <w:style w:type="paragraph" w:customStyle="1" w:styleId="text-flush">
    <w:name w:val="text-flush"/>
    <w:basedOn w:val="text"/>
    <w:autoRedefine/>
    <w:semiHidden/>
    <w:qFormat/>
    <w:rsid w:val="00A85C8E"/>
  </w:style>
  <w:style w:type="paragraph" w:customStyle="1" w:styleId="TOC1I">
    <w:name w:val="TOC1_I."/>
    <w:basedOn w:val="Normal"/>
    <w:autoRedefine/>
    <w:uiPriority w:val="99"/>
    <w:semiHidden/>
    <w:rsid w:val="00A85C8E"/>
    <w:pPr>
      <w:widowControl w:val="0"/>
      <w:tabs>
        <w:tab w:val="right" w:pos="420"/>
        <w:tab w:val="left" w:pos="540"/>
        <w:tab w:val="right" w:leader="dot" w:pos="6240"/>
        <w:tab w:val="right" w:pos="6960"/>
      </w:tabs>
      <w:autoSpaceDE w:val="0"/>
      <w:autoSpaceDN w:val="0"/>
      <w:adjustRightInd w:val="0"/>
      <w:spacing w:before="0" w:after="0" w:line="220" w:lineRule="atLeast"/>
      <w:ind w:left="540" w:hanging="540"/>
      <w:textAlignment w:val="center"/>
    </w:pPr>
    <w:rPr>
      <w:rFonts w:eastAsiaTheme="minorEastAsia" w:cs="Times LT Std"/>
      <w:color w:val="000000"/>
      <w:kern w:val="0"/>
      <w:sz w:val="22"/>
      <w:szCs w:val="20"/>
      <w:lang w:bidi="ar-SA"/>
    </w:rPr>
  </w:style>
  <w:style w:type="paragraph" w:customStyle="1" w:styleId="TOC1Secondary">
    <w:name w:val="TOC 1_Secondary"/>
    <w:basedOn w:val="TOC1I"/>
    <w:autoRedefine/>
    <w:uiPriority w:val="99"/>
    <w:semiHidden/>
    <w:qFormat/>
    <w:rsid w:val="00A85C8E"/>
    <w:pPr>
      <w:tabs>
        <w:tab w:val="clear" w:pos="420"/>
        <w:tab w:val="clear" w:pos="540"/>
        <w:tab w:val="right" w:pos="480"/>
        <w:tab w:val="left" w:pos="600"/>
      </w:tabs>
      <w:suppressAutoHyphens/>
      <w:spacing w:line="240" w:lineRule="auto"/>
      <w:ind w:left="799" w:hanging="199"/>
    </w:pPr>
    <w:rPr>
      <w:szCs w:val="21"/>
    </w:rPr>
  </w:style>
  <w:style w:type="paragraph" w:customStyle="1" w:styleId="TOCChapter">
    <w:name w:val="TOC Chapter"/>
    <w:basedOn w:val="Normal"/>
    <w:autoRedefine/>
    <w:uiPriority w:val="99"/>
    <w:semiHidden/>
    <w:rsid w:val="00A85C8E"/>
    <w:pPr>
      <w:tabs>
        <w:tab w:val="left" w:pos="1440"/>
        <w:tab w:val="right" w:leader="dot" w:pos="5640"/>
        <w:tab w:val="right" w:pos="6240"/>
        <w:tab w:val="right" w:pos="6960"/>
      </w:tabs>
      <w:suppressAutoHyphens/>
      <w:autoSpaceDE w:val="0"/>
      <w:autoSpaceDN w:val="0"/>
      <w:adjustRightInd w:val="0"/>
      <w:spacing w:after="0" w:line="220" w:lineRule="atLeast"/>
      <w:ind w:left="1440" w:hanging="1440"/>
      <w:textAlignment w:val="center"/>
    </w:pPr>
    <w:rPr>
      <w:rFonts w:cs="Times"/>
      <w:smallCaps/>
      <w:color w:val="000000"/>
      <w:spacing w:val="-2"/>
      <w:kern w:val="0"/>
      <w:sz w:val="20"/>
      <w:szCs w:val="20"/>
      <w:lang w:bidi="ar-SA"/>
    </w:rPr>
  </w:style>
  <w:style w:type="paragraph" w:customStyle="1" w:styleId="tocchapter0">
    <w:name w:val="toc chapter #"/>
    <w:basedOn w:val="Normal"/>
    <w:autoRedefine/>
    <w:uiPriority w:val="99"/>
    <w:semiHidden/>
    <w:rsid w:val="00A85C8E"/>
    <w:pPr>
      <w:widowControl w:val="0"/>
      <w:tabs>
        <w:tab w:val="left" w:pos="1440"/>
        <w:tab w:val="right" w:leader="dot" w:pos="6240"/>
        <w:tab w:val="right" w:pos="6960"/>
      </w:tabs>
      <w:autoSpaceDE w:val="0"/>
      <w:autoSpaceDN w:val="0"/>
      <w:adjustRightInd w:val="0"/>
      <w:spacing w:after="240"/>
      <w:ind w:left="1440" w:hanging="1440"/>
      <w:textAlignment w:val="center"/>
    </w:pPr>
    <w:rPr>
      <w:rFonts w:eastAsiaTheme="minorEastAsia" w:cs="NewCenturySchlbk"/>
      <w:smallCaps/>
      <w:color w:val="000000"/>
      <w:kern w:val="0"/>
      <w:szCs w:val="22"/>
      <w:lang w:bidi="ar-SA"/>
    </w:rPr>
  </w:style>
  <w:style w:type="paragraph" w:customStyle="1" w:styleId="tocflush">
    <w:name w:val="toc flush"/>
    <w:basedOn w:val="Normal"/>
    <w:autoRedefine/>
    <w:uiPriority w:val="99"/>
    <w:semiHidden/>
    <w:rsid w:val="00A85C8E"/>
    <w:pPr>
      <w:widowControl w:val="0"/>
      <w:tabs>
        <w:tab w:val="left" w:pos="480"/>
        <w:tab w:val="right" w:leader="dot" w:pos="6240"/>
        <w:tab w:val="right" w:pos="6960"/>
      </w:tabs>
      <w:autoSpaceDE w:val="0"/>
      <w:autoSpaceDN w:val="0"/>
      <w:adjustRightInd w:val="0"/>
      <w:spacing w:before="0" w:after="240"/>
      <w:textAlignment w:val="center"/>
    </w:pPr>
    <w:rPr>
      <w:rFonts w:eastAsiaTheme="minorEastAsia"/>
      <w:smallCaps/>
      <w:color w:val="000000"/>
      <w:kern w:val="0"/>
      <w:szCs w:val="22"/>
      <w:lang w:bidi="ar-SA"/>
    </w:rPr>
  </w:style>
  <w:style w:type="paragraph" w:customStyle="1" w:styleId="tocI">
    <w:name w:val="toc I."/>
    <w:basedOn w:val="Normal"/>
    <w:autoRedefine/>
    <w:uiPriority w:val="99"/>
    <w:semiHidden/>
    <w:rsid w:val="00A85C8E"/>
    <w:pPr>
      <w:widowControl w:val="0"/>
      <w:tabs>
        <w:tab w:val="right" w:pos="600"/>
        <w:tab w:val="left" w:pos="720"/>
        <w:tab w:val="left" w:leader="dot" w:pos="6240"/>
        <w:tab w:val="left" w:pos="6960"/>
      </w:tabs>
      <w:suppressAutoHyphens/>
      <w:autoSpaceDE w:val="0"/>
      <w:autoSpaceDN w:val="0"/>
      <w:adjustRightInd w:val="0"/>
      <w:spacing w:before="0" w:after="0"/>
      <w:ind w:left="720" w:hanging="720"/>
      <w:textAlignment w:val="center"/>
    </w:pPr>
    <w:rPr>
      <w:rFonts w:eastAsiaTheme="minorEastAsia" w:cs="ITC New Baskerville Std"/>
      <w:color w:val="000000"/>
      <w:kern w:val="0"/>
      <w:sz w:val="22"/>
      <w:szCs w:val="22"/>
      <w:lang w:bidi="ar-SA"/>
    </w:rPr>
  </w:style>
  <w:style w:type="paragraph" w:customStyle="1" w:styleId="toc11">
    <w:name w:val="toc1 1."/>
    <w:basedOn w:val="text"/>
    <w:autoRedefine/>
    <w:uiPriority w:val="99"/>
    <w:semiHidden/>
    <w:rsid w:val="00A85C8E"/>
    <w:pPr>
      <w:widowControl w:val="0"/>
      <w:tabs>
        <w:tab w:val="clear" w:pos="0"/>
        <w:tab w:val="clear" w:pos="1440"/>
        <w:tab w:val="clear" w:pos="2160"/>
        <w:tab w:val="clear" w:pos="2880"/>
        <w:tab w:val="clear" w:pos="3600"/>
        <w:tab w:val="clear" w:pos="4320"/>
        <w:tab w:val="clear" w:pos="5040"/>
        <w:tab w:val="clear" w:pos="5760"/>
        <w:tab w:val="left" w:pos="600"/>
        <w:tab w:val="right" w:leader="dot" w:pos="6240"/>
        <w:tab w:val="right" w:pos="6960"/>
      </w:tabs>
      <w:autoSpaceDE w:val="0"/>
      <w:autoSpaceDN w:val="0"/>
      <w:adjustRightInd w:val="0"/>
      <w:spacing w:line="240" w:lineRule="atLeast"/>
      <w:ind w:left="600" w:hanging="600"/>
      <w:textAlignment w:val="center"/>
    </w:pPr>
    <w:rPr>
      <w:rFonts w:eastAsiaTheme="minorEastAsia" w:cs="NewCenturySchlbk"/>
      <w:color w:val="000000"/>
      <w:szCs w:val="22"/>
    </w:rPr>
  </w:style>
  <w:style w:type="paragraph" w:customStyle="1" w:styleId="toc1A">
    <w:name w:val="toc1 A."/>
    <w:basedOn w:val="Normal"/>
    <w:autoRedefine/>
    <w:uiPriority w:val="99"/>
    <w:semiHidden/>
    <w:rsid w:val="00A85C8E"/>
    <w:pPr>
      <w:widowControl w:val="0"/>
      <w:tabs>
        <w:tab w:val="left" w:pos="1080"/>
        <w:tab w:val="left" w:leader="dot" w:pos="6240"/>
        <w:tab w:val="left" w:pos="6960"/>
      </w:tabs>
      <w:suppressAutoHyphens/>
      <w:autoSpaceDE w:val="0"/>
      <w:autoSpaceDN w:val="0"/>
      <w:adjustRightInd w:val="0"/>
      <w:spacing w:before="0" w:after="0"/>
      <w:ind w:left="1080" w:hanging="360"/>
      <w:textAlignment w:val="center"/>
    </w:pPr>
    <w:rPr>
      <w:rFonts w:eastAsiaTheme="minorEastAsia" w:cs="ITC New Baskerville Std"/>
      <w:color w:val="000000"/>
      <w:kern w:val="0"/>
      <w:sz w:val="22"/>
      <w:szCs w:val="22"/>
      <w:lang w:bidi="ar-SA"/>
    </w:rPr>
  </w:style>
  <w:style w:type="paragraph" w:customStyle="1" w:styleId="TOC1ES">
    <w:name w:val="TOC1 ES"/>
    <w:basedOn w:val="toc10"/>
    <w:autoRedefine/>
    <w:semiHidden/>
    <w:qFormat/>
    <w:rsid w:val="00A85C8E"/>
    <w:pPr>
      <w:tabs>
        <w:tab w:val="right" w:pos="960"/>
      </w:tabs>
      <w:ind w:left="960" w:hanging="960"/>
    </w:pPr>
    <w:rPr>
      <w:rFonts w:cs="Times New Roman"/>
    </w:rPr>
  </w:style>
  <w:style w:type="paragraph" w:customStyle="1" w:styleId="TOC1ESDD">
    <w:name w:val="TOC1 ES DD"/>
    <w:basedOn w:val="toc10"/>
    <w:autoRedefine/>
    <w:semiHidden/>
    <w:qFormat/>
    <w:rsid w:val="00A85C8E"/>
    <w:pPr>
      <w:tabs>
        <w:tab w:val="left" w:pos="1080"/>
      </w:tabs>
      <w:ind w:left="1080" w:hanging="1080"/>
    </w:pPr>
    <w:rPr>
      <w:rFonts w:cs="Times New Roman"/>
    </w:rPr>
  </w:style>
  <w:style w:type="paragraph" w:customStyle="1" w:styleId="toc1I0">
    <w:name w:val="toc1 I."/>
    <w:basedOn w:val="text"/>
    <w:autoRedefine/>
    <w:uiPriority w:val="99"/>
    <w:semiHidden/>
    <w:qFormat/>
    <w:rsid w:val="00A85C8E"/>
    <w:pPr>
      <w:widowControl w:val="0"/>
      <w:tabs>
        <w:tab w:val="clear" w:pos="0"/>
        <w:tab w:val="clear" w:pos="720"/>
        <w:tab w:val="clear" w:pos="1440"/>
        <w:tab w:val="clear" w:pos="2160"/>
        <w:tab w:val="clear" w:pos="2880"/>
        <w:tab w:val="clear" w:pos="3600"/>
        <w:tab w:val="clear" w:pos="4320"/>
        <w:tab w:val="clear" w:pos="5040"/>
        <w:tab w:val="clear" w:pos="5760"/>
        <w:tab w:val="right" w:pos="480"/>
        <w:tab w:val="left" w:pos="600"/>
        <w:tab w:val="left" w:leader="dot" w:pos="6240"/>
        <w:tab w:val="right" w:pos="6960"/>
      </w:tabs>
      <w:autoSpaceDE w:val="0"/>
      <w:autoSpaceDN w:val="0"/>
      <w:adjustRightInd w:val="0"/>
      <w:ind w:left="600" w:hanging="600"/>
      <w:textAlignment w:val="center"/>
    </w:pPr>
    <w:rPr>
      <w:rFonts w:eastAsiaTheme="minorEastAsia"/>
      <w:color w:val="000000"/>
      <w:szCs w:val="20"/>
    </w:rPr>
  </w:style>
  <w:style w:type="paragraph" w:customStyle="1" w:styleId="TOC1I1">
    <w:name w:val="TOC1 I."/>
    <w:basedOn w:val="Normal"/>
    <w:autoRedefine/>
    <w:uiPriority w:val="99"/>
    <w:semiHidden/>
    <w:rsid w:val="00A85C8E"/>
    <w:pPr>
      <w:widowControl w:val="0"/>
      <w:tabs>
        <w:tab w:val="right" w:pos="600"/>
        <w:tab w:val="left" w:pos="720"/>
        <w:tab w:val="right" w:leader="dot" w:pos="6240"/>
        <w:tab w:val="left" w:pos="6960"/>
      </w:tabs>
      <w:suppressAutoHyphens/>
      <w:autoSpaceDE w:val="0"/>
      <w:autoSpaceDN w:val="0"/>
      <w:adjustRightInd w:val="0"/>
      <w:spacing w:before="0" w:after="0"/>
      <w:ind w:left="720" w:hanging="720"/>
      <w:textAlignment w:val="center"/>
    </w:pPr>
    <w:rPr>
      <w:rFonts w:eastAsiaTheme="minorEastAsia" w:cs="ITC New Baskerville Std"/>
      <w:color w:val="000000"/>
      <w:kern w:val="0"/>
      <w:sz w:val="22"/>
      <w:lang w:bidi="ar-SA"/>
    </w:rPr>
  </w:style>
  <w:style w:type="paragraph" w:customStyle="1" w:styleId="TOC1I2">
    <w:name w:val="TOC1_I"/>
    <w:basedOn w:val="Normal"/>
    <w:autoRedefine/>
    <w:uiPriority w:val="99"/>
    <w:semiHidden/>
    <w:rsid w:val="00A85C8E"/>
    <w:pPr>
      <w:widowControl w:val="0"/>
      <w:tabs>
        <w:tab w:val="right" w:pos="480"/>
        <w:tab w:val="left" w:pos="600"/>
        <w:tab w:val="right" w:leader="dot" w:pos="6240"/>
        <w:tab w:val="right" w:pos="6960"/>
      </w:tabs>
      <w:suppressAutoHyphens/>
      <w:autoSpaceDE w:val="0"/>
      <w:autoSpaceDN w:val="0"/>
      <w:adjustRightInd w:val="0"/>
      <w:spacing w:before="0" w:after="0"/>
      <w:ind w:left="600" w:hanging="600"/>
      <w:textAlignment w:val="center"/>
    </w:pPr>
    <w:rPr>
      <w:rFonts w:eastAsiaTheme="minorEastAsia" w:cs="Times LT Std"/>
      <w:color w:val="000000"/>
      <w:kern w:val="0"/>
      <w:lang w:bidi="ar-SA"/>
    </w:rPr>
  </w:style>
  <w:style w:type="paragraph" w:customStyle="1" w:styleId="toc20">
    <w:name w:val="toc2"/>
    <w:basedOn w:val="Normal"/>
    <w:autoRedefine/>
    <w:uiPriority w:val="99"/>
    <w:semiHidden/>
    <w:rsid w:val="00A85C8E"/>
    <w:pPr>
      <w:widowControl w:val="0"/>
      <w:tabs>
        <w:tab w:val="left" w:pos="720"/>
        <w:tab w:val="right" w:leader="dot" w:pos="6240"/>
        <w:tab w:val="left" w:pos="6960"/>
      </w:tabs>
      <w:autoSpaceDE w:val="0"/>
      <w:autoSpaceDN w:val="0"/>
      <w:adjustRightInd w:val="0"/>
      <w:spacing w:before="0" w:after="0"/>
      <w:ind w:left="1080" w:hanging="360"/>
      <w:textAlignment w:val="center"/>
    </w:pPr>
    <w:rPr>
      <w:rFonts w:eastAsiaTheme="minorEastAsia"/>
      <w:color w:val="000000"/>
      <w:kern w:val="0"/>
      <w:sz w:val="22"/>
      <w:szCs w:val="22"/>
      <w:lang w:bidi="ar-SA"/>
    </w:rPr>
  </w:style>
  <w:style w:type="paragraph" w:customStyle="1" w:styleId="toc21">
    <w:name w:val="toc2 1."/>
    <w:basedOn w:val="toc1A"/>
    <w:autoRedefine/>
    <w:uiPriority w:val="99"/>
    <w:semiHidden/>
    <w:rsid w:val="00A85C8E"/>
    <w:pPr>
      <w:tabs>
        <w:tab w:val="clear" w:pos="1080"/>
        <w:tab w:val="left" w:pos="1380"/>
      </w:tabs>
      <w:ind w:left="1380" w:hanging="300"/>
    </w:pPr>
  </w:style>
  <w:style w:type="paragraph" w:customStyle="1" w:styleId="toc2A">
    <w:name w:val="toc2 A."/>
    <w:basedOn w:val="Normal"/>
    <w:autoRedefine/>
    <w:uiPriority w:val="99"/>
    <w:semiHidden/>
    <w:rsid w:val="00A85C8E"/>
    <w:pPr>
      <w:widowControl w:val="0"/>
      <w:tabs>
        <w:tab w:val="left" w:pos="1080"/>
        <w:tab w:val="right" w:leader="dot" w:pos="6240"/>
        <w:tab w:val="right" w:pos="6960"/>
      </w:tabs>
      <w:autoSpaceDE w:val="0"/>
      <w:autoSpaceDN w:val="0"/>
      <w:adjustRightInd w:val="0"/>
      <w:spacing w:before="0" w:after="0"/>
      <w:ind w:left="1080" w:hanging="360"/>
      <w:textAlignment w:val="center"/>
    </w:pPr>
    <w:rPr>
      <w:rFonts w:eastAsiaTheme="minorEastAsia" w:cs="NewCenturySchlbk"/>
      <w:color w:val="000000"/>
      <w:kern w:val="0"/>
      <w:szCs w:val="22"/>
      <w:lang w:bidi="ar-SA"/>
    </w:rPr>
  </w:style>
  <w:style w:type="paragraph" w:customStyle="1" w:styleId="toc2dd">
    <w:name w:val="toc2 dd"/>
    <w:basedOn w:val="Normal"/>
    <w:autoRedefine/>
    <w:uiPriority w:val="99"/>
    <w:semiHidden/>
    <w:qFormat/>
    <w:rsid w:val="00A85C8E"/>
    <w:pPr>
      <w:widowControl w:val="0"/>
      <w:tabs>
        <w:tab w:val="left" w:pos="1200"/>
        <w:tab w:val="left" w:leader="dot" w:pos="6240"/>
        <w:tab w:val="left" w:pos="6960"/>
      </w:tabs>
      <w:suppressAutoHyphens/>
      <w:autoSpaceDE w:val="0"/>
      <w:autoSpaceDN w:val="0"/>
      <w:adjustRightInd w:val="0"/>
      <w:spacing w:before="0" w:after="0"/>
      <w:ind w:left="1200" w:hanging="480"/>
      <w:textAlignment w:val="center"/>
    </w:pPr>
    <w:rPr>
      <w:rFonts w:eastAsiaTheme="minorEastAsia" w:cs="ITC New Baskerville Std"/>
      <w:color w:val="000000"/>
      <w:kern w:val="0"/>
      <w:szCs w:val="22"/>
      <w:lang w:bidi="ar-SA"/>
    </w:rPr>
  </w:style>
  <w:style w:type="paragraph" w:customStyle="1" w:styleId="TOC2A0">
    <w:name w:val="TOC2_A."/>
    <w:basedOn w:val="TOC1I"/>
    <w:uiPriority w:val="99"/>
    <w:semiHidden/>
    <w:rsid w:val="00A85C8E"/>
    <w:pPr>
      <w:tabs>
        <w:tab w:val="clear" w:pos="420"/>
        <w:tab w:val="clear" w:pos="540"/>
      </w:tabs>
      <w:ind w:left="840" w:hanging="300"/>
    </w:pPr>
  </w:style>
  <w:style w:type="paragraph" w:customStyle="1" w:styleId="TOC2secondary">
    <w:name w:val="TOC2_secondary"/>
    <w:basedOn w:val="TOC2A0"/>
    <w:autoRedefine/>
    <w:uiPriority w:val="99"/>
    <w:semiHidden/>
    <w:qFormat/>
    <w:rsid w:val="00A85C8E"/>
    <w:pPr>
      <w:tabs>
        <w:tab w:val="left" w:pos="960"/>
      </w:tabs>
      <w:suppressAutoHyphens/>
      <w:spacing w:line="240" w:lineRule="auto"/>
      <w:ind w:left="1320" w:hanging="360"/>
    </w:pPr>
    <w:rPr>
      <w:szCs w:val="21"/>
    </w:rPr>
  </w:style>
  <w:style w:type="paragraph" w:customStyle="1" w:styleId="toc30">
    <w:name w:val="toc3"/>
    <w:basedOn w:val="toc20"/>
    <w:autoRedefine/>
    <w:uiPriority w:val="99"/>
    <w:semiHidden/>
    <w:rsid w:val="00A85C8E"/>
    <w:pPr>
      <w:tabs>
        <w:tab w:val="left" w:pos="1680"/>
      </w:tabs>
      <w:ind w:left="1680" w:hanging="480"/>
    </w:pPr>
  </w:style>
  <w:style w:type="paragraph" w:customStyle="1" w:styleId="toc31">
    <w:name w:val="toc3 1."/>
    <w:basedOn w:val="toc2A"/>
    <w:autoRedefine/>
    <w:uiPriority w:val="99"/>
    <w:semiHidden/>
    <w:rsid w:val="00A85C8E"/>
    <w:pPr>
      <w:tabs>
        <w:tab w:val="left" w:pos="1320"/>
      </w:tabs>
      <w:ind w:left="1320"/>
    </w:pPr>
  </w:style>
  <w:style w:type="paragraph" w:customStyle="1" w:styleId="toc3100">
    <w:name w:val="toc3 100."/>
    <w:basedOn w:val="toc30"/>
    <w:autoRedefine/>
    <w:uiPriority w:val="99"/>
    <w:semiHidden/>
    <w:rsid w:val="00A85C8E"/>
    <w:pPr>
      <w:ind w:hanging="600"/>
    </w:pPr>
    <w:rPr>
      <w:rFonts w:cs="ITC New Baskerville Std"/>
    </w:rPr>
  </w:style>
  <w:style w:type="paragraph" w:customStyle="1" w:styleId="toc3a">
    <w:name w:val="toc3 a."/>
    <w:basedOn w:val="toc21"/>
    <w:autoRedefine/>
    <w:uiPriority w:val="99"/>
    <w:semiHidden/>
    <w:rsid w:val="00A85C8E"/>
    <w:pPr>
      <w:tabs>
        <w:tab w:val="clear" w:pos="1380"/>
        <w:tab w:val="left" w:pos="1680"/>
      </w:tabs>
      <w:ind w:left="1680"/>
    </w:pPr>
  </w:style>
  <w:style w:type="paragraph" w:customStyle="1" w:styleId="toc3dd">
    <w:name w:val="toc3 dd"/>
    <w:basedOn w:val="toc30"/>
    <w:uiPriority w:val="99"/>
    <w:semiHidden/>
    <w:rsid w:val="00A85C8E"/>
    <w:pPr>
      <w:tabs>
        <w:tab w:val="left" w:pos="1500"/>
      </w:tabs>
      <w:spacing w:line="240" w:lineRule="atLeast"/>
      <w:ind w:left="1500"/>
    </w:pPr>
  </w:style>
  <w:style w:type="paragraph" w:customStyle="1" w:styleId="toc3i">
    <w:name w:val="toc3 i."/>
    <w:basedOn w:val="toc2A"/>
    <w:autoRedefine/>
    <w:uiPriority w:val="99"/>
    <w:semiHidden/>
    <w:rsid w:val="00A85C8E"/>
    <w:pPr>
      <w:tabs>
        <w:tab w:val="left" w:pos="1320"/>
      </w:tabs>
      <w:ind w:left="1320" w:hanging="480"/>
    </w:pPr>
  </w:style>
  <w:style w:type="paragraph" w:customStyle="1" w:styleId="TOC310">
    <w:name w:val="TOC3_1."/>
    <w:basedOn w:val="TOC2A0"/>
    <w:uiPriority w:val="99"/>
    <w:semiHidden/>
    <w:rsid w:val="00A85C8E"/>
    <w:pPr>
      <w:tabs>
        <w:tab w:val="left" w:pos="1200"/>
      </w:tabs>
      <w:ind w:left="1200" w:hanging="360"/>
    </w:pPr>
  </w:style>
  <w:style w:type="paragraph" w:customStyle="1" w:styleId="toc40">
    <w:name w:val="toc4"/>
    <w:basedOn w:val="toc30"/>
    <w:autoRedefine/>
    <w:uiPriority w:val="99"/>
    <w:semiHidden/>
    <w:rsid w:val="00A85C8E"/>
    <w:pPr>
      <w:tabs>
        <w:tab w:val="left" w:pos="2160"/>
      </w:tabs>
      <w:ind w:left="2160"/>
    </w:pPr>
  </w:style>
  <w:style w:type="paragraph" w:customStyle="1" w:styleId="toc41">
    <w:name w:val="toc4 (1)"/>
    <w:basedOn w:val="toc3a"/>
    <w:autoRedefine/>
    <w:uiPriority w:val="99"/>
    <w:semiHidden/>
    <w:rsid w:val="00A85C8E"/>
    <w:pPr>
      <w:tabs>
        <w:tab w:val="clear" w:pos="1680"/>
        <w:tab w:val="left" w:pos="2100"/>
      </w:tabs>
      <w:ind w:left="2100" w:hanging="420"/>
    </w:pPr>
  </w:style>
  <w:style w:type="paragraph" w:customStyle="1" w:styleId="toc4100a">
    <w:name w:val="toc4 100/a"/>
    <w:basedOn w:val="toc40"/>
    <w:autoRedefine/>
    <w:uiPriority w:val="99"/>
    <w:semiHidden/>
    <w:rsid w:val="00A85C8E"/>
    <w:pPr>
      <w:tabs>
        <w:tab w:val="left" w:pos="1980"/>
      </w:tabs>
      <w:ind w:left="1980" w:hanging="300"/>
    </w:pPr>
    <w:rPr>
      <w:rFonts w:cs="ITC New Baskerville Std"/>
    </w:rPr>
  </w:style>
  <w:style w:type="paragraph" w:customStyle="1" w:styleId="toc4a">
    <w:name w:val="toc4 a."/>
    <w:basedOn w:val="toc31"/>
    <w:autoRedefine/>
    <w:uiPriority w:val="99"/>
    <w:semiHidden/>
    <w:rsid w:val="00A85C8E"/>
    <w:pPr>
      <w:tabs>
        <w:tab w:val="clear" w:pos="1320"/>
        <w:tab w:val="left" w:pos="1680"/>
      </w:tabs>
      <w:spacing w:line="240" w:lineRule="atLeast"/>
      <w:ind w:left="1680"/>
    </w:pPr>
  </w:style>
  <w:style w:type="paragraph" w:customStyle="1" w:styleId="toc4dd">
    <w:name w:val="toc4 dd"/>
    <w:basedOn w:val="toc40"/>
    <w:autoRedefine/>
    <w:uiPriority w:val="99"/>
    <w:semiHidden/>
    <w:qFormat/>
    <w:rsid w:val="00A85C8E"/>
    <w:pPr>
      <w:tabs>
        <w:tab w:val="left" w:pos="1920"/>
        <w:tab w:val="right" w:leader="dot" w:pos="5400"/>
        <w:tab w:val="right" w:pos="6240"/>
      </w:tabs>
      <w:spacing w:after="40" w:line="240" w:lineRule="atLeast"/>
      <w:ind w:left="1920" w:hanging="420"/>
    </w:pPr>
    <w:rPr>
      <w:rFonts w:cs="ITC New Baskerville Std"/>
    </w:rPr>
  </w:style>
  <w:style w:type="paragraph" w:customStyle="1" w:styleId="TOC4a0">
    <w:name w:val="TOC4_a."/>
    <w:basedOn w:val="TOC310"/>
    <w:uiPriority w:val="99"/>
    <w:semiHidden/>
    <w:rsid w:val="00A85C8E"/>
    <w:pPr>
      <w:tabs>
        <w:tab w:val="clear" w:pos="1200"/>
      </w:tabs>
      <w:ind w:left="1560"/>
    </w:pPr>
  </w:style>
  <w:style w:type="paragraph" w:customStyle="1" w:styleId="toc5">
    <w:name w:val="toc5"/>
    <w:basedOn w:val="toc40"/>
    <w:autoRedefine/>
    <w:uiPriority w:val="99"/>
    <w:semiHidden/>
    <w:rsid w:val="00A85C8E"/>
    <w:pPr>
      <w:tabs>
        <w:tab w:val="left" w:pos="2520"/>
      </w:tabs>
      <w:ind w:left="2520"/>
    </w:pPr>
  </w:style>
  <w:style w:type="paragraph" w:customStyle="1" w:styleId="toc5a0">
    <w:name w:val="toc5 (a)"/>
    <w:basedOn w:val="toc41"/>
    <w:autoRedefine/>
    <w:uiPriority w:val="99"/>
    <w:semiHidden/>
    <w:rsid w:val="00A85C8E"/>
    <w:pPr>
      <w:tabs>
        <w:tab w:val="clear" w:pos="2100"/>
        <w:tab w:val="left" w:pos="2520"/>
      </w:tabs>
      <w:ind w:left="2520"/>
    </w:pPr>
  </w:style>
  <w:style w:type="paragraph" w:customStyle="1" w:styleId="toc5ii">
    <w:name w:val="toc5 ii."/>
    <w:basedOn w:val="toc4a"/>
    <w:autoRedefine/>
    <w:uiPriority w:val="99"/>
    <w:semiHidden/>
    <w:rsid w:val="00A85C8E"/>
    <w:pPr>
      <w:tabs>
        <w:tab w:val="clear" w:pos="1680"/>
        <w:tab w:val="right" w:pos="2160"/>
        <w:tab w:val="left" w:pos="2280"/>
        <w:tab w:val="right" w:pos="6240"/>
      </w:tabs>
      <w:spacing w:line="220" w:lineRule="atLeast"/>
      <w:ind w:left="2280" w:hanging="600"/>
    </w:pPr>
    <w:rPr>
      <w:rFonts w:cs="Times LT Std"/>
      <w:szCs w:val="20"/>
    </w:rPr>
  </w:style>
  <w:style w:type="paragraph" w:customStyle="1" w:styleId="TOC5i">
    <w:name w:val="TOC5_i."/>
    <w:basedOn w:val="TOC4a0"/>
    <w:autoRedefine/>
    <w:uiPriority w:val="99"/>
    <w:semiHidden/>
    <w:qFormat/>
    <w:rsid w:val="00A85C8E"/>
    <w:pPr>
      <w:tabs>
        <w:tab w:val="left" w:pos="1440"/>
        <w:tab w:val="right" w:pos="2040"/>
        <w:tab w:val="left" w:pos="2160"/>
      </w:tabs>
      <w:suppressAutoHyphens/>
      <w:spacing w:line="240" w:lineRule="auto"/>
      <w:ind w:left="2160" w:hanging="480"/>
    </w:pPr>
    <w:rPr>
      <w:szCs w:val="21"/>
    </w:rPr>
  </w:style>
  <w:style w:type="paragraph" w:customStyle="1" w:styleId="TOC5ii0">
    <w:name w:val="TOC5_ii."/>
    <w:basedOn w:val="TOC4a0"/>
    <w:autoRedefine/>
    <w:uiPriority w:val="99"/>
    <w:semiHidden/>
    <w:rsid w:val="00A85C8E"/>
    <w:pPr>
      <w:tabs>
        <w:tab w:val="right" w:pos="2040"/>
        <w:tab w:val="left" w:pos="2160"/>
        <w:tab w:val="left" w:leader="dot" w:pos="6240"/>
      </w:tabs>
      <w:spacing w:line="240" w:lineRule="atLeast"/>
      <w:ind w:left="2160" w:hanging="480"/>
    </w:pPr>
    <w:rPr>
      <w:szCs w:val="22"/>
    </w:rPr>
  </w:style>
  <w:style w:type="paragraph" w:customStyle="1" w:styleId="toc6">
    <w:name w:val="toc6"/>
    <w:basedOn w:val="toc5"/>
    <w:autoRedefine/>
    <w:uiPriority w:val="99"/>
    <w:semiHidden/>
    <w:rsid w:val="00A85C8E"/>
    <w:pPr>
      <w:tabs>
        <w:tab w:val="clear" w:pos="2520"/>
        <w:tab w:val="left" w:pos="3000"/>
      </w:tabs>
      <w:ind w:left="3000"/>
    </w:pPr>
    <w:rPr>
      <w:rFonts w:cs="ITC New Baskerville Std"/>
    </w:rPr>
  </w:style>
  <w:style w:type="paragraph" w:customStyle="1" w:styleId="TOC61">
    <w:name w:val="TOC6 (1)"/>
    <w:basedOn w:val="TOC5ii0"/>
    <w:autoRedefine/>
    <w:uiPriority w:val="99"/>
    <w:semiHidden/>
    <w:rsid w:val="00A85C8E"/>
    <w:pPr>
      <w:tabs>
        <w:tab w:val="clear" w:pos="2040"/>
        <w:tab w:val="clear" w:pos="2160"/>
        <w:tab w:val="left" w:pos="2640"/>
      </w:tabs>
      <w:spacing w:line="240" w:lineRule="auto"/>
      <w:ind w:left="2640"/>
    </w:pPr>
  </w:style>
  <w:style w:type="paragraph" w:customStyle="1" w:styleId="toc7">
    <w:name w:val="toc7"/>
    <w:basedOn w:val="toc6"/>
    <w:autoRedefine/>
    <w:uiPriority w:val="99"/>
    <w:semiHidden/>
    <w:qFormat/>
    <w:rsid w:val="00A85C8E"/>
    <w:pPr>
      <w:tabs>
        <w:tab w:val="clear" w:pos="3000"/>
        <w:tab w:val="left" w:pos="3360"/>
      </w:tabs>
      <w:ind w:left="3360"/>
    </w:pPr>
  </w:style>
  <w:style w:type="paragraph" w:customStyle="1" w:styleId="toc8">
    <w:name w:val="toc8"/>
    <w:basedOn w:val="toc7"/>
    <w:autoRedefine/>
    <w:uiPriority w:val="99"/>
    <w:semiHidden/>
    <w:qFormat/>
    <w:rsid w:val="00A85C8E"/>
    <w:pPr>
      <w:tabs>
        <w:tab w:val="clear" w:pos="3360"/>
        <w:tab w:val="left" w:pos="3840"/>
      </w:tabs>
      <w:ind w:left="3840"/>
    </w:pPr>
  </w:style>
  <w:style w:type="paragraph" w:customStyle="1" w:styleId="toc410">
    <w:name w:val="toc4 (10)"/>
    <w:basedOn w:val="toc41"/>
    <w:uiPriority w:val="99"/>
    <w:semiHidden/>
    <w:rsid w:val="00A85C8E"/>
    <w:pPr>
      <w:tabs>
        <w:tab w:val="clear" w:pos="2100"/>
        <w:tab w:val="left" w:pos="2160"/>
        <w:tab w:val="right" w:pos="6960"/>
      </w:tabs>
      <w:spacing w:line="240" w:lineRule="atLeast"/>
      <w:ind w:left="2160" w:hanging="480"/>
    </w:pPr>
  </w:style>
  <w:style w:type="paragraph" w:customStyle="1" w:styleId="toc6iii">
    <w:name w:val="toc6 (iii)"/>
    <w:basedOn w:val="toc5a"/>
    <w:uiPriority w:val="99"/>
    <w:semiHidden/>
    <w:rsid w:val="00A85C8E"/>
    <w:pPr>
      <w:widowControl w:val="0"/>
      <w:tabs>
        <w:tab w:val="clear" w:pos="2100"/>
        <w:tab w:val="left" w:pos="2640"/>
        <w:tab w:val="left" w:pos="3240"/>
        <w:tab w:val="right" w:pos="6960"/>
      </w:tabs>
      <w:ind w:left="3240" w:hanging="600"/>
    </w:pPr>
  </w:style>
  <w:style w:type="paragraph" w:customStyle="1" w:styleId="6thlevelheadar">
    <w:name w:val="6th level head (a)_r"/>
    <w:basedOn w:val="5thlevelhead1i"/>
    <w:autoRedefine/>
    <w:uiPriority w:val="99"/>
    <w:semiHidden/>
    <w:rsid w:val="00A85C8E"/>
    <w:pPr>
      <w:tabs>
        <w:tab w:val="clear" w:pos="800"/>
      </w:tabs>
      <w:ind w:left="1181"/>
    </w:pPr>
  </w:style>
  <w:style w:type="paragraph" w:customStyle="1" w:styleId="3rdlevelhead10i">
    <w:name w:val="3rd level head 10._i"/>
    <w:basedOn w:val="3rdlevelhead1i"/>
    <w:autoRedefine/>
    <w:uiPriority w:val="99"/>
    <w:semiHidden/>
    <w:qFormat/>
    <w:rsid w:val="00A85C8E"/>
    <w:pPr>
      <w:keepNext/>
      <w:widowControl w:val="0"/>
      <w:tabs>
        <w:tab w:val="clear" w:pos="360"/>
        <w:tab w:val="left" w:pos="480"/>
      </w:tabs>
      <w:suppressAutoHyphens/>
      <w:autoSpaceDE w:val="0"/>
      <w:autoSpaceDN w:val="0"/>
      <w:adjustRightInd w:val="0"/>
      <w:ind w:left="480" w:hanging="480"/>
      <w:textAlignment w:val="center"/>
    </w:pPr>
    <w:rPr>
      <w:rFonts w:cs="Times LT Std"/>
      <w:iCs/>
      <w:color w:val="000000"/>
    </w:rPr>
  </w:style>
  <w:style w:type="paragraph" w:customStyle="1" w:styleId="toc51">
    <w:name w:val="toc5 (1)"/>
    <w:basedOn w:val="toc4a"/>
    <w:autoRedefine/>
    <w:uiPriority w:val="99"/>
    <w:semiHidden/>
    <w:rsid w:val="00A85C8E"/>
    <w:pPr>
      <w:tabs>
        <w:tab w:val="clear" w:pos="1080"/>
        <w:tab w:val="clear" w:pos="1680"/>
        <w:tab w:val="left" w:pos="2160"/>
      </w:tabs>
      <w:ind w:left="2160" w:hanging="480"/>
    </w:pPr>
  </w:style>
  <w:style w:type="paragraph" w:customStyle="1" w:styleId="numberlistpnlstart">
    <w:name w:val="number list pnl start"/>
    <w:basedOn w:val="numberlistpnl"/>
    <w:autoRedefine/>
    <w:uiPriority w:val="99"/>
    <w:semiHidden/>
    <w:rsid w:val="00A85C8E"/>
    <w:pPr>
      <w:tabs>
        <w:tab w:val="clear" w:pos="1020"/>
        <w:tab w:val="left" w:pos="840"/>
      </w:tabs>
      <w:spacing w:before="240"/>
    </w:pPr>
    <w:rPr>
      <w:rFonts w:cs="NewCenturySchlbk"/>
      <w:szCs w:val="22"/>
    </w:rPr>
  </w:style>
  <w:style w:type="paragraph" w:customStyle="1" w:styleId="tocED1">
    <w:name w:val="toc ED 1."/>
    <w:basedOn w:val="tocI"/>
    <w:autoRedefine/>
    <w:semiHidden/>
    <w:qFormat/>
    <w:rsid w:val="00A85C8E"/>
    <w:pPr>
      <w:tabs>
        <w:tab w:val="clear" w:pos="600"/>
        <w:tab w:val="clear" w:pos="720"/>
        <w:tab w:val="right" w:pos="480"/>
      </w:tabs>
      <w:ind w:left="480" w:hanging="480"/>
    </w:pPr>
  </w:style>
  <w:style w:type="paragraph" w:customStyle="1" w:styleId="tocEDa">
    <w:name w:val="toc ED a."/>
    <w:basedOn w:val="toc20"/>
    <w:autoRedefine/>
    <w:semiHidden/>
    <w:qFormat/>
    <w:rsid w:val="00A85C8E"/>
    <w:pPr>
      <w:tabs>
        <w:tab w:val="left" w:pos="960"/>
      </w:tabs>
    </w:pPr>
  </w:style>
  <w:style w:type="paragraph" w:customStyle="1" w:styleId="block-f2ndindent">
    <w:name w:val="block-f 2nd indent"/>
    <w:basedOn w:val="text"/>
    <w:autoRedefine/>
    <w:uiPriority w:val="99"/>
    <w:semiHidden/>
    <w:rsid w:val="00A85C8E"/>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firstLine="0"/>
      <w:textAlignment w:val="center"/>
    </w:pPr>
    <w:rPr>
      <w:rFonts w:eastAsiaTheme="minorEastAsia" w:cs="ITC New Baskerville Std"/>
      <w:color w:val="000000"/>
      <w:sz w:val="20"/>
      <w:szCs w:val="22"/>
      <w:lang w:eastAsia="en-US"/>
    </w:rPr>
  </w:style>
  <w:style w:type="paragraph" w:customStyle="1" w:styleId="Indentname">
    <w:name w:val="Indent name"/>
    <w:basedOn w:val="Normal"/>
    <w:autoRedefine/>
    <w:uiPriority w:val="99"/>
    <w:semiHidden/>
    <w:rsid w:val="00A85C8E"/>
    <w:pPr>
      <w:widowControl w:val="0"/>
      <w:tabs>
        <w:tab w:val="left" w:pos="960"/>
        <w:tab w:val="left" w:pos="1440"/>
      </w:tabs>
      <w:autoSpaceDE w:val="0"/>
      <w:autoSpaceDN w:val="0"/>
      <w:adjustRightInd w:val="0"/>
      <w:spacing w:after="0"/>
      <w:ind w:left="720"/>
      <w:textAlignment w:val="center"/>
    </w:pPr>
    <w:rPr>
      <w:rFonts w:eastAsiaTheme="minorEastAsia" w:cs="ITC New Baskerville Std"/>
      <w:color w:val="000000"/>
      <w:kern w:val="0"/>
      <w:lang w:bidi="ar-SA"/>
    </w:rPr>
  </w:style>
  <w:style w:type="paragraph" w:customStyle="1" w:styleId="HeadingCenter11Underscore">
    <w:name w:val="Heading Center 11 Underscore"/>
    <w:basedOn w:val="Normal"/>
    <w:autoRedefine/>
    <w:uiPriority w:val="99"/>
    <w:semiHidden/>
    <w:rsid w:val="00A85C8E"/>
    <w:pPr>
      <w:widowControl w:val="0"/>
      <w:tabs>
        <w:tab w:val="left" w:pos="480"/>
        <w:tab w:val="left" w:pos="960"/>
        <w:tab w:val="left" w:pos="1440"/>
        <w:tab w:val="left" w:pos="1920"/>
        <w:tab w:val="left" w:pos="2400"/>
        <w:tab w:val="left" w:pos="2880"/>
      </w:tabs>
      <w:autoSpaceDE w:val="0"/>
      <w:autoSpaceDN w:val="0"/>
      <w:adjustRightInd w:val="0"/>
      <w:jc w:val="center"/>
      <w:textAlignment w:val="center"/>
    </w:pPr>
    <w:rPr>
      <w:rFonts w:eastAsiaTheme="minorEastAsia" w:cs="ITC New Baskerville Std"/>
      <w:bCs/>
      <w:color w:val="000000"/>
      <w:kern w:val="0"/>
      <w:sz w:val="22"/>
      <w:szCs w:val="22"/>
      <w:u w:val="thick"/>
      <w:lang w:bidi="ar-SA"/>
    </w:rPr>
  </w:style>
  <w:style w:type="paragraph" w:customStyle="1" w:styleId="HeadingCenter11underscore-">
    <w:name w:val="Heading Center 11 underscore -/+"/>
    <w:basedOn w:val="HeadingCenter11Underscore"/>
    <w:autoRedefine/>
    <w:uiPriority w:val="99"/>
    <w:semiHidden/>
    <w:rsid w:val="00A85C8E"/>
    <w:pPr>
      <w:spacing w:before="0"/>
      <w:ind w:firstLine="480"/>
    </w:pPr>
  </w:style>
  <w:style w:type="paragraph" w:customStyle="1" w:styleId="Question">
    <w:name w:val="Question"/>
    <w:basedOn w:val="text"/>
    <w:autoRedefine/>
    <w:uiPriority w:val="99"/>
    <w:semiHidden/>
    <w:rsid w:val="00A85C8E"/>
    <w:pPr>
      <w:widowControl w:val="0"/>
      <w:tabs>
        <w:tab w:val="clear" w:pos="0"/>
        <w:tab w:val="clear" w:pos="720"/>
        <w:tab w:val="clear" w:pos="1440"/>
        <w:tab w:val="clear" w:pos="2160"/>
        <w:tab w:val="clear" w:pos="2880"/>
        <w:tab w:val="clear" w:pos="3600"/>
        <w:tab w:val="clear" w:pos="4320"/>
        <w:tab w:val="clear" w:pos="5040"/>
        <w:tab w:val="clear" w:pos="5760"/>
        <w:tab w:val="left" w:pos="480"/>
      </w:tabs>
      <w:autoSpaceDE w:val="0"/>
      <w:autoSpaceDN w:val="0"/>
      <w:adjustRightInd w:val="0"/>
      <w:spacing w:before="480" w:after="240" w:line="260" w:lineRule="atLeast"/>
      <w:ind w:left="480" w:hanging="480"/>
      <w:textAlignment w:val="center"/>
    </w:pPr>
    <w:rPr>
      <w:rFonts w:eastAsiaTheme="minorEastAsia" w:cs="ITC New Baskerville Std"/>
      <w:b/>
      <w:bCs/>
      <w:color w:val="000000"/>
      <w:lang w:eastAsia="en-US"/>
    </w:rPr>
  </w:style>
  <w:style w:type="paragraph" w:customStyle="1" w:styleId="Questiona-">
    <w:name w:val="Question a. -/+"/>
    <w:basedOn w:val="Normal"/>
    <w:autoRedefine/>
    <w:uiPriority w:val="99"/>
    <w:semiHidden/>
    <w:rsid w:val="00A85C8E"/>
    <w:pPr>
      <w:widowControl w:val="0"/>
      <w:tabs>
        <w:tab w:val="left" w:pos="1440"/>
      </w:tabs>
      <w:autoSpaceDE w:val="0"/>
      <w:autoSpaceDN w:val="0"/>
      <w:adjustRightInd w:val="0"/>
      <w:spacing w:before="0" w:after="240" w:line="240" w:lineRule="atLeast"/>
      <w:ind w:left="1440" w:hanging="480"/>
      <w:textAlignment w:val="center"/>
    </w:pPr>
    <w:rPr>
      <w:rFonts w:eastAsiaTheme="minorEastAsia" w:cs="ITC New Baskerville Std"/>
      <w:b/>
      <w:bCs/>
      <w:color w:val="000000"/>
      <w:kern w:val="0"/>
      <w:sz w:val="22"/>
      <w:szCs w:val="22"/>
      <w:lang w:bidi="ar-SA"/>
    </w:rPr>
  </w:style>
  <w:style w:type="paragraph" w:customStyle="1" w:styleId="TOC2A1">
    <w:name w:val="TOC2 A."/>
    <w:basedOn w:val="TOC1I1"/>
    <w:autoRedefine/>
    <w:uiPriority w:val="99"/>
    <w:semiHidden/>
    <w:rsid w:val="00A85C8E"/>
    <w:pPr>
      <w:tabs>
        <w:tab w:val="clear" w:pos="600"/>
      </w:tabs>
      <w:ind w:left="1080" w:hanging="360"/>
    </w:pPr>
  </w:style>
  <w:style w:type="paragraph" w:customStyle="1" w:styleId="TOC311">
    <w:name w:val="TOC3 1."/>
    <w:basedOn w:val="TOC2A1"/>
    <w:autoRedefine/>
    <w:uiPriority w:val="99"/>
    <w:semiHidden/>
    <w:rsid w:val="00A85C8E"/>
    <w:pPr>
      <w:tabs>
        <w:tab w:val="clear" w:pos="720"/>
        <w:tab w:val="left" w:pos="1080"/>
      </w:tabs>
      <w:ind w:left="1440"/>
    </w:pPr>
  </w:style>
  <w:style w:type="paragraph" w:customStyle="1" w:styleId="textboldwp">
    <w:name w:val="text bold w/p"/>
    <w:basedOn w:val="textonpage-0"/>
    <w:autoRedefine/>
    <w:uiPriority w:val="99"/>
    <w:semiHidden/>
    <w:rsid w:val="00A85C8E"/>
    <w:pPr>
      <w:spacing w:before="120" w:after="120"/>
    </w:pPr>
    <w:rPr>
      <w:b/>
      <w:bCs/>
      <w:lang w:eastAsia="en-US"/>
    </w:rPr>
  </w:style>
  <w:style w:type="paragraph" w:customStyle="1" w:styleId="blocknlrl">
    <w:name w:val="block nl/rl"/>
    <w:basedOn w:val="blocknumberlist"/>
    <w:autoRedefine/>
    <w:uiPriority w:val="99"/>
    <w:semiHidden/>
    <w:rsid w:val="00A85C8E"/>
    <w:pPr>
      <w:tabs>
        <w:tab w:val="clear" w:pos="1080"/>
        <w:tab w:val="left" w:pos="1400"/>
      </w:tabs>
      <w:ind w:left="1920" w:hanging="480"/>
    </w:pPr>
  </w:style>
  <w:style w:type="paragraph" w:customStyle="1" w:styleId="1stlevelhead10b">
    <w:name w:val="1st level head (10)_b"/>
    <w:basedOn w:val="Normal"/>
    <w:autoRedefine/>
    <w:uiPriority w:val="99"/>
    <w:semiHidden/>
    <w:rsid w:val="00A85C8E"/>
    <w:pPr>
      <w:keepNext/>
      <w:widowControl w:val="0"/>
      <w:tabs>
        <w:tab w:val="left" w:pos="720"/>
      </w:tabs>
      <w:suppressAutoHyphens/>
      <w:autoSpaceDE w:val="0"/>
      <w:autoSpaceDN w:val="0"/>
      <w:adjustRightInd w:val="0"/>
      <w:spacing w:before="480" w:after="360"/>
      <w:ind w:left="720" w:hanging="720"/>
      <w:textAlignment w:val="center"/>
    </w:pPr>
    <w:rPr>
      <w:rFonts w:eastAsiaTheme="minorEastAsia" w:cs="NewCenturySchlbk"/>
      <w:b/>
      <w:bCs/>
      <w:color w:val="000000"/>
      <w:kern w:val="0"/>
      <w:lang w:bidi="ar-SA"/>
    </w:rPr>
  </w:style>
  <w:style w:type="paragraph" w:customStyle="1" w:styleId="footnoteintextbox">
    <w:name w:val="footnote in text box"/>
    <w:basedOn w:val="Normal"/>
    <w:autoRedefine/>
    <w:uiPriority w:val="99"/>
    <w:semiHidden/>
    <w:rsid w:val="00A85C8E"/>
    <w:pPr>
      <w:pBdr>
        <w:top w:val="single" w:sz="4" w:space="12" w:color="auto"/>
      </w:pBdr>
      <w:autoSpaceDE w:val="0"/>
      <w:autoSpaceDN w:val="0"/>
      <w:adjustRightInd w:val="0"/>
      <w:spacing w:before="0" w:after="0"/>
      <w:ind w:firstLine="720"/>
      <w:textAlignment w:val="center"/>
    </w:pPr>
    <w:rPr>
      <w:rFonts w:eastAsiaTheme="minorEastAsia" w:cs="ITC New Baskerville Std"/>
      <w:color w:val="000000"/>
      <w:kern w:val="0"/>
      <w:sz w:val="20"/>
      <w:szCs w:val="18"/>
      <w:lang w:bidi="ar-SA"/>
    </w:rPr>
  </w:style>
  <w:style w:type="paragraph" w:customStyle="1" w:styleId="block-fbold-">
    <w:name w:val="block-f bold +/-"/>
    <w:basedOn w:val="Normal"/>
    <w:autoRedefine/>
    <w:uiPriority w:val="99"/>
    <w:semiHidden/>
    <w:rsid w:val="00A85C8E"/>
    <w:pPr>
      <w:widowControl w:val="0"/>
      <w:tabs>
        <w:tab w:val="left" w:pos="960"/>
        <w:tab w:val="left" w:pos="1440"/>
      </w:tabs>
      <w:autoSpaceDE w:val="0"/>
      <w:autoSpaceDN w:val="0"/>
      <w:adjustRightInd w:val="0"/>
      <w:spacing w:after="0"/>
      <w:ind w:left="720"/>
      <w:textAlignment w:val="center"/>
    </w:pPr>
    <w:rPr>
      <w:rFonts w:ascii="Times New Roman Bold" w:eastAsiaTheme="minorEastAsia" w:hAnsi="Times New Roman Bold" w:cs="ITC New Baskerville Std"/>
      <w:b/>
      <w:bCs/>
      <w:color w:val="000000"/>
      <w:kern w:val="0"/>
      <w:sz w:val="20"/>
      <w:szCs w:val="22"/>
      <w:lang w:bidi="ar-SA"/>
    </w:rPr>
  </w:style>
  <w:style w:type="paragraph" w:customStyle="1" w:styleId="AdditionalTopicssubheadb">
    <w:name w:val="Additional Topics subhead_b +/+"/>
    <w:basedOn w:val="Normal"/>
    <w:autoRedefine/>
    <w:uiPriority w:val="99"/>
    <w:semiHidden/>
    <w:rsid w:val="00A85C8E"/>
    <w:pPr>
      <w:widowControl w:val="0"/>
      <w:tabs>
        <w:tab w:val="left" w:pos="480"/>
        <w:tab w:val="left" w:pos="960"/>
        <w:tab w:val="left" w:pos="1440"/>
        <w:tab w:val="left" w:pos="1920"/>
        <w:tab w:val="left" w:pos="2400"/>
        <w:tab w:val="left" w:pos="2880"/>
      </w:tabs>
      <w:suppressAutoHyphens/>
      <w:autoSpaceDE w:val="0"/>
      <w:autoSpaceDN w:val="0"/>
      <w:adjustRightInd w:val="0"/>
      <w:spacing w:after="240" w:line="260" w:lineRule="atLeast"/>
      <w:textAlignment w:val="center"/>
    </w:pPr>
    <w:rPr>
      <w:rFonts w:eastAsiaTheme="minorEastAsia" w:cs="ITC New Baskerville Std"/>
      <w:b/>
      <w:bCs/>
      <w:color w:val="000000"/>
      <w:kern w:val="0"/>
      <w:lang w:bidi="ar-SA"/>
    </w:rPr>
  </w:style>
  <w:style w:type="paragraph" w:customStyle="1" w:styleId="block-p2ndindent">
    <w:name w:val="block-p 2nd indent"/>
    <w:basedOn w:val="text"/>
    <w:autoRedefine/>
    <w:uiPriority w:val="99"/>
    <w:semiHidden/>
    <w:rsid w:val="00A85C8E"/>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textAlignment w:val="center"/>
    </w:pPr>
    <w:rPr>
      <w:rFonts w:eastAsiaTheme="minorEastAsia" w:cs="ITC New Baskerville Std"/>
      <w:color w:val="000000"/>
      <w:sz w:val="20"/>
      <w:szCs w:val="22"/>
      <w:lang w:eastAsia="en-US"/>
    </w:rPr>
  </w:style>
  <w:style w:type="paragraph" w:customStyle="1" w:styleId="block-f3rdindent">
    <w:name w:val="block-f 3rd indent"/>
    <w:basedOn w:val="block-f2ndindent"/>
    <w:autoRedefine/>
    <w:uiPriority w:val="99"/>
    <w:semiHidden/>
    <w:rsid w:val="00A85C8E"/>
    <w:pPr>
      <w:ind w:left="2160"/>
    </w:pPr>
  </w:style>
  <w:style w:type="paragraph" w:customStyle="1" w:styleId="bulletedparagraph-">
    <w:name w:val="bulleted paragraph +/-"/>
    <w:basedOn w:val="text"/>
    <w:autoRedefine/>
    <w:uiPriority w:val="99"/>
    <w:semiHidden/>
    <w:rsid w:val="00A85C8E"/>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240"/>
      <w:textAlignment w:val="center"/>
    </w:pPr>
    <w:rPr>
      <w:rFonts w:eastAsiaTheme="minorEastAsia" w:cs="ITC New Baskerville Std"/>
      <w:color w:val="000000"/>
      <w:lang w:eastAsia="en-US"/>
    </w:rPr>
  </w:style>
  <w:style w:type="paragraph" w:customStyle="1" w:styleId="Italicheadindented">
    <w:name w:val="Italic head indented +/+"/>
    <w:basedOn w:val="Normal"/>
    <w:autoRedefine/>
    <w:uiPriority w:val="99"/>
    <w:semiHidden/>
    <w:rsid w:val="00A85C8E"/>
    <w:pPr>
      <w:widowControl w:val="0"/>
      <w:tabs>
        <w:tab w:val="left" w:pos="480"/>
        <w:tab w:val="left" w:pos="960"/>
        <w:tab w:val="left" w:pos="1440"/>
        <w:tab w:val="left" w:pos="1920"/>
        <w:tab w:val="left" w:pos="2400"/>
        <w:tab w:val="left" w:pos="2880"/>
      </w:tabs>
      <w:autoSpaceDE w:val="0"/>
      <w:autoSpaceDN w:val="0"/>
      <w:adjustRightInd w:val="0"/>
      <w:spacing w:after="240"/>
      <w:ind w:left="720"/>
      <w:textAlignment w:val="center"/>
    </w:pPr>
    <w:rPr>
      <w:rFonts w:eastAsiaTheme="minorEastAsia" w:cs="ITC New Baskerville Std"/>
      <w:i/>
      <w:iCs/>
      <w:color w:val="000000"/>
      <w:kern w:val="0"/>
      <w:lang w:bidi="ar-SA"/>
    </w:rPr>
  </w:style>
  <w:style w:type="paragraph" w:customStyle="1" w:styleId="textednote-0">
    <w:name w:val="text ed note -/+"/>
    <w:basedOn w:val="Normal"/>
    <w:autoRedefine/>
    <w:uiPriority w:val="99"/>
    <w:semiHidden/>
    <w:rsid w:val="00A85C8E"/>
    <w:pPr>
      <w:widowControl w:val="0"/>
      <w:tabs>
        <w:tab w:val="left" w:pos="480"/>
        <w:tab w:val="left" w:pos="960"/>
        <w:tab w:val="left" w:pos="1440"/>
        <w:tab w:val="left" w:pos="1920"/>
        <w:tab w:val="left" w:pos="2400"/>
        <w:tab w:val="left" w:pos="2880"/>
      </w:tabs>
      <w:autoSpaceDE w:val="0"/>
      <w:autoSpaceDN w:val="0"/>
      <w:adjustRightInd w:val="0"/>
      <w:spacing w:before="0" w:after="240"/>
      <w:textAlignment w:val="center"/>
    </w:pPr>
    <w:rPr>
      <w:rFonts w:eastAsiaTheme="minorEastAsia" w:cs="ITC New Baskerville Std"/>
      <w:color w:val="000000"/>
      <w:kern w:val="0"/>
      <w:lang w:bidi="ar-SA"/>
    </w:rPr>
  </w:style>
  <w:style w:type="paragraph" w:customStyle="1" w:styleId="2ndlevelFormHead">
    <w:name w:val="2nd level Form Head"/>
    <w:basedOn w:val="2ndlevelheadAbi"/>
    <w:autoRedefine/>
    <w:uiPriority w:val="99"/>
    <w:semiHidden/>
    <w:rsid w:val="00A85C8E"/>
    <w:pPr>
      <w:keepNext/>
      <w:widowControl w:val="0"/>
      <w:tabs>
        <w:tab w:val="clear" w:pos="360"/>
        <w:tab w:val="left" w:pos="1500"/>
      </w:tabs>
      <w:suppressAutoHyphens/>
      <w:autoSpaceDE w:val="0"/>
      <w:autoSpaceDN w:val="0"/>
      <w:adjustRightInd w:val="0"/>
      <w:spacing w:before="360"/>
      <w:ind w:left="1500" w:hanging="1500"/>
      <w:textAlignment w:val="center"/>
    </w:pPr>
    <w:rPr>
      <w:rFonts w:ascii="Times New Roman" w:hAnsi="Times New Roman" w:cs="NewCenturySchlbk"/>
      <w:bCs/>
      <w:i w:val="0"/>
      <w:color w:val="000000"/>
      <w:szCs w:val="24"/>
    </w:rPr>
  </w:style>
  <w:style w:type="paragraph" w:customStyle="1" w:styleId="boldheadExample">
    <w:name w:val="bold head +/+ (Example)"/>
    <w:basedOn w:val="textflush"/>
    <w:autoRedefine/>
    <w:uiPriority w:val="99"/>
    <w:semiHidden/>
    <w:rsid w:val="00A85C8E"/>
    <w:pPr>
      <w:widowControl w:val="0"/>
      <w:autoSpaceDE w:val="0"/>
      <w:autoSpaceDN w:val="0"/>
      <w:adjustRightInd w:val="0"/>
      <w:spacing w:before="240" w:after="240"/>
      <w:textAlignment w:val="center"/>
    </w:pPr>
    <w:rPr>
      <w:rFonts w:eastAsiaTheme="minorEastAsia" w:cs="NewCenturySchlbk"/>
      <w:b/>
      <w:bCs/>
      <w:sz w:val="22"/>
      <w:szCs w:val="22"/>
    </w:rPr>
  </w:style>
  <w:style w:type="paragraph" w:customStyle="1" w:styleId="blockquotelist">
    <w:name w:val="block quote # list"/>
    <w:basedOn w:val="block-f"/>
    <w:autoRedefine/>
    <w:uiPriority w:val="99"/>
    <w:semiHidden/>
    <w:rsid w:val="00A85C8E"/>
    <w:pPr>
      <w:widowControl w:val="0"/>
      <w:tabs>
        <w:tab w:val="left" w:pos="860"/>
      </w:tabs>
      <w:autoSpaceDE w:val="0"/>
      <w:autoSpaceDN w:val="0"/>
      <w:adjustRightInd w:val="0"/>
      <w:spacing w:before="0" w:after="120"/>
      <w:ind w:left="859" w:hanging="420"/>
      <w:textAlignment w:val="center"/>
    </w:pPr>
    <w:rPr>
      <w:rFonts w:cs="NewCenturySchlbk"/>
      <w:color w:val="000000"/>
      <w:szCs w:val="20"/>
    </w:rPr>
  </w:style>
  <w:style w:type="paragraph" w:customStyle="1" w:styleId="1stlevelheadIbdd">
    <w:name w:val="1st level head I._b dd"/>
    <w:basedOn w:val="Normal"/>
    <w:autoRedefine/>
    <w:uiPriority w:val="99"/>
    <w:semiHidden/>
    <w:rsid w:val="00A85C8E"/>
    <w:pPr>
      <w:keepNext/>
      <w:widowControl w:val="0"/>
      <w:tabs>
        <w:tab w:val="left" w:pos="840"/>
      </w:tabs>
      <w:suppressAutoHyphens/>
      <w:autoSpaceDE w:val="0"/>
      <w:autoSpaceDN w:val="0"/>
      <w:adjustRightInd w:val="0"/>
      <w:spacing w:before="360" w:after="240"/>
      <w:ind w:left="840" w:hanging="840"/>
      <w:textAlignment w:val="center"/>
    </w:pPr>
    <w:rPr>
      <w:rFonts w:eastAsiaTheme="minorEastAsia" w:cs="NewCenturySchlbk"/>
      <w:b/>
      <w:bCs/>
      <w:color w:val="000000"/>
      <w:kern w:val="0"/>
      <w:lang w:bidi="ar-SA"/>
    </w:rPr>
  </w:style>
  <w:style w:type="paragraph" w:customStyle="1" w:styleId="Blockquote2indent">
    <w:name w:val="Block quote 2 indent"/>
    <w:basedOn w:val="block-f-"/>
    <w:autoRedefine/>
    <w:uiPriority w:val="99"/>
    <w:semiHidden/>
    <w:rsid w:val="00A85C8E"/>
    <w:pPr>
      <w:spacing w:before="120"/>
      <w:ind w:left="1440"/>
    </w:pPr>
    <w:rPr>
      <w:rFonts w:cs="NewCenturySchlbk"/>
    </w:rPr>
  </w:style>
  <w:style w:type="paragraph" w:customStyle="1" w:styleId="appendixarticlehead">
    <w:name w:val="appendix article head"/>
    <w:basedOn w:val="Normal"/>
    <w:autoRedefine/>
    <w:uiPriority w:val="99"/>
    <w:semiHidden/>
    <w:rsid w:val="00A85C8E"/>
    <w:pPr>
      <w:widowControl w:val="0"/>
      <w:tabs>
        <w:tab w:val="center" w:pos="3480"/>
        <w:tab w:val="right" w:pos="6960"/>
      </w:tabs>
      <w:autoSpaceDE w:val="0"/>
      <w:autoSpaceDN w:val="0"/>
      <w:adjustRightInd w:val="0"/>
      <w:jc w:val="center"/>
      <w:textAlignment w:val="center"/>
    </w:pPr>
    <w:rPr>
      <w:rFonts w:eastAsiaTheme="minorEastAsia" w:cs="NewCenturySchlbk"/>
      <w:color w:val="000000"/>
      <w:kern w:val="0"/>
      <w:szCs w:val="22"/>
      <w:lang w:bidi="ar-SA"/>
    </w:rPr>
  </w:style>
  <w:style w:type="paragraph" w:customStyle="1" w:styleId="appendixcenteredhead">
    <w:name w:val="appendix centered head"/>
    <w:basedOn w:val="text"/>
    <w:autoRedefine/>
    <w:uiPriority w:val="99"/>
    <w:semiHidden/>
    <w:rsid w:val="00A85C8E"/>
    <w:pPr>
      <w:widowControl w:val="0"/>
      <w:tabs>
        <w:tab w:val="clear" w:pos="0"/>
        <w:tab w:val="clear" w:pos="720"/>
        <w:tab w:val="clear" w:pos="1440"/>
        <w:tab w:val="clear" w:pos="2160"/>
        <w:tab w:val="clear" w:pos="2880"/>
        <w:tab w:val="clear" w:pos="3600"/>
        <w:tab w:val="clear" w:pos="4320"/>
        <w:tab w:val="clear" w:pos="5040"/>
        <w:tab w:val="clear" w:pos="5760"/>
        <w:tab w:val="center" w:pos="3480"/>
        <w:tab w:val="right" w:pos="6960"/>
      </w:tabs>
      <w:autoSpaceDE w:val="0"/>
      <w:autoSpaceDN w:val="0"/>
      <w:adjustRightInd w:val="0"/>
      <w:spacing w:before="120" w:after="120"/>
      <w:ind w:firstLine="0"/>
      <w:jc w:val="center"/>
      <w:textAlignment w:val="center"/>
    </w:pPr>
    <w:rPr>
      <w:rFonts w:eastAsiaTheme="minorEastAsia" w:cs="NewCenturySchlbk"/>
      <w:color w:val="000000"/>
      <w:szCs w:val="22"/>
      <w:lang w:eastAsia="en-US"/>
    </w:rPr>
  </w:style>
  <w:style w:type="paragraph" w:customStyle="1" w:styleId="Appendixboldhead11">
    <w:name w:val="Appendix bold head 1/1"/>
    <w:basedOn w:val="Normal"/>
    <w:autoRedefine/>
    <w:uiPriority w:val="99"/>
    <w:semiHidden/>
    <w:rsid w:val="00A85C8E"/>
    <w:pPr>
      <w:keepNext/>
      <w:widowControl w:val="0"/>
      <w:tabs>
        <w:tab w:val="left" w:pos="360"/>
      </w:tabs>
      <w:suppressAutoHyphens/>
      <w:autoSpaceDE w:val="0"/>
      <w:autoSpaceDN w:val="0"/>
      <w:adjustRightInd w:val="0"/>
      <w:spacing w:after="240"/>
      <w:ind w:left="360" w:hanging="360"/>
      <w:textAlignment w:val="center"/>
    </w:pPr>
    <w:rPr>
      <w:rFonts w:eastAsiaTheme="minorEastAsia" w:cs="NewCenturySchlbk"/>
      <w:b/>
      <w:bCs/>
      <w:color w:val="000000"/>
      <w:kern w:val="0"/>
      <w:szCs w:val="22"/>
      <w:lang w:bidi="ar-SA"/>
    </w:rPr>
  </w:style>
  <w:style w:type="paragraph" w:customStyle="1" w:styleId="TOC4a1">
    <w:name w:val="TOC4 a."/>
    <w:basedOn w:val="TOC311"/>
    <w:autoRedefine/>
    <w:uiPriority w:val="99"/>
    <w:semiHidden/>
    <w:rsid w:val="00A85C8E"/>
    <w:pPr>
      <w:tabs>
        <w:tab w:val="clear" w:pos="1080"/>
        <w:tab w:val="left" w:pos="1824"/>
      </w:tabs>
      <w:suppressAutoHyphens w:val="0"/>
      <w:ind w:left="1800"/>
    </w:pPr>
    <w:rPr>
      <w:rFonts w:cs="Times LT Std"/>
      <w:szCs w:val="23"/>
    </w:rPr>
  </w:style>
  <w:style w:type="paragraph" w:customStyle="1" w:styleId="COChapterNumber">
    <w:name w:val="CO_Chapter Number"/>
    <w:basedOn w:val="text"/>
    <w:autoRedefine/>
    <w:uiPriority w:val="99"/>
    <w:semiHidden/>
    <w:rsid w:val="00A85C8E"/>
    <w:pPr>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240"/>
      <w:ind w:firstLine="0"/>
      <w:jc w:val="center"/>
      <w:textAlignment w:val="center"/>
    </w:pPr>
    <w:rPr>
      <w:rFonts w:eastAsiaTheme="minorEastAsia" w:cs="Times LT Std"/>
      <w:smallCaps/>
      <w:color w:val="000000"/>
      <w:sz w:val="36"/>
      <w:szCs w:val="36"/>
      <w:lang w:eastAsia="en-US"/>
    </w:rPr>
  </w:style>
  <w:style w:type="paragraph" w:customStyle="1" w:styleId="COChapterTitle">
    <w:name w:val="CO_Chapter Title"/>
    <w:basedOn w:val="text"/>
    <w:autoRedefine/>
    <w:uiPriority w:val="99"/>
    <w:semiHidden/>
    <w:rsid w:val="00A85C8E"/>
    <w:pPr>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600"/>
      <w:ind w:firstLine="0"/>
      <w:jc w:val="center"/>
      <w:textAlignment w:val="center"/>
    </w:pPr>
    <w:rPr>
      <w:rFonts w:eastAsiaTheme="minorEastAsia" w:cs="Times LT Std"/>
      <w:b/>
      <w:bCs/>
      <w:color w:val="000000"/>
      <w:sz w:val="40"/>
      <w:szCs w:val="40"/>
      <w:lang w:eastAsia="en-US"/>
    </w:rPr>
  </w:style>
  <w:style w:type="paragraph" w:customStyle="1" w:styleId="COitalichead">
    <w:name w:val="CO_italic head"/>
    <w:basedOn w:val="text"/>
    <w:autoRedefine/>
    <w:uiPriority w:val="99"/>
    <w:semiHidden/>
    <w:rsid w:val="00A85C8E"/>
    <w:pP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120"/>
      <w:ind w:firstLine="0"/>
      <w:jc w:val="center"/>
      <w:textAlignment w:val="center"/>
    </w:pPr>
    <w:rPr>
      <w:rFonts w:eastAsiaTheme="minorEastAsia" w:cs="Times LT Std"/>
      <w:b/>
      <w:bCs/>
      <w:i/>
      <w:iCs/>
      <w:color w:val="000000"/>
      <w:lang w:eastAsia="en-US"/>
    </w:rPr>
  </w:style>
  <w:style w:type="paragraph" w:customStyle="1" w:styleId="COName">
    <w:name w:val="CO_Name"/>
    <w:basedOn w:val="text"/>
    <w:autoRedefine/>
    <w:uiPriority w:val="99"/>
    <w:semiHidden/>
    <w:rsid w:val="00A85C8E"/>
    <w:pP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ind w:firstLine="0"/>
      <w:jc w:val="center"/>
      <w:textAlignment w:val="center"/>
    </w:pPr>
    <w:rPr>
      <w:rFonts w:eastAsiaTheme="minorEastAsia" w:cs="Times LT Std"/>
      <w:smallCaps/>
      <w:color w:val="000000"/>
      <w:lang w:eastAsia="en-US"/>
    </w:rPr>
  </w:style>
  <w:style w:type="paragraph" w:customStyle="1" w:styleId="COAff">
    <w:name w:val="CO_Aff"/>
    <w:basedOn w:val="text"/>
    <w:autoRedefine/>
    <w:uiPriority w:val="99"/>
    <w:semiHidden/>
    <w:rsid w:val="00A85C8E"/>
    <w:pP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jc w:val="center"/>
      <w:textAlignment w:val="center"/>
    </w:pPr>
    <w:rPr>
      <w:rFonts w:eastAsiaTheme="minorEastAsia" w:cs="Times LT Std"/>
      <w:i/>
      <w:iCs/>
      <w:color w:val="000000"/>
      <w:lang w:eastAsia="en-US"/>
    </w:rPr>
  </w:style>
  <w:style w:type="paragraph" w:customStyle="1" w:styleId="TOC5i0">
    <w:name w:val="TOC5 (i.)"/>
    <w:basedOn w:val="TOC4a1"/>
    <w:autoRedefine/>
    <w:uiPriority w:val="99"/>
    <w:semiHidden/>
    <w:rsid w:val="00A85C8E"/>
    <w:pPr>
      <w:tabs>
        <w:tab w:val="clear" w:pos="1824"/>
        <w:tab w:val="left" w:pos="2280"/>
      </w:tabs>
      <w:ind w:left="2280" w:hanging="600"/>
    </w:pPr>
  </w:style>
  <w:style w:type="paragraph" w:customStyle="1" w:styleId="5thlevelheadiiii0">
    <w:name w:val="5th level head (iii)_i"/>
    <w:basedOn w:val="5thlevelheadii0"/>
    <w:autoRedefine/>
    <w:uiPriority w:val="99"/>
    <w:semiHidden/>
    <w:rsid w:val="00A85C8E"/>
    <w:pPr>
      <w:tabs>
        <w:tab w:val="clear" w:pos="1280"/>
        <w:tab w:val="left" w:pos="1060"/>
      </w:tabs>
      <w:suppressAutoHyphens/>
      <w:ind w:left="1519" w:hanging="600"/>
    </w:pPr>
  </w:style>
  <w:style w:type="paragraph" w:customStyle="1" w:styleId="footnotepnl">
    <w:name w:val="footnote pnl"/>
    <w:basedOn w:val="footnotenl"/>
    <w:autoRedefine/>
    <w:uiPriority w:val="99"/>
    <w:semiHidden/>
    <w:rsid w:val="00A85C8E"/>
    <w:pPr>
      <w:tabs>
        <w:tab w:val="clear" w:pos="680"/>
        <w:tab w:val="left" w:pos="720"/>
      </w:tabs>
      <w:ind w:left="1080" w:hanging="360"/>
    </w:pPr>
    <w:rPr>
      <w:rFonts w:cs="Times LT Std"/>
      <w:szCs w:val="18"/>
    </w:rPr>
  </w:style>
  <w:style w:type="paragraph" w:customStyle="1" w:styleId="footnotepnlpnl">
    <w:name w:val="footnote pnl/pnl"/>
    <w:basedOn w:val="footnotepnl"/>
    <w:autoRedefine/>
    <w:uiPriority w:val="99"/>
    <w:semiHidden/>
    <w:rsid w:val="00A85C8E"/>
    <w:pPr>
      <w:tabs>
        <w:tab w:val="left" w:pos="1080"/>
      </w:tabs>
      <w:ind w:left="1800"/>
    </w:pPr>
  </w:style>
  <w:style w:type="paragraph" w:customStyle="1" w:styleId="5thlevelheadnospaceii">
    <w:name w:val="5th level head no space (i)_i"/>
    <w:basedOn w:val="5thlevelheadii0"/>
    <w:autoRedefine/>
    <w:uiPriority w:val="99"/>
    <w:semiHidden/>
    <w:rsid w:val="00A85C8E"/>
    <w:pPr>
      <w:keepNext/>
      <w:tabs>
        <w:tab w:val="clear" w:pos="1280"/>
        <w:tab w:val="left" w:pos="940"/>
      </w:tabs>
      <w:suppressAutoHyphens/>
      <w:spacing w:before="0"/>
      <w:ind w:left="941" w:hanging="480"/>
    </w:pPr>
  </w:style>
  <w:style w:type="paragraph" w:customStyle="1" w:styleId="footnote2ndindent-p">
    <w:name w:val="footnote 2nd indent-p"/>
    <w:basedOn w:val="footnote2ndindent"/>
    <w:autoRedefine/>
    <w:uiPriority w:val="99"/>
    <w:semiHidden/>
    <w:rsid w:val="00A85C8E"/>
    <w:pPr>
      <w:ind w:firstLine="720"/>
    </w:pPr>
    <w:rPr>
      <w:rFonts w:cs="Times LT Std"/>
      <w:szCs w:val="18"/>
    </w:rPr>
  </w:style>
  <w:style w:type="paragraph" w:customStyle="1" w:styleId="Author">
    <w:name w:val="Author"/>
    <w:basedOn w:val="text"/>
    <w:uiPriority w:val="99"/>
    <w:semiHidden/>
    <w:rsid w:val="00A85C8E"/>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480" w:line="300" w:lineRule="atLeast"/>
      <w:ind w:firstLine="0"/>
      <w:jc w:val="center"/>
      <w:textAlignment w:val="center"/>
    </w:pPr>
    <w:rPr>
      <w:rFonts w:eastAsiaTheme="minorEastAsia" w:cs="ITC New Baskerville Std"/>
      <w:color w:val="000000"/>
      <w:sz w:val="28"/>
      <w:szCs w:val="28"/>
      <w:lang w:eastAsia="en-US"/>
    </w:rPr>
  </w:style>
  <w:style w:type="paragraph" w:customStyle="1" w:styleId="blocknumberlistend">
    <w:name w:val="block number list end"/>
    <w:basedOn w:val="blocknumberlist"/>
    <w:autoRedefine/>
    <w:uiPriority w:val="99"/>
    <w:semiHidden/>
    <w:rsid w:val="00A85C8E"/>
    <w:pPr>
      <w:spacing w:after="240"/>
    </w:pPr>
    <w:rPr>
      <w:szCs w:val="22"/>
    </w:rPr>
  </w:style>
  <w:style w:type="paragraph" w:customStyle="1" w:styleId="Questiona">
    <w:name w:val="Question a."/>
    <w:basedOn w:val="Question"/>
    <w:autoRedefine/>
    <w:uiPriority w:val="99"/>
    <w:semiHidden/>
    <w:rsid w:val="00A85C8E"/>
    <w:pPr>
      <w:tabs>
        <w:tab w:val="clear" w:pos="480"/>
        <w:tab w:val="left" w:pos="960"/>
      </w:tabs>
      <w:spacing w:before="240" w:line="240" w:lineRule="auto"/>
      <w:ind w:left="960"/>
    </w:pPr>
    <w:rPr>
      <w:sz w:val="22"/>
      <w:szCs w:val="22"/>
    </w:rPr>
  </w:style>
  <w:style w:type="paragraph" w:customStyle="1" w:styleId="Asterisk">
    <w:name w:val="Asterisk"/>
    <w:basedOn w:val="HeadingCenter11Underscore"/>
    <w:autoRedefine/>
    <w:uiPriority w:val="99"/>
    <w:semiHidden/>
    <w:rsid w:val="00A85C8E"/>
    <w:pPr>
      <w:spacing w:before="0" w:after="0"/>
    </w:pPr>
    <w:rPr>
      <w:b/>
      <w:sz w:val="20"/>
      <w:u w:val="none"/>
    </w:rPr>
  </w:style>
  <w:style w:type="paragraph" w:customStyle="1" w:styleId="IndentName--">
    <w:name w:val="Indent Name -/-"/>
    <w:basedOn w:val="Indentname"/>
    <w:autoRedefine/>
    <w:uiPriority w:val="99"/>
    <w:semiHidden/>
    <w:rsid w:val="00A85C8E"/>
    <w:pPr>
      <w:spacing w:before="0" w:after="240"/>
    </w:pPr>
  </w:style>
  <w:style w:type="paragraph" w:customStyle="1" w:styleId="Italicheadindented-">
    <w:name w:val="Italic head indented -/+"/>
    <w:basedOn w:val="text"/>
    <w:autoRedefine/>
    <w:uiPriority w:val="99"/>
    <w:semiHidden/>
    <w:rsid w:val="00A85C8E"/>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240"/>
      <w:ind w:left="720" w:firstLine="0"/>
      <w:textAlignment w:val="center"/>
    </w:pPr>
    <w:rPr>
      <w:rFonts w:eastAsiaTheme="minorEastAsia" w:cs="ITC New Baskerville Std"/>
      <w:i/>
      <w:iCs/>
      <w:color w:val="000000"/>
      <w:lang w:eastAsia="en-US"/>
    </w:rPr>
  </w:style>
  <w:style w:type="paragraph" w:customStyle="1" w:styleId="AdditionalTopicsHead">
    <w:name w:val="Additional Topics Head"/>
    <w:basedOn w:val="text"/>
    <w:autoRedefine/>
    <w:uiPriority w:val="99"/>
    <w:semiHidden/>
    <w:rsid w:val="00A85C8E"/>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480" w:after="240"/>
      <w:ind w:firstLine="0"/>
      <w:jc w:val="center"/>
      <w:textAlignment w:val="center"/>
    </w:pPr>
    <w:rPr>
      <w:rFonts w:eastAsiaTheme="minorEastAsia" w:cs="ITC New Baskerville Std"/>
      <w:b/>
      <w:bCs/>
      <w:color w:val="000000"/>
      <w:u w:val="thick" w:color="000000"/>
      <w:lang w:eastAsia="en-US"/>
    </w:rPr>
  </w:style>
  <w:style w:type="paragraph" w:customStyle="1" w:styleId="AdditionalTopicssubheadb-">
    <w:name w:val="Additional Topics subhead_b -/+"/>
    <w:basedOn w:val="Normal"/>
    <w:autoRedefine/>
    <w:uiPriority w:val="99"/>
    <w:semiHidden/>
    <w:rsid w:val="00A85C8E"/>
    <w:pPr>
      <w:widowControl w:val="0"/>
      <w:tabs>
        <w:tab w:val="left" w:pos="480"/>
        <w:tab w:val="left" w:pos="960"/>
        <w:tab w:val="left" w:pos="1440"/>
        <w:tab w:val="left" w:pos="1920"/>
        <w:tab w:val="left" w:pos="2400"/>
        <w:tab w:val="left" w:pos="2880"/>
      </w:tabs>
      <w:suppressAutoHyphens/>
      <w:autoSpaceDE w:val="0"/>
      <w:autoSpaceDN w:val="0"/>
      <w:adjustRightInd w:val="0"/>
      <w:spacing w:before="0" w:after="240"/>
      <w:textAlignment w:val="center"/>
    </w:pPr>
    <w:rPr>
      <w:rFonts w:eastAsiaTheme="minorEastAsia" w:cs="ITC New Baskerville Std"/>
      <w:b/>
      <w:bCs/>
      <w:color w:val="000000"/>
      <w:kern w:val="0"/>
      <w:lang w:bidi="ar-SA"/>
    </w:rPr>
  </w:style>
  <w:style w:type="paragraph" w:customStyle="1" w:styleId="IndentName0">
    <w:name w:val="Indent Name +/+"/>
    <w:basedOn w:val="Indentname"/>
    <w:autoRedefine/>
    <w:uiPriority w:val="99"/>
    <w:semiHidden/>
    <w:rsid w:val="00A85C8E"/>
    <w:pPr>
      <w:spacing w:after="240"/>
    </w:pPr>
  </w:style>
  <w:style w:type="paragraph" w:customStyle="1" w:styleId="blocknumberliststart">
    <w:name w:val="block number list start"/>
    <w:basedOn w:val="blocknumberlist"/>
    <w:autoRedefine/>
    <w:uiPriority w:val="99"/>
    <w:semiHidden/>
    <w:rsid w:val="00A85C8E"/>
    <w:pPr>
      <w:spacing w:before="240"/>
    </w:pPr>
    <w:rPr>
      <w:szCs w:val="22"/>
    </w:rPr>
  </w:style>
  <w:style w:type="paragraph" w:customStyle="1" w:styleId="numberlist1a">
    <w:name w:val="number list 1.a."/>
    <w:basedOn w:val="numberlist0"/>
    <w:autoRedefine/>
    <w:uiPriority w:val="99"/>
    <w:semiHidden/>
    <w:rsid w:val="00A85C8E"/>
    <w:pPr>
      <w:widowControl w:val="0"/>
      <w:tabs>
        <w:tab w:val="clear" w:pos="919"/>
        <w:tab w:val="left" w:pos="1200"/>
      </w:tabs>
      <w:autoSpaceDE w:val="0"/>
      <w:autoSpaceDN w:val="0"/>
      <w:adjustRightInd w:val="0"/>
      <w:ind w:left="1279" w:hanging="360"/>
      <w:textAlignment w:val="center"/>
    </w:pPr>
    <w:rPr>
      <w:rFonts w:cs="ITC New Baskerville Std"/>
      <w:szCs w:val="24"/>
    </w:rPr>
  </w:style>
  <w:style w:type="paragraph" w:customStyle="1" w:styleId="bulletliststart0">
    <w:name w:val="bullet list / start"/>
    <w:basedOn w:val="bulletlist"/>
    <w:autoRedefine/>
    <w:uiPriority w:val="99"/>
    <w:semiHidden/>
    <w:rsid w:val="00A85C8E"/>
    <w:pPr>
      <w:widowControl w:val="0"/>
      <w:tabs>
        <w:tab w:val="left" w:pos="720"/>
      </w:tabs>
      <w:autoSpaceDE w:val="0"/>
      <w:autoSpaceDN w:val="0"/>
      <w:adjustRightInd w:val="0"/>
      <w:spacing w:before="240"/>
      <w:textAlignment w:val="center"/>
    </w:pPr>
    <w:rPr>
      <w:rFonts w:cs="ITC New Baskerville Std"/>
      <w:color w:val="000000"/>
      <w:szCs w:val="24"/>
    </w:rPr>
  </w:style>
  <w:style w:type="paragraph" w:customStyle="1" w:styleId="footnotebullet">
    <w:name w:val="footnote bullet"/>
    <w:basedOn w:val="footnoteblock"/>
    <w:autoRedefine/>
    <w:uiPriority w:val="99"/>
    <w:semiHidden/>
    <w:rsid w:val="00A85C8E"/>
    <w:pPr>
      <w:tabs>
        <w:tab w:val="left" w:pos="540"/>
      </w:tabs>
      <w:ind w:left="900" w:hanging="180"/>
    </w:pPr>
    <w:rPr>
      <w:rFonts w:eastAsiaTheme="minorEastAsia"/>
    </w:rPr>
  </w:style>
  <w:style w:type="paragraph" w:customStyle="1" w:styleId="indentedboldhead">
    <w:name w:val="indented bold head"/>
    <w:basedOn w:val="text"/>
    <w:autoRedefine/>
    <w:uiPriority w:val="99"/>
    <w:semiHidden/>
    <w:rsid w:val="00A85C8E"/>
    <w:pPr>
      <w:keepLines/>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120"/>
      <w:ind w:left="720" w:firstLine="0"/>
      <w:textAlignment w:val="center"/>
    </w:pPr>
    <w:rPr>
      <w:rFonts w:eastAsiaTheme="minorEastAsia" w:cs="ITC New Baskerville Std"/>
      <w:b/>
      <w:bCs/>
      <w:color w:val="000000"/>
      <w:lang w:eastAsia="en-US"/>
    </w:rPr>
  </w:style>
  <w:style w:type="paragraph" w:customStyle="1" w:styleId="bulletnumberlist">
    <w:name w:val="bullet number list"/>
    <w:basedOn w:val="bullet"/>
    <w:autoRedefine/>
    <w:semiHidden/>
    <w:qFormat/>
    <w:rsid w:val="00A85C8E"/>
    <w:pPr>
      <w:tabs>
        <w:tab w:val="left" w:pos="1032"/>
      </w:tabs>
      <w:ind w:left="1032" w:hanging="480"/>
    </w:pPr>
  </w:style>
  <w:style w:type="paragraph" w:customStyle="1" w:styleId="NoParagraphStyle">
    <w:name w:val="[No Paragraph Style]"/>
    <w:rsid w:val="00A85C8E"/>
    <w:pPr>
      <w:widowControl w:val="0"/>
      <w:autoSpaceDE w:val="0"/>
      <w:autoSpaceDN w:val="0"/>
      <w:adjustRightInd w:val="0"/>
      <w:spacing w:before="0" w:after="0" w:line="288" w:lineRule="auto"/>
      <w:textAlignment w:val="center"/>
    </w:pPr>
    <w:rPr>
      <w:rFonts w:ascii="Times Roman" w:eastAsiaTheme="minorEastAsia" w:hAnsi="Times Roman" w:cs="Times Roman"/>
      <w:color w:val="000000"/>
      <w:kern w:val="0"/>
      <w:lang w:bidi="ar-SA"/>
    </w:rPr>
  </w:style>
  <w:style w:type="paragraph" w:customStyle="1" w:styleId="BasicParagraph">
    <w:name w:val="[Basic Paragraph]"/>
    <w:basedOn w:val="NoParagraphStyle"/>
    <w:uiPriority w:val="99"/>
    <w:semiHidden/>
    <w:rsid w:val="00A85C8E"/>
    <w:pPr>
      <w:spacing w:line="260" w:lineRule="atLeast"/>
    </w:pPr>
    <w:rPr>
      <w:rFonts w:ascii="ITC New Baskerville Std" w:hAnsi="ITC New Baskerville Std" w:cs="ITC New Baskerville Std"/>
    </w:rPr>
  </w:style>
  <w:style w:type="paragraph" w:customStyle="1" w:styleId="textcrossreference">
    <w:name w:val="text cross reference"/>
    <w:basedOn w:val="BasicParagraph"/>
    <w:uiPriority w:val="99"/>
    <w:semiHidden/>
    <w:rsid w:val="00A85C8E"/>
    <w:pPr>
      <w:ind w:firstLine="480"/>
      <w:jc w:val="both"/>
    </w:pPr>
  </w:style>
  <w:style w:type="paragraph" w:customStyle="1" w:styleId="footnotecrossreference">
    <w:name w:val="footnote cross reference"/>
    <w:basedOn w:val="NoParagraphStyle"/>
    <w:uiPriority w:val="99"/>
    <w:semiHidden/>
    <w:rsid w:val="00A85C8E"/>
    <w:pPr>
      <w:spacing w:line="190" w:lineRule="atLeast"/>
      <w:ind w:firstLine="360"/>
      <w:jc w:val="both"/>
    </w:pPr>
    <w:rPr>
      <w:rFonts w:ascii="ITC New Baskerville Std" w:hAnsi="ITC New Baskerville Std" w:cs="ITC New Baskerville Std"/>
      <w:sz w:val="18"/>
      <w:szCs w:val="18"/>
    </w:rPr>
  </w:style>
  <w:style w:type="character" w:customStyle="1" w:styleId="footnotesuperscript">
    <w:name w:val="footnote superscript"/>
    <w:uiPriority w:val="99"/>
    <w:semiHidden/>
    <w:rsid w:val="00A85C8E"/>
    <w:rPr>
      <w:vertAlign w:val="superscript"/>
    </w:rPr>
  </w:style>
  <w:style w:type="paragraph" w:customStyle="1" w:styleId="01ChapterNumber">
    <w:name w:val="01 Chapter Number"/>
    <w:basedOn w:val="ChapterNumber"/>
    <w:link w:val="01ChapterNumberChar"/>
    <w:qFormat/>
    <w:rsid w:val="00A85C8E"/>
  </w:style>
  <w:style w:type="character" w:customStyle="1" w:styleId="01ChapterNumberChar">
    <w:name w:val="01 Chapter Number Char"/>
    <w:link w:val="01ChapterNumber"/>
    <w:rsid w:val="00A85C8E"/>
    <w:rPr>
      <w:rFonts w:eastAsiaTheme="minorEastAsia"/>
      <w:smallCaps/>
      <w:color w:val="000000"/>
      <w:kern w:val="0"/>
      <w:sz w:val="20"/>
      <w:szCs w:val="28"/>
      <w:lang w:bidi="ar-SA"/>
    </w:rPr>
  </w:style>
  <w:style w:type="paragraph" w:customStyle="1" w:styleId="02ChapterTitle">
    <w:name w:val="02 Chapter Title"/>
    <w:basedOn w:val="ChapterTitle"/>
    <w:link w:val="02ChapterTitleChar"/>
    <w:qFormat/>
    <w:rsid w:val="00A85C8E"/>
  </w:style>
  <w:style w:type="character" w:customStyle="1" w:styleId="02ChapterTitleChar">
    <w:name w:val="02 Chapter Title Char"/>
    <w:link w:val="02ChapterTitle"/>
    <w:rsid w:val="00A85C8E"/>
    <w:rPr>
      <w:rFonts w:eastAsiaTheme="minorEastAsia"/>
      <w:b/>
      <w:color w:val="000000"/>
      <w:kern w:val="0"/>
      <w:sz w:val="28"/>
      <w:szCs w:val="40"/>
      <w:lang w:bidi="ar-SA"/>
    </w:rPr>
  </w:style>
  <w:style w:type="paragraph" w:customStyle="1" w:styleId="10BTextWithoutIndent">
    <w:name w:val="10B Text Without ¶ Indent"/>
    <w:basedOn w:val="Normal"/>
    <w:qFormat/>
    <w:rsid w:val="00A85C8E"/>
    <w:pPr>
      <w:spacing w:before="120"/>
    </w:pPr>
    <w:rPr>
      <w:rFonts w:eastAsia="Times New Roman"/>
      <w:kern w:val="0"/>
      <w:lang w:bidi="ar-SA"/>
    </w:rPr>
  </w:style>
  <w:style w:type="paragraph" w:customStyle="1" w:styleId="03TableofContents">
    <w:name w:val="03 Table of Contents"/>
    <w:basedOn w:val="10BTextWithoutIndent"/>
    <w:link w:val="03TableofContentsChar"/>
    <w:qFormat/>
    <w:rsid w:val="00A85C8E"/>
    <w:pPr>
      <w:widowControl w:val="0"/>
      <w:suppressAutoHyphens/>
      <w:autoSpaceDE w:val="0"/>
      <w:autoSpaceDN w:val="0"/>
      <w:adjustRightInd w:val="0"/>
      <w:spacing w:before="0" w:after="0"/>
      <w:textAlignment w:val="center"/>
    </w:pPr>
    <w:rPr>
      <w:color w:val="000000"/>
    </w:rPr>
  </w:style>
  <w:style w:type="character" w:customStyle="1" w:styleId="03TableofContentsChar">
    <w:name w:val="03 Table of Contents Char"/>
    <w:link w:val="03TableofContents"/>
    <w:rsid w:val="00A85C8E"/>
    <w:rPr>
      <w:rFonts w:eastAsia="Times New Roman"/>
      <w:color w:val="000000"/>
      <w:kern w:val="0"/>
      <w:lang w:bidi="ar-SA"/>
    </w:rPr>
  </w:style>
  <w:style w:type="paragraph" w:customStyle="1" w:styleId="04First-LevelHeadIIIIII">
    <w:name w:val="04 First-Level Head I. II. III."/>
    <w:basedOn w:val="Normal"/>
    <w:link w:val="04First-LevelHeadIIIIIIChar"/>
    <w:qFormat/>
    <w:rsid w:val="00A85C8E"/>
    <w:pPr>
      <w:spacing w:before="480" w:after="240"/>
      <w:jc w:val="center"/>
    </w:pPr>
    <w:rPr>
      <w:rFonts w:eastAsia="Times New Roman"/>
      <w:smallCaps/>
      <w:kern w:val="0"/>
      <w:lang w:bidi="ar-SA"/>
    </w:rPr>
  </w:style>
  <w:style w:type="character" w:customStyle="1" w:styleId="04First-LevelHeadIIIIIIChar">
    <w:name w:val="04 First-Level Head I. II. III. Char"/>
    <w:link w:val="04First-LevelHeadIIIIII"/>
    <w:rsid w:val="00A85C8E"/>
    <w:rPr>
      <w:rFonts w:eastAsia="Times New Roman"/>
      <w:smallCaps/>
      <w:kern w:val="0"/>
      <w:lang w:bidi="ar-SA"/>
    </w:rPr>
  </w:style>
  <w:style w:type="paragraph" w:customStyle="1" w:styleId="05Second-LevelHeadABC">
    <w:name w:val="05 Second-Level Head A. B. C."/>
    <w:basedOn w:val="Normal"/>
    <w:link w:val="05Second-LevelHeadABCChar"/>
    <w:qFormat/>
    <w:rsid w:val="00A85C8E"/>
    <w:pPr>
      <w:spacing w:before="360" w:after="240"/>
      <w:ind w:left="720" w:hanging="720"/>
    </w:pPr>
    <w:rPr>
      <w:rFonts w:eastAsia="Times New Roman"/>
      <w:b/>
      <w:kern w:val="0"/>
      <w:lang w:bidi="ar-SA"/>
    </w:rPr>
  </w:style>
  <w:style w:type="character" w:customStyle="1" w:styleId="05Second-LevelHeadABCChar">
    <w:name w:val="05 Second-Level Head A. B. C. Char"/>
    <w:link w:val="05Second-LevelHeadABC"/>
    <w:rsid w:val="00A85C8E"/>
    <w:rPr>
      <w:rFonts w:eastAsia="Times New Roman"/>
      <w:b/>
      <w:kern w:val="0"/>
      <w:lang w:bidi="ar-SA"/>
    </w:rPr>
  </w:style>
  <w:style w:type="paragraph" w:customStyle="1" w:styleId="06Third-LevelHead123">
    <w:name w:val="06 Third-Level Head 1. 2. 3."/>
    <w:basedOn w:val="Normal"/>
    <w:link w:val="06Third-LevelHead123Char"/>
    <w:qFormat/>
    <w:rsid w:val="00A85C8E"/>
    <w:pPr>
      <w:spacing w:before="360" w:after="240"/>
      <w:ind w:left="720" w:hanging="720"/>
    </w:pPr>
    <w:rPr>
      <w:rFonts w:eastAsia="Times New Roman"/>
      <w:b/>
      <w:i/>
      <w:kern w:val="0"/>
      <w:lang w:bidi="ar-SA"/>
    </w:rPr>
  </w:style>
  <w:style w:type="character" w:customStyle="1" w:styleId="06Third-LevelHead123Char">
    <w:name w:val="06 Third-Level Head 1. 2. 3. Char"/>
    <w:link w:val="06Third-LevelHead123"/>
    <w:rsid w:val="00A85C8E"/>
    <w:rPr>
      <w:rFonts w:eastAsia="Times New Roman"/>
      <w:b/>
      <w:i/>
      <w:kern w:val="0"/>
      <w:lang w:bidi="ar-SA"/>
    </w:rPr>
  </w:style>
  <w:style w:type="paragraph" w:customStyle="1" w:styleId="07Fourth-LevelHeadabc">
    <w:name w:val="07 Fourth-Level Head a. b. c."/>
    <w:basedOn w:val="Normal"/>
    <w:link w:val="07Fourth-LevelHeadabcChar"/>
    <w:qFormat/>
    <w:rsid w:val="00A85C8E"/>
    <w:pPr>
      <w:spacing w:before="360" w:after="240"/>
      <w:ind w:left="720"/>
    </w:pPr>
    <w:rPr>
      <w:rFonts w:eastAsia="Times New Roman"/>
      <w:i/>
      <w:kern w:val="0"/>
      <w:lang w:bidi="ar-SA"/>
    </w:rPr>
  </w:style>
  <w:style w:type="character" w:customStyle="1" w:styleId="07Fourth-LevelHeadabcChar">
    <w:name w:val="07 Fourth-Level Head a. b. c. Char"/>
    <w:link w:val="07Fourth-LevelHeadabc"/>
    <w:rsid w:val="00A85C8E"/>
    <w:rPr>
      <w:rFonts w:eastAsia="Times New Roman"/>
      <w:i/>
      <w:kern w:val="0"/>
      <w:lang w:bidi="ar-SA"/>
    </w:rPr>
  </w:style>
  <w:style w:type="paragraph" w:customStyle="1" w:styleId="08Fifth-LevelHeadi">
    <w:name w:val="08 Fifth-Level Head (i.)"/>
    <w:aliases w:val="(ii.),(iii.)"/>
    <w:basedOn w:val="Normal"/>
    <w:link w:val="08Fifth-LevelHeadiChar"/>
    <w:qFormat/>
    <w:rsid w:val="00A85C8E"/>
    <w:pPr>
      <w:spacing w:before="360" w:after="240"/>
      <w:ind w:left="1440"/>
    </w:pPr>
    <w:rPr>
      <w:rFonts w:eastAsia="Times New Roman"/>
      <w:i/>
      <w:kern w:val="0"/>
      <w:lang w:bidi="ar-SA"/>
    </w:rPr>
  </w:style>
  <w:style w:type="character" w:customStyle="1" w:styleId="08Fifth-LevelHeadiChar">
    <w:name w:val="08 Fifth-Level Head (i.) Char"/>
    <w:aliases w:val="(ii.) Char,(iii.) Char"/>
    <w:link w:val="08Fifth-LevelHeadi"/>
    <w:rsid w:val="00A85C8E"/>
    <w:rPr>
      <w:rFonts w:eastAsia="Times New Roman"/>
      <w:i/>
      <w:kern w:val="0"/>
      <w:lang w:bidi="ar-SA"/>
    </w:rPr>
  </w:style>
  <w:style w:type="paragraph" w:customStyle="1" w:styleId="09ABlockQuoteWithIndent">
    <w:name w:val="09A Block Quote With ¶ Indent"/>
    <w:basedOn w:val="Normal"/>
    <w:qFormat/>
    <w:rsid w:val="00A85C8E"/>
    <w:pPr>
      <w:spacing w:before="120"/>
      <w:ind w:left="720" w:firstLine="720"/>
    </w:pPr>
    <w:rPr>
      <w:rFonts w:eastAsia="Times New Roman"/>
      <w:kern w:val="0"/>
      <w:sz w:val="20"/>
      <w:lang w:bidi="ar-SA"/>
    </w:rPr>
  </w:style>
  <w:style w:type="paragraph" w:customStyle="1" w:styleId="09BBlockQuoteWithoutIndent">
    <w:name w:val="09B Block Quote Without ¶ Indent"/>
    <w:basedOn w:val="Normal"/>
    <w:link w:val="09BBlockQuoteWithoutIndentChar"/>
    <w:qFormat/>
    <w:rsid w:val="00A85C8E"/>
    <w:pPr>
      <w:spacing w:before="120"/>
      <w:ind w:left="720"/>
    </w:pPr>
    <w:rPr>
      <w:rFonts w:eastAsia="Times New Roman"/>
      <w:kern w:val="0"/>
      <w:sz w:val="20"/>
      <w:lang w:bidi="ar-SA"/>
    </w:rPr>
  </w:style>
  <w:style w:type="character" w:customStyle="1" w:styleId="09BBlockQuoteWithoutIndentChar">
    <w:name w:val="09B Block Quote Without ¶ Indent Char"/>
    <w:link w:val="09BBlockQuoteWithoutIndent"/>
    <w:rsid w:val="00A85C8E"/>
    <w:rPr>
      <w:rFonts w:eastAsia="Times New Roman"/>
      <w:kern w:val="0"/>
      <w:sz w:val="20"/>
      <w:lang w:bidi="ar-SA"/>
    </w:rPr>
  </w:style>
  <w:style w:type="paragraph" w:customStyle="1" w:styleId="10ATextWithIndent">
    <w:name w:val="10A Text With ¶ Indent"/>
    <w:basedOn w:val="Normal"/>
    <w:link w:val="10ATextWithIndentChar"/>
    <w:qFormat/>
    <w:rsid w:val="00A85C8E"/>
    <w:pPr>
      <w:spacing w:before="120"/>
      <w:ind w:firstLine="720"/>
    </w:pPr>
    <w:rPr>
      <w:rFonts w:eastAsia="Times New Roman"/>
      <w:kern w:val="0"/>
      <w:lang w:bidi="ar-SA"/>
    </w:rPr>
  </w:style>
  <w:style w:type="character" w:customStyle="1" w:styleId="10ATextWithIndentChar">
    <w:name w:val="10A Text With ¶ Indent Char"/>
    <w:link w:val="10ATextWithIndent"/>
    <w:rsid w:val="00A85C8E"/>
    <w:rPr>
      <w:rFonts w:eastAsia="Times New Roman"/>
      <w:kern w:val="0"/>
      <w:lang w:bidi="ar-SA"/>
    </w:rPr>
  </w:style>
  <w:style w:type="paragraph" w:customStyle="1" w:styleId="11AFirst-LevelList123forshortphrases">
    <w:name w:val="11A First-Level List (1) (2) (3) (for short phrases)"/>
    <w:basedOn w:val="Normal"/>
    <w:link w:val="11AFirst-LevelList123forshortphrasesChar"/>
    <w:qFormat/>
    <w:rsid w:val="00A85C8E"/>
    <w:pPr>
      <w:spacing w:before="120"/>
      <w:ind w:left="1267" w:hanging="547"/>
    </w:pPr>
    <w:rPr>
      <w:rFonts w:eastAsia="Times New Roman"/>
      <w:kern w:val="0"/>
      <w:lang w:bidi="ar-SA"/>
    </w:rPr>
  </w:style>
  <w:style w:type="character" w:customStyle="1" w:styleId="11AFirst-LevelList123forshortphrasesChar">
    <w:name w:val="11A First-Level List (1) (2) (3) (for short phrases) Char"/>
    <w:link w:val="11AFirst-LevelList123forshortphrases"/>
    <w:rsid w:val="00A85C8E"/>
    <w:rPr>
      <w:rFonts w:eastAsia="Times New Roman"/>
      <w:kern w:val="0"/>
      <w:lang w:bidi="ar-SA"/>
    </w:rPr>
  </w:style>
  <w:style w:type="paragraph" w:customStyle="1" w:styleId="11BSecond-LevelListabcforshortphrases">
    <w:name w:val="11B Second-Level List (a) (b) (c) (for short phrases)"/>
    <w:basedOn w:val="Normal"/>
    <w:link w:val="11BSecond-LevelListabcforshortphrasesChar"/>
    <w:qFormat/>
    <w:rsid w:val="00A85C8E"/>
    <w:pPr>
      <w:spacing w:before="120"/>
    </w:pPr>
    <w:rPr>
      <w:rFonts w:eastAsia="Times New Roman"/>
      <w:kern w:val="0"/>
      <w:lang w:bidi="ar-SA"/>
    </w:rPr>
  </w:style>
  <w:style w:type="character" w:customStyle="1" w:styleId="11BSecond-LevelListabcforshortphrasesChar">
    <w:name w:val="11B Second-Level List (a) (b) (c) (for short phrases) Char"/>
    <w:link w:val="11BSecond-LevelListabcforshortphrases"/>
    <w:rsid w:val="00A85C8E"/>
    <w:rPr>
      <w:rFonts w:eastAsia="Times New Roman"/>
      <w:kern w:val="0"/>
      <w:lang w:bidi="ar-SA"/>
    </w:rPr>
  </w:style>
  <w:style w:type="paragraph" w:customStyle="1" w:styleId="12AFirst-LevelList123forcompletesentences">
    <w:name w:val="12A First-Level List 1. 2. 3. (for complete sentences)"/>
    <w:basedOn w:val="Normal"/>
    <w:link w:val="12AFirst-LevelList123forcompletesentencesChar"/>
    <w:qFormat/>
    <w:rsid w:val="00A85C8E"/>
    <w:pPr>
      <w:spacing w:before="120"/>
      <w:ind w:left="1080" w:hanging="360"/>
    </w:pPr>
    <w:rPr>
      <w:rFonts w:eastAsia="Times New Roman"/>
      <w:kern w:val="0"/>
      <w:lang w:bidi="ar-SA"/>
    </w:rPr>
  </w:style>
  <w:style w:type="character" w:customStyle="1" w:styleId="12AFirst-LevelList123forcompletesentencesChar">
    <w:name w:val="12A First-Level List 1. 2. 3. (for complete sentences) Char"/>
    <w:link w:val="12AFirst-LevelList123forcompletesentences"/>
    <w:rsid w:val="00A85C8E"/>
    <w:rPr>
      <w:rFonts w:eastAsia="Times New Roman"/>
      <w:kern w:val="0"/>
      <w:lang w:bidi="ar-SA"/>
    </w:rPr>
  </w:style>
  <w:style w:type="paragraph" w:customStyle="1" w:styleId="12BSecond-LevelListabcforcompletesentences">
    <w:name w:val="12B Second-Level List a. b. c. (for complete sentences)"/>
    <w:basedOn w:val="Normal"/>
    <w:link w:val="12BSecond-LevelListabcforcompletesentencesChar"/>
    <w:qFormat/>
    <w:rsid w:val="00A85C8E"/>
    <w:pPr>
      <w:spacing w:before="120"/>
    </w:pPr>
    <w:rPr>
      <w:rFonts w:eastAsia="Times New Roman"/>
      <w:kern w:val="0"/>
      <w:lang w:bidi="ar-SA"/>
    </w:rPr>
  </w:style>
  <w:style w:type="character" w:customStyle="1" w:styleId="12BSecond-LevelListabcforcompletesentencesChar">
    <w:name w:val="12B Second-Level List a. b. c. (for complete sentences) Char"/>
    <w:link w:val="12BSecond-LevelListabcforcompletesentences"/>
    <w:rsid w:val="00A85C8E"/>
    <w:rPr>
      <w:rFonts w:eastAsia="Times New Roman"/>
      <w:kern w:val="0"/>
      <w:lang w:bidi="ar-SA"/>
    </w:rPr>
  </w:style>
  <w:style w:type="paragraph" w:customStyle="1" w:styleId="13AFirst-LevelBulletedList">
    <w:name w:val="13A First-Level Bulleted List"/>
    <w:basedOn w:val="Normal"/>
    <w:link w:val="13AFirst-LevelBulletedListChar"/>
    <w:qFormat/>
    <w:rsid w:val="00A85C8E"/>
    <w:pPr>
      <w:spacing w:before="120"/>
      <w:ind w:left="1080" w:hanging="360"/>
    </w:pPr>
    <w:rPr>
      <w:rFonts w:eastAsia="Times New Roman"/>
      <w:kern w:val="0"/>
      <w:lang w:bidi="ar-SA"/>
    </w:rPr>
  </w:style>
  <w:style w:type="character" w:customStyle="1" w:styleId="13AFirst-LevelBulletedListChar">
    <w:name w:val="13A First-Level Bulleted List Char"/>
    <w:link w:val="13AFirst-LevelBulletedList"/>
    <w:rsid w:val="00A85C8E"/>
    <w:rPr>
      <w:rFonts w:eastAsia="Times New Roman"/>
      <w:kern w:val="0"/>
      <w:lang w:bidi="ar-SA"/>
    </w:rPr>
  </w:style>
  <w:style w:type="paragraph" w:customStyle="1" w:styleId="13BSecond-LevelBulletedList">
    <w:name w:val="13B Second-Level Bulleted List"/>
    <w:basedOn w:val="Normal"/>
    <w:link w:val="13BSecond-LevelBulletedListChar"/>
    <w:qFormat/>
    <w:rsid w:val="00A85C8E"/>
    <w:pPr>
      <w:spacing w:before="120"/>
      <w:ind w:left="1440" w:hanging="360"/>
    </w:pPr>
    <w:rPr>
      <w:rFonts w:eastAsia="Times New Roman"/>
      <w:kern w:val="0"/>
      <w:lang w:bidi="ar-SA"/>
    </w:rPr>
  </w:style>
  <w:style w:type="character" w:customStyle="1" w:styleId="13BSecond-LevelBulletedListChar">
    <w:name w:val="13B Second-Level Bulleted List Char"/>
    <w:link w:val="13BSecond-LevelBulletedList"/>
    <w:rsid w:val="00A85C8E"/>
    <w:rPr>
      <w:rFonts w:eastAsia="Times New Roman"/>
      <w:kern w:val="0"/>
      <w:lang w:bidi="ar-SA"/>
    </w:rPr>
  </w:style>
  <w:style w:type="paragraph" w:customStyle="1" w:styleId="14Footnote">
    <w:name w:val="14 Footnote"/>
    <w:basedOn w:val="Normal"/>
    <w:link w:val="14FootnoteChar"/>
    <w:qFormat/>
    <w:rsid w:val="00A85C8E"/>
    <w:pPr>
      <w:spacing w:before="0"/>
      <w:ind w:firstLine="720"/>
    </w:pPr>
    <w:rPr>
      <w:rFonts w:eastAsia="Times New Roman"/>
      <w:kern w:val="0"/>
      <w:sz w:val="20"/>
      <w:lang w:bidi="ar-SA"/>
    </w:rPr>
  </w:style>
  <w:style w:type="paragraph" w:customStyle="1" w:styleId="15AFootnoteBlockQuoteWithIndent">
    <w:name w:val="15A Footnote Block Quote With ¶ Indent"/>
    <w:basedOn w:val="Normal"/>
    <w:qFormat/>
    <w:rsid w:val="00A85C8E"/>
    <w:pPr>
      <w:spacing w:before="120"/>
      <w:ind w:left="720" w:right="720" w:firstLine="360"/>
      <w:jc w:val="both"/>
    </w:pPr>
    <w:rPr>
      <w:rFonts w:eastAsia="Times New Roman"/>
      <w:kern w:val="0"/>
      <w:sz w:val="20"/>
      <w:lang w:bidi="ar-SA"/>
    </w:rPr>
  </w:style>
  <w:style w:type="paragraph" w:customStyle="1" w:styleId="15BFootnoteBlockQuoteWithoutIndent">
    <w:name w:val="15B Footnote Block Quote Without ¶ Indent"/>
    <w:basedOn w:val="Normal"/>
    <w:qFormat/>
    <w:rsid w:val="00A85C8E"/>
    <w:pPr>
      <w:spacing w:before="120"/>
      <w:ind w:left="720" w:right="720"/>
    </w:pPr>
    <w:rPr>
      <w:rFonts w:eastAsia="Times New Roman"/>
      <w:kern w:val="0"/>
      <w:sz w:val="20"/>
      <w:lang w:bidi="ar-SA"/>
    </w:rPr>
  </w:style>
  <w:style w:type="paragraph" w:customStyle="1" w:styleId="16AFirst-LevelFootnoteList123forshortphrases">
    <w:name w:val="16A First-Level Footnote List (1) (2) (3) (for short phrases)"/>
    <w:basedOn w:val="Normal"/>
    <w:qFormat/>
    <w:rsid w:val="00A85C8E"/>
    <w:pPr>
      <w:spacing w:before="120"/>
    </w:pPr>
    <w:rPr>
      <w:rFonts w:eastAsia="Times New Roman"/>
      <w:kern w:val="0"/>
      <w:sz w:val="20"/>
      <w:lang w:bidi="ar-SA"/>
    </w:rPr>
  </w:style>
  <w:style w:type="paragraph" w:customStyle="1" w:styleId="16BSecond-LevelFootnoteListabcforshortphrases">
    <w:name w:val="16B Second-Level Footnote List (a) (b) (c) (for short phrases)"/>
    <w:basedOn w:val="Normal"/>
    <w:qFormat/>
    <w:rsid w:val="00A85C8E"/>
    <w:pPr>
      <w:spacing w:before="120"/>
    </w:pPr>
    <w:rPr>
      <w:rFonts w:eastAsia="Times New Roman"/>
      <w:kern w:val="0"/>
      <w:sz w:val="20"/>
      <w:szCs w:val="20"/>
      <w:lang w:bidi="ar-SA"/>
    </w:rPr>
  </w:style>
  <w:style w:type="paragraph" w:customStyle="1" w:styleId="17AFirst-LevelFootnoteList123forcompletesentences">
    <w:name w:val="17A First-Level Footnote List 1. 2. 3. (for complete sentences)"/>
    <w:basedOn w:val="Normal"/>
    <w:qFormat/>
    <w:rsid w:val="00A85C8E"/>
    <w:pPr>
      <w:spacing w:before="120"/>
    </w:pPr>
    <w:rPr>
      <w:rFonts w:eastAsia="Times New Roman"/>
      <w:kern w:val="0"/>
      <w:sz w:val="20"/>
      <w:szCs w:val="20"/>
      <w:lang w:bidi="ar-SA"/>
    </w:rPr>
  </w:style>
  <w:style w:type="paragraph" w:customStyle="1" w:styleId="17BSecond-LevelFootnoteListabcforcompletesentences">
    <w:name w:val="17B Second-Level Footnote List a. b. c. (for complete sentences)"/>
    <w:basedOn w:val="Normal"/>
    <w:qFormat/>
    <w:rsid w:val="00A85C8E"/>
    <w:pPr>
      <w:spacing w:before="120"/>
    </w:pPr>
    <w:rPr>
      <w:rFonts w:eastAsia="Times New Roman"/>
      <w:kern w:val="0"/>
      <w:sz w:val="20"/>
      <w:lang w:bidi="ar-SA"/>
    </w:rPr>
  </w:style>
  <w:style w:type="paragraph" w:customStyle="1" w:styleId="18AFirst-LevelFootnoteBulletedList">
    <w:name w:val="18A First-Level Footnote Bulleted List"/>
    <w:basedOn w:val="Normal"/>
    <w:qFormat/>
    <w:rsid w:val="00A85C8E"/>
    <w:pPr>
      <w:spacing w:before="120"/>
      <w:ind w:left="900" w:hanging="180"/>
    </w:pPr>
    <w:rPr>
      <w:rFonts w:eastAsia="Times New Roman"/>
      <w:kern w:val="0"/>
      <w:sz w:val="20"/>
      <w:lang w:bidi="ar-SA"/>
    </w:rPr>
  </w:style>
  <w:style w:type="paragraph" w:customStyle="1" w:styleId="18BSecond-LevelFootnoteBulletedList">
    <w:name w:val="18B Second-Level Footnote Bulleted List"/>
    <w:basedOn w:val="Normal"/>
    <w:qFormat/>
    <w:rsid w:val="00A85C8E"/>
    <w:pPr>
      <w:spacing w:before="120"/>
    </w:pPr>
    <w:rPr>
      <w:rFonts w:eastAsia="Times New Roman"/>
      <w:kern w:val="0"/>
      <w:sz w:val="20"/>
      <w:lang w:bidi="ar-SA"/>
    </w:rPr>
  </w:style>
  <w:style w:type="paragraph" w:customStyle="1" w:styleId="19Table-Figure-ExhibitTitle">
    <w:name w:val="19 Table-Figure-Exhibit Title"/>
    <w:basedOn w:val="Normal"/>
    <w:qFormat/>
    <w:rsid w:val="00A85C8E"/>
    <w:pPr>
      <w:spacing w:before="0" w:after="0"/>
      <w:jc w:val="center"/>
    </w:pPr>
    <w:rPr>
      <w:rFonts w:eastAsia="Times New Roman"/>
      <w:b/>
      <w:kern w:val="0"/>
      <w:lang w:bidi="ar-SA"/>
    </w:rPr>
  </w:style>
  <w:style w:type="character" w:customStyle="1" w:styleId="UnresolvedMention1">
    <w:name w:val="Unresolved Mention1"/>
    <w:basedOn w:val="DefaultParagraphFont"/>
    <w:uiPriority w:val="99"/>
    <w:semiHidden/>
    <w:rsid w:val="00A85C8E"/>
    <w:rPr>
      <w:color w:val="605E5C"/>
      <w:shd w:val="clear" w:color="auto" w:fill="E1DFDD"/>
    </w:rPr>
  </w:style>
  <w:style w:type="character" w:customStyle="1" w:styleId="cohighlightpoints">
    <w:name w:val="co_highlightpoints"/>
    <w:basedOn w:val="DefaultParagraphFont"/>
    <w:rsid w:val="00A85C8E"/>
  </w:style>
  <w:style w:type="character" w:styleId="Emphasis">
    <w:name w:val="Emphasis"/>
    <w:basedOn w:val="DefaultParagraphFont"/>
    <w:uiPriority w:val="20"/>
    <w:qFormat/>
    <w:rsid w:val="00A85C8E"/>
    <w:rPr>
      <w:i/>
      <w:iCs/>
    </w:rPr>
  </w:style>
  <w:style w:type="character" w:customStyle="1" w:styleId="counderline">
    <w:name w:val="co_underline"/>
    <w:basedOn w:val="DefaultParagraphFont"/>
    <w:rsid w:val="00A85C8E"/>
  </w:style>
  <w:style w:type="character" w:customStyle="1" w:styleId="costarpage">
    <w:name w:val="co_starpage"/>
    <w:basedOn w:val="DefaultParagraphFont"/>
    <w:rsid w:val="00A85C8E"/>
  </w:style>
  <w:style w:type="character" w:customStyle="1" w:styleId="coconcept1019">
    <w:name w:val="co_concept_10_19"/>
    <w:basedOn w:val="DefaultParagraphFont"/>
    <w:rsid w:val="00A85C8E"/>
  </w:style>
  <w:style w:type="character" w:customStyle="1" w:styleId="coconcept14">
    <w:name w:val="co_concept_1_4"/>
    <w:basedOn w:val="DefaultParagraphFont"/>
    <w:rsid w:val="00A85C8E"/>
  </w:style>
  <w:style w:type="paragraph" w:customStyle="1" w:styleId="normal1">
    <w:name w:val="normal 1"/>
    <w:basedOn w:val="Normal"/>
    <w:uiPriority w:val="99"/>
    <w:qFormat/>
    <w:rsid w:val="00A85C8E"/>
    <w:pPr>
      <w:shd w:val="clear" w:color="auto" w:fill="FFFFFF"/>
      <w:spacing w:before="0" w:after="0"/>
      <w:ind w:firstLine="720"/>
      <w:contextualSpacing/>
    </w:pPr>
    <w:rPr>
      <w:rFonts w:ascii="Arial" w:eastAsia="Calibri" w:hAnsi="Arial"/>
      <w:kern w:val="0"/>
      <w:lang w:bidi="ar-SA"/>
    </w:rPr>
  </w:style>
  <w:style w:type="character" w:customStyle="1" w:styleId="UnresolvedMention2">
    <w:name w:val="Unresolved Mention2"/>
    <w:basedOn w:val="DefaultParagraphFont"/>
    <w:uiPriority w:val="99"/>
    <w:rsid w:val="00A85C8E"/>
    <w:rPr>
      <w:color w:val="605E5C"/>
      <w:shd w:val="clear" w:color="auto" w:fill="E1DFDD"/>
    </w:rPr>
  </w:style>
  <w:style w:type="character" w:customStyle="1" w:styleId="14FootnoteChar">
    <w:name w:val="14 Footnote Char"/>
    <w:basedOn w:val="DefaultParagraphFont"/>
    <w:link w:val="14Footnote"/>
    <w:rsid w:val="00A85C8E"/>
    <w:rPr>
      <w:rFonts w:eastAsia="Times New Roman"/>
      <w:kern w:val="0"/>
      <w:sz w:val="20"/>
      <w:lang w:bidi="ar-SA"/>
    </w:rPr>
  </w:style>
  <w:style w:type="character" w:customStyle="1" w:styleId="DocIDChar">
    <w:name w:val="DocID Char"/>
    <w:basedOn w:val="14FootnoteChar"/>
    <w:link w:val="DocID"/>
    <w:rsid w:val="00A85C8E"/>
    <w:rPr>
      <w:rFonts w:eastAsia="Times New Roman"/>
      <w:kern w:val="0"/>
      <w:sz w:val="16"/>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flsalaw.com/douglas-m-werman/" TargetMode="External"/><Relationship Id="rId18" Type="http://schemas.openxmlformats.org/officeDocument/2006/relationships/hyperlink" Target="https://www.dwt.com/people/s/sullivan-sheeha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rmrllp.com/attorneys/jason-c-marsili/"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kgworklaw.com/aaron-kaufman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constangy.com/people-Ellen-Kearn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towardsjustice.org/people/juno-turne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aw.unlv.edu/faculty/nantiya-ruan"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A950057-30C5-4BEE-A1E9-AFB38740CEF2}"/>
      </w:docPartPr>
      <w:docPartBody>
        <w:p w:rsidR="00B44AA7" w:rsidRDefault="00B44AA7">
          <w:r w:rsidRPr="005D77A0">
            <w:rPr>
              <w:rStyle w:val="PlaceholderText"/>
            </w:rPr>
            <w:t>Click or tap here to enter text.</w:t>
          </w:r>
        </w:p>
      </w:docPartBody>
    </w:docPart>
    <w:docPart>
      <w:docPartPr>
        <w:name w:val="6A232E3F94DC4F71AEEDB9014B3EA335"/>
        <w:category>
          <w:name w:val="General"/>
          <w:gallery w:val="placeholder"/>
        </w:category>
        <w:types>
          <w:type w:val="bbPlcHdr"/>
        </w:types>
        <w:behaviors>
          <w:behavior w:val="content"/>
        </w:behaviors>
        <w:guid w:val="{B368E02C-2D02-4844-9B9E-AFE90827DEF6}"/>
      </w:docPartPr>
      <w:docPartBody>
        <w:p w:rsidR="00B44AA7" w:rsidRDefault="00B44AA7">
          <w:r w:rsidRPr="005D77A0">
            <w:rPr>
              <w:rStyle w:val="PlaceholderText"/>
            </w:rPr>
            <w:t>Unit.Start</w:t>
          </w:r>
        </w:p>
      </w:docPartBody>
    </w:docPart>
    <w:docPart>
      <w:docPartPr>
        <w:name w:val="DACD5F09455947379980EBEF1FA74F17"/>
        <w:category>
          <w:name w:val="General"/>
          <w:gallery w:val="placeholder"/>
        </w:category>
        <w:types>
          <w:type w:val="bbPlcHdr"/>
        </w:types>
        <w:behaviors>
          <w:behavior w:val="content"/>
        </w:behaviors>
        <w:guid w:val="{AD0CDEC8-0A2C-4EAF-9EA2-BD9976171EA5}"/>
      </w:docPartPr>
      <w:docPartBody>
        <w:p w:rsidR="00B44AA7" w:rsidRDefault="00B44AA7">
          <w:r w:rsidRPr="005D77A0">
            <w:rPr>
              <w:rStyle w:val="PlaceholderText"/>
            </w:rPr>
            <w:t>Document</w:t>
          </w:r>
        </w:p>
      </w:docPartBody>
    </w:docPart>
    <w:docPart>
      <w:docPartPr>
        <w:name w:val="8ABE5E0C05014799B1303315D0A822A1"/>
        <w:category>
          <w:name w:val="General"/>
          <w:gallery w:val="placeholder"/>
        </w:category>
        <w:types>
          <w:type w:val="bbPlcHdr"/>
        </w:types>
        <w:behaviors>
          <w:behavior w:val="content"/>
        </w:behaviors>
        <w:guid w:val="{F876226B-D98F-4FCC-89AB-6436CC3B476A}"/>
      </w:docPartPr>
      <w:docPartBody>
        <w:p w:rsidR="00B44AA7" w:rsidRDefault="00B44AA7">
          <w:r w:rsidRPr="005D77A0">
            <w:rPr>
              <w:rStyle w:val="PlaceholderText"/>
            </w:rPr>
            <w:t>enter text</w:t>
          </w:r>
        </w:p>
      </w:docPartBody>
    </w:docPart>
    <w:docPart>
      <w:docPartPr>
        <w:name w:val="A709D82099D54CC3B6304B21FD75E250"/>
        <w:category>
          <w:name w:val="General"/>
          <w:gallery w:val="placeholder"/>
        </w:category>
        <w:types>
          <w:type w:val="bbPlcHdr"/>
        </w:types>
        <w:behaviors>
          <w:behavior w:val="content"/>
        </w:behaviors>
        <w:guid w:val="{A80843A5-E906-4484-9F60-84189EDCD10D}"/>
      </w:docPartPr>
      <w:docPartBody>
        <w:p w:rsidR="00B44AA7" w:rsidRDefault="00B44AA7">
          <w:r w:rsidRPr="005D77A0">
            <w:rPr>
              <w:rStyle w:val="PlaceholderText"/>
            </w:rPr>
            <w:t>enter text</w:t>
          </w:r>
        </w:p>
      </w:docPartBody>
    </w:docPart>
    <w:docPart>
      <w:docPartPr>
        <w:name w:val="DBE3695176C546CAB86B8B03AF96794F"/>
        <w:category>
          <w:name w:val="General"/>
          <w:gallery w:val="placeholder"/>
        </w:category>
        <w:types>
          <w:type w:val="bbPlcHdr"/>
        </w:types>
        <w:behaviors>
          <w:behavior w:val="content"/>
        </w:behaviors>
        <w:guid w:val="{AA337932-9DC0-4465-A878-3B3CAC7EBB17}"/>
      </w:docPartPr>
      <w:docPartBody>
        <w:p w:rsidR="00B44AA7" w:rsidRDefault="00B44AA7">
          <w:r w:rsidRPr="005D77A0">
            <w:rPr>
              <w:rStyle w:val="PlaceholderText"/>
            </w:rPr>
            <w:t>enter REQUIRED text</w:t>
          </w:r>
        </w:p>
      </w:docPartBody>
    </w:docPart>
    <w:docPart>
      <w:docPartPr>
        <w:name w:val="63036A9ED59740B39522341DB857B923"/>
        <w:category>
          <w:name w:val="General"/>
          <w:gallery w:val="placeholder"/>
        </w:category>
        <w:types>
          <w:type w:val="bbPlcHdr"/>
        </w:types>
        <w:behaviors>
          <w:behavior w:val="content"/>
        </w:behaviors>
        <w:guid w:val="{4E447017-5798-456D-88CE-B5C33C59E0B7}"/>
      </w:docPartPr>
      <w:docPartBody>
        <w:p w:rsidR="00B44AA7" w:rsidRDefault="00B44AA7">
          <w:r w:rsidRPr="005D77A0">
            <w:rPr>
              <w:rStyle w:val="PlaceholderText"/>
            </w:rPr>
            <w:t>enter REQUIRED text</w:t>
          </w:r>
        </w:p>
      </w:docPartBody>
    </w:docPart>
    <w:docPart>
      <w:docPartPr>
        <w:name w:val="C7A2321824474E2B813B11EEE3F36F93"/>
        <w:category>
          <w:name w:val="General"/>
          <w:gallery w:val="placeholder"/>
        </w:category>
        <w:types>
          <w:type w:val="bbPlcHdr"/>
        </w:types>
        <w:behaviors>
          <w:behavior w:val="content"/>
        </w:behaviors>
        <w:guid w:val="{C5DB6FFE-62A0-4C77-A959-EBD722244ED0}"/>
      </w:docPartPr>
      <w:docPartBody>
        <w:p w:rsidR="00B44AA7" w:rsidRDefault="00B44AA7">
          <w:r w:rsidRPr="005D77A0">
            <w:rPr>
              <w:rStyle w:val="PlaceholderText"/>
            </w:rPr>
            <w:t>enter text</w:t>
          </w:r>
        </w:p>
      </w:docPartBody>
    </w:docPart>
    <w:docPart>
      <w:docPartPr>
        <w:name w:val="ACBD4DA39BA44EC9B9C6BAE18014B301"/>
        <w:category>
          <w:name w:val="General"/>
          <w:gallery w:val="placeholder"/>
        </w:category>
        <w:types>
          <w:type w:val="bbPlcHdr"/>
        </w:types>
        <w:behaviors>
          <w:behavior w:val="content"/>
        </w:behaviors>
        <w:guid w:val="{5538774F-945C-4BDA-9C72-4B8A0839A103}"/>
      </w:docPartPr>
      <w:docPartBody>
        <w:p w:rsidR="00B44AA7" w:rsidRDefault="00B44AA7">
          <w:r w:rsidRPr="005D77A0">
            <w:rPr>
              <w:rStyle w:val="PlaceholderText"/>
            </w:rPr>
            <w:t>enter text</w:t>
          </w:r>
        </w:p>
      </w:docPartBody>
    </w:docPart>
    <w:docPart>
      <w:docPartPr>
        <w:name w:val="A5FE7880B4BA4F4B8FBE4714A550AA64"/>
        <w:category>
          <w:name w:val="General"/>
          <w:gallery w:val="placeholder"/>
        </w:category>
        <w:types>
          <w:type w:val="bbPlcHdr"/>
        </w:types>
        <w:behaviors>
          <w:behavior w:val="content"/>
        </w:behaviors>
        <w:guid w:val="{98260335-7A19-4C39-AA68-A2ACACD379A9}"/>
      </w:docPartPr>
      <w:docPartBody>
        <w:p w:rsidR="00B44AA7" w:rsidRDefault="00B44AA7">
          <w:r w:rsidRPr="005D77A0">
            <w:rPr>
              <w:rStyle w:val="PlaceholderText"/>
            </w:rPr>
            <w:t>enter text</w:t>
          </w:r>
        </w:p>
      </w:docPartBody>
    </w:docPart>
    <w:docPart>
      <w:docPartPr>
        <w:name w:val="D29B1B630A334A958738928DA6FADB16"/>
        <w:category>
          <w:name w:val="General"/>
          <w:gallery w:val="placeholder"/>
        </w:category>
        <w:types>
          <w:type w:val="bbPlcHdr"/>
        </w:types>
        <w:behaviors>
          <w:behavior w:val="content"/>
        </w:behaviors>
        <w:guid w:val="{565915D8-095B-423F-B9E0-98120D89AB89}"/>
      </w:docPartPr>
      <w:docPartBody>
        <w:p w:rsidR="00B44AA7" w:rsidRDefault="00B44AA7">
          <w:r w:rsidRPr="005D77A0">
            <w:rPr>
              <w:rStyle w:val="PlaceholderText"/>
            </w:rPr>
            <w:t>enter text</w:t>
          </w:r>
        </w:p>
      </w:docPartBody>
    </w:docPart>
    <w:docPart>
      <w:docPartPr>
        <w:name w:val="63ECA57D7D60416FA54C83E12D47D1F4"/>
        <w:category>
          <w:name w:val="General"/>
          <w:gallery w:val="placeholder"/>
        </w:category>
        <w:types>
          <w:type w:val="bbPlcHdr"/>
        </w:types>
        <w:behaviors>
          <w:behavior w:val="content"/>
        </w:behaviors>
        <w:guid w:val="{DEFAE77A-A1EA-499A-9528-A0D9B0EE6682}"/>
      </w:docPartPr>
      <w:docPartBody>
        <w:p w:rsidR="00B44AA7" w:rsidRDefault="00B44AA7">
          <w:r w:rsidRPr="005D77A0">
            <w:rPr>
              <w:rStyle w:val="PlaceholderText"/>
            </w:rPr>
            <w:t>enter text</w:t>
          </w:r>
        </w:p>
      </w:docPartBody>
    </w:docPart>
    <w:docPart>
      <w:docPartPr>
        <w:name w:val="523D796B025F4D87BB2584B19ECE42E0"/>
        <w:category>
          <w:name w:val="General"/>
          <w:gallery w:val="placeholder"/>
        </w:category>
        <w:types>
          <w:type w:val="bbPlcHdr"/>
        </w:types>
        <w:behaviors>
          <w:behavior w:val="content"/>
        </w:behaviors>
        <w:guid w:val="{567581EC-9011-42F0-86CF-8F2815E6A4C8}"/>
      </w:docPartPr>
      <w:docPartBody>
        <w:p w:rsidR="00B44AA7" w:rsidRDefault="00B44AA7">
          <w:r w:rsidRPr="005D77A0">
            <w:rPr>
              <w:rStyle w:val="PlaceholderText"/>
            </w:rPr>
            <w:t>enter text</w:t>
          </w:r>
        </w:p>
      </w:docPartBody>
    </w:docPart>
    <w:docPart>
      <w:docPartPr>
        <w:name w:val="96F72A58ABB24E9D82330A11C7C3DC02"/>
        <w:category>
          <w:name w:val="General"/>
          <w:gallery w:val="placeholder"/>
        </w:category>
        <w:types>
          <w:type w:val="bbPlcHdr"/>
        </w:types>
        <w:behaviors>
          <w:behavior w:val="content"/>
        </w:behaviors>
        <w:guid w:val="{16297956-6FD1-48A6-BA0B-E2F98B89EFB0}"/>
      </w:docPartPr>
      <w:docPartBody>
        <w:p w:rsidR="00B44AA7" w:rsidRDefault="00B44AA7">
          <w:r w:rsidRPr="005D77A0">
            <w:rPr>
              <w:rStyle w:val="PlaceholderText"/>
            </w:rPr>
            <w:t>enter text</w:t>
          </w:r>
        </w:p>
      </w:docPartBody>
    </w:docPart>
    <w:docPart>
      <w:docPartPr>
        <w:name w:val="F6FEC491BD23449FA2611A57059D6DA6"/>
        <w:category>
          <w:name w:val="General"/>
          <w:gallery w:val="placeholder"/>
        </w:category>
        <w:types>
          <w:type w:val="bbPlcHdr"/>
        </w:types>
        <w:behaviors>
          <w:behavior w:val="content"/>
        </w:behaviors>
        <w:guid w:val="{A15FBBC6-71A8-4A7A-A008-F8ED3A31D14D}"/>
      </w:docPartPr>
      <w:docPartBody>
        <w:p w:rsidR="00B44AA7" w:rsidRDefault="00B44AA7">
          <w:r w:rsidRPr="005D77A0">
            <w:rPr>
              <w:rStyle w:val="PlaceholderText"/>
            </w:rPr>
            <w:t>enter text</w:t>
          </w:r>
        </w:p>
      </w:docPartBody>
    </w:docPart>
    <w:docPart>
      <w:docPartPr>
        <w:name w:val="EEC401E56D1649B1A749A5A7EBD643C0"/>
        <w:category>
          <w:name w:val="General"/>
          <w:gallery w:val="placeholder"/>
        </w:category>
        <w:types>
          <w:type w:val="bbPlcHdr"/>
        </w:types>
        <w:behaviors>
          <w:behavior w:val="content"/>
        </w:behaviors>
        <w:guid w:val="{8A8B3D57-D8CC-4578-87CA-A556CC93633E}"/>
      </w:docPartPr>
      <w:docPartBody>
        <w:p w:rsidR="00B44AA7" w:rsidRDefault="00B44AA7">
          <w:r w:rsidRPr="005D77A0">
            <w:rPr>
              <w:rStyle w:val="PlaceholderText"/>
            </w:rPr>
            <w:t>choose an item (REQUIRED)</w:t>
          </w:r>
        </w:p>
      </w:docPartBody>
    </w:docPart>
    <w:docPart>
      <w:docPartPr>
        <w:name w:val="B261580A4470487D9B700379E1082949"/>
        <w:category>
          <w:name w:val="General"/>
          <w:gallery w:val="placeholder"/>
        </w:category>
        <w:types>
          <w:type w:val="bbPlcHdr"/>
        </w:types>
        <w:behaviors>
          <w:behavior w:val="content"/>
        </w:behaviors>
        <w:guid w:val="{0D6D459B-6423-41B0-9316-D6BD62B7DEC3}"/>
      </w:docPartPr>
      <w:docPartBody>
        <w:p w:rsidR="00B44AA7" w:rsidRDefault="00B44AA7">
          <w:r w:rsidRPr="005D77A0">
            <w:rPr>
              <w:rStyle w:val="PlaceholderText"/>
            </w:rPr>
            <w:t>enter text</w:t>
          </w:r>
        </w:p>
      </w:docPartBody>
    </w:docPart>
    <w:docPart>
      <w:docPartPr>
        <w:name w:val="78AE2887BE55446F8962D72EB1B76797"/>
        <w:category>
          <w:name w:val="General"/>
          <w:gallery w:val="placeholder"/>
        </w:category>
        <w:types>
          <w:type w:val="bbPlcHdr"/>
        </w:types>
        <w:behaviors>
          <w:behavior w:val="content"/>
        </w:behaviors>
        <w:guid w:val="{7AD55DB5-DECF-441C-891A-FC0D0FE316BA}"/>
      </w:docPartPr>
      <w:docPartBody>
        <w:p w:rsidR="00B44AA7" w:rsidRDefault="00B44AA7">
          <w:r w:rsidRPr="005D77A0">
            <w:rPr>
              <w:rStyle w:val="PlaceholderText"/>
            </w:rPr>
            <w:t>enter text</w:t>
          </w:r>
        </w:p>
      </w:docPartBody>
    </w:docPart>
    <w:docPart>
      <w:docPartPr>
        <w:name w:val="074CA23D2207440B913475CF1B9E88D5"/>
        <w:category>
          <w:name w:val="General"/>
          <w:gallery w:val="placeholder"/>
        </w:category>
        <w:types>
          <w:type w:val="bbPlcHdr"/>
        </w:types>
        <w:behaviors>
          <w:behavior w:val="content"/>
        </w:behaviors>
        <w:guid w:val="{4C9BAB22-0F57-4BAF-BA9F-4B8F0EE25507}"/>
      </w:docPartPr>
      <w:docPartBody>
        <w:p w:rsidR="00B44AA7" w:rsidRDefault="00B44AA7">
          <w:r w:rsidRPr="005D77A0">
            <w:rPr>
              <w:rStyle w:val="PlaceholderText"/>
            </w:rPr>
            <w:t>enter REQUIRED text</w:t>
          </w:r>
        </w:p>
      </w:docPartBody>
    </w:docPart>
    <w:docPart>
      <w:docPartPr>
        <w:name w:val="F3B32E1920C4493CB107EF3F5997866A"/>
        <w:category>
          <w:name w:val="General"/>
          <w:gallery w:val="placeholder"/>
        </w:category>
        <w:types>
          <w:type w:val="bbPlcHdr"/>
        </w:types>
        <w:behaviors>
          <w:behavior w:val="content"/>
        </w:behaviors>
        <w:guid w:val="{36CE22C7-0D24-489A-89AE-D8B22D745C87}"/>
      </w:docPartPr>
      <w:docPartBody>
        <w:p w:rsidR="00B44AA7" w:rsidRDefault="00B44AA7">
          <w:r w:rsidRPr="005D77A0">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ITC New Baskerville Std">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auto"/>
    <w:notTrueType/>
    <w:pitch w:val="variable"/>
    <w:sig w:usb0="E00002FF" w:usb1="5000205A" w:usb2="00000000" w:usb3="00000000" w:csb0="0000019F" w:csb1="00000000"/>
  </w:font>
  <w:font w:name="Times SC">
    <w:panose1 w:val="00000000000000000000"/>
    <w:charset w:val="00"/>
    <w:family w:val="auto"/>
    <w:notTrueType/>
    <w:pitch w:val="variable"/>
    <w:sig w:usb0="E00002FF" w:usb1="5000205A"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auto"/>
    <w:notTrueType/>
    <w:pitch w:val="variable"/>
    <w:sig w:usb0="E00002FF" w:usb1="5000205A" w:usb2="00000000" w:usb3="00000000" w:csb0="0000019F" w:csb1="00000000"/>
  </w:font>
  <w:font w:name="FreeSans">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A7"/>
    <w:rsid w:val="006F13EF"/>
    <w:rsid w:val="00B44AA7"/>
    <w:rsid w:val="00E64F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A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3.xml><?xml version="1.0" encoding="utf-8"?>
<document xmlns="http://www.bna.com/gateway/unit.start">
  <ns0:unit.start xmlns:ns0="http://www.bna.com/gateway/unit.start" copyright.owner="enter text" part.name="enter text" part.num="enter text" subpart.name="enter text" unit.code="main0018" unit.name="Chapter 18. Settlement of FLSA Litigation" folio="18-1" class.code="A" class.name="Book Body" bna.id.prefix="18" pdm.name="Chap18" publication.name="The Fair Labor Standards Act Fourth Edition" acct.code="FLSA4M21" date="2025-04-02" supplement="0" volume.num="I" service.code="flsa-book"/>
</document>
</file>

<file path=customXml/item4.xml><?xml version="1.0" encoding="utf-8"?>
<conversion.options xmlns="http://www.bna.com/gateway/conversion.options">
  <ns0:tables xmlns:ns0="http://www.bna.com/gateway/conversion.options" tag="smart"/>
</conversion.option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Props1.xml><?xml version="1.0" encoding="utf-8"?>
<ds:datastoreItem xmlns:ds="http://schemas.openxmlformats.org/officeDocument/2006/customXml" ds:itemID="{25203738-0C39-41F2-B232-E9DAD00FD52D}">
  <ds:schemaRefs>
    <ds:schemaRef ds:uri="PortfolioServiceCodes"/>
  </ds:schemaRefs>
</ds:datastoreItem>
</file>

<file path=customXml/itemProps2.xml><?xml version="1.0" encoding="utf-8"?>
<ds:datastoreItem xmlns:ds="http://schemas.openxmlformats.org/officeDocument/2006/customXml" ds:itemID="{88E47CC7-89B1-4334-9439-A1F1C1083F4F}">
  <ds:schemaRefs>
    <ds:schemaRef ds:uri="ReferenceServiceCodes"/>
  </ds:schemaRefs>
</ds:datastoreItem>
</file>

<file path=customXml/itemProps3.xml><?xml version="1.0" encoding="utf-8"?>
<ds:datastoreItem xmlns:ds="http://schemas.openxmlformats.org/officeDocument/2006/customXml" ds:itemID="{B04FCA99-13B0-422B-ADC9-9491644FA79D}">
  <ds:schemaRefs>
    <ds:schemaRef ds:uri="http://www.bna.com/gateway/unit.start"/>
  </ds:schemaRefs>
</ds:datastoreItem>
</file>

<file path=customXml/itemProps4.xml><?xml version="1.0" encoding="utf-8"?>
<ds:datastoreItem xmlns:ds="http://schemas.openxmlformats.org/officeDocument/2006/customXml" ds:itemID="{DADA3C72-C4A8-40A7-A93D-753FF12AADFE}">
  <ds:schemaRefs>
    <ds:schemaRef ds:uri="http://www.bna.com/gateway/conversion.options"/>
  </ds:schemaRefs>
</ds:datastoreItem>
</file>

<file path=customXml/itemProps5.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6.xml><?xml version="1.0" encoding="utf-8"?>
<ds:datastoreItem xmlns:ds="http://schemas.openxmlformats.org/officeDocument/2006/customXml" ds:itemID="{0A471F72-94F2-401E-A3B9-801720B75477}">
  <ds:schemaRefs>
    <ds:schemaRef ds:uri="Book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Pages>
  <Words>10702</Words>
  <Characters>58403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2025-04-23T18:45:00Z</dcterms:created>
  <dcterms:modified xsi:type="dcterms:W3CDTF">2025-04-23T18:52:00Z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