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059C" w14:textId="77777777" w:rsidR="007461F9" w:rsidRDefault="00EE0E34" w:rsidP="007461F9">
      <w:pPr>
        <w:pStyle w:val="BDocStart"/>
      </w:pPr>
      <w:sdt>
        <w:sdtPr>
          <w:tag w:val="unit.start.head"/>
          <w:id w:val="-1732144923"/>
          <w:lock w:val="sdtLocked"/>
          <w:placeholder>
            <w:docPart w:val="81D4CFDED44742D6A50C976E4CB85E2E"/>
          </w:placeholder>
          <w15:appearance w15:val="hidden"/>
        </w:sdtPr>
        <w:sdtEndPr/>
        <w:sdtContent>
          <w:proofErr w:type="spellStart"/>
          <w:r w:rsidR="007461F9">
            <w:t>Unit.Start</w:t>
          </w:r>
          <w:proofErr w:type="spellEnd"/>
        </w:sdtContent>
      </w:sdt>
    </w:p>
    <w:sdt>
      <w:sdtPr>
        <w:rPr>
          <w:rStyle w:val="BContentControl"/>
        </w:rPr>
        <w:alias w:val="unit.start"/>
        <w:tag w:val="Unit1"/>
        <w:id w:val="-1985604433"/>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71A0F016" w14:textId="77777777" w:rsidR="007461F9" w:rsidRDefault="00EE0E34" w:rsidP="007461F9">
          <w:pPr>
            <w:pStyle w:val="BNormal"/>
          </w:pPr>
          <w:sdt>
            <w:sdtPr>
              <w:rPr>
                <w:rStyle w:val="BContentControl"/>
              </w:rPr>
              <w:alias w:val="acct.code"/>
              <w:tag w:val="acct.code"/>
              <w:id w:val="-1065329475"/>
              <w:lock w:val="sdtLocked"/>
              <w:placeholder>
                <w:docPart w:val="BE2E0CCCE2E747AF9D266DC1E6F6E09D"/>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7461F9">
                <w:rPr>
                  <w:rStyle w:val="BContentControl"/>
                </w:rPr>
                <w:t>FLSA4M21</w:t>
              </w:r>
            </w:sdtContent>
          </w:sdt>
          <w:sdt>
            <w:sdtPr>
              <w:rPr>
                <w:rStyle w:val="BContentControl"/>
              </w:rPr>
              <w:alias w:val="bna.id.prefix"/>
              <w:tag w:val="bna.id.prefix"/>
              <w:id w:val="-1821803952"/>
              <w:lock w:val="sdtLocked"/>
              <w:placeholder>
                <w:docPart w:val="A3EAFE9085374FF8AA023957800045FC"/>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7461F9">
                <w:rPr>
                  <w:rStyle w:val="BContentControl"/>
                </w:rPr>
                <w:t>17</w:t>
              </w:r>
            </w:sdtContent>
          </w:sdt>
          <w:r w:rsidR="007461F9" w:rsidRPr="007461F9">
            <w:rPr>
              <w:rStyle w:val="BContentControl"/>
            </w:rPr>
            <w:t xml:space="preserve"> </w:t>
          </w:r>
          <w:sdt>
            <w:sdtPr>
              <w:rPr>
                <w:rStyle w:val="BContentControl"/>
              </w:rPr>
              <w:alias w:val="class.code*"/>
              <w:tag w:val="class.code"/>
              <w:id w:val="1703663808"/>
              <w:lock w:val="sdtLocked"/>
              <w:placeholder>
                <w:docPart w:val="1D44E570DC5047AF9C1DE7BA578D8545"/>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7461F9">
                <w:rPr>
                  <w:rStyle w:val="BContentControl"/>
                </w:rPr>
                <w:t>A</w:t>
              </w:r>
            </w:sdtContent>
          </w:sdt>
          <w:r w:rsidR="007461F9" w:rsidRPr="007461F9">
            <w:rPr>
              <w:rStyle w:val="BContentControl"/>
            </w:rPr>
            <w:t xml:space="preserve"> </w:t>
          </w:r>
          <w:sdt>
            <w:sdtPr>
              <w:rPr>
                <w:rStyle w:val="BContentControl"/>
              </w:rPr>
              <w:alias w:val="class.name*"/>
              <w:tag w:val="class.name"/>
              <w:id w:val="-1419090781"/>
              <w:lock w:val="sdtLocked"/>
              <w:placeholder>
                <w:docPart w:val="9A47B07205C64D1FBC283419CA05919F"/>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7461F9">
                <w:rPr>
                  <w:rStyle w:val="BContentControl"/>
                </w:rPr>
                <w:t>Book Body</w:t>
              </w:r>
            </w:sdtContent>
          </w:sdt>
          <w:r w:rsidR="007461F9" w:rsidRPr="007461F9">
            <w:rPr>
              <w:rStyle w:val="BContentControl"/>
            </w:rPr>
            <w:t xml:space="preserve"> </w:t>
          </w:r>
          <w:sdt>
            <w:sdtPr>
              <w:rPr>
                <w:rStyle w:val="BContentControl"/>
              </w:rPr>
              <w:alias w:val="copyright.owner"/>
              <w:tag w:val="copyright.owner"/>
              <w:id w:val="671304339"/>
              <w:lock w:val="sdtLocked"/>
              <w:placeholder>
                <w:docPart w:val="9A5E0A5A332947F58B6ABA625FAEA636"/>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7461F9" w:rsidRPr="007461F9">
                <w:rPr>
                  <w:rStyle w:val="BContentControl"/>
                </w:rPr>
                <w:t>enter text</w:t>
              </w:r>
            </w:sdtContent>
          </w:sdt>
          <w:r w:rsidR="007461F9" w:rsidRPr="007461F9">
            <w:rPr>
              <w:rStyle w:val="BContentControl"/>
            </w:rPr>
            <w:t xml:space="preserve"> </w:t>
          </w:r>
          <w:sdt>
            <w:sdtPr>
              <w:rPr>
                <w:rStyle w:val="BContentControl"/>
              </w:rPr>
              <w:alias w:val="date"/>
              <w:tag w:val="date"/>
              <w:id w:val="-294457160"/>
              <w:lock w:val="sdtLocked"/>
              <w:placeholder>
                <w:docPart w:val="8918957720C34D84AF60F79AAAD3AD6A"/>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7461F9">
                <w:rPr>
                  <w:rStyle w:val="BContentControl"/>
                </w:rPr>
                <w:t>2025-04-04</w:t>
              </w:r>
            </w:sdtContent>
          </w:sdt>
          <w:r w:rsidR="007461F9" w:rsidRPr="007461F9">
            <w:rPr>
              <w:rStyle w:val="BContentControl"/>
            </w:rPr>
            <w:t xml:space="preserve"> </w:t>
          </w:r>
          <w:sdt>
            <w:sdtPr>
              <w:rPr>
                <w:rStyle w:val="BContentControl"/>
              </w:rPr>
              <w:alias w:val="folio"/>
              <w:tag w:val="folio"/>
              <w:id w:val="-721684480"/>
              <w:lock w:val="sdtLocked"/>
              <w:placeholder>
                <w:docPart w:val="65167D2CC5F743D4A1C719B71E07EAF6"/>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7461F9">
                <w:rPr>
                  <w:rStyle w:val="BContentControl"/>
                </w:rPr>
                <w:t>17-1</w:t>
              </w:r>
            </w:sdtContent>
          </w:sdt>
          <w:r w:rsidR="007461F9" w:rsidRPr="007461F9">
            <w:rPr>
              <w:rStyle w:val="BContentControl"/>
            </w:rPr>
            <w:t xml:space="preserve"> </w:t>
          </w:r>
          <w:sdt>
            <w:sdtPr>
              <w:rPr>
                <w:rStyle w:val="BContentControl"/>
              </w:rPr>
              <w:alias w:val="part.name"/>
              <w:tag w:val="part.name"/>
              <w:id w:val="984898208"/>
              <w:lock w:val="sdtLocked"/>
              <w:placeholder>
                <w:docPart w:val="58557D3A398E49948E32CC884F34CCB8"/>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7461F9" w:rsidRPr="007461F9">
                <w:rPr>
                  <w:rStyle w:val="BContentControl"/>
                </w:rPr>
                <w:t>enter text</w:t>
              </w:r>
            </w:sdtContent>
          </w:sdt>
          <w:r w:rsidR="007461F9" w:rsidRPr="007461F9">
            <w:rPr>
              <w:rStyle w:val="BContentControl"/>
            </w:rPr>
            <w:t xml:space="preserve"> </w:t>
          </w:r>
          <w:sdt>
            <w:sdtPr>
              <w:rPr>
                <w:rStyle w:val="BContentControl"/>
              </w:rPr>
              <w:alias w:val="part.num"/>
              <w:tag w:val="part.num"/>
              <w:id w:val="605242805"/>
              <w:lock w:val="sdtLocked"/>
              <w:placeholder>
                <w:docPart w:val="B48EB868A9DA4C3D8AF4735278F63533"/>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7461F9" w:rsidRPr="007461F9">
                <w:rPr>
                  <w:rStyle w:val="BContentControl"/>
                </w:rPr>
                <w:t>enter text</w:t>
              </w:r>
            </w:sdtContent>
          </w:sdt>
          <w:r w:rsidR="007461F9" w:rsidRPr="007461F9">
            <w:rPr>
              <w:rStyle w:val="BContentControl"/>
            </w:rPr>
            <w:t xml:space="preserve"> </w:t>
          </w:r>
          <w:sdt>
            <w:sdtPr>
              <w:rPr>
                <w:rStyle w:val="BContentControl"/>
              </w:rPr>
              <w:alias w:val="subpart.name"/>
              <w:tag w:val="subpart.name"/>
              <w:id w:val="-1126923630"/>
              <w:lock w:val="sdtLocked"/>
              <w:placeholder>
                <w:docPart w:val="869BF503091446D1979D6C18F1E90646"/>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7461F9" w:rsidRPr="007461F9">
                <w:rPr>
                  <w:rStyle w:val="BContentControl"/>
                </w:rPr>
                <w:t>enter text</w:t>
              </w:r>
            </w:sdtContent>
          </w:sdt>
          <w:r w:rsidR="007461F9" w:rsidRPr="007461F9">
            <w:rPr>
              <w:rStyle w:val="BContentControl"/>
            </w:rPr>
            <w:t xml:space="preserve"> </w:t>
          </w:r>
          <w:sdt>
            <w:sdtPr>
              <w:rPr>
                <w:rStyle w:val="BContentControl"/>
              </w:rPr>
              <w:alias w:val="pdm.name"/>
              <w:tag w:val="pdm.name"/>
              <w:id w:val="-1298219503"/>
              <w:lock w:val="sdtLocked"/>
              <w:placeholder>
                <w:docPart w:val="7FC1131822AB43F993905D6A077F7F00"/>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7461F9">
                <w:rPr>
                  <w:rStyle w:val="BContentControl"/>
                </w:rPr>
                <w:t>Chap17</w:t>
              </w:r>
            </w:sdtContent>
          </w:sdt>
          <w:r w:rsidR="007461F9" w:rsidRPr="007461F9">
            <w:rPr>
              <w:rStyle w:val="BContentControl"/>
            </w:rPr>
            <w:t xml:space="preserve"> </w:t>
          </w:r>
          <w:sdt>
            <w:sdtPr>
              <w:rPr>
                <w:rStyle w:val="BContentControl"/>
              </w:rPr>
              <w:alias w:val="publication.name"/>
              <w:tag w:val="publication.name"/>
              <w:id w:val="1255710632"/>
              <w:lock w:val="sdtLocked"/>
              <w:placeholder>
                <w:docPart w:val="CEAC14DB6DE1401CB1A2ED414D3F6F4E"/>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7461F9">
                <w:rPr>
                  <w:rStyle w:val="BContentControl"/>
                </w:rPr>
                <w:t>The Fair Labor Standards Act Fourth Edition</w:t>
              </w:r>
            </w:sdtContent>
          </w:sdt>
          <w:r w:rsidR="007461F9" w:rsidRPr="007461F9">
            <w:rPr>
              <w:rStyle w:val="BContentControl"/>
            </w:rPr>
            <w:t xml:space="preserve"> </w:t>
          </w:r>
          <w:sdt>
            <w:sdtPr>
              <w:rPr>
                <w:rStyle w:val="BContentControl"/>
              </w:rPr>
              <w:alias w:val="service.code*"/>
              <w:tag w:val="mUnit1"/>
              <w:id w:val="-1016465658"/>
              <w:lock w:val="sdtLocked"/>
              <w:placeholder>
                <w:docPart w:val="53C5FB9F5EC2472C93EAF052CB037326"/>
              </w:placeholder>
              <w:dataBinding w:prefixMappings="xmlns:ns0='http://www.bna.com/gateway/unit.start' " w:xpath="/ns0:document[1]/ns0:unit.start[1]/@service.code" w:storeItemID="{B04FCA99-13B0-422B-ADC9-9491644FA79D}"/>
              <w15:appearance w15:val="tags"/>
              <w:dropDownList w:lastValue="flsa-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7461F9">
                <w:rPr>
                  <w:rStyle w:val="BContentControl"/>
                </w:rPr>
                <w:t>flsa-book</w:t>
              </w:r>
            </w:sdtContent>
          </w:sdt>
          <w:r w:rsidR="007461F9" w:rsidRPr="007461F9">
            <w:rPr>
              <w:rStyle w:val="BContentControl"/>
            </w:rPr>
            <w:t xml:space="preserve"> </w:t>
          </w:r>
          <w:sdt>
            <w:sdtPr>
              <w:rPr>
                <w:rStyle w:val="BContentControl"/>
              </w:rPr>
              <w:alias w:val="supplement"/>
              <w:tag w:val="supplement"/>
              <w:id w:val="1014880940"/>
              <w:lock w:val="sdtLocked"/>
              <w:placeholder>
                <w:docPart w:val="C73B4ED03FC8472EA502CBB0F2C34A5A"/>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7461F9">
                <w:rPr>
                  <w:rStyle w:val="BContentControl"/>
                </w:rPr>
                <w:t>0</w:t>
              </w:r>
            </w:sdtContent>
          </w:sdt>
          <w:r w:rsidR="007461F9" w:rsidRPr="007461F9">
            <w:rPr>
              <w:rStyle w:val="BContentControl"/>
            </w:rPr>
            <w:t xml:space="preserve"> </w:t>
          </w:r>
          <w:sdt>
            <w:sdtPr>
              <w:rPr>
                <w:rStyle w:val="BContentControl"/>
              </w:rPr>
              <w:alias w:val="unit.code"/>
              <w:tag w:val="unit.code"/>
              <w:id w:val="-1364126494"/>
              <w:lock w:val="sdtLocked"/>
              <w:placeholder>
                <w:docPart w:val="EA5928151FF2486A9E58BABA40E587AF"/>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7461F9">
                <w:rPr>
                  <w:rStyle w:val="BContentControl"/>
                </w:rPr>
                <w:t>main0017</w:t>
              </w:r>
            </w:sdtContent>
          </w:sdt>
          <w:r w:rsidR="007461F9" w:rsidRPr="007461F9">
            <w:rPr>
              <w:rStyle w:val="BContentControl"/>
            </w:rPr>
            <w:t xml:space="preserve"> </w:t>
          </w:r>
          <w:sdt>
            <w:sdtPr>
              <w:rPr>
                <w:rStyle w:val="BContentControl"/>
              </w:rPr>
              <w:alias w:val="unit.name*"/>
              <w:tag w:val="unit.name"/>
              <w:id w:val="-1889791157"/>
              <w:lock w:val="sdtLocked"/>
              <w:placeholder>
                <w:docPart w:val="0DF0A717D3B6470E9DF2722BF2E496B8"/>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7461F9">
                <w:rPr>
                  <w:rStyle w:val="BContentControl"/>
                </w:rPr>
                <w:t>Chapter 17. Collective Actions and "Hybrid" Class Actions</w:t>
              </w:r>
            </w:sdtContent>
          </w:sdt>
          <w:r w:rsidR="007461F9" w:rsidRPr="007461F9">
            <w:rPr>
              <w:rStyle w:val="BContentControl"/>
            </w:rPr>
            <w:t xml:space="preserve"> </w:t>
          </w:r>
          <w:sdt>
            <w:sdtPr>
              <w:rPr>
                <w:rStyle w:val="BContentControl"/>
              </w:rPr>
              <w:alias w:val="volume.num"/>
              <w:tag w:val="volume.num"/>
              <w:id w:val="1909644563"/>
              <w:lock w:val="sdtLocked"/>
              <w:placeholder>
                <w:docPart w:val="17ED09D332C944BABF4E37BC0E72DF16"/>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7461F9">
                <w:rPr>
                  <w:rStyle w:val="BContentControl"/>
                </w:rPr>
                <w:t>I</w:t>
              </w:r>
            </w:sdtContent>
          </w:sdt>
        </w:p>
        <w:bookmarkEnd w:id="0" w:displacedByCustomXml="next"/>
      </w:sdtContent>
    </w:sdt>
    <w:p w14:paraId="46276198" w14:textId="77777777" w:rsidR="007461F9" w:rsidRPr="007461F9" w:rsidRDefault="00EE0E34" w:rsidP="007461F9">
      <w:pPr>
        <w:pStyle w:val="BDocStart"/>
      </w:pPr>
      <w:sdt>
        <w:sdtPr>
          <w:tag w:val="DocStart"/>
          <w:id w:val="1624105474"/>
          <w:lock w:val="sdtLocked"/>
          <w:placeholder>
            <w:docPart w:val="A92CE7C024BB4146816B3CD4ACF968DF"/>
          </w:placeholder>
          <w15:appearance w15:val="hidden"/>
        </w:sdtPr>
        <w:sdtEndPr/>
        <w:sdtContent>
          <w:r w:rsidR="007461F9">
            <w:t>Document</w:t>
          </w:r>
        </w:sdtContent>
      </w:sdt>
    </w:p>
    <w:p w14:paraId="492F22F2" w14:textId="2E02F189" w:rsidR="004322B1" w:rsidRPr="00AD2F44" w:rsidRDefault="004322B1" w:rsidP="003C55E0">
      <w:pPr>
        <w:pStyle w:val="01ChapterNumber"/>
        <w:tabs>
          <w:tab w:val="left" w:pos="810"/>
        </w:tabs>
      </w:pPr>
      <w:bookmarkStart w:id="1" w:name="_Hlk163581224"/>
      <w:r w:rsidRPr="00AD2F44">
        <w:t>Chapter 17</w:t>
      </w:r>
      <w:bookmarkEnd w:id="1"/>
      <w:r w:rsidR="003C55E0">
        <w:t xml:space="preserve"> </w:t>
      </w:r>
      <w:r w:rsidRPr="00AD2F44">
        <w:t>COLLECTIVE ACTIONS AND “HYBRID” CLASS ACTIONS</w:t>
      </w:r>
    </w:p>
    <w:p w14:paraId="305C80BF" w14:textId="77777777" w:rsidR="004322B1" w:rsidRPr="002F69CA" w:rsidRDefault="004322B1">
      <w:pPr>
        <w:pStyle w:val="10BTextWithoutIndent"/>
        <w:spacing w:before="0" w:after="0"/>
        <w:rPr>
          <w:rFonts w:eastAsiaTheme="minorHAnsi"/>
          <w:i/>
          <w:iCs/>
          <w:color w:val="000000"/>
        </w:rPr>
      </w:pPr>
      <w:r w:rsidRPr="002F69CA">
        <w:rPr>
          <w:rFonts w:eastAsiaTheme="minorHAnsi"/>
          <w:i/>
          <w:iCs/>
          <w:color w:val="000000"/>
        </w:rPr>
        <w:t>Lead Authors:</w:t>
      </w:r>
      <w:r w:rsidRPr="002F69CA">
        <w:rPr>
          <w:rFonts w:eastAsiaTheme="minorHAnsi"/>
          <w:b/>
          <w:bCs/>
          <w:i/>
          <w:iCs/>
          <w:color w:val="000000"/>
        </w:rPr>
        <w:t xml:space="preserve"> </w:t>
      </w:r>
      <w:hyperlink r:id="rId13" w:history="1">
        <w:r w:rsidRPr="002F69CA">
          <w:rPr>
            <w:rStyle w:val="Hyperlink"/>
            <w:rFonts w:eastAsiaTheme="minorHAnsi"/>
            <w:b/>
            <w:bCs/>
            <w:i/>
            <w:iCs/>
          </w:rPr>
          <w:t>Timothy J. Long,</w:t>
        </w:r>
      </w:hyperlink>
      <w:r w:rsidRPr="002F69CA">
        <w:rPr>
          <w:rFonts w:eastAsiaTheme="minorHAnsi"/>
          <w:b/>
          <w:bCs/>
          <w:i/>
          <w:iCs/>
          <w:color w:val="000000"/>
        </w:rPr>
        <w:t xml:space="preserve"> </w:t>
      </w:r>
      <w:r w:rsidRPr="002F69CA">
        <w:rPr>
          <w:rFonts w:eastAsiaTheme="minorHAnsi"/>
          <w:i/>
          <w:iCs/>
          <w:color w:val="000000"/>
        </w:rPr>
        <w:t xml:space="preserve">Greenberg Traurig LLP, Sacramento, CA (Fourth Edition); </w:t>
      </w:r>
      <w:hyperlink r:id="rId14" w:history="1">
        <w:r w:rsidRPr="002F69CA">
          <w:rPr>
            <w:rStyle w:val="Hyperlink"/>
            <w:rFonts w:eastAsiaTheme="minorHAnsi"/>
            <w:b/>
            <w:bCs/>
            <w:i/>
            <w:iCs/>
          </w:rPr>
          <w:t>Gregory K. McGillivary,</w:t>
        </w:r>
      </w:hyperlink>
      <w:r w:rsidRPr="002F69CA">
        <w:rPr>
          <w:rFonts w:eastAsiaTheme="minorHAnsi"/>
          <w:i/>
          <w:iCs/>
          <w:color w:val="000000"/>
        </w:rPr>
        <w:t xml:space="preserve"> McGillivary Steele Elkin LLP, Washington, DC (Fourth Edition); </w:t>
      </w:r>
      <w:hyperlink r:id="rId15" w:history="1">
        <w:proofErr w:type="spellStart"/>
        <w:r w:rsidRPr="002F69CA">
          <w:rPr>
            <w:rStyle w:val="Hyperlink"/>
            <w:rFonts w:eastAsiaTheme="minorHAnsi"/>
            <w:b/>
            <w:bCs/>
            <w:i/>
            <w:iCs/>
          </w:rPr>
          <w:t>Nantiya</w:t>
        </w:r>
        <w:proofErr w:type="spellEnd"/>
        <w:r w:rsidRPr="002F69CA">
          <w:rPr>
            <w:rStyle w:val="Hyperlink"/>
            <w:rFonts w:eastAsiaTheme="minorHAnsi"/>
            <w:b/>
            <w:bCs/>
            <w:i/>
            <w:iCs/>
          </w:rPr>
          <w:t xml:space="preserve"> Ruan,</w:t>
        </w:r>
      </w:hyperlink>
      <w:r w:rsidRPr="002F69CA">
        <w:rPr>
          <w:rFonts w:eastAsiaTheme="minorHAnsi"/>
          <w:i/>
          <w:iCs/>
          <w:color w:val="000000"/>
        </w:rPr>
        <w:t xml:space="preserve"> University of Nevada, Las Vegas Williams S. Boyd School of Law, Senior Counsel, Outten &amp; Golden LLP, New York, NY (2021 Update, 2022 Update, 2023 Update); </w:t>
      </w:r>
      <w:hyperlink r:id="rId16" w:history="1">
        <w:r w:rsidRPr="002F69CA">
          <w:rPr>
            <w:rStyle w:val="Hyperlink"/>
            <w:rFonts w:eastAsiaTheme="minorHAnsi"/>
            <w:b/>
            <w:bCs/>
            <w:i/>
            <w:iCs/>
          </w:rPr>
          <w:t>Matthew C. Helland,</w:t>
        </w:r>
      </w:hyperlink>
      <w:r w:rsidRPr="002F69CA">
        <w:rPr>
          <w:rFonts w:eastAsiaTheme="minorHAnsi"/>
          <w:i/>
          <w:iCs/>
          <w:color w:val="000000"/>
        </w:rPr>
        <w:t xml:space="preserve"> Nichols Kaster, LLP, San Francisco, CA (2024 Update); </w:t>
      </w:r>
      <w:hyperlink r:id="rId17" w:history="1">
        <w:r w:rsidRPr="002F69CA">
          <w:rPr>
            <w:rStyle w:val="Hyperlink"/>
            <w:rFonts w:eastAsiaTheme="minorHAnsi"/>
            <w:b/>
            <w:bCs/>
            <w:i/>
            <w:iCs/>
          </w:rPr>
          <w:t>Reed L. Russell,</w:t>
        </w:r>
      </w:hyperlink>
      <w:r w:rsidRPr="002F69CA">
        <w:rPr>
          <w:rFonts w:eastAsiaTheme="minorHAnsi"/>
          <w:i/>
          <w:iCs/>
          <w:color w:val="000000"/>
        </w:rPr>
        <w:t xml:space="preserve"> Phelps Dunbar LLP, Tampa, FL (2024 Update)</w:t>
      </w:r>
    </w:p>
    <w:p w14:paraId="67C3E944" w14:textId="77777777" w:rsidR="004322B1" w:rsidRPr="002F69CA" w:rsidRDefault="004322B1">
      <w:pPr>
        <w:pStyle w:val="10BTextWithoutIndent"/>
        <w:spacing w:before="0" w:after="0"/>
        <w:rPr>
          <w:rFonts w:eastAsiaTheme="minorHAnsi"/>
          <w:i/>
          <w:iCs/>
          <w:color w:val="000000"/>
        </w:rPr>
      </w:pPr>
    </w:p>
    <w:p w14:paraId="61D8B349" w14:textId="77777777" w:rsidR="004322B1" w:rsidRPr="002F69CA" w:rsidRDefault="004322B1">
      <w:pPr>
        <w:pStyle w:val="10BTextWithoutIndent"/>
        <w:spacing w:before="0" w:after="0"/>
        <w:rPr>
          <w:rFonts w:eastAsiaTheme="minorHAnsi"/>
          <w:i/>
          <w:iCs/>
          <w:color w:val="000000"/>
        </w:rPr>
      </w:pPr>
      <w:r w:rsidRPr="002F69CA">
        <w:rPr>
          <w:rFonts w:eastAsiaTheme="minorHAnsi"/>
          <w:i/>
          <w:iCs/>
          <w:color w:val="000000"/>
        </w:rPr>
        <w:t xml:space="preserve">Authors: </w:t>
      </w:r>
      <w:hyperlink r:id="rId18" w:history="1">
        <w:r w:rsidRPr="002F69CA">
          <w:rPr>
            <w:rStyle w:val="Hyperlink"/>
            <w:rFonts w:eastAsiaTheme="minorHAnsi"/>
            <w:b/>
            <w:bCs/>
            <w:i/>
            <w:iCs/>
          </w:rPr>
          <w:t xml:space="preserve">Robert A. </w:t>
        </w:r>
        <w:proofErr w:type="spellStart"/>
        <w:r w:rsidRPr="002F69CA">
          <w:rPr>
            <w:rStyle w:val="Hyperlink"/>
            <w:rFonts w:eastAsiaTheme="minorHAnsi"/>
            <w:b/>
            <w:bCs/>
            <w:i/>
            <w:iCs/>
          </w:rPr>
          <w:t>Boonin</w:t>
        </w:r>
        <w:proofErr w:type="spellEnd"/>
        <w:r w:rsidRPr="002F69CA">
          <w:rPr>
            <w:rStyle w:val="Hyperlink"/>
            <w:rFonts w:eastAsiaTheme="minorHAnsi"/>
            <w:b/>
            <w:bCs/>
            <w:i/>
            <w:iCs/>
          </w:rPr>
          <w:t>,</w:t>
        </w:r>
      </w:hyperlink>
      <w:r w:rsidRPr="002F69CA">
        <w:rPr>
          <w:rFonts w:eastAsiaTheme="minorHAnsi"/>
          <w:i/>
          <w:iCs/>
          <w:color w:val="000000"/>
        </w:rPr>
        <w:t xml:space="preserve"> Dykema Gossett PLLC, Ann Arbor, MI (Fourth Edition); </w:t>
      </w:r>
      <w:hyperlink r:id="rId19" w:history="1">
        <w:r w:rsidRPr="002F69CA">
          <w:rPr>
            <w:rStyle w:val="Hyperlink"/>
            <w:rFonts w:eastAsiaTheme="minorHAnsi"/>
            <w:b/>
            <w:bCs/>
            <w:i/>
            <w:iCs/>
          </w:rPr>
          <w:t>Matthew C. Helland,</w:t>
        </w:r>
      </w:hyperlink>
      <w:r w:rsidRPr="002F69CA">
        <w:rPr>
          <w:rFonts w:eastAsiaTheme="minorHAnsi"/>
          <w:i/>
          <w:iCs/>
          <w:color w:val="000000"/>
        </w:rPr>
        <w:t xml:space="preserve"> Nichols Kaster, LLP, San Francisco, CA (Fourth Edition)</w:t>
      </w:r>
    </w:p>
    <w:p w14:paraId="5162F2B3" w14:textId="77777777" w:rsidR="004322B1" w:rsidRPr="002F69CA" w:rsidRDefault="004322B1">
      <w:pPr>
        <w:pStyle w:val="10BTextWithoutIndent"/>
        <w:spacing w:before="0" w:after="0"/>
        <w:rPr>
          <w:rFonts w:eastAsiaTheme="minorHAnsi"/>
          <w:i/>
          <w:iCs/>
          <w:color w:val="000000"/>
        </w:rPr>
      </w:pPr>
    </w:p>
    <w:p w14:paraId="5C05AE8B" w14:textId="77777777" w:rsidR="004322B1" w:rsidRPr="002F69CA" w:rsidRDefault="004322B1">
      <w:pPr>
        <w:pStyle w:val="10BTextWithoutIndent"/>
        <w:spacing w:before="0" w:after="0"/>
        <w:rPr>
          <w:rFonts w:eastAsiaTheme="minorHAnsi"/>
          <w:i/>
          <w:iCs/>
          <w:color w:val="000000"/>
        </w:rPr>
      </w:pPr>
      <w:r w:rsidRPr="002F69CA">
        <w:rPr>
          <w:rFonts w:eastAsiaTheme="minorHAnsi"/>
          <w:i/>
          <w:iCs/>
          <w:color w:val="000000"/>
        </w:rPr>
        <w:t xml:space="preserve">Primary Editors: </w:t>
      </w:r>
      <w:hyperlink r:id="rId20" w:history="1">
        <w:r w:rsidRPr="002F69CA">
          <w:rPr>
            <w:rStyle w:val="Hyperlink"/>
            <w:rFonts w:eastAsiaTheme="minorHAnsi"/>
            <w:b/>
            <w:bCs/>
            <w:i/>
            <w:iCs/>
          </w:rPr>
          <w:t>Matthew C. Helland,</w:t>
        </w:r>
      </w:hyperlink>
      <w:r w:rsidRPr="002F69CA">
        <w:rPr>
          <w:rFonts w:eastAsiaTheme="minorHAnsi"/>
          <w:i/>
          <w:iCs/>
          <w:color w:val="000000"/>
        </w:rPr>
        <w:t xml:space="preserve"> Nichols Kaster, LLP, San Francisco, CA (2021 Update, 2022 Update, 2023 Update); </w:t>
      </w:r>
      <w:hyperlink r:id="rId21" w:history="1">
        <w:r w:rsidRPr="002F69CA">
          <w:rPr>
            <w:rStyle w:val="Hyperlink"/>
            <w:rFonts w:eastAsiaTheme="minorHAnsi"/>
            <w:b/>
            <w:bCs/>
            <w:i/>
            <w:iCs/>
          </w:rPr>
          <w:t>Reed L. Russell,</w:t>
        </w:r>
      </w:hyperlink>
      <w:r w:rsidRPr="002F69CA">
        <w:rPr>
          <w:rFonts w:eastAsiaTheme="minorHAnsi"/>
          <w:i/>
          <w:iCs/>
          <w:color w:val="000000"/>
        </w:rPr>
        <w:t xml:space="preserve"> Phelps Dunbar LLP, Tampa, FL (2021 Update, 2022 Update, 2023 Update); </w:t>
      </w:r>
      <w:hyperlink r:id="rId22" w:history="1">
        <w:r w:rsidRPr="002F69CA">
          <w:rPr>
            <w:rStyle w:val="Hyperlink"/>
            <w:rFonts w:eastAsiaTheme="minorHAnsi"/>
            <w:b/>
            <w:bCs/>
            <w:i/>
            <w:iCs/>
          </w:rPr>
          <w:t>Eve H. Cervantez,</w:t>
        </w:r>
      </w:hyperlink>
      <w:r w:rsidRPr="002F69CA">
        <w:rPr>
          <w:rFonts w:eastAsiaTheme="minorHAnsi"/>
          <w:i/>
          <w:iCs/>
          <w:color w:val="000000"/>
        </w:rPr>
        <w:t xml:space="preserve"> Altshuler Berzon LLP, San Francisco, CA (2024 Update); </w:t>
      </w:r>
      <w:hyperlink r:id="rId23" w:history="1">
        <w:r w:rsidRPr="002F69CA">
          <w:rPr>
            <w:rStyle w:val="Hyperlink"/>
            <w:rFonts w:eastAsiaTheme="minorHAnsi"/>
            <w:b/>
            <w:bCs/>
            <w:i/>
            <w:iCs/>
          </w:rPr>
          <w:t>Aaron D. Kaufmann,</w:t>
        </w:r>
      </w:hyperlink>
      <w:r w:rsidRPr="002F69CA">
        <w:rPr>
          <w:rFonts w:eastAsiaTheme="minorHAnsi"/>
          <w:i/>
          <w:iCs/>
          <w:color w:val="000000"/>
        </w:rPr>
        <w:t xml:space="preserve"> Kaufmann &amp; </w:t>
      </w:r>
      <w:proofErr w:type="spellStart"/>
      <w:r w:rsidRPr="002F69CA">
        <w:rPr>
          <w:rFonts w:eastAsiaTheme="minorHAnsi"/>
          <w:i/>
          <w:iCs/>
          <w:color w:val="000000"/>
        </w:rPr>
        <w:t>Gropman</w:t>
      </w:r>
      <w:proofErr w:type="spellEnd"/>
      <w:r w:rsidRPr="002F69CA">
        <w:rPr>
          <w:rFonts w:eastAsiaTheme="minorHAnsi"/>
          <w:i/>
          <w:iCs/>
          <w:color w:val="000000"/>
        </w:rPr>
        <w:t xml:space="preserve"> LLP, Oakland, CA (2024 Update); </w:t>
      </w:r>
      <w:hyperlink r:id="rId24" w:history="1">
        <w:r w:rsidRPr="002F69CA">
          <w:rPr>
            <w:rStyle w:val="Hyperlink"/>
            <w:rFonts w:eastAsiaTheme="minorHAnsi"/>
            <w:b/>
            <w:bCs/>
            <w:i/>
            <w:iCs/>
          </w:rPr>
          <w:t>Ellen C. Kearns,</w:t>
        </w:r>
      </w:hyperlink>
      <w:r w:rsidRPr="002F69CA">
        <w:rPr>
          <w:rFonts w:eastAsiaTheme="minorHAnsi"/>
          <w:i/>
          <w:iCs/>
          <w:color w:val="000000"/>
        </w:rPr>
        <w:t xml:space="preserve"> </w:t>
      </w:r>
      <w:proofErr w:type="spellStart"/>
      <w:r w:rsidRPr="002F69CA">
        <w:rPr>
          <w:rFonts w:eastAsiaTheme="minorHAnsi"/>
          <w:i/>
          <w:iCs/>
          <w:color w:val="000000"/>
        </w:rPr>
        <w:t>Constangy</w:t>
      </w:r>
      <w:proofErr w:type="spellEnd"/>
      <w:r w:rsidRPr="002F69CA">
        <w:rPr>
          <w:rFonts w:eastAsiaTheme="minorHAnsi"/>
          <w:i/>
          <w:iCs/>
          <w:color w:val="000000"/>
        </w:rPr>
        <w:t xml:space="preserve"> Brooks Smith &amp; Prophete, Boston, MA (2024 Update)</w:t>
      </w:r>
    </w:p>
    <w:p w14:paraId="6105EB74" w14:textId="77777777" w:rsidR="004322B1" w:rsidRDefault="004322B1">
      <w:pPr>
        <w:pStyle w:val="10BTextWithoutIndent"/>
        <w:spacing w:before="0" w:after="0"/>
        <w:rPr>
          <w:rFonts w:eastAsiaTheme="minorHAnsi"/>
          <w:color w:val="000000"/>
        </w:rPr>
      </w:pPr>
    </w:p>
    <w:p w14:paraId="3B269CA1" w14:textId="77777777" w:rsidR="004322B1" w:rsidRPr="00AD2F44" w:rsidRDefault="004322B1" w:rsidP="00C73E1E">
      <w:pPr>
        <w:pStyle w:val="10BTextWithoutIndent"/>
        <w:spacing w:before="0" w:after="0"/>
        <w:rPr>
          <w:i/>
          <w:iCs/>
          <w:sz w:val="22"/>
        </w:rPr>
      </w:pPr>
      <w:r w:rsidRPr="00AD2F44">
        <w:rPr>
          <w:i/>
          <w:iCs/>
        </w:rPr>
        <w:t>This chapter is current through May 202</w:t>
      </w:r>
      <w:r>
        <w:rPr>
          <w:i/>
          <w:iCs/>
        </w:rPr>
        <w:t>3</w:t>
      </w:r>
      <w:r w:rsidRPr="00AD2F44">
        <w:rPr>
          <w:i/>
          <w:iCs/>
        </w:rPr>
        <w:t>, with major case law developments through May 202</w:t>
      </w:r>
      <w:r>
        <w:rPr>
          <w:i/>
          <w:iCs/>
        </w:rPr>
        <w:t>4</w:t>
      </w:r>
      <w:r w:rsidRPr="00AD2F44">
        <w:rPr>
          <w:i/>
          <w:iCs/>
        </w:rPr>
        <w:t xml:space="preserve"> and regulatory developments through August 202</w:t>
      </w:r>
      <w:r>
        <w:rPr>
          <w:i/>
          <w:iCs/>
        </w:rPr>
        <w:t>4</w:t>
      </w:r>
      <w:r w:rsidRPr="00AD2F44">
        <w:rPr>
          <w:i/>
          <w:iCs/>
        </w:rPr>
        <w:t>.</w:t>
      </w:r>
    </w:p>
    <w:p w14:paraId="53539E02" w14:textId="77777777" w:rsidR="004322B1" w:rsidRPr="00AD2F44" w:rsidRDefault="004322B1">
      <w:pPr>
        <w:autoSpaceDE w:val="0"/>
        <w:autoSpaceDN w:val="0"/>
        <w:adjustRightInd w:val="0"/>
        <w:spacing w:line="260" w:lineRule="atLeast"/>
        <w:jc w:val="center"/>
        <w:textAlignment w:val="center"/>
        <w:rPr>
          <w:i/>
        </w:rPr>
      </w:pPr>
    </w:p>
    <w:p w14:paraId="49E1A48B"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w:t>
      </w:r>
      <w:r w:rsidRPr="00AD2F44">
        <w:tab/>
        <w:t>Overview</w:t>
      </w:r>
    </w:p>
    <w:p w14:paraId="70723EF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II.</w:t>
      </w:r>
      <w:r w:rsidRPr="00AD2F44">
        <w:tab/>
        <w:t>Procedural Requirements of Section 216(b)</w:t>
      </w:r>
    </w:p>
    <w:p w14:paraId="69E654BB"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The Opt-In Versus Opt-Out Requirement</w:t>
      </w:r>
    </w:p>
    <w:p w14:paraId="444D836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The Consent Requirement</w:t>
      </w:r>
    </w:p>
    <w:p w14:paraId="6CB67E0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Scope and Use of Consent Form</w:t>
      </w:r>
    </w:p>
    <w:p w14:paraId="300D9F3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Form of Consent</w:t>
      </w:r>
    </w:p>
    <w:p w14:paraId="15A1141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Impact of Department of Labor Actions for Back Wages on Collective Actions</w:t>
      </w:r>
    </w:p>
    <w:p w14:paraId="5F8D52E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III.</w:t>
      </w:r>
      <w:r w:rsidRPr="00AD2F44">
        <w:tab/>
        <w:t>The Two-Stage Process Used to Determine if a Collective Action May Proceed to Trial</w:t>
      </w:r>
    </w:p>
    <w:p w14:paraId="4BB36FB8"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Overview</w:t>
      </w:r>
    </w:p>
    <w:p w14:paraId="3DD1B7F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1080" w:hanging="1080"/>
      </w:pPr>
      <w:r w:rsidRPr="00AD2F44">
        <w:tab/>
        <w:t>B.</w:t>
      </w:r>
      <w:r w:rsidRPr="00AD2F44">
        <w:tab/>
        <w:t xml:space="preserve">Stage I: Standard for Determining Whether Conditional Certification Should </w:t>
      </w:r>
    </w:p>
    <w:p w14:paraId="318B5B9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1080" w:hanging="1080"/>
      </w:pPr>
      <w:r w:rsidRPr="00AD2F44">
        <w:tab/>
      </w:r>
      <w:r w:rsidRPr="00AD2F44">
        <w:tab/>
        <w:t>Be Granted</w:t>
      </w:r>
    </w:p>
    <w:p w14:paraId="4A44A58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The “Modest Factual Showing” Standard</w:t>
      </w:r>
    </w:p>
    <w:p w14:paraId="468F6D2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1620" w:hanging="1620"/>
      </w:pPr>
      <w:r w:rsidRPr="00AD2F44">
        <w:tab/>
      </w:r>
      <w:r w:rsidRPr="00AD2F44">
        <w:tab/>
        <w:t>2.</w:t>
      </w:r>
      <w:r w:rsidRPr="00AD2F44">
        <w:tab/>
        <w:t>The “Intermediate” or “Heightened” Standard for Conditional Certification</w:t>
      </w:r>
      <w:r w:rsidRPr="00AD2F44">
        <w:br/>
        <w:t>Where Discovery Has Occurred</w:t>
      </w:r>
    </w:p>
    <w:p w14:paraId="075A8E9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Scope of Discovery Prior to Conditional Certification</w:t>
      </w:r>
    </w:p>
    <w:p w14:paraId="381C02A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Cases Denying Discovery</w:t>
      </w:r>
    </w:p>
    <w:p w14:paraId="259EA06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Cases Explicitly Denying Discovery</w:t>
      </w:r>
    </w:p>
    <w:p w14:paraId="517D54A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Cases Granting Notice and Noting No Need to Await Discovery</w:t>
      </w:r>
    </w:p>
    <w:p w14:paraId="5026844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Cases Granting Discovery</w:t>
      </w:r>
    </w:p>
    <w:p w14:paraId="70AE9028"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 xml:space="preserve">Cases Addressing Whether Discovery of Names and Addresses of </w:t>
      </w:r>
      <w:r w:rsidRPr="00AD2F44">
        <w:tab/>
      </w:r>
      <w:r w:rsidRPr="00AD2F44">
        <w:tab/>
      </w:r>
      <w:r w:rsidRPr="00AD2F44">
        <w:tab/>
      </w:r>
      <w:r w:rsidRPr="00AD2F44">
        <w:tab/>
      </w:r>
      <w:r w:rsidRPr="00AD2F44">
        <w:tab/>
      </w:r>
      <w:r w:rsidRPr="00AD2F44">
        <w:tab/>
        <w:t xml:space="preserve">Potential Opt-In Plaintiffs Is Appropriate in Advance of Conditional </w:t>
      </w:r>
      <w:r w:rsidRPr="00AD2F44">
        <w:tab/>
      </w:r>
      <w:r w:rsidRPr="00AD2F44">
        <w:tab/>
      </w:r>
      <w:r w:rsidRPr="00AD2F44">
        <w:tab/>
      </w:r>
      <w:r w:rsidRPr="00AD2F44">
        <w:tab/>
      </w:r>
      <w:r w:rsidRPr="00AD2F44">
        <w:tab/>
        <w:t>Certification</w:t>
      </w:r>
    </w:p>
    <w:p w14:paraId="73DD36F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1440" w:hanging="1440"/>
      </w:pPr>
      <w:r w:rsidRPr="00AD2F44">
        <w:tab/>
      </w:r>
      <w:r w:rsidRPr="00AD2F44">
        <w:tab/>
        <w:t>4.</w:t>
      </w:r>
      <w:r w:rsidRPr="00AD2F44">
        <w:tab/>
        <w:t>Issues Courts Have Considered in Determining Whether to Grant Conditional Certification</w:t>
      </w:r>
    </w:p>
    <w:p w14:paraId="08931D1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Geographical Scope</w:t>
      </w:r>
    </w:p>
    <w:p w14:paraId="0ED0CAF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Variance in Job Duties</w:t>
      </w:r>
    </w:p>
    <w:p w14:paraId="7B0708A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Individualized Allegations or Defenses</w:t>
      </w:r>
    </w:p>
    <w:p w14:paraId="57E3948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Interest in Joining the Action</w:t>
      </w:r>
    </w:p>
    <w:p w14:paraId="50C50EB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e.</w:t>
      </w:r>
      <w:r w:rsidRPr="00AD2F44">
        <w:tab/>
        <w:t>Similar Practices or Policies</w:t>
      </w:r>
    </w:p>
    <w:p w14:paraId="32D2C4B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5.</w:t>
      </w:r>
      <w:r w:rsidRPr="00AD2F44">
        <w:tab/>
        <w:t>Conditional Certification in Specific Types of Cases</w:t>
      </w:r>
    </w:p>
    <w:p w14:paraId="5AD0B34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Misclassification Cases</w:t>
      </w:r>
    </w:p>
    <w:p w14:paraId="137BC4F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Exemption Cases</w:t>
      </w:r>
    </w:p>
    <w:p w14:paraId="0E3F83A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Independent Contractor Cases</w:t>
      </w:r>
    </w:p>
    <w:p w14:paraId="35AA94A8"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Off-the-Clock Cases</w:t>
      </w:r>
    </w:p>
    <w:p w14:paraId="6C15B59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Pre-Shift and Post-Shift Cases</w:t>
      </w:r>
    </w:p>
    <w:p w14:paraId="17E4436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Uncompensated Work During Meal Break Time</w:t>
      </w:r>
    </w:p>
    <w:p w14:paraId="2AFB002B"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Rounding Cases</w:t>
      </w:r>
    </w:p>
    <w:p w14:paraId="7A42301C"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(iv.)</w:t>
      </w:r>
      <w:r w:rsidRPr="00AD2F44">
        <w:tab/>
        <w:t>Time Shaving Cases</w:t>
      </w:r>
    </w:p>
    <w:p w14:paraId="583C8EB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w:t>
      </w:r>
      <w:r w:rsidRPr="00AD2F44">
        <w:tab/>
        <w:t>Travel Time Cases</w:t>
      </w:r>
    </w:p>
    <w:p w14:paraId="263CF08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(vi.)</w:t>
      </w:r>
      <w:r w:rsidRPr="00AD2F44">
        <w:tab/>
        <w:t>Tip Credit Cases</w:t>
      </w:r>
    </w:p>
    <w:p w14:paraId="0AE36AC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(vii.)</w:t>
      </w:r>
      <w:r w:rsidRPr="00AD2F44">
        <w:tab/>
        <w:t>Regular Rate Cases</w:t>
      </w:r>
    </w:p>
    <w:p w14:paraId="5183BC3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6.</w:t>
      </w:r>
      <w:r w:rsidRPr="00AD2F44">
        <w:tab/>
        <w:t>Other Issues That May Be Considered at or Before Stage I</w:t>
      </w:r>
    </w:p>
    <w:p w14:paraId="45D9649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Addressing “Dispositive Issues” Prior to Conditional Certification</w:t>
      </w:r>
    </w:p>
    <w:p w14:paraId="3FF525C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Lack of Personal Jurisdiction</w:t>
      </w:r>
    </w:p>
    <w:p w14:paraId="3AB67E0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Jurisdiction Over Defendant</w:t>
      </w:r>
    </w:p>
    <w:p w14:paraId="060EE59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Jurisdiction Over Defendant as to Claims of Opt-Ins</w:t>
      </w:r>
    </w:p>
    <w:p w14:paraId="048A60B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 xml:space="preserve">The Time Period of Employment </w:t>
      </w:r>
    </w:p>
    <w:p w14:paraId="4BAC3EC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Certification in Cases Involving Multiple Employers</w:t>
      </w:r>
    </w:p>
    <w:p w14:paraId="29F1B91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e.</w:t>
      </w:r>
      <w:r w:rsidRPr="00AD2F44">
        <w:tab/>
        <w:t>Prior Publicity About the Lawsuit</w:t>
      </w:r>
    </w:p>
    <w:p w14:paraId="39560B1C"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7.</w:t>
      </w:r>
      <w:r w:rsidRPr="00AD2F44">
        <w:tab/>
        <w:t>Communication About the Collective Action</w:t>
      </w:r>
    </w:p>
    <w:p w14:paraId="34F4F8A8"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Contact by the Parties</w:t>
      </w:r>
    </w:p>
    <w:p w14:paraId="34F4037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Contact by Plaintiffs and Their Counsel</w:t>
      </w:r>
    </w:p>
    <w:p w14:paraId="1035120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Contact by Defendants and Their Counsel</w:t>
      </w:r>
    </w:p>
    <w:p w14:paraId="5F0108FB"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Court-Facilitated Notice</w:t>
      </w:r>
    </w:p>
    <w:p w14:paraId="45C263B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Notice Content</w:t>
      </w:r>
    </w:p>
    <w:p w14:paraId="4D7952B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Scope of Providing Notice</w:t>
      </w:r>
    </w:p>
    <w:p w14:paraId="4266A5B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Method of Providing Notice and Data Provided by the Defendant</w:t>
      </w:r>
    </w:p>
    <w:p w14:paraId="76EF837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Stage II: The Standard for Deciding Motions to Decertify Collective Actions</w:t>
      </w:r>
    </w:p>
    <w:p w14:paraId="5D944CD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Introduction</w:t>
      </w:r>
    </w:p>
    <w:p w14:paraId="1D54CCD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Disparate Factual and Employment Settings of the Plaintiffs</w:t>
      </w:r>
    </w:p>
    <w:p w14:paraId="5942394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Individualized Defenses</w:t>
      </w:r>
    </w:p>
    <w:p w14:paraId="5C9D34D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4.</w:t>
      </w:r>
      <w:r w:rsidRPr="00AD2F44">
        <w:tab/>
        <w:t>Fairness and Procedural Considerations</w:t>
      </w:r>
    </w:p>
    <w:p w14:paraId="1600C4D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5.</w:t>
      </w:r>
      <w:r w:rsidRPr="00AD2F44">
        <w:tab/>
        <w:t>Decertification Motions in Specific Types of Cases</w:t>
      </w:r>
    </w:p>
    <w:p w14:paraId="368D4B4C"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Misclassification Cases</w:t>
      </w:r>
    </w:p>
    <w:p w14:paraId="658E637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Independent Contractor Cases</w:t>
      </w:r>
    </w:p>
    <w:p w14:paraId="228BE48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Cases Involving FLSA Exemptions</w:t>
      </w:r>
    </w:p>
    <w:p w14:paraId="6BCA6C9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Off-the-Clock Claims</w:t>
      </w:r>
    </w:p>
    <w:p w14:paraId="4FB42E5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Pre-Shift and Post-Shift Cases</w:t>
      </w:r>
    </w:p>
    <w:p w14:paraId="4E6207C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Uncompensated Work During Meal Break Time</w:t>
      </w:r>
    </w:p>
    <w:p w14:paraId="21D1777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Rounding Cases</w:t>
      </w:r>
    </w:p>
    <w:p w14:paraId="7BE215E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(iv.)</w:t>
      </w:r>
      <w:r w:rsidRPr="00AD2F44">
        <w:tab/>
        <w:t>Time Shaving Cases</w:t>
      </w:r>
    </w:p>
    <w:p w14:paraId="2B7040A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(v.)</w:t>
      </w:r>
      <w:r w:rsidRPr="00AD2F44">
        <w:tab/>
        <w:t>Travel Time Cases</w:t>
      </w:r>
    </w:p>
    <w:p w14:paraId="0C6CFD7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Tip Credit Cases</w:t>
      </w:r>
    </w:p>
    <w:p w14:paraId="4C43A96C"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Regular Rate Cases</w:t>
      </w:r>
    </w:p>
    <w:p w14:paraId="5AC7781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IV.</w:t>
      </w:r>
      <w:r w:rsidRPr="00AD2F44">
        <w:tab/>
        <w:t>Treatment of Opt-Ins Following Denial of Notice or Grant of Decertification</w:t>
      </w:r>
    </w:p>
    <w:p w14:paraId="3157CF3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Intervention</w:t>
      </w:r>
    </w:p>
    <w:p w14:paraId="10B66E2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Joinder</w:t>
      </w:r>
    </w:p>
    <w:p w14:paraId="41AC352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w:t>
      </w:r>
      <w:r w:rsidRPr="00AD2F44">
        <w:tab/>
        <w:t>Case Management Issues</w:t>
      </w:r>
    </w:p>
    <w:p w14:paraId="067F8CA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Scope of Discovery From Opt-In Plaintiffs</w:t>
      </w:r>
    </w:p>
    <w:p w14:paraId="6643D60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Bifurcation of Liability and Damages</w:t>
      </w:r>
    </w:p>
    <w:p w14:paraId="5377CCCC"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Test Plaintiffs</w:t>
      </w:r>
    </w:p>
    <w:p w14:paraId="35F895A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VI.</w:t>
      </w:r>
      <w:r w:rsidRPr="00AD2F44">
        <w:tab/>
        <w:t>Management of Multiple Collective Actions</w:t>
      </w:r>
    </w:p>
    <w:p w14:paraId="1C924F4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Multidistrict Transfer Under Section 1407</w:t>
      </w:r>
    </w:p>
    <w:p w14:paraId="33F863A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Alternatives to Section 1407 Transfer</w:t>
      </w:r>
    </w:p>
    <w:p w14:paraId="5B14107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The Section 1407 “Common Issues” Standard Versus the “Similarly Situated” Standard</w:t>
      </w:r>
    </w:p>
    <w:p w14:paraId="2BC8059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D.</w:t>
      </w:r>
      <w:r w:rsidRPr="00AD2F44">
        <w:tab/>
        <w:t>Notice and Opting In/Out of a Multidistrict Litigation Case</w:t>
      </w:r>
    </w:p>
    <w:p w14:paraId="338C18D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E.</w:t>
      </w:r>
      <w:r w:rsidRPr="00AD2F44">
        <w:tab/>
        <w:t>The First-to-File Rule</w:t>
      </w:r>
    </w:p>
    <w:p w14:paraId="20A21B3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F.</w:t>
      </w:r>
      <w:r w:rsidRPr="00AD2F44">
        <w:tab/>
        <w:t>Stays and Injunctions</w:t>
      </w:r>
    </w:p>
    <w:p w14:paraId="05FBEE4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VII.</w:t>
      </w:r>
      <w:r w:rsidRPr="00AD2F44">
        <w:tab/>
        <w:t>Pretrial Disposition of Cases</w:t>
      </w:r>
    </w:p>
    <w:p w14:paraId="2CF0914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Offers of Judgment in Collective and Class Actions</w:t>
      </w:r>
    </w:p>
    <w:p w14:paraId="2401295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r>
      <w:r w:rsidRPr="00AD2F44">
        <w:rPr>
          <w:i/>
          <w:iCs/>
        </w:rPr>
        <w:t xml:space="preserve">Genesis Healthcare Corp. v. </w:t>
      </w:r>
      <w:proofErr w:type="spellStart"/>
      <w:r w:rsidRPr="00AD2F44">
        <w:rPr>
          <w:i/>
          <w:iCs/>
        </w:rPr>
        <w:t>Symczyk</w:t>
      </w:r>
      <w:proofErr w:type="spellEnd"/>
    </w:p>
    <w:p w14:paraId="5B9B56A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r>
      <w:r w:rsidRPr="00AD2F44">
        <w:rPr>
          <w:i/>
          <w:iCs/>
        </w:rPr>
        <w:t>Campbell-Ewald v. Gomez</w:t>
      </w:r>
    </w:p>
    <w:p w14:paraId="7157338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Rule 68 Offers in Hybrid Class/Collective Actions</w:t>
      </w:r>
    </w:p>
    <w:p w14:paraId="3960C87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Issue Preclusion in Multiple Collective Actions</w:t>
      </w:r>
    </w:p>
    <w:p w14:paraId="50F751F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VIII.</w:t>
      </w:r>
      <w:r w:rsidRPr="00AD2F44">
        <w:tab/>
        <w:t>Trial</w:t>
      </w:r>
    </w:p>
    <w:p w14:paraId="3B10A80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Representative Testimony and Evidence</w:t>
      </w:r>
    </w:p>
    <w:p w14:paraId="090A137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Use of Expert Witnesses</w:t>
      </w:r>
    </w:p>
    <w:p w14:paraId="6298B12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Damages</w:t>
      </w:r>
    </w:p>
    <w:p w14:paraId="16D16D4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Former Department of Labor Officials</w:t>
      </w:r>
    </w:p>
    <w:p w14:paraId="7B5B030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3.</w:t>
      </w:r>
      <w:r w:rsidRPr="00AD2F44">
        <w:tab/>
        <w:t>Surveys</w:t>
      </w:r>
    </w:p>
    <w:p w14:paraId="6D901E7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4.</w:t>
      </w:r>
      <w:r w:rsidRPr="00AD2F44">
        <w:tab/>
        <w:t>Time Studies</w:t>
      </w:r>
    </w:p>
    <w:p w14:paraId="4CEEF130"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Order and Presentation of Proof</w:t>
      </w:r>
    </w:p>
    <w:p w14:paraId="05A78C7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IX.</w:t>
      </w:r>
      <w:r w:rsidRPr="00AD2F44">
        <w:tab/>
        <w:t>Appellate Issues for Collective Actions</w:t>
      </w:r>
    </w:p>
    <w:p w14:paraId="07C381E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X.</w:t>
      </w:r>
      <w:r w:rsidRPr="00AD2F44">
        <w:tab/>
        <w:t>The Collective Action Mechanism in Arbitration</w:t>
      </w:r>
    </w:p>
    <w:p w14:paraId="725B2CE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Arbitration Agreements Expressly Prohibiting Class and Collective Arbitration</w:t>
      </w:r>
    </w:p>
    <w:p w14:paraId="2ED62CF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Arbitration Agreements Without an Express Class/Collective Waiver</w:t>
      </w:r>
    </w:p>
    <w:p w14:paraId="6987458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1080" w:hanging="1080"/>
      </w:pPr>
      <w:r w:rsidRPr="00AD2F44">
        <w:tab/>
        <w:t>C.</w:t>
      </w:r>
      <w:r w:rsidRPr="00AD2F44">
        <w:tab/>
        <w:t>Determining Whether an Arbitration Agreement Permits Class or Collective Arbitration</w:t>
      </w:r>
    </w:p>
    <w:p w14:paraId="05828743"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D.</w:t>
      </w:r>
      <w:r w:rsidRPr="00AD2F44">
        <w:tab/>
        <w:t>Procedural Rules for Arbitrating FLSA Class and Collective Actions</w:t>
      </w:r>
    </w:p>
    <w:p w14:paraId="7B8BD28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E.</w:t>
      </w:r>
      <w:r w:rsidRPr="00AD2F44">
        <w:tab/>
        <w:t xml:space="preserve">Conditional Certification When Putative Class Members May Be Subject to </w:t>
      </w:r>
      <w:r w:rsidRPr="00AD2F44">
        <w:br/>
        <w:t>Arbitration Agreements</w:t>
      </w:r>
    </w:p>
    <w:p w14:paraId="3E197AC9"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XI.</w:t>
      </w:r>
      <w:r w:rsidRPr="00AD2F44">
        <w:tab/>
        <w:t>Hybrid FLSA/State Law Class Actions</w:t>
      </w:r>
    </w:p>
    <w:p w14:paraId="72884BC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A.</w:t>
      </w:r>
      <w:r w:rsidRPr="00AD2F44">
        <w:tab/>
        <w:t>Introduction</w:t>
      </w:r>
    </w:p>
    <w:p w14:paraId="71CF2A0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B.</w:t>
      </w:r>
      <w:r w:rsidRPr="00AD2F44">
        <w:tab/>
        <w:t>Why Hybrid Actions?</w:t>
      </w:r>
    </w:p>
    <w:p w14:paraId="338CB672"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C.</w:t>
      </w:r>
      <w:r w:rsidRPr="00AD2F44">
        <w:tab/>
        <w:t>Legal Challenges to Hybrid Actions</w:t>
      </w:r>
    </w:p>
    <w:p w14:paraId="3840142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“Incompatibility”</w:t>
      </w:r>
    </w:p>
    <w:p w14:paraId="0D51BC6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Rules Enabling Act</w:t>
      </w:r>
    </w:p>
    <w:p w14:paraId="13B4FFD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D.</w:t>
      </w:r>
      <w:r w:rsidRPr="00AD2F44">
        <w:tab/>
        <w:t>Federal Jurisdiction Over State Law Claims in Hybrid Actions</w:t>
      </w:r>
    </w:p>
    <w:p w14:paraId="21C8188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Diversity Jurisdiction Under the Class Action Fairness Act</w:t>
      </w:r>
    </w:p>
    <w:p w14:paraId="1461ADB7"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Supplemental Jurisdiction Under 28 U.S.C. §1367</w:t>
      </w:r>
    </w:p>
    <w:p w14:paraId="0252019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The Supplemental Jurisdiction Statute</w:t>
      </w:r>
    </w:p>
    <w:p w14:paraId="1F1331C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b.</w:t>
      </w:r>
      <w:r w:rsidRPr="00AD2F44">
        <w:tab/>
        <w:t>Whether Supplemental Jurisdiction Is Authorized</w:t>
      </w:r>
    </w:p>
    <w:p w14:paraId="3E6A77AB"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No Federal Statute “Expressly” Precludes Jurisdiction</w:t>
      </w:r>
    </w:p>
    <w:p w14:paraId="157D9EB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2700" w:hanging="2700"/>
      </w:pPr>
      <w:r w:rsidRPr="00AD2F44">
        <w:tab/>
      </w:r>
      <w:r w:rsidRPr="00AD2F44">
        <w:tab/>
      </w:r>
      <w:r w:rsidRPr="00AD2F44">
        <w:tab/>
      </w:r>
      <w:r w:rsidRPr="00AD2F44">
        <w:tab/>
        <w:t>(ii.)</w:t>
      </w:r>
      <w:r w:rsidRPr="00AD2F44">
        <w:tab/>
        <w:t xml:space="preserve">Whether the State Law Claims Are So Related to the FLSA </w:t>
      </w:r>
      <w:r w:rsidRPr="00AD2F44">
        <w:br/>
        <w:t>Claims That They Form Part of the “Same Case or Controversy”</w:t>
      </w:r>
    </w:p>
    <w:p w14:paraId="0F3E5974"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2700" w:hanging="2700"/>
      </w:pPr>
      <w:r w:rsidRPr="00AD2F44">
        <w:tab/>
      </w:r>
      <w:r w:rsidRPr="00AD2F44">
        <w:tab/>
      </w:r>
      <w:r w:rsidRPr="00AD2F44">
        <w:tab/>
      </w:r>
      <w:r w:rsidRPr="00AD2F44">
        <w:tab/>
        <w:t>(iii.)</w:t>
      </w:r>
      <w:r w:rsidRPr="00AD2F44">
        <w:tab/>
        <w:t xml:space="preserve">Whether Supplemental Jurisdiction Extends to </w:t>
      </w:r>
      <w:r w:rsidRPr="00AD2F44">
        <w:br/>
        <w:t xml:space="preserve">Individuals Who Do Not </w:t>
      </w:r>
      <w:proofErr w:type="spellStart"/>
      <w:r w:rsidRPr="00AD2F44">
        <w:t>Opt</w:t>
      </w:r>
      <w:proofErr w:type="spellEnd"/>
      <w:r w:rsidRPr="00AD2F44">
        <w:t xml:space="preserve"> In to the FLSA Action</w:t>
      </w:r>
    </w:p>
    <w:p w14:paraId="65FA667E"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Whether the Court Should Decline to Exercise Supplemental Jurisdiction</w:t>
      </w:r>
    </w:p>
    <w:p w14:paraId="523AE82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w:t>
      </w:r>
      <w:proofErr w:type="spellStart"/>
      <w:r w:rsidRPr="00AD2F44">
        <w:t>i</w:t>
      </w:r>
      <w:proofErr w:type="spellEnd"/>
      <w:r w:rsidRPr="00AD2F44">
        <w:t>.)</w:t>
      </w:r>
      <w:r w:rsidRPr="00AD2F44">
        <w:tab/>
        <w:t>Novel or Complex Issues of State Law</w:t>
      </w:r>
    </w:p>
    <w:p w14:paraId="38EA28F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w:t>
      </w:r>
      <w:r w:rsidRPr="00AD2F44">
        <w:tab/>
        <w:t>Substantial Predominance of State Law Claims</w:t>
      </w:r>
    </w:p>
    <w:p w14:paraId="0A31858A"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(iii.)</w:t>
      </w:r>
      <w:r w:rsidRPr="00AD2F44">
        <w:tab/>
        <w:t xml:space="preserve">Dismissal of the FLSA Claims </w:t>
      </w:r>
    </w:p>
    <w:p w14:paraId="28DCA666"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r>
      <w:r w:rsidRPr="00AD2F44">
        <w:tab/>
        <w:t>(iv.)</w:t>
      </w:r>
      <w:r w:rsidRPr="00AD2F44">
        <w:tab/>
        <w:t>“Exceptional Circumstances”/“Compelling Reasons”</w:t>
      </w:r>
    </w:p>
    <w:p w14:paraId="33E8516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E.</w:t>
      </w:r>
      <w:r w:rsidRPr="00AD2F44">
        <w:tab/>
        <w:t>Standing to Prosecute the State Law Claims in Hybrid Actions</w:t>
      </w:r>
    </w:p>
    <w:p w14:paraId="7288892D"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t>F.</w:t>
      </w:r>
      <w:r w:rsidRPr="00AD2F44">
        <w:tab/>
        <w:t>Rule 23 Class Certification in Hybrid Actions</w:t>
      </w:r>
    </w:p>
    <w:p w14:paraId="7B038798"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1.</w:t>
      </w:r>
      <w:r w:rsidRPr="00AD2F44">
        <w:tab/>
        <w:t xml:space="preserve">Numerosity/Impracticability of Joinder </w:t>
      </w:r>
    </w:p>
    <w:p w14:paraId="5175C2FC"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t>2.</w:t>
      </w:r>
      <w:r w:rsidRPr="00AD2F44">
        <w:tab/>
        <w:t>Superiority</w:t>
      </w:r>
    </w:p>
    <w:p w14:paraId="2DC625A0"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a.</w:t>
      </w:r>
      <w:r w:rsidRPr="00AD2F44">
        <w:tab/>
        <w:t>Availability of an Opt-In Action for the FLSA Claims</w:t>
      </w:r>
    </w:p>
    <w:p w14:paraId="259E2A11"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ind w:left="2160" w:hanging="2160"/>
      </w:pPr>
      <w:r w:rsidRPr="00AD2F44">
        <w:tab/>
      </w:r>
      <w:r w:rsidRPr="00AD2F44">
        <w:tab/>
      </w:r>
      <w:r w:rsidRPr="00AD2F44">
        <w:tab/>
        <w:t>b.</w:t>
      </w:r>
      <w:r w:rsidRPr="00AD2F44">
        <w:tab/>
        <w:t>Considerations Relating to Supplemental Jurisdiction and Congressional Intent</w:t>
      </w:r>
    </w:p>
    <w:p w14:paraId="3FC097D5"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c.</w:t>
      </w:r>
      <w:r w:rsidRPr="00AD2F44">
        <w:tab/>
        <w:t>Class Member Confusion</w:t>
      </w:r>
    </w:p>
    <w:p w14:paraId="5A8D8F0F" w14:textId="77777777" w:rsidR="004322B1" w:rsidRPr="00AD2F44" w:rsidRDefault="004322B1">
      <w:pPr>
        <w:pStyle w:val="03TableofContents"/>
        <w:tabs>
          <w:tab w:val="left" w:pos="540"/>
          <w:tab w:val="left" w:pos="1080"/>
          <w:tab w:val="left" w:pos="1620"/>
          <w:tab w:val="left" w:pos="2160"/>
          <w:tab w:val="left" w:pos="2700"/>
          <w:tab w:val="left" w:pos="3240"/>
          <w:tab w:val="left" w:pos="3780"/>
          <w:tab w:val="left" w:pos="4320"/>
          <w:tab w:val="left" w:pos="4860"/>
        </w:tabs>
      </w:pPr>
      <w:r w:rsidRPr="00AD2F44">
        <w:tab/>
      </w:r>
      <w:r w:rsidRPr="00AD2F44">
        <w:tab/>
      </w:r>
      <w:r w:rsidRPr="00AD2F44">
        <w:tab/>
        <w:t>d.</w:t>
      </w:r>
      <w:r w:rsidRPr="00AD2F44">
        <w:tab/>
        <w:t>Manageability</w:t>
      </w:r>
    </w:p>
    <w:p w14:paraId="03B613A3" w14:textId="77777777" w:rsidR="004322B1" w:rsidRPr="00AD2F44" w:rsidRDefault="004322B1">
      <w:pPr>
        <w:autoSpaceDE w:val="0"/>
        <w:autoSpaceDN w:val="0"/>
        <w:adjustRightInd w:val="0"/>
        <w:spacing w:line="260" w:lineRule="atLeast"/>
        <w:jc w:val="center"/>
        <w:textAlignment w:val="center"/>
        <w:rPr>
          <w:i/>
          <w:iCs/>
          <w:color w:val="000000"/>
        </w:rPr>
      </w:pPr>
    </w:p>
    <w:p w14:paraId="7B1BF7E1" w14:textId="77777777" w:rsidR="004322B1" w:rsidRPr="00AD2F44" w:rsidRDefault="004322B1">
      <w:pPr>
        <w:pStyle w:val="04First-LevelHeadIIIIII"/>
      </w:pPr>
      <w:r w:rsidRPr="00AD2F44">
        <w:t>I.</w:t>
      </w:r>
      <w:r w:rsidRPr="00AD2F44">
        <w:t> </w:t>
      </w:r>
      <w:r w:rsidRPr="00AD2F44">
        <w:t>Overview</w:t>
      </w:r>
    </w:p>
    <w:p w14:paraId="7B015E42" w14:textId="77777777" w:rsidR="004322B1" w:rsidRPr="00AD2F44" w:rsidRDefault="004322B1">
      <w:pPr>
        <w:pStyle w:val="10ATextWithIndent"/>
        <w:rPr>
          <w:vertAlign w:val="superscript"/>
        </w:rPr>
      </w:pPr>
      <w:r w:rsidRPr="00AD2F44">
        <w:t>The Fair Labor Standards Act (FLSA) initially allowed “employees and their ‘representatives’ the right to bring actions to recover amounts due under the FLSA.”</w:t>
      </w:r>
      <w:r>
        <w:rPr>
          <w:vertAlign w:val="superscript"/>
        </w:rPr>
        <w:footnoteReference w:id="1"/>
      </w:r>
      <w:r w:rsidRPr="00AD2F44">
        <w:t xml:space="preserve"> Third parties, such as labor unions, were allowed to file such representative actions, and there was no requirement that a plaintiff file a written consent to join a case.</w:t>
      </w:r>
      <w:r>
        <w:rPr>
          <w:vertAlign w:val="superscript"/>
        </w:rPr>
        <w:footnoteReference w:id="2"/>
      </w:r>
    </w:p>
    <w:p w14:paraId="7E89FCFD" w14:textId="77777777" w:rsidR="004322B1" w:rsidRPr="00AD2F44" w:rsidRDefault="004322B1">
      <w:pPr>
        <w:pStyle w:val="10ATextWithIndent"/>
        <w:rPr>
          <w:vertAlign w:val="superscript"/>
        </w:rPr>
      </w:pPr>
      <w:r w:rsidRPr="00AD2F44">
        <w:t>In 1947, purportedly in response to “excessive litigation spawned by plaintiffs lacking a personal interest in the outcome,”</w:t>
      </w:r>
      <w:r>
        <w:rPr>
          <w:vertAlign w:val="superscript"/>
        </w:rPr>
        <w:footnoteReference w:id="3"/>
      </w:r>
      <w:r w:rsidRPr="00AD2F44">
        <w:t xml:space="preserve"> Congress passed the Portal-to-Portal Act,</w:t>
      </w:r>
      <w:r>
        <w:rPr>
          <w:vertAlign w:val="superscript"/>
        </w:rPr>
        <w:footnoteReference w:id="4"/>
      </w:r>
      <w:r w:rsidRPr="00AD2F44">
        <w:t xml:space="preserve"> which banned the designation by employees of a representative to maintain an action on behalf of all employees similarly situated and instituted a requirement that an employee file a written consent (“opt in”) to join an FLSA action.</w:t>
      </w:r>
      <w:r>
        <w:rPr>
          <w:vertAlign w:val="superscript"/>
        </w:rPr>
        <w:footnoteReference w:id="5"/>
      </w:r>
      <w:r w:rsidRPr="00AD2F44">
        <w:t xml:space="preserve"> This amendment of the FLSA was “for the purpose of limiting private FLSA plaintiffs to employees who asserted claims in their own right.”</w:t>
      </w:r>
      <w:r>
        <w:rPr>
          <w:vertAlign w:val="superscript"/>
        </w:rPr>
        <w:footnoteReference w:id="6"/>
      </w:r>
      <w:r w:rsidRPr="00AD2F44">
        <w:t xml:space="preserve"> “Congress left intact the ‘similarly situated’ language providing for collective actions.”</w:t>
      </w:r>
      <w:r>
        <w:rPr>
          <w:vertAlign w:val="superscript"/>
        </w:rPr>
        <w:footnoteReference w:id="7"/>
      </w:r>
    </w:p>
    <w:p w14:paraId="0EBB6F39" w14:textId="77777777" w:rsidR="004322B1" w:rsidRPr="00AD2F44" w:rsidRDefault="004322B1">
      <w:pPr>
        <w:pStyle w:val="10ATextWithIndent"/>
      </w:pPr>
      <w:r w:rsidRPr="00AD2F44">
        <w:t>Since 1947, the collective action procedure provided by Section 216(b) of the FLSA has been the exclusive procedural mechanism available to private plaintiffs to prosecute violations of the FLSA on a collective basis.</w:t>
      </w:r>
      <w:r>
        <w:rPr>
          <w:vertAlign w:val="superscript"/>
        </w:rPr>
        <w:footnoteReference w:id="8"/>
      </w:r>
      <w:r w:rsidRPr="00AD2F44">
        <w:t xml:space="preserve"> Section 216(b) provides in part:</w:t>
      </w:r>
    </w:p>
    <w:p w14:paraId="47A6942E" w14:textId="77777777" w:rsidR="004322B1" w:rsidRPr="00AD2F44" w:rsidRDefault="004322B1">
      <w:pPr>
        <w:pStyle w:val="09BBlockQuoteWithoutIndent"/>
        <w:rPr>
          <w:vertAlign w:val="superscript"/>
        </w:rPr>
      </w:pPr>
      <w:r w:rsidRPr="00AD2F44">
        <w:t>An action to recover the liability prescribed in [this section] may be maintained against any employer (including a public agency) in any Federal or State court of competent jurisdiction by any one or more employees for and in behalf of himself or themselves and other employees similarly situated. No employee shall be a party plaintiff to any such action unless he gives his consent in writing to become such a party and such consent is filed in the court in which such action is brought.</w:t>
      </w:r>
      <w:r>
        <w:rPr>
          <w:vertAlign w:val="superscript"/>
        </w:rPr>
        <w:footnoteReference w:id="9"/>
      </w:r>
    </w:p>
    <w:p w14:paraId="5C8F8492" w14:textId="77777777" w:rsidR="004322B1" w:rsidRPr="00AD2F44" w:rsidRDefault="004322B1">
      <w:pPr>
        <w:pStyle w:val="10ATextWithIndent"/>
      </w:pPr>
      <w:r w:rsidRPr="00AD2F44">
        <w:t xml:space="preserve">In 1989, in the landmark case, </w:t>
      </w:r>
      <w:r w:rsidRPr="00AD2F44">
        <w:rPr>
          <w:i/>
          <w:iCs/>
        </w:rPr>
        <w:t>Hoffmann-La Roche v. Sperling</w:t>
      </w:r>
      <w:r w:rsidRPr="00AD2F44">
        <w:t>,</w:t>
      </w:r>
      <w:r>
        <w:rPr>
          <w:vertAlign w:val="superscript"/>
        </w:rPr>
        <w:footnoteReference w:id="10"/>
      </w:r>
      <w:r w:rsidRPr="00AD2F44">
        <w:t xml:space="preserve"> the U.S. Supreme Court addressed the collective action process and confirmed courts’ authority to facilitate notice to potential opt-in plaintiffs under Section 216(b). The Court explained that Congress had expressly authorized collective actions and stated its policy that persons with similar claims “should have the opportunity to proceed collectively.”</w:t>
      </w:r>
      <w:r>
        <w:rPr>
          <w:vertAlign w:val="superscript"/>
        </w:rPr>
        <w:footnoteReference w:id="11"/>
      </w:r>
      <w:r w:rsidRPr="00AD2F44">
        <w:t xml:space="preserve"> According to the Court, collective actions offer a number of benefits to both class members and the court system:</w:t>
      </w:r>
    </w:p>
    <w:p w14:paraId="08DDC968" w14:textId="77777777" w:rsidR="004322B1" w:rsidRPr="00AD2F44" w:rsidRDefault="004322B1">
      <w:pPr>
        <w:pStyle w:val="09BBlockQuoteWithoutIndent"/>
        <w:rPr>
          <w:vertAlign w:val="superscript"/>
        </w:rPr>
      </w:pPr>
      <w:r w:rsidRPr="00AD2F44">
        <w:t>A collective action allows … the advantage of lower individual costs to vindicate rights by the pooling of resources. The judicial system benefits by efficient resolution in one proceeding of common issues of law and fact arising from the same alleged [unlawful] activity.</w:t>
      </w:r>
      <w:r>
        <w:rPr>
          <w:vertAlign w:val="superscript"/>
        </w:rPr>
        <w:footnoteReference w:id="12"/>
      </w:r>
    </w:p>
    <w:p w14:paraId="3F8451A1" w14:textId="77777777" w:rsidR="004322B1" w:rsidRPr="00AD2F44" w:rsidRDefault="004322B1">
      <w:pPr>
        <w:pStyle w:val="10ATextWithIndent"/>
        <w:rPr>
          <w:vertAlign w:val="superscript"/>
        </w:rPr>
      </w:pPr>
      <w:r w:rsidRPr="00AD2F44">
        <w:t xml:space="preserve">In concluding that the district court’s facilitation of notice was proper, the </w:t>
      </w:r>
      <w:r w:rsidRPr="00AD2F44">
        <w:rPr>
          <w:i/>
        </w:rPr>
        <w:t>Hoffmann-La Roche</w:t>
      </w:r>
      <w:r w:rsidRPr="00AD2F44">
        <w:t xml:space="preserve"> Court emphasized that the benefits to the judicial system of a collective action “depend on employees receiving accurate and timely notice concerning the pendency of the collective action, so that they can make informed decisions about whether to participate.”</w:t>
      </w:r>
      <w:r>
        <w:rPr>
          <w:vertAlign w:val="superscript"/>
        </w:rPr>
        <w:footnoteReference w:id="13"/>
      </w:r>
      <w:r w:rsidRPr="00AD2F44">
        <w:t xml:space="preserve"> The Court held that in order to obtain the benefits of a collective action sought by Congress, a district court has “a managerial responsibility” to oversee the FLSA opt-in process “to assure that the task is accomplished in an efficient and proper way.”</w:t>
      </w:r>
      <w:r>
        <w:rPr>
          <w:vertAlign w:val="superscript"/>
        </w:rPr>
        <w:footnoteReference w:id="14"/>
      </w:r>
    </w:p>
    <w:p w14:paraId="523C65D4" w14:textId="77777777" w:rsidR="004322B1" w:rsidRPr="00AD2F44" w:rsidRDefault="004322B1">
      <w:pPr>
        <w:pStyle w:val="10ATextWithIndent"/>
      </w:pPr>
      <w:r w:rsidRPr="00AD2F44">
        <w:t>This chapter sets forth the requirements for bringing a collective action under Section 216(b), as well as a discussion of the many issues practitioners face when bringing or defending against a collective action.</w:t>
      </w:r>
      <w:r>
        <w:rPr>
          <w:vertAlign w:val="superscript"/>
        </w:rPr>
        <w:footnoteReference w:id="15"/>
      </w:r>
      <w:r w:rsidRPr="00AD2F44">
        <w:t xml:space="preserve"> Focusing on the different types of FLSA claims that have been brought as collective actions, it also discusses the standards courts have adopted for determining whether conditional certification should be granted and notice provided to potential opt-in plaintiffs.</w:t>
      </w:r>
      <w:r>
        <w:rPr>
          <w:vertAlign w:val="superscript"/>
        </w:rPr>
        <w:footnoteReference w:id="16"/>
      </w:r>
      <w:r w:rsidRPr="00AD2F44">
        <w:t xml:space="preserve"> The chapter includes a discussion of the issues surrounding court-ordered notice to collective action members,</w:t>
      </w:r>
      <w:r>
        <w:rPr>
          <w:vertAlign w:val="superscript"/>
        </w:rPr>
        <w:footnoteReference w:id="17"/>
      </w:r>
      <w:r w:rsidRPr="00AD2F44">
        <w:t xml:space="preserve"> as well as issues related to management of one or more collective actions.</w:t>
      </w:r>
      <w:r>
        <w:rPr>
          <w:vertAlign w:val="superscript"/>
        </w:rPr>
        <w:footnoteReference w:id="18"/>
      </w:r>
      <w:r w:rsidRPr="00AD2F44">
        <w:t xml:space="preserve"> It provides insight into not only the fundamentals of collective action practice, but also the problems practitioners may confront with respect to intervention under Rule 24 of the Federal Rules of Civil Procedure, trial practice, and appellate issues.</w:t>
      </w:r>
      <w:r>
        <w:rPr>
          <w:vertAlign w:val="superscript"/>
        </w:rPr>
        <w:footnoteReference w:id="19"/>
      </w:r>
      <w:r w:rsidRPr="00AD2F44">
        <w:t xml:space="preserve"> Further, the chapter addresses unique issues arising in collective actions in arbitration.</w:t>
      </w:r>
      <w:r>
        <w:rPr>
          <w:vertAlign w:val="superscript"/>
        </w:rPr>
        <w:footnoteReference w:id="20"/>
      </w:r>
      <w:r w:rsidRPr="00AD2F44">
        <w:t xml:space="preserve"> Finally, the chapter addresses distinct aspects of hybrid FLSA/state law class actions.</w:t>
      </w:r>
      <w:r>
        <w:rPr>
          <w:vertAlign w:val="superscript"/>
        </w:rPr>
        <w:footnoteReference w:id="21"/>
      </w:r>
    </w:p>
    <w:p w14:paraId="721B55C5" w14:textId="77777777" w:rsidR="004322B1" w:rsidRPr="00AD2F44" w:rsidRDefault="004322B1">
      <w:pPr>
        <w:pStyle w:val="04First-LevelHeadIIIIII"/>
      </w:pPr>
      <w:r w:rsidRPr="00AD2F44">
        <w:t>II.</w:t>
      </w:r>
      <w:r w:rsidRPr="00AD2F44">
        <w:t> </w:t>
      </w:r>
      <w:r w:rsidRPr="00AD2F44">
        <w:t>Procedural Requirements of Section 216(b)</w:t>
      </w:r>
    </w:p>
    <w:p w14:paraId="1DB66C04" w14:textId="77777777" w:rsidR="004322B1" w:rsidRPr="00AD2F44" w:rsidRDefault="004322B1">
      <w:pPr>
        <w:pStyle w:val="05Second-LevelHeadABC"/>
      </w:pPr>
      <w:r w:rsidRPr="00AD2F44">
        <w:t>A.</w:t>
      </w:r>
      <w:r w:rsidRPr="00AD2F44">
        <w:tab/>
        <w:t>The Opt-In Versus Opt-Out Requirement</w:t>
      </w:r>
    </w:p>
    <w:p w14:paraId="7A5A9C42" w14:textId="77777777" w:rsidR="004322B1" w:rsidRPr="00AD2F44" w:rsidRDefault="004322B1">
      <w:pPr>
        <w:pStyle w:val="10ATextWithIndent"/>
      </w:pPr>
      <w:r w:rsidRPr="00AD2F44">
        <w:t>The FLSA contains its own procedural requirements for the litigation of claims of multiple plaintiffs. Section 216(b) of the FLSA provides in part:</w:t>
      </w:r>
    </w:p>
    <w:p w14:paraId="012982C5" w14:textId="77777777" w:rsidR="004322B1" w:rsidRPr="00AD2F44" w:rsidRDefault="004322B1">
      <w:pPr>
        <w:pStyle w:val="09BBlockQuoteWithoutIndent"/>
        <w:rPr>
          <w:vertAlign w:val="superscript"/>
        </w:rPr>
      </w:pPr>
      <w:r w:rsidRPr="00AD2F44">
        <w:t>An action to recover the liability prescribed in [this section] may be maintained against any employer (including a public agency) in any Federal or State court of competent jurisdiction by any one or more employees for and in behalf of himself or themselves and other employees similarly situated. No employee shall be a party plaintiff to any such action unless he gives his consent in writing to become such a party and such consent is filed in the court in which such action is brought.</w:t>
      </w:r>
      <w:r>
        <w:rPr>
          <w:vertAlign w:val="superscript"/>
        </w:rPr>
        <w:footnoteReference w:id="22"/>
      </w:r>
    </w:p>
    <w:p w14:paraId="308A7D89" w14:textId="77777777" w:rsidR="004322B1" w:rsidRPr="00AD2F44" w:rsidRDefault="004322B1">
      <w:pPr>
        <w:pStyle w:val="10ATextWithIndent"/>
        <w:rPr>
          <w:vertAlign w:val="superscript"/>
        </w:rPr>
      </w:pPr>
      <w:r w:rsidRPr="00AD2F44">
        <w:t>The opt-in provision of Section 216(b) thus provides that no person can become a party plaintiff unless that person consents in writing to become a plaintiff and that consent is filed with the court.</w:t>
      </w:r>
      <w:r>
        <w:rPr>
          <w:vertAlign w:val="superscript"/>
        </w:rPr>
        <w:footnoteReference w:id="23"/>
      </w:r>
      <w:r w:rsidRPr="00AD2F44">
        <w:t xml:space="preserve"> Accordingly, in a Section 216(b) collective action, no person is bound by or can benefit from the judgment unless that person has affirmatively “opted into” the case by filing a written consent with the court.</w:t>
      </w:r>
      <w:r>
        <w:rPr>
          <w:vertAlign w:val="superscript"/>
        </w:rPr>
        <w:footnoteReference w:id="24"/>
      </w:r>
    </w:p>
    <w:p w14:paraId="4BFEAC90" w14:textId="77777777" w:rsidR="004322B1" w:rsidRPr="00AD2F44" w:rsidRDefault="004322B1">
      <w:pPr>
        <w:pStyle w:val="10ATextWithIndent"/>
        <w:rPr>
          <w:vertAlign w:val="superscript"/>
        </w:rPr>
      </w:pPr>
      <w:r w:rsidRPr="00AD2F44">
        <w:t>This “opt in” requirement differs from the requirements under Rule 23 of the Federal Rules of Civil Procedure. For example, under Rule 23(b)(3), each person within the class definition of a certified class is considered to be a class member unless that person “opts out” of the lawsuit. No consent is required; instead, the putative class member has a right to be notified of the class action and to opt out of it and seek his or her own remedies.</w:t>
      </w:r>
      <w:r>
        <w:rPr>
          <w:vertAlign w:val="superscript"/>
        </w:rPr>
        <w:footnoteReference w:id="25"/>
      </w:r>
      <w:r w:rsidRPr="00AD2F44">
        <w:t xml:space="preserve"> A class member who does not “opt out” of a Rule 23(b)(3) action will be bound by the judgment, whether favorable or unfavorable.</w:t>
      </w:r>
      <w:r>
        <w:rPr>
          <w:vertAlign w:val="superscript"/>
        </w:rPr>
        <w:footnoteReference w:id="26"/>
      </w:r>
    </w:p>
    <w:p w14:paraId="042EF3B5" w14:textId="77777777" w:rsidR="004322B1" w:rsidRPr="00AD2F44" w:rsidRDefault="004322B1">
      <w:pPr>
        <w:pStyle w:val="05Second-LevelHeadABC"/>
      </w:pPr>
      <w:r w:rsidRPr="00AD2F44">
        <w:t>B.</w:t>
      </w:r>
      <w:r w:rsidRPr="00AD2F44">
        <w:tab/>
        <w:t>The Consent Requirement</w:t>
      </w:r>
    </w:p>
    <w:p w14:paraId="18482B64" w14:textId="77777777" w:rsidR="004322B1" w:rsidRPr="00AD2F44" w:rsidRDefault="004322B1">
      <w:pPr>
        <w:pStyle w:val="10ATextWithIndent"/>
        <w:rPr>
          <w:vertAlign w:val="superscript"/>
        </w:rPr>
      </w:pPr>
      <w:r w:rsidRPr="00AD2F44">
        <w:t xml:space="preserve">An FLSA collective action is deemed commenced for limitations purposes for the named plaintiff only when that plaintiff has filed both a complaint </w:t>
      </w:r>
      <w:r w:rsidRPr="00AD2F44">
        <w:rPr>
          <w:i/>
          <w:iCs/>
        </w:rPr>
        <w:t xml:space="preserve">and </w:t>
      </w:r>
      <w:r w:rsidRPr="00AD2F44">
        <w:t>a “consent to become a party plaintiff.”</w:t>
      </w:r>
      <w:r>
        <w:rPr>
          <w:vertAlign w:val="superscript"/>
        </w:rPr>
        <w:footnoteReference w:id="27"/>
      </w:r>
      <w:r w:rsidRPr="00AD2F44">
        <w:t xml:space="preserve"> For opt-in plaintiffs in a collective action under Section 216(b), the statute of limitations is not tolled until the date on which the opt-in plaintiff’s written consent is filed with the court.</w:t>
      </w:r>
      <w:r>
        <w:rPr>
          <w:vertAlign w:val="superscript"/>
        </w:rPr>
        <w:footnoteReference w:id="28"/>
      </w:r>
      <w:r w:rsidRPr="00AD2F44">
        <w:t xml:space="preserve"> Once an individual opts into an FLSA collective action, the statute of limitations is tolled from the date the consent form was filed, but if the court later denies certification of the collective action and dismisses the opt-in plaintiffs, the statute of limitations resumes upon that dismissal.</w:t>
      </w:r>
      <w:r>
        <w:rPr>
          <w:vertAlign w:val="superscript"/>
        </w:rPr>
        <w:footnoteReference w:id="29"/>
      </w:r>
    </w:p>
    <w:p w14:paraId="23B55D7E" w14:textId="77777777" w:rsidR="004322B1" w:rsidRPr="00AD2F44" w:rsidRDefault="004322B1">
      <w:pPr>
        <w:pStyle w:val="10ATextWithIndent"/>
        <w:rPr>
          <w:vertAlign w:val="superscript"/>
        </w:rPr>
      </w:pPr>
      <w:r w:rsidRPr="00AD2F44">
        <w:t>However, because the provision pertaining to the filing of written consents applies only to collective actions, a plaintiff does not need to file a written consent to toll FLSA claims if the case is not a collective action under Section 216(b).</w:t>
      </w:r>
      <w:r>
        <w:rPr>
          <w:vertAlign w:val="superscript"/>
        </w:rPr>
        <w:footnoteReference w:id="30"/>
      </w:r>
      <w:r w:rsidRPr="00AD2F44">
        <w:t xml:space="preserve"> Similarly, courts have permitted plaintiffs to pursue their claims on an individual basis when they have failed to file a timely consent, if they filed a complaint in a “dual capacity,” both individually and as a collective action.</w:t>
      </w:r>
      <w:r>
        <w:rPr>
          <w:vertAlign w:val="superscript"/>
        </w:rPr>
        <w:footnoteReference w:id="31"/>
      </w:r>
      <w:r w:rsidRPr="00AD2F44">
        <w:t xml:space="preserve"> Moreover, a collective action in which no one files a consent to join may be governed by permissive joinder. For example, in </w:t>
      </w:r>
      <w:r w:rsidRPr="00AD2F44">
        <w:rPr>
          <w:i/>
          <w:iCs/>
        </w:rPr>
        <w:t>Allen v. Atlantic Richfield Co</w:t>
      </w:r>
      <w:r w:rsidRPr="00AD2F44">
        <w:t>.,</w:t>
      </w:r>
      <w:r>
        <w:rPr>
          <w:vertAlign w:val="superscript"/>
        </w:rPr>
        <w:footnoteReference w:id="32"/>
      </w:r>
      <w:r w:rsidRPr="00AD2F44">
        <w:t xml:space="preserve"> the Fifth Circuit held that 22 plaintiffs, who were named in the complaint and who alleged individual causes of action, did not need to file consents to join the action. Although plaintiffs alleged in the complaint that they sought to represent “other similarly situated Atlantic Richfield employees,” the court noted that the action never evolved into a collective or class action since no unnamed plaintiff ever came forward and filed a written consent to join the suit, asking to be made a party plaintiff.</w:t>
      </w:r>
      <w:r>
        <w:rPr>
          <w:vertAlign w:val="superscript"/>
        </w:rPr>
        <w:footnoteReference w:id="33"/>
      </w:r>
      <w:r w:rsidRPr="00AD2F44">
        <w:t xml:space="preserve"> The only parties to the suit were named plaintiffs represented by the lawyer who signed the complaint, and their ability to participate in the action was governed by the joinder requirements of Federal Rule of Civil Procedure 20.</w:t>
      </w:r>
      <w:r>
        <w:rPr>
          <w:vertAlign w:val="superscript"/>
        </w:rPr>
        <w:footnoteReference w:id="34"/>
      </w:r>
    </w:p>
    <w:p w14:paraId="7FD06D28" w14:textId="77777777" w:rsidR="004322B1" w:rsidRPr="00AD2F44" w:rsidRDefault="004322B1">
      <w:pPr>
        <w:pStyle w:val="10ATextWithIndent"/>
      </w:pPr>
      <w:r w:rsidRPr="00AD2F44">
        <w:t>Courts generally have allowed consents to join to be filed prior to court-approved notice.</w:t>
      </w:r>
      <w:r>
        <w:rPr>
          <w:vertAlign w:val="superscript"/>
        </w:rPr>
        <w:footnoteReference w:id="35"/>
      </w:r>
      <w:r w:rsidRPr="00AD2F44">
        <w:t xml:space="preserve"> Other courts, however, have placed limits on the ability to file before court-approved notice.</w:t>
      </w:r>
      <w:r>
        <w:rPr>
          <w:vertAlign w:val="superscript"/>
        </w:rPr>
        <w:footnoteReference w:id="36"/>
      </w:r>
      <w:r w:rsidRPr="00AD2F44">
        <w:t xml:space="preserve"> At least one circuit court has recognized that the opt-in requirement under Section 216(b) is </w:t>
      </w:r>
      <w:proofErr w:type="spellStart"/>
      <w:r w:rsidRPr="00AD2F44">
        <w:t>nonjurisdictional</w:t>
      </w:r>
      <w:proofErr w:type="spellEnd"/>
      <w:r w:rsidRPr="00AD2F44">
        <w:t>.</w:t>
      </w:r>
      <w:r>
        <w:rPr>
          <w:vertAlign w:val="superscript"/>
        </w:rPr>
        <w:footnoteReference w:id="37"/>
      </w:r>
      <w:r w:rsidRPr="00AD2F44">
        <w:t xml:space="preserve"> </w:t>
      </w:r>
    </w:p>
    <w:p w14:paraId="79F8952F" w14:textId="77777777" w:rsidR="004322B1" w:rsidRPr="00AD2F44" w:rsidRDefault="004322B1">
      <w:pPr>
        <w:pStyle w:val="06Third-LevelHead123"/>
      </w:pPr>
      <w:r w:rsidRPr="00AD2F44">
        <w:t>1.</w:t>
      </w:r>
      <w:r w:rsidRPr="00AD2F44">
        <w:tab/>
        <w:t>Scope and Use of Consent Form</w:t>
      </w:r>
    </w:p>
    <w:p w14:paraId="50801D71" w14:textId="77777777" w:rsidR="004322B1" w:rsidRPr="00AD2F44" w:rsidRDefault="004322B1">
      <w:pPr>
        <w:pStyle w:val="10ATextWithIndent"/>
        <w:rPr>
          <w:vertAlign w:val="superscript"/>
        </w:rPr>
      </w:pPr>
      <w:r w:rsidRPr="00AD2F44">
        <w:t>In addressing what claims are presented by the filing of a consent form, a court “must interpret consent forms according to the plain meaning of their language.”</w:t>
      </w:r>
      <w:r>
        <w:rPr>
          <w:vertAlign w:val="superscript"/>
        </w:rPr>
        <w:footnoteReference w:id="38"/>
      </w:r>
      <w:r w:rsidRPr="00AD2F44">
        <w:t xml:space="preserve"> For instance, in </w:t>
      </w:r>
      <w:r w:rsidRPr="00AD2F44">
        <w:rPr>
          <w:i/>
          <w:iCs/>
        </w:rPr>
        <w:t>Prickett v. Dekalb County</w:t>
      </w:r>
      <w:r w:rsidRPr="00AD2F44">
        <w:t>,</w:t>
      </w:r>
      <w:r>
        <w:rPr>
          <w:vertAlign w:val="superscript"/>
        </w:rPr>
        <w:footnoteReference w:id="39"/>
      </w:r>
      <w:r w:rsidRPr="00AD2F44">
        <w:t xml:space="preserve"> the Eleventh Circuit found that amendments to the complaint were encompassed within the scope of the previously filed consent to join where the language in the consent demonstrated that the plaintiffs consented to the adjudication of “all of their claims for overtime compensation under FLSA, not merely the claims … specified in the [original] complaint.”</w:t>
      </w:r>
      <w:r>
        <w:rPr>
          <w:vertAlign w:val="superscript"/>
        </w:rPr>
        <w:footnoteReference w:id="40"/>
      </w:r>
      <w:r w:rsidRPr="00AD2F44">
        <w:t xml:space="preserve"> The court noted that opt-in plaintiffs do not opt in or consent as to specific claims, but as to the action as a whole, because Section 216(b) speaks of employees becoming party plaintiffs “to any such action” by filing their written consents.</w:t>
      </w:r>
      <w:r>
        <w:rPr>
          <w:vertAlign w:val="superscript"/>
        </w:rPr>
        <w:footnoteReference w:id="41"/>
      </w:r>
      <w:r w:rsidRPr="00AD2F44">
        <w:t xml:space="preserve"> At least one court has recognized that this means that opt-in plaintiffs can participate in related state law wage and hour claims in addition to FLSA claims.</w:t>
      </w:r>
      <w:r>
        <w:rPr>
          <w:vertAlign w:val="superscript"/>
        </w:rPr>
        <w:footnoteReference w:id="42"/>
      </w:r>
    </w:p>
    <w:p w14:paraId="5DF64B25" w14:textId="77777777" w:rsidR="004322B1" w:rsidRPr="00AD2F44" w:rsidRDefault="004322B1">
      <w:pPr>
        <w:pStyle w:val="10ATextWithIndent"/>
        <w:rPr>
          <w:vertAlign w:val="superscript"/>
        </w:rPr>
      </w:pPr>
      <w:r w:rsidRPr="00AD2F44">
        <w:t xml:space="preserve">However, courts may not rewrite consent forms to broaden their scope. This issue typically arises where consents from a decertified collective action are filed in subsequent cases. In </w:t>
      </w:r>
      <w:r w:rsidRPr="00AD2F44">
        <w:rPr>
          <w:i/>
          <w:iCs/>
        </w:rPr>
        <w:t>Albritton v. Cagle’s, Inc</w:t>
      </w:r>
      <w:r w:rsidRPr="00AD2F44">
        <w:t>.,</w:t>
      </w:r>
      <w:r>
        <w:rPr>
          <w:vertAlign w:val="superscript"/>
        </w:rPr>
        <w:footnoteReference w:id="43"/>
      </w:r>
      <w:r w:rsidRPr="00AD2F44">
        <w:t xml:space="preserve"> plaintiffs who were dismissed from one suit as a result of a decertification order attempted to participate in two new lawsuits by filing the same consent forms that had been filed in the decertified case. The notices and consents specifically referred only to the decertified action and contained no language that authorized litigation of claims in any new action. The Eleventh Circuit held that because the consent forms from the decertified action specifically referenced only the decertified action, they were invalid for litigating the two new lawsuits.</w:t>
      </w:r>
      <w:r>
        <w:rPr>
          <w:vertAlign w:val="superscript"/>
        </w:rPr>
        <w:footnoteReference w:id="44"/>
      </w:r>
    </w:p>
    <w:p w14:paraId="4CADB524" w14:textId="77777777" w:rsidR="004322B1" w:rsidRPr="00AD2F44" w:rsidRDefault="004322B1">
      <w:pPr>
        <w:pStyle w:val="06Third-LevelHead123"/>
      </w:pPr>
      <w:r w:rsidRPr="00AD2F44">
        <w:t>2.</w:t>
      </w:r>
      <w:r w:rsidRPr="00AD2F44">
        <w:tab/>
        <w:t>Form of Consent</w:t>
      </w:r>
    </w:p>
    <w:p w14:paraId="3F0AF2BB" w14:textId="77777777" w:rsidR="004322B1" w:rsidRPr="00AD2F44" w:rsidRDefault="004322B1">
      <w:pPr>
        <w:pStyle w:val="10ATextWithIndent"/>
        <w:rPr>
          <w:vertAlign w:val="superscript"/>
        </w:rPr>
      </w:pPr>
      <w:r w:rsidRPr="00AD2F44">
        <w:t>Section 216(b) does not dictate any particular language or format for a consent form,</w:t>
      </w:r>
      <w:r>
        <w:rPr>
          <w:vertAlign w:val="superscript"/>
        </w:rPr>
        <w:footnoteReference w:id="45"/>
      </w:r>
      <w:r w:rsidRPr="00AD2F44">
        <w:t xml:space="preserve"> but a consent form must “clearly manifest the individual’s consent to become a party plaintiff to the litigation.”</w:t>
      </w:r>
      <w:r>
        <w:rPr>
          <w:vertAlign w:val="superscript"/>
        </w:rPr>
        <w:footnoteReference w:id="46"/>
      </w:r>
      <w:r w:rsidRPr="00AD2F44">
        <w:t xml:space="preserve"> Consent forms need not reference the specific claims in the lawsuit for which they are filed.</w:t>
      </w:r>
      <w:r>
        <w:rPr>
          <w:vertAlign w:val="superscript"/>
        </w:rPr>
        <w:footnoteReference w:id="47"/>
      </w:r>
    </w:p>
    <w:p w14:paraId="220EC2CE" w14:textId="77777777" w:rsidR="004322B1" w:rsidRPr="00AD2F44" w:rsidRDefault="004322B1">
      <w:pPr>
        <w:pStyle w:val="10ATextWithIndent"/>
      </w:pPr>
      <w:r w:rsidRPr="00AD2F44">
        <w:t xml:space="preserve">Courts generally require the consent form to be signed. For instance, in </w:t>
      </w:r>
      <w:r w:rsidRPr="00AD2F44">
        <w:rPr>
          <w:i/>
          <w:iCs/>
        </w:rPr>
        <w:t xml:space="preserve">Davis v. </w:t>
      </w:r>
      <w:proofErr w:type="spellStart"/>
      <w:r w:rsidRPr="00AD2F44">
        <w:rPr>
          <w:i/>
          <w:iCs/>
        </w:rPr>
        <w:t>Novastar</w:t>
      </w:r>
      <w:proofErr w:type="spellEnd"/>
      <w:r w:rsidRPr="00AD2F44">
        <w:rPr>
          <w:i/>
          <w:iCs/>
        </w:rPr>
        <w:t xml:space="preserve"> Mortgage, Inc</w:t>
      </w:r>
      <w:r w:rsidRPr="00AD2F44">
        <w:t>.,</w:t>
      </w:r>
      <w:r>
        <w:rPr>
          <w:vertAlign w:val="superscript"/>
        </w:rPr>
        <w:footnoteReference w:id="48"/>
      </w:r>
      <w:r w:rsidRPr="00AD2F44">
        <w:t xml:space="preserve"> the district court required opt-in plaintiffs to provide signatures on their opt-in forms. Similarly, in </w:t>
      </w:r>
      <w:r w:rsidRPr="00AD2F44">
        <w:rPr>
          <w:i/>
          <w:iCs/>
        </w:rPr>
        <w:t>Kulik v. Superior Pipe Specialties Co</w:t>
      </w:r>
      <w:r w:rsidRPr="00AD2F44">
        <w:t>.,</w:t>
      </w:r>
      <w:r>
        <w:rPr>
          <w:vertAlign w:val="superscript"/>
        </w:rPr>
        <w:footnoteReference w:id="49"/>
      </w:r>
      <w:r w:rsidRPr="00AD2F44">
        <w:t xml:space="preserve"> the district court found that a typewritten list of names without signatures was insufficient to constitute “written consent” to join a suit.</w:t>
      </w:r>
      <w:r>
        <w:rPr>
          <w:vertAlign w:val="superscript"/>
        </w:rPr>
        <w:footnoteReference w:id="50"/>
      </w:r>
      <w:r w:rsidRPr="00AD2F44">
        <w:t xml:space="preserve"> A signed retainer agreement, which contained language consenting to inclusion in suit, was accepted in place of a consent form in </w:t>
      </w:r>
      <w:r w:rsidRPr="00AD2F44">
        <w:rPr>
          <w:i/>
          <w:iCs/>
        </w:rPr>
        <w:t>Brown v. Dunbar &amp; Sullivan Dredging Co</w:t>
      </w:r>
      <w:r w:rsidRPr="00AD2F44">
        <w:t>.</w:t>
      </w:r>
      <w:r>
        <w:rPr>
          <w:vertAlign w:val="superscript"/>
        </w:rPr>
        <w:footnoteReference w:id="51"/>
      </w:r>
      <w:r w:rsidRPr="00AD2F44">
        <w:t xml:space="preserve"> The retainer authorized counsel “to prosecute by suit or otherwise the signer’s claim for overtime wages and liquidated damages under the [FLSA] against one or more of four named companies, one of which was the defendant,” and the signer “agree[d] that [his] claim may be joined in any suit brought by [him]self and various other employees.”</w:t>
      </w:r>
      <w:r>
        <w:rPr>
          <w:vertAlign w:val="superscript"/>
        </w:rPr>
        <w:footnoteReference w:id="52"/>
      </w:r>
      <w:r w:rsidRPr="00AD2F44">
        <w:t xml:space="preserve"> Courts have approved the use of online, electronic signature consent forms.</w:t>
      </w:r>
      <w:r>
        <w:rPr>
          <w:vertAlign w:val="superscript"/>
        </w:rPr>
        <w:footnoteReference w:id="53"/>
      </w:r>
      <w:r w:rsidRPr="00AD2F44">
        <w:t xml:space="preserve"> One court allowed pseudonyms on consent forms because of the risk of reputational or even physical harm to exotic dancer plaintiffs, where the defendant received the actual names under protective order.</w:t>
      </w:r>
      <w:r>
        <w:rPr>
          <w:vertAlign w:val="superscript"/>
        </w:rPr>
        <w:footnoteReference w:id="54"/>
      </w:r>
      <w:r w:rsidRPr="00AD2F44">
        <w:t xml:space="preserve"> </w:t>
      </w:r>
    </w:p>
    <w:p w14:paraId="2B542EA1" w14:textId="77777777" w:rsidR="004322B1" w:rsidRPr="00AD2F44" w:rsidRDefault="004322B1">
      <w:pPr>
        <w:pStyle w:val="05Second-LevelHeadABC"/>
      </w:pPr>
      <w:r w:rsidRPr="00AD2F44">
        <w:t>C.</w:t>
      </w:r>
      <w:r w:rsidRPr="00AD2F44">
        <w:tab/>
        <w:t>Impact of Department of Labor Actions for Back Wages on Collective Actions</w:t>
      </w:r>
    </w:p>
    <w:p w14:paraId="578DAF81" w14:textId="77777777" w:rsidR="004322B1" w:rsidRPr="00AD2F44" w:rsidRDefault="004322B1">
      <w:pPr>
        <w:pStyle w:val="10ATextWithIndent"/>
        <w:rPr>
          <w:vertAlign w:val="superscript"/>
        </w:rPr>
      </w:pPr>
      <w:r w:rsidRPr="00AD2F44">
        <w:t>Section 216(c) of the FLSA permits the Secretary of Labor to bring an action for a money judgment on behalf of an employee or group of employees for unpaid minimum wages or overtime pay and for an equal amount as liquidated damages.</w:t>
      </w:r>
      <w:r>
        <w:rPr>
          <w:vertAlign w:val="superscript"/>
        </w:rPr>
        <w:footnoteReference w:id="55"/>
      </w:r>
    </w:p>
    <w:p w14:paraId="7192B99B" w14:textId="77777777" w:rsidR="004322B1" w:rsidRPr="00AD2F44" w:rsidRDefault="004322B1">
      <w:pPr>
        <w:pStyle w:val="10ATextWithIndent"/>
        <w:rPr>
          <w:spacing w:val="2"/>
          <w:vertAlign w:val="superscript"/>
        </w:rPr>
      </w:pPr>
      <w:r w:rsidRPr="00AD2F44">
        <w:t>Once the Secretary files an action for back wages, an employee’s right to maintain a collective action is terminated.</w:t>
      </w:r>
      <w:r>
        <w:rPr>
          <w:spacing w:val="2"/>
          <w:vertAlign w:val="superscript"/>
        </w:rPr>
        <w:footnoteReference w:id="56"/>
      </w:r>
      <w:r w:rsidRPr="00AD2F44">
        <w:t xml:space="preserve"> This statutory rule does not apply, however, if the employee is suing based on a different time period or on claims covering a different location.</w:t>
      </w:r>
      <w:r>
        <w:rPr>
          <w:spacing w:val="2"/>
          <w:vertAlign w:val="superscript"/>
        </w:rPr>
        <w:footnoteReference w:id="57"/>
      </w:r>
      <w:r w:rsidRPr="00AD2F44">
        <w:t xml:space="preserve"> Employees who have commenced their own private actions before the time the Secretary files may continue to pursue those claims.</w:t>
      </w:r>
      <w:r>
        <w:rPr>
          <w:spacing w:val="2"/>
          <w:vertAlign w:val="superscript"/>
        </w:rPr>
        <w:footnoteReference w:id="58"/>
      </w:r>
      <w:r w:rsidRPr="00AD2F44">
        <w:t xml:space="preserve"> The Secretary’s subsequent settlement of all claims asserted in the government’s suit will not resolve similar but different wage hour claims (for example, claims brought under state law) asserted in previously pending private claims.</w:t>
      </w:r>
      <w:r>
        <w:rPr>
          <w:spacing w:val="2"/>
          <w:vertAlign w:val="superscript"/>
        </w:rPr>
        <w:footnoteReference w:id="59"/>
      </w:r>
    </w:p>
    <w:p w14:paraId="24E77608" w14:textId="77777777" w:rsidR="004322B1" w:rsidRPr="00AD2F44" w:rsidRDefault="004322B1">
      <w:pPr>
        <w:pStyle w:val="04First-LevelHeadIIIIII"/>
      </w:pPr>
      <w:r w:rsidRPr="00AD2F44">
        <w:t xml:space="preserve">III. The Two-Stage Process Used to Determine if a Collective Action </w:t>
      </w:r>
      <w:r w:rsidRPr="00AD2F44">
        <w:br/>
        <w:t>May Proceed to Trial</w:t>
      </w:r>
    </w:p>
    <w:p w14:paraId="5EA7DB29" w14:textId="77777777" w:rsidR="004322B1" w:rsidRPr="00AD2F44" w:rsidRDefault="004322B1">
      <w:pPr>
        <w:pStyle w:val="05Second-LevelHeadABC"/>
      </w:pPr>
      <w:r w:rsidRPr="00AD2F44">
        <w:t>A.</w:t>
      </w:r>
      <w:r w:rsidRPr="00AD2F44">
        <w:tab/>
        <w:t>Overview</w:t>
      </w:r>
    </w:p>
    <w:p w14:paraId="688F8DF5" w14:textId="77777777" w:rsidR="004322B1" w:rsidRPr="00AD2F44" w:rsidRDefault="004322B1">
      <w:pPr>
        <w:pStyle w:val="10ATextWithIndent"/>
        <w:rPr>
          <w:spacing w:val="5"/>
          <w:vertAlign w:val="superscript"/>
        </w:rPr>
      </w:pPr>
      <w:r w:rsidRPr="00AD2F44">
        <w:t>Most courts use a two-stage analysis when determining whether employees are similarly situated so that the case may proceed to trial as an opt-in collective action,</w:t>
      </w:r>
      <w:r>
        <w:rPr>
          <w:vertAlign w:val="superscript"/>
        </w:rPr>
        <w:footnoteReference w:id="60"/>
      </w:r>
      <w:r w:rsidRPr="00AD2F44">
        <w:t xml:space="preserve"> although this approach is not mandated.</w:t>
      </w:r>
      <w:r>
        <w:rPr>
          <w:vertAlign w:val="superscript"/>
        </w:rPr>
        <w:footnoteReference w:id="61"/>
      </w:r>
      <w:r w:rsidRPr="00AD2F44">
        <w:t xml:space="preserve"> At the first stage, </w:t>
      </w:r>
      <w:r w:rsidRPr="00AD2F44">
        <w:rPr>
          <w:spacing w:val="5"/>
        </w:rPr>
        <w:t>referred to as the “notice stage”</w:t>
      </w:r>
      <w:r>
        <w:rPr>
          <w:spacing w:val="5"/>
          <w:vertAlign w:val="superscript"/>
        </w:rPr>
        <w:footnoteReference w:id="62"/>
      </w:r>
      <w:r w:rsidRPr="00AD2F44">
        <w:rPr>
          <w:spacing w:val="5"/>
        </w:rPr>
        <w:t xml:space="preserve"> or “conditional certification” stage,</w:t>
      </w:r>
      <w:r>
        <w:rPr>
          <w:spacing w:val="5"/>
          <w:vertAlign w:val="superscript"/>
        </w:rPr>
        <w:footnoteReference w:id="63"/>
      </w:r>
      <w:r w:rsidRPr="00AD2F44">
        <w:rPr>
          <w:spacing w:val="5"/>
        </w:rPr>
        <w:t xml:space="preserve"> the trial court determines whether notice of the action should be given to potential opt-in plaintiffs and whether the case should initially proceed as a collective action.</w:t>
      </w:r>
      <w:r>
        <w:rPr>
          <w:spacing w:val="5"/>
          <w:vertAlign w:val="superscript"/>
        </w:rPr>
        <w:footnoteReference w:id="64"/>
      </w:r>
      <w:r w:rsidRPr="00AD2F44">
        <w:rPr>
          <w:spacing w:val="5"/>
        </w:rPr>
        <w:t xml:space="preserve"> If conditional certification is granted, the action then proceeds as a collective action throughout discovery.</w:t>
      </w:r>
      <w:r>
        <w:rPr>
          <w:spacing w:val="5"/>
          <w:vertAlign w:val="superscript"/>
        </w:rPr>
        <w:footnoteReference w:id="65"/>
      </w:r>
    </w:p>
    <w:p w14:paraId="6645D694" w14:textId="77777777" w:rsidR="004322B1" w:rsidRPr="00AD2F44" w:rsidRDefault="004322B1">
      <w:pPr>
        <w:pStyle w:val="10ATextWithIndent"/>
      </w:pPr>
      <w:r w:rsidRPr="00AD2F44">
        <w:t>At the second stage, the court determines whether the case should continue to be certified as a collective action for trial.</w:t>
      </w:r>
      <w:r>
        <w:rPr>
          <w:vertAlign w:val="superscript"/>
        </w:rPr>
        <w:footnoteReference w:id="66"/>
      </w:r>
      <w:r w:rsidRPr="00AD2F44">
        <w:t xml:space="preserve"> The second-stage determination is usually based on the employer’s motion filed at or near the end of discovery requesting that the court decertify the case as a collective action.</w:t>
      </w:r>
      <w:r>
        <w:rPr>
          <w:vertAlign w:val="superscript"/>
        </w:rPr>
        <w:footnoteReference w:id="67"/>
      </w:r>
    </w:p>
    <w:p w14:paraId="2045DF28" w14:textId="77777777" w:rsidR="004322B1" w:rsidRPr="00AD2F44" w:rsidRDefault="004322B1">
      <w:pPr>
        <w:pStyle w:val="10ATextWithIndent"/>
        <w:rPr>
          <w:lang w:eastAsia="pt-PT"/>
        </w:rPr>
      </w:pPr>
      <w:r w:rsidRPr="00AD2F44">
        <w:rPr>
          <w:lang w:eastAsia="pt-PT"/>
        </w:rPr>
        <w:t xml:space="preserve">The Fifth Circuit, in </w:t>
      </w:r>
      <w:r w:rsidRPr="00AD2F44">
        <w:rPr>
          <w:i/>
          <w:iCs/>
          <w:lang w:eastAsia="pt-PT"/>
        </w:rPr>
        <w:t>Swales v. KLLM Transportation Services, LLC</w:t>
      </w:r>
      <w:r w:rsidRPr="00AD2F44">
        <w:rPr>
          <w:lang w:eastAsia="pt-PT"/>
        </w:rPr>
        <w:t>,</w:t>
      </w:r>
      <w:r>
        <w:rPr>
          <w:rStyle w:val="FootnoteReference"/>
          <w:lang w:eastAsia="pt-PT"/>
        </w:rPr>
        <w:footnoteReference w:id="68"/>
      </w:r>
      <w:r w:rsidRPr="00AD2F44">
        <w:rPr>
          <w:i/>
          <w:iCs/>
          <w:lang w:eastAsia="pt-PT"/>
        </w:rPr>
        <w:t xml:space="preserve"> </w:t>
      </w:r>
      <w:r w:rsidRPr="00AD2F44">
        <w:rPr>
          <w:lang w:eastAsia="pt-PT"/>
        </w:rPr>
        <w:t>rejected the two-stage process</w:t>
      </w:r>
      <w:r>
        <w:rPr>
          <w:rStyle w:val="FootnoteReference"/>
          <w:lang w:eastAsia="pt-PT"/>
        </w:rPr>
        <w:footnoteReference w:id="69"/>
      </w:r>
      <w:r w:rsidRPr="00AD2F44">
        <w:rPr>
          <w:lang w:eastAsia="pt-PT"/>
        </w:rPr>
        <w:t xml:space="preserve"> and established a new standard to send notice by requiring district courts to</w:t>
      </w:r>
    </w:p>
    <w:p w14:paraId="338ED0E2" w14:textId="77777777" w:rsidR="004322B1" w:rsidRPr="00AD2F44" w:rsidRDefault="004322B1">
      <w:pPr>
        <w:pStyle w:val="09BBlockQuoteWithoutIndent"/>
        <w:rPr>
          <w:lang w:eastAsia="pt-PT"/>
        </w:rPr>
      </w:pPr>
      <w:r w:rsidRPr="00AD2F44">
        <w:rPr>
          <w:lang w:eastAsia="pt-PT"/>
        </w:rPr>
        <w:t>rigorously scrutinize the realm of “similarly situated” workers, and … do so from the outset of the case, not after a lenient, step-one “conditional certification.” Only then can the district court determine whether the requested opt-in notice will go to those who are actually similar to the named plaintiffs. These bedrock rules, not [the two-stage process], define and delimit the district court’s discretion.</w:t>
      </w:r>
      <w:r>
        <w:rPr>
          <w:rStyle w:val="FootnoteReference"/>
          <w:szCs w:val="20"/>
          <w:lang w:eastAsia="pt-PT"/>
        </w:rPr>
        <w:footnoteReference w:id="70"/>
      </w:r>
      <w:r w:rsidRPr="00AD2F44">
        <w:rPr>
          <w:lang w:eastAsia="pt-PT"/>
        </w:rPr>
        <w:t xml:space="preserve"> </w:t>
      </w:r>
    </w:p>
    <w:p w14:paraId="08F02F4B" w14:textId="77777777" w:rsidR="004322B1" w:rsidRPr="00AD2F44" w:rsidRDefault="004322B1" w:rsidP="00F23572">
      <w:pPr>
        <w:pStyle w:val="10ATextWithIndent"/>
        <w:rPr>
          <w:lang w:eastAsia="pt-PT"/>
        </w:rPr>
      </w:pPr>
      <w:r w:rsidRPr="00AD2F44">
        <w:rPr>
          <w:lang w:eastAsia="pt-PT"/>
        </w:rPr>
        <w:t xml:space="preserve">Since </w:t>
      </w:r>
      <w:r w:rsidRPr="00AD2F44">
        <w:rPr>
          <w:i/>
          <w:iCs/>
          <w:lang w:eastAsia="pt-PT"/>
        </w:rPr>
        <w:t>Swales</w:t>
      </w:r>
      <w:r w:rsidRPr="00AD2F44">
        <w:rPr>
          <w:lang w:eastAsia="pt-PT"/>
        </w:rPr>
        <w:t>, district courts in the Fifth Circuit have largely abandoned the two-step approach.</w:t>
      </w:r>
      <w:r>
        <w:rPr>
          <w:rStyle w:val="FootnoteReference"/>
          <w:lang w:eastAsia="pt-PT"/>
        </w:rPr>
        <w:footnoteReference w:id="71"/>
      </w:r>
      <w:r w:rsidRPr="00AD2F44">
        <w:rPr>
          <w:lang w:eastAsia="pt-PT"/>
        </w:rPr>
        <w:t xml:space="preserve"> Courts continue to evaluate whether putative collective members are similarly situated prior to allowing notice to potential opt-in plaintiffs and to determine if additional discovery is needed.</w:t>
      </w:r>
      <w:r>
        <w:rPr>
          <w:rStyle w:val="FootnoteReference"/>
          <w:lang w:eastAsia="pt-PT"/>
        </w:rPr>
        <w:footnoteReference w:id="72"/>
      </w:r>
      <w:r w:rsidRPr="00AD2F44">
        <w:rPr>
          <w:lang w:eastAsia="pt-PT"/>
        </w:rPr>
        <w:t xml:space="preserve"> Most district courts in other circuits, however, have continued to apply the two-step framework when faced with arguments to abandon it based on </w:t>
      </w:r>
      <w:r w:rsidRPr="00AD2F44">
        <w:rPr>
          <w:i/>
          <w:iCs/>
          <w:lang w:eastAsia="pt-PT"/>
        </w:rPr>
        <w:t>Swales</w:t>
      </w:r>
      <w:r w:rsidRPr="00AD2F44">
        <w:rPr>
          <w:lang w:eastAsia="pt-PT"/>
        </w:rPr>
        <w:t>.</w:t>
      </w:r>
      <w:r>
        <w:rPr>
          <w:rStyle w:val="FootnoteReference"/>
          <w:lang w:eastAsia="pt-PT"/>
        </w:rPr>
        <w:footnoteReference w:id="73"/>
      </w:r>
      <w:r w:rsidRPr="00AD2F44">
        <w:rPr>
          <w:lang w:eastAsia="pt-PT"/>
        </w:rPr>
        <w:t xml:space="preserve"> </w:t>
      </w:r>
      <w:r>
        <w:rPr>
          <w:lang w:eastAsia="pt-PT"/>
        </w:rPr>
        <w:t xml:space="preserve">Some district courts outside the Fifth Circuit have adopted the </w:t>
      </w:r>
      <w:r>
        <w:rPr>
          <w:i/>
          <w:iCs/>
          <w:lang w:eastAsia="pt-PT"/>
        </w:rPr>
        <w:t>Swales</w:t>
      </w:r>
      <w:r>
        <w:rPr>
          <w:lang w:eastAsia="pt-PT"/>
        </w:rPr>
        <w:t xml:space="preserve"> approach.</w:t>
      </w:r>
      <w:r>
        <w:rPr>
          <w:rStyle w:val="FootnoteReference"/>
          <w:lang w:eastAsia="pt-PT"/>
        </w:rPr>
        <w:footnoteReference w:id="74"/>
      </w:r>
      <w:r>
        <w:rPr>
          <w:lang w:eastAsia="pt-PT"/>
        </w:rPr>
        <w:t xml:space="preserve"> </w:t>
      </w:r>
      <w:r w:rsidRPr="00AD2F44">
        <w:rPr>
          <w:lang w:eastAsia="pt-PT"/>
        </w:rPr>
        <w:t xml:space="preserve">The Seventh Circuit has refused to adopt the </w:t>
      </w:r>
      <w:r w:rsidRPr="00AD2F44">
        <w:rPr>
          <w:i/>
          <w:iCs/>
          <w:lang w:eastAsia="pt-PT"/>
        </w:rPr>
        <w:t xml:space="preserve">Swales </w:t>
      </w:r>
      <w:r w:rsidRPr="00AD2F44">
        <w:rPr>
          <w:lang w:eastAsia="pt-PT"/>
        </w:rPr>
        <w:t>framework, in a writ of mandamus review, recognizing district courts’ discretion to manage collective actions.</w:t>
      </w:r>
      <w:r>
        <w:rPr>
          <w:rStyle w:val="FootnoteReference"/>
          <w:lang w:eastAsia="pt-PT"/>
        </w:rPr>
        <w:footnoteReference w:id="75"/>
      </w:r>
      <w:r w:rsidRPr="00AD2F44">
        <w:rPr>
          <w:lang w:eastAsia="pt-PT"/>
        </w:rPr>
        <w:t xml:space="preserve"> </w:t>
      </w:r>
    </w:p>
    <w:p w14:paraId="015304C6" w14:textId="77777777" w:rsidR="004322B1" w:rsidRPr="00AD2F44" w:rsidRDefault="004322B1" w:rsidP="00F23572">
      <w:pPr>
        <w:pStyle w:val="10ATextWithIndent"/>
      </w:pPr>
      <w:r w:rsidRPr="00AD2F44">
        <w:t xml:space="preserve">Another U.S. Court of Appeals departed from the </w:t>
      </w:r>
      <w:r w:rsidRPr="00AD2F44">
        <w:rPr>
          <w:i/>
          <w:iCs/>
        </w:rPr>
        <w:t>Lusardi</w:t>
      </w:r>
      <w:r w:rsidRPr="00AD2F44">
        <w:t xml:space="preserve"> framework when the Sixth Circuit, in </w:t>
      </w:r>
      <w:r w:rsidRPr="00AD2F44">
        <w:rPr>
          <w:i/>
          <w:iCs/>
        </w:rPr>
        <w:t>Clark v. A&amp;L Homecare &amp; Training Center</w:t>
      </w:r>
      <w:r w:rsidRPr="00AD2F44">
        <w:t>,</w:t>
      </w:r>
      <w:r>
        <w:rPr>
          <w:rStyle w:val="FootnoteReference"/>
        </w:rPr>
        <w:footnoteReference w:id="76"/>
      </w:r>
      <w:r w:rsidRPr="00AD2F44">
        <w:t xml:space="preserve"> announced its own test for permitting notice to issue to potential collective action members. The Sixth Circuit in </w:t>
      </w:r>
      <w:r w:rsidRPr="00AD2F44">
        <w:rPr>
          <w:i/>
          <w:iCs/>
        </w:rPr>
        <w:t>Clark</w:t>
      </w:r>
      <w:r w:rsidRPr="00AD2F44">
        <w:t xml:space="preserve"> did not adopt the </w:t>
      </w:r>
      <w:r w:rsidRPr="00AD2F44">
        <w:rPr>
          <w:i/>
          <w:iCs/>
        </w:rPr>
        <w:t xml:space="preserve">Swales </w:t>
      </w:r>
      <w:r w:rsidRPr="00AD2F44">
        <w:t>standard, instead reason</w:t>
      </w:r>
      <w:r>
        <w:t>ing</w:t>
      </w:r>
      <w:r w:rsidRPr="00AD2F44">
        <w:t xml:space="preserve"> that the decision to issue notice “is analogous to a court’s decision whether to grant a preliminary injunction,” but only the prong of the analysis focused on “</w:t>
      </w:r>
      <w:proofErr w:type="spellStart"/>
      <w:r w:rsidRPr="00AD2F44">
        <w:t>demonstrat</w:t>
      </w:r>
      <w:proofErr w:type="spellEnd"/>
      <w:r w:rsidRPr="00AD2F44">
        <w:t>[</w:t>
      </w:r>
      <w:proofErr w:type="spellStart"/>
      <w:r w:rsidRPr="00AD2F44">
        <w:t>ing</w:t>
      </w:r>
      <w:proofErr w:type="spellEnd"/>
      <w:r w:rsidRPr="00AD2F44">
        <w:t>] to a certain degree of probability that [the movant] will prevail” on the merits.</w:t>
      </w:r>
      <w:r>
        <w:rPr>
          <w:rStyle w:val="FootnoteReference"/>
        </w:rPr>
        <w:footnoteReference w:id="77"/>
      </w:r>
      <w:r w:rsidRPr="00AD2F44">
        <w:t xml:space="preserve"> The Sixth Circuit held that to issue notice, the plaintiffs “must show a ‘strong likelihood’ that those employees are similarly situated to the plaintiffs themselves.”</w:t>
      </w:r>
      <w:r>
        <w:rPr>
          <w:rStyle w:val="FootnoteReference"/>
        </w:rPr>
        <w:footnoteReference w:id="78"/>
      </w:r>
      <w:r w:rsidRPr="00AD2F44">
        <w:t xml:space="preserve"> The “strong likelihood” standard, which the court stated “is familiar to the district courts,” would require more than raising a genuine issue of material fact, but not enough to prove the issue by a preponderance of the evidence.</w:t>
      </w:r>
      <w:r>
        <w:rPr>
          <w:rStyle w:val="FootnoteReference"/>
        </w:rPr>
        <w:footnoteReference w:id="79"/>
      </w:r>
      <w:r w:rsidRPr="00AD2F44">
        <w:t xml:space="preserve"> The court remanded the case to the district court to apply the new standard.</w:t>
      </w:r>
      <w:r>
        <w:rPr>
          <w:rStyle w:val="FootnoteReference"/>
        </w:rPr>
        <w:footnoteReference w:id="80"/>
      </w:r>
      <w:r w:rsidRPr="00AD2F44">
        <w:t xml:space="preserve"> </w:t>
      </w:r>
    </w:p>
    <w:p w14:paraId="68EAE011" w14:textId="77777777" w:rsidR="004322B1" w:rsidRPr="00AD2F44" w:rsidRDefault="004322B1">
      <w:pPr>
        <w:pStyle w:val="05Second-LevelHeadABC"/>
      </w:pPr>
      <w:r w:rsidRPr="00AD2F44">
        <w:t>B.</w:t>
      </w:r>
      <w:r w:rsidRPr="00AD2F44">
        <w:tab/>
        <w:t>Stage I: Standard for Determining Whether Conditional Certification Should Be Granted</w:t>
      </w:r>
    </w:p>
    <w:p w14:paraId="15A2D89A" w14:textId="77777777" w:rsidR="004322B1" w:rsidRPr="00AD2F44" w:rsidRDefault="004322B1">
      <w:pPr>
        <w:pStyle w:val="10BTextWithoutIndent"/>
      </w:pPr>
      <w:r w:rsidRPr="00AD2F44">
        <w:rPr>
          <w:b/>
          <w:bCs/>
        </w:rPr>
        <w:t>[Caution:</w:t>
      </w:r>
      <w:r w:rsidRPr="00AD2F44">
        <w:t xml:space="preserve"> The Fifth Circuit has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35C4485" w14:textId="77777777" w:rsidR="004322B1" w:rsidRPr="00AD2F44" w:rsidRDefault="004322B1">
      <w:pPr>
        <w:pStyle w:val="06Third-LevelHead123"/>
      </w:pPr>
      <w:r w:rsidRPr="00AD2F44">
        <w:t>1.</w:t>
      </w:r>
      <w:r w:rsidRPr="00AD2F44">
        <w:tab/>
        <w:t xml:space="preserve">The “Modest Factual Showing” Standard </w:t>
      </w:r>
    </w:p>
    <w:p w14:paraId="25BD5B1D" w14:textId="77777777" w:rsidR="004322B1" w:rsidRPr="00AD2F44" w:rsidRDefault="004322B1">
      <w:pPr>
        <w:pStyle w:val="10ATextWithIndent"/>
      </w:pPr>
      <w:r w:rsidRPr="00AD2F44">
        <w:t>At the notice stage, the plaintiff must make a threshold showing that the plaintiff or plaintiffs and members of the proposed collective action are “similarly situated.”</w:t>
      </w:r>
      <w:r>
        <w:rPr>
          <w:vertAlign w:val="superscript"/>
        </w:rPr>
        <w:footnoteReference w:id="81"/>
      </w:r>
      <w:r w:rsidRPr="00AD2F44">
        <w:t xml:space="preserve"> Most courts require that the plaintiffs make a “modest factual showing”</w:t>
      </w:r>
      <w:r>
        <w:rPr>
          <w:vertAlign w:val="superscript"/>
        </w:rPr>
        <w:footnoteReference w:id="82"/>
      </w:r>
      <w:r w:rsidRPr="00AD2F44">
        <w:t xml:space="preserve"> that a class of similarly situated persons may exist. Courts generally do not evaluate the merits of the claims</w:t>
      </w:r>
      <w:r>
        <w:rPr>
          <w:vertAlign w:val="superscript"/>
        </w:rPr>
        <w:footnoteReference w:id="83"/>
      </w:r>
      <w:r w:rsidRPr="00AD2F44">
        <w:t xml:space="preserve"> or make credibility determinations at the conditional certification stage.</w:t>
      </w:r>
      <w:r>
        <w:rPr>
          <w:vertAlign w:val="superscript"/>
        </w:rPr>
        <w:footnoteReference w:id="84"/>
      </w:r>
      <w:r w:rsidRPr="00AD2F44">
        <w:t xml:space="preserve"> District courts in most circuits hold that plaintiffs can meet this burden by making a modest factual showing that the putative class members were together the victims of a single decision, policy, practice, or plan that violated the law.</w:t>
      </w:r>
      <w:r>
        <w:rPr>
          <w:vertAlign w:val="superscript"/>
        </w:rPr>
        <w:footnoteReference w:id="85"/>
      </w:r>
      <w:r w:rsidRPr="00AD2F44">
        <w:t xml:space="preserve"> While allegations regarding a common decision, policy, practice, or plan can provide a reasonable basis for granting conditional certification, some courts have held that such allegations are not necessarily required at the notice stage.</w:t>
      </w:r>
      <w:r>
        <w:rPr>
          <w:vertAlign w:val="superscript"/>
        </w:rPr>
        <w:footnoteReference w:id="86"/>
      </w:r>
      <w:r w:rsidRPr="00AD2F44">
        <w:t xml:space="preserve"> At this stage, courts apply a “fairly lenient standard.”</w:t>
      </w:r>
      <w:r>
        <w:rPr>
          <w:vertAlign w:val="superscript"/>
        </w:rPr>
        <w:footnoteReference w:id="87"/>
      </w:r>
      <w:r w:rsidRPr="00AD2F44">
        <w:t xml:space="preserve"> This standard “is considerably ‘less stringent’ than the proof required pursuant to Fed. R. Civ. P. 20(a) for joinder or Fed. R. Civ. P. 23 for class certification.”</w:t>
      </w:r>
      <w:r>
        <w:rPr>
          <w:vertAlign w:val="superscript"/>
        </w:rPr>
        <w:footnoteReference w:id="88"/>
      </w:r>
      <w:r w:rsidRPr="00AD2F44">
        <w:t xml:space="preserve"> Although courts often apply a lenient standard at the notice stage, conditional certification is not always granted, or the scope of the class for which plaintiffs seek conditional certification may be limited even though some form of notice is granted.</w:t>
      </w:r>
      <w:r>
        <w:rPr>
          <w:vertAlign w:val="superscript"/>
        </w:rPr>
        <w:footnoteReference w:id="89"/>
      </w:r>
      <w:r w:rsidRPr="00AD2F44">
        <w:t xml:space="preserve"> </w:t>
      </w:r>
    </w:p>
    <w:p w14:paraId="6C5D353C" w14:textId="77777777" w:rsidR="004322B1" w:rsidRPr="00AD2F44" w:rsidRDefault="004322B1">
      <w:pPr>
        <w:pStyle w:val="10ATextWithIndent"/>
        <w:rPr>
          <w:vertAlign w:val="superscript"/>
        </w:rPr>
      </w:pPr>
      <w:r w:rsidRPr="00AD2F44">
        <w:t xml:space="preserve">Because the standard for achieving conditional certifications is less stringent than the standard for class certification under Rule 23 of the Federal Rules of Civil Procedure, many courts have held that the Supreme Court’s 2011 decision in </w:t>
      </w:r>
      <w:r w:rsidRPr="00AD2F44">
        <w:rPr>
          <w:i/>
          <w:iCs/>
        </w:rPr>
        <w:t>Wal-Mart Stores, Inc</w:t>
      </w:r>
      <w:r w:rsidRPr="00AD2F44">
        <w:t>.</w:t>
      </w:r>
      <w:r w:rsidRPr="00AD2F44">
        <w:rPr>
          <w:i/>
          <w:iCs/>
        </w:rPr>
        <w:t xml:space="preserve"> v</w:t>
      </w:r>
      <w:r w:rsidRPr="00AD2F44">
        <w:t>.</w:t>
      </w:r>
      <w:r w:rsidRPr="00AD2F44">
        <w:rPr>
          <w:i/>
          <w:iCs/>
        </w:rPr>
        <w:t xml:space="preserve"> Dukes</w:t>
      </w:r>
      <w:r>
        <w:rPr>
          <w:vertAlign w:val="superscript"/>
        </w:rPr>
        <w:footnoteReference w:id="90"/>
      </w:r>
      <w:r w:rsidRPr="00AD2F44">
        <w:t xml:space="preserve"> does not apply to collective actions at the conditional certification stage.</w:t>
      </w:r>
      <w:r>
        <w:rPr>
          <w:vertAlign w:val="superscript"/>
        </w:rPr>
        <w:footnoteReference w:id="91"/>
      </w:r>
      <w:r w:rsidRPr="00AD2F44">
        <w:t xml:space="preserve"> By contrast, other courts have cited to </w:t>
      </w:r>
      <w:r w:rsidRPr="00AD2F44">
        <w:rPr>
          <w:i/>
          <w:iCs/>
        </w:rPr>
        <w:t>Dukes</w:t>
      </w:r>
      <w:r w:rsidRPr="00AD2F44">
        <w:t xml:space="preserve"> when denying a motion for conditional certification when plaintiffs are relying on an unwritten policy that allegedly violates the FLSA.</w:t>
      </w:r>
      <w:r>
        <w:rPr>
          <w:vertAlign w:val="superscript"/>
        </w:rPr>
        <w:footnoteReference w:id="92"/>
      </w:r>
      <w:r w:rsidRPr="00AD2F44">
        <w:t xml:space="preserve"> Courts have explained that one of the reasons this burden is less exacting than under Rule 23 is because the FLSA’s opt-in provision provides an opportunity for potential plaintiffs to join the action but does not bind those who do not, whereas a class certified under Rule 23 does bind absent class members who do not opt out of the certified class.</w:t>
      </w:r>
      <w:r>
        <w:rPr>
          <w:vertAlign w:val="superscript"/>
        </w:rPr>
        <w:footnoteReference w:id="93"/>
      </w:r>
      <w:r w:rsidRPr="00AD2F44">
        <w:t xml:space="preserve"> Courts have also indicated that early notice is necessary to preserve the rights of potential opt-in plaintiffs, whose claims might become time-barred due to the running of the statute of limitations.</w:t>
      </w:r>
      <w:r>
        <w:rPr>
          <w:vertAlign w:val="superscript"/>
        </w:rPr>
        <w:footnoteReference w:id="94"/>
      </w:r>
      <w:r w:rsidRPr="00AD2F44">
        <w:t xml:space="preserve"> Other courts have stated that the cost savings and efficiency of proceeding collectively support early conditional certification.</w:t>
      </w:r>
      <w:r>
        <w:rPr>
          <w:vertAlign w:val="superscript"/>
        </w:rPr>
        <w:footnoteReference w:id="95"/>
      </w:r>
    </w:p>
    <w:p w14:paraId="4ED0267F" w14:textId="77777777" w:rsidR="004322B1" w:rsidRPr="00AD2F44" w:rsidRDefault="004322B1">
      <w:pPr>
        <w:pStyle w:val="10ATextWithIndent"/>
        <w:rPr>
          <w:vertAlign w:val="superscript"/>
        </w:rPr>
      </w:pPr>
      <w:r w:rsidRPr="00AD2F44">
        <w:t>Accordingly, courts employing the two-step approach generally do not review whether the named plaintiffs meet the requirements of Rule 23.</w:t>
      </w:r>
      <w:r>
        <w:rPr>
          <w:vertAlign w:val="superscript"/>
        </w:rPr>
        <w:footnoteReference w:id="96"/>
      </w:r>
      <w:r w:rsidRPr="00AD2F44">
        <w:t xml:space="preserve"> There have been a few cases, however, that have imported aspects of the Rule 23 standard to decide the certification question under Section 216(b).</w:t>
      </w:r>
      <w:r>
        <w:rPr>
          <w:vertAlign w:val="superscript"/>
        </w:rPr>
        <w:footnoteReference w:id="97"/>
      </w:r>
    </w:p>
    <w:p w14:paraId="2261BEF7" w14:textId="77777777" w:rsidR="004322B1" w:rsidRPr="00AD2F44" w:rsidRDefault="004322B1">
      <w:pPr>
        <w:pStyle w:val="10ATextWithIndent"/>
      </w:pPr>
      <w:r w:rsidRPr="00AD2F44">
        <w:t>Determinations regarding collective conditional certification are typically made based on detailed allegations in a complaint supported by sworn statements,</w:t>
      </w:r>
      <w:r>
        <w:rPr>
          <w:vertAlign w:val="superscript"/>
        </w:rPr>
        <w:footnoteReference w:id="98"/>
      </w:r>
      <w:r w:rsidRPr="00AD2F44">
        <w:t xml:space="preserve"> but some courts require nothing more than sufficient allegations in the complaint.</w:t>
      </w:r>
      <w:r>
        <w:rPr>
          <w:vertAlign w:val="superscript"/>
        </w:rPr>
        <w:footnoteReference w:id="99"/>
      </w:r>
      <w:r w:rsidRPr="00AD2F44">
        <w:t xml:space="preserve"> Some courts will permit affidavits filed in support of a motion for conditional certification that contain hearsay statements;</w:t>
      </w:r>
      <w:r>
        <w:rPr>
          <w:vertAlign w:val="superscript"/>
        </w:rPr>
        <w:footnoteReference w:id="100"/>
      </w:r>
      <w:r w:rsidRPr="00AD2F44">
        <w:t xml:space="preserve"> however, some courts will strike any hearsay statement or other statements in supporting affidavits that are not based on personal knowledge.</w:t>
      </w:r>
      <w:r>
        <w:rPr>
          <w:vertAlign w:val="superscript"/>
        </w:rPr>
        <w:footnoteReference w:id="101"/>
      </w:r>
      <w:r w:rsidRPr="00AD2F44">
        <w:t xml:space="preserve"> Courts have indicated that rebuttal evidence submitted by the defendant will not bar Section 216(b) notice if the plaintiffs’ “substantial allegations” successfully engage the employer’s affidavits to the contrary.</w:t>
      </w:r>
      <w:r>
        <w:rPr>
          <w:vertAlign w:val="superscript"/>
        </w:rPr>
        <w:footnoteReference w:id="102"/>
      </w:r>
      <w:r w:rsidRPr="00AD2F44">
        <w:t xml:space="preserve"> The inclusion of individual claims for the named plaintiffs does not necessarily render the named plaintiffs not similarly situated to opt-in plaintiffs as long as the named plaintiffs pursue the collective claims as well.</w:t>
      </w:r>
      <w:r>
        <w:rPr>
          <w:vertAlign w:val="superscript"/>
        </w:rPr>
        <w:footnoteReference w:id="103"/>
      </w:r>
      <w:r w:rsidRPr="00AD2F44">
        <w:t xml:space="preserve"> </w:t>
      </w:r>
    </w:p>
    <w:p w14:paraId="1AE7C1A1" w14:textId="77777777" w:rsidR="004322B1" w:rsidRPr="00AD2F44" w:rsidRDefault="004322B1">
      <w:pPr>
        <w:pStyle w:val="06Third-LevelHead123"/>
      </w:pPr>
      <w:r w:rsidRPr="00AD2F44">
        <w:t>2.</w:t>
      </w:r>
      <w:r w:rsidRPr="00AD2F44">
        <w:tab/>
        <w:t xml:space="preserve">The “Intermediate” or “Heightened” Standard for Conditional Certification Where Discovery Has Occurred </w:t>
      </w:r>
    </w:p>
    <w:p w14:paraId="47FC044C" w14:textId="77777777" w:rsidR="004322B1" w:rsidRPr="00AD2F44" w:rsidRDefault="004322B1">
      <w:pPr>
        <w:pStyle w:val="10ATextWithIndent"/>
        <w:rPr>
          <w:vertAlign w:val="superscript"/>
        </w:rPr>
      </w:pPr>
      <w:r w:rsidRPr="00AD2F44">
        <w:t>In some cases, the amount of discovery conducted before filing a motion for conditional certification may affect the standard that the court will apply to resolve the motion.</w:t>
      </w:r>
      <w:r>
        <w:rPr>
          <w:vertAlign w:val="superscript"/>
        </w:rPr>
        <w:footnoteReference w:id="104"/>
      </w:r>
      <w:r w:rsidRPr="00AD2F44">
        <w:t xml:space="preserve"> Some courts will employ a heightened level of scrutiny when some discovery has been conducted.</w:t>
      </w:r>
      <w:r>
        <w:rPr>
          <w:vertAlign w:val="superscript"/>
        </w:rPr>
        <w:footnoteReference w:id="105"/>
      </w:r>
      <w:r w:rsidRPr="00AD2F44">
        <w:t xml:space="preserve"> Many courts however, have rejected arguments for a more stringent standard when discovery has been conducted before filing the motion for collective action certification, reasoning that discovery is not yet completed, that potential opt-in plaintiffs deserve notice of the suit before a final evaluation of “similarly situated” status is made, or that no decision can be made without considering which employees have chosen to opt in.</w:t>
      </w:r>
      <w:r>
        <w:rPr>
          <w:vertAlign w:val="superscript"/>
        </w:rPr>
        <w:footnoteReference w:id="106"/>
      </w:r>
    </w:p>
    <w:p w14:paraId="2A3DA40A" w14:textId="77777777" w:rsidR="004322B1" w:rsidRPr="00AD2F44" w:rsidRDefault="004322B1">
      <w:pPr>
        <w:pStyle w:val="06Third-LevelHead123"/>
      </w:pPr>
      <w:r w:rsidRPr="00AD2F44">
        <w:t>3.</w:t>
      </w:r>
      <w:r w:rsidRPr="00AD2F44">
        <w:tab/>
        <w:t>Scope of Discovery Prior to Conditional Certification</w:t>
      </w:r>
    </w:p>
    <w:p w14:paraId="19CAD19A" w14:textId="77777777" w:rsidR="004322B1" w:rsidRPr="00AD2F44" w:rsidRDefault="004322B1">
      <w:pPr>
        <w:pStyle w:val="10ATextWithIndent"/>
        <w:rPr>
          <w:spacing w:val="1"/>
        </w:rPr>
      </w:pPr>
      <w:r w:rsidRPr="00AD2F44">
        <w:t>Given the low evidentiary standard at the notice stage, and given that delay in ruling on conditional certification has statute of limitations consequences for potential opt-ins, a court may decide the conditional certification question before discovery is conducted.</w:t>
      </w:r>
      <w:r>
        <w:rPr>
          <w:vertAlign w:val="superscript"/>
        </w:rPr>
        <w:footnoteReference w:id="107"/>
      </w:r>
      <w:r w:rsidRPr="00AD2F44">
        <w:t xml:space="preserve"> Courts often deny defendants’ precertification requests to take discovery related to conditional certification by explicitly denying such requests or simply by granting certification and notice without ruling on such requests.</w:t>
      </w:r>
      <w:r>
        <w:rPr>
          <w:rStyle w:val="FootnoteReference"/>
        </w:rPr>
        <w:footnoteReference w:id="108"/>
      </w:r>
      <w:r w:rsidRPr="00AD2F44">
        <w:t xml:space="preserve"> Some courts have permitted some discovery before ruling on certification and notice, but usually when it is the plaintiff seeking discovery to assist in moving for conditional certification and notice.</w:t>
      </w:r>
    </w:p>
    <w:p w14:paraId="14D7BCBE" w14:textId="77777777" w:rsidR="004322B1" w:rsidRPr="00AD2F44" w:rsidRDefault="004322B1">
      <w:pPr>
        <w:pStyle w:val="07Fourth-LevelHeadabc"/>
      </w:pPr>
      <w:r w:rsidRPr="00AD2F44">
        <w:t>a.</w:t>
      </w:r>
      <w:r w:rsidRPr="00AD2F44">
        <w:tab/>
        <w:t>Cases Denying Discovery</w:t>
      </w:r>
    </w:p>
    <w:p w14:paraId="3370768D" w14:textId="77777777" w:rsidR="004322B1" w:rsidRPr="00AD2F44" w:rsidRDefault="004322B1">
      <w:pPr>
        <w:pStyle w:val="08Fifth-LevelHeadi"/>
      </w:pPr>
      <w:r w:rsidRPr="00AD2F44">
        <w:t>(</w:t>
      </w:r>
      <w:proofErr w:type="spellStart"/>
      <w:r w:rsidRPr="00AD2F44">
        <w:t>i</w:t>
      </w:r>
      <w:proofErr w:type="spellEnd"/>
      <w:r w:rsidRPr="00AD2F44">
        <w:t>.)</w:t>
      </w:r>
      <w:r w:rsidRPr="00AD2F44">
        <w:tab/>
        <w:t>Cases Explicitly Denying Discovery</w:t>
      </w:r>
    </w:p>
    <w:p w14:paraId="7C80DB88" w14:textId="77777777" w:rsidR="004322B1" w:rsidRPr="00AD2F44" w:rsidRDefault="004322B1">
      <w:pPr>
        <w:pStyle w:val="10ATextWithIndent"/>
      </w:pPr>
      <w:r w:rsidRPr="00AD2F44">
        <w:t>Courts that deny defendants discovery prior to conditional certification generally do so on the grounds that it is inconsistent with the two-step process for certification of collective actions, as it inevitably leads defendants to argue for applying the second-stage standard, or because it would cause unacceptable delay, given that the statute of limitations would continue to run until a decision is made.</w:t>
      </w:r>
    </w:p>
    <w:p w14:paraId="7672E837" w14:textId="77777777" w:rsidR="004322B1" w:rsidRPr="00AD2F44" w:rsidRDefault="004322B1">
      <w:pPr>
        <w:pStyle w:val="10ATextWithIndent"/>
      </w:pPr>
      <w:r w:rsidRPr="00AD2F44">
        <w:t xml:space="preserve">For example, in </w:t>
      </w:r>
      <w:r w:rsidRPr="00AD2F44">
        <w:rPr>
          <w:i/>
          <w:iCs/>
        </w:rPr>
        <w:t>Anderson v. Perdue Farms</w:t>
      </w:r>
      <w:r w:rsidRPr="00AD2F44">
        <w:t>,</w:t>
      </w:r>
      <w:r>
        <w:rPr>
          <w:vertAlign w:val="superscript"/>
        </w:rPr>
        <w:footnoteReference w:id="109"/>
      </w:r>
      <w:r w:rsidRPr="00AD2F44">
        <w:t xml:space="preserve"> the court granted the plaintiffs’ motion to quash notices of deposition and stay discovery that the defendant sought to respond to the plaintiffs’ motion for notice. The court noted that if it permitted discovery, or if extensive discovery had been completed at the time the plaintiffs filed their motion, then the court should apply a more rigorous standard for certification.</w:t>
      </w:r>
      <w:r>
        <w:rPr>
          <w:vertAlign w:val="superscript"/>
        </w:rPr>
        <w:footnoteReference w:id="110"/>
      </w:r>
      <w:r w:rsidRPr="00AD2F44">
        <w:t xml:space="preserve"> The court noted that “allowing discovery at this stage would effectively move the process to the second stage of the [ ] two-tiered approach” and that to be consistent with the approach suggested it would deny discovery.</w:t>
      </w:r>
      <w:r>
        <w:rPr>
          <w:vertAlign w:val="superscript"/>
        </w:rPr>
        <w:footnoteReference w:id="111"/>
      </w:r>
      <w:r w:rsidRPr="00AD2F44">
        <w:t xml:space="preserve"> The defendant was thus limited to submitting affidavits or other evidence in its possession to oppose notice.</w:t>
      </w:r>
      <w:r>
        <w:rPr>
          <w:vertAlign w:val="superscript"/>
        </w:rPr>
        <w:footnoteReference w:id="112"/>
      </w:r>
      <w:r w:rsidRPr="00AD2F44">
        <w:t xml:space="preserve"> </w:t>
      </w:r>
    </w:p>
    <w:p w14:paraId="314370E8" w14:textId="77777777" w:rsidR="004322B1" w:rsidRPr="00AD2F44" w:rsidRDefault="004322B1">
      <w:pPr>
        <w:pStyle w:val="10ATextWithIndent"/>
        <w:rPr>
          <w:vertAlign w:val="superscript"/>
        </w:rPr>
      </w:pPr>
      <w:r w:rsidRPr="00AD2F44">
        <w:t>Some courts denying precertification discovery have focused on the lack of prejudice to defendants due to the fact that certification is conditional and can be revisited after full discovery is complete.</w:t>
      </w:r>
      <w:r>
        <w:rPr>
          <w:vertAlign w:val="superscript"/>
        </w:rPr>
        <w:footnoteReference w:id="113"/>
      </w:r>
      <w:r w:rsidRPr="00AD2F44">
        <w:t xml:space="preserve"> Other courts have focused more on the need for early notice due to the running of the statute of limitations.</w:t>
      </w:r>
      <w:r>
        <w:rPr>
          <w:vertAlign w:val="superscript"/>
        </w:rPr>
        <w:footnoteReference w:id="114"/>
      </w:r>
    </w:p>
    <w:p w14:paraId="034F2F8E" w14:textId="77777777" w:rsidR="004322B1" w:rsidRPr="00AD2F44" w:rsidRDefault="004322B1">
      <w:pPr>
        <w:pStyle w:val="08Fifth-LevelHeadi"/>
      </w:pPr>
      <w:r w:rsidRPr="00AD2F44">
        <w:t>(ii.)</w:t>
      </w:r>
      <w:r w:rsidRPr="00AD2F44">
        <w:tab/>
        <w:t xml:space="preserve">Cases Granting Notice and Noting No Need to Await Discovery </w:t>
      </w:r>
    </w:p>
    <w:p w14:paraId="0FE001B4" w14:textId="77777777" w:rsidR="004322B1" w:rsidRPr="00AD2F44" w:rsidRDefault="004322B1">
      <w:pPr>
        <w:pStyle w:val="10ATextWithIndent"/>
        <w:rPr>
          <w:vertAlign w:val="superscript"/>
        </w:rPr>
      </w:pPr>
      <w:r w:rsidRPr="00AD2F44">
        <w:t>When faced with a request to deny pre-notice discovery, many courts have ruled on the conditional certification motion, instead of explicitly denying such requests, while also noting that discovery has not taken place yet or that it is unnecessary or even inappropriate to permit more discovery prior to ruling on the motion.</w:t>
      </w:r>
      <w:r>
        <w:rPr>
          <w:vertAlign w:val="superscript"/>
        </w:rPr>
        <w:footnoteReference w:id="115"/>
      </w:r>
    </w:p>
    <w:p w14:paraId="1FAE02D4" w14:textId="77777777" w:rsidR="004322B1" w:rsidRPr="00AD2F44" w:rsidRDefault="004322B1">
      <w:pPr>
        <w:pStyle w:val="07Fourth-LevelHeadabc"/>
      </w:pPr>
      <w:r w:rsidRPr="00AD2F44">
        <w:t>b.</w:t>
      </w:r>
      <w:r w:rsidRPr="00AD2F44">
        <w:tab/>
        <w:t>Cases Granting Discovery</w:t>
      </w:r>
    </w:p>
    <w:p w14:paraId="71AF3E7A" w14:textId="77777777" w:rsidR="004322B1" w:rsidRPr="001934B1" w:rsidRDefault="004322B1">
      <w:pPr>
        <w:pStyle w:val="10ATextWithIndent"/>
        <w:rPr>
          <w:vertAlign w:val="superscript"/>
        </w:rPr>
      </w:pPr>
      <w:r w:rsidRPr="00AD2F44">
        <w:t>Most of the cases in which discovery has been granted prior to a ruling on notice are cases in which plaintiffs have sought discovery they believed necessary to presenting their motion for conditional certification. Courts that permit such discovery have generally described pre-notice discovery as “limited.”</w:t>
      </w:r>
      <w:r>
        <w:rPr>
          <w:vertAlign w:val="superscript"/>
        </w:rPr>
        <w:footnoteReference w:id="116"/>
      </w:r>
      <w:r w:rsidRPr="00AD2F44">
        <w:t xml:space="preserve"> Specifically, courts have permitted discovery of such matters as prior litigation or administrative investigations of defendants’ wage and hour practices, job descriptions, and similar information that would assist plaintiffs in defining the proposed class and demonstrating that named plaintiffs are similarly situated to the proposed class.</w:t>
      </w:r>
      <w:r>
        <w:rPr>
          <w:vertAlign w:val="superscript"/>
        </w:rPr>
        <w:footnoteReference w:id="117"/>
      </w:r>
      <w:r>
        <w:t xml:space="preserve"> Some district courts in the Fifth Circuit, post-</w:t>
      </w:r>
      <w:r>
        <w:rPr>
          <w:i/>
          <w:iCs/>
        </w:rPr>
        <w:t>Swales</w:t>
      </w:r>
      <w:r>
        <w:t>, have permitted limited discovery on the issue of whether collective action members are similarly situated.</w:t>
      </w:r>
      <w:r>
        <w:rPr>
          <w:rStyle w:val="FootnoteReference"/>
        </w:rPr>
        <w:footnoteReference w:id="118"/>
      </w:r>
    </w:p>
    <w:p w14:paraId="6AFCC8C0" w14:textId="77777777" w:rsidR="004322B1" w:rsidRPr="00AD2F44" w:rsidRDefault="004322B1">
      <w:pPr>
        <w:pStyle w:val="07Fourth-LevelHeadabc"/>
        <w:ind w:left="1440" w:hanging="720"/>
      </w:pPr>
      <w:r w:rsidRPr="00AD2F44">
        <w:t>c.</w:t>
      </w:r>
      <w:r w:rsidRPr="00AD2F44">
        <w:tab/>
        <w:t>Cases Addressing Whether Discovery of Names and Addresses of Potential Opt-In Plaintiffs Is Appropriate in Advance of Conditional Certification</w:t>
      </w:r>
    </w:p>
    <w:p w14:paraId="7EAE6675" w14:textId="77777777" w:rsidR="004322B1" w:rsidRPr="00AD2F44" w:rsidRDefault="004322B1">
      <w:pPr>
        <w:pStyle w:val="10ATextWithIndent"/>
        <w:rPr>
          <w:vertAlign w:val="superscript"/>
        </w:rPr>
      </w:pPr>
      <w:r w:rsidRPr="00AD2F44">
        <w:t xml:space="preserve">Courts granting motions to compel the production of names and addresses of class members prior to conditional certification have reasoned that the production of this information is appropriate to assist the plaintiffs in supporting their claims of </w:t>
      </w:r>
      <w:proofErr w:type="spellStart"/>
      <w:r w:rsidRPr="00AD2F44">
        <w:t>classwide</w:t>
      </w:r>
      <w:proofErr w:type="spellEnd"/>
      <w:r w:rsidRPr="00AD2F44">
        <w:t xml:space="preserve"> FLSA violations and to identify individuals who may wish to opt in to the action.</w:t>
      </w:r>
      <w:r>
        <w:rPr>
          <w:vertAlign w:val="superscript"/>
        </w:rPr>
        <w:footnoteReference w:id="119"/>
      </w:r>
    </w:p>
    <w:p w14:paraId="039D8853" w14:textId="77777777" w:rsidR="004322B1" w:rsidRPr="00AD2F44" w:rsidRDefault="004322B1">
      <w:pPr>
        <w:pStyle w:val="10ATextWithIndent"/>
        <w:rPr>
          <w:vertAlign w:val="superscript"/>
        </w:rPr>
      </w:pPr>
      <w:r w:rsidRPr="00AD2F44">
        <w:t>On the other hand, courts that have denied such pre-notice requests for names and contact information for potential opt-in plaintiffs have done so reasoning that such requests are premature prior to a determination of whether notice should be approved to the putative class.</w:t>
      </w:r>
      <w:r>
        <w:rPr>
          <w:vertAlign w:val="superscript"/>
        </w:rPr>
        <w:footnoteReference w:id="120"/>
      </w:r>
      <w:r w:rsidRPr="00AD2F44">
        <w:t xml:space="preserve"> Some courts have allowed discovery of the names and contact information of putative class members, but limited discovery to those who worked in the same location as the named plaintiffs, and denied discovery as to other putative class members.</w:t>
      </w:r>
      <w:r>
        <w:rPr>
          <w:vertAlign w:val="superscript"/>
        </w:rPr>
        <w:footnoteReference w:id="121"/>
      </w:r>
      <w:r w:rsidRPr="00AD2F44">
        <w:t xml:space="preserve"> A court also has denied discovery of names and addresses of putative class members where the lead plaintiff has accepted a Rule 68 offer of judgment, which mooted the lead plaintiff’s claim.</w:t>
      </w:r>
      <w:r>
        <w:rPr>
          <w:vertAlign w:val="superscript"/>
        </w:rPr>
        <w:footnoteReference w:id="122"/>
      </w:r>
    </w:p>
    <w:p w14:paraId="4D838855" w14:textId="77777777" w:rsidR="004322B1" w:rsidRPr="00AD2F44" w:rsidRDefault="004322B1">
      <w:pPr>
        <w:pStyle w:val="06Third-LevelHead123"/>
      </w:pPr>
      <w:r w:rsidRPr="00AD2F44">
        <w:t>4.</w:t>
      </w:r>
      <w:r w:rsidRPr="00AD2F44">
        <w:tab/>
        <w:t>Issues Courts Have Considered in Determining Whether to Grant Conditional Certification</w:t>
      </w:r>
    </w:p>
    <w:p w14:paraId="4A11F6DA" w14:textId="77777777" w:rsidR="004322B1" w:rsidRPr="00AD2F44" w:rsidRDefault="004322B1">
      <w:pPr>
        <w:pStyle w:val="10ATextWithIndent"/>
      </w:pPr>
      <w:r w:rsidRPr="00AD2F44">
        <w:t>Under Section 216(b), courts will grant conditional certification if the plaintiffs establish that they are similarly situated to the potential opt-in plaintiffs. In making this determination, courts review such factors as geographical scope, variance in job duties, individualized allegations or defenses, interest in joining the action, similar practices or policies, whether dispositive issues should be resolved first, the time period of employment, and whether multiple employers are involved. However, the relevance of such factors to the conditional certification of a particular class is determined on a case-by-case basis.</w:t>
      </w:r>
    </w:p>
    <w:p w14:paraId="2E37D819" w14:textId="77777777" w:rsidR="004322B1" w:rsidRPr="00AD2F44" w:rsidRDefault="004322B1">
      <w:pPr>
        <w:pStyle w:val="07Fourth-LevelHeadabc"/>
      </w:pPr>
      <w:r w:rsidRPr="00AD2F44">
        <w:t>a.</w:t>
      </w:r>
      <w:r w:rsidRPr="00AD2F44">
        <w:tab/>
        <w:t>Geographical Scope</w:t>
      </w:r>
    </w:p>
    <w:p w14:paraId="2F69F4D3" w14:textId="77777777" w:rsidR="004322B1" w:rsidRPr="00AD2F44" w:rsidRDefault="004322B1">
      <w:pPr>
        <w:pStyle w:val="10ATextWithIndent"/>
      </w:pPr>
      <w:r w:rsidRPr="00AD2F44">
        <w:t>Courts have readily certified classes covering broad geographic areas when the plaintiffs have presented sufficient evidence of similar alleged violations of the FLSA.</w:t>
      </w:r>
      <w:r>
        <w:rPr>
          <w:vertAlign w:val="superscript"/>
        </w:rPr>
        <w:footnoteReference w:id="123"/>
      </w:r>
      <w:r w:rsidRPr="00AD2F44">
        <w:t xml:space="preserve"> For example, in </w:t>
      </w:r>
      <w:r w:rsidRPr="00AD2F44">
        <w:rPr>
          <w:i/>
          <w:iCs/>
        </w:rPr>
        <w:t>Harrison v. Enterprise Rent-A-Car Co</w:t>
      </w:r>
      <w:r w:rsidRPr="00AD2F44">
        <w:t>.,</w:t>
      </w:r>
      <w:r>
        <w:rPr>
          <w:vertAlign w:val="superscript"/>
        </w:rPr>
        <w:footnoteReference w:id="124"/>
      </w:r>
      <w:r w:rsidRPr="00AD2F44">
        <w:t xml:space="preserve"> the court authorized nationwide notice to all “management assistants” based on declarations from eight named plaintiffs and 58 opt-in plaintiffs employed in 13 states as management assistants that they performed similar job duties and were classified as exempt under the FLSA and not paid overtime compensation. Similarly, in </w:t>
      </w:r>
      <w:r w:rsidRPr="00AD2F44">
        <w:rPr>
          <w:i/>
          <w:iCs/>
        </w:rPr>
        <w:t>Loy v. Rehab Synergies, LLC</w:t>
      </w:r>
      <w:r w:rsidRPr="00AD2F44">
        <w:t>,</w:t>
      </w:r>
      <w:r>
        <w:rPr>
          <w:vertAlign w:val="superscript"/>
        </w:rPr>
        <w:footnoteReference w:id="125"/>
      </w:r>
      <w:r w:rsidRPr="00AD2F44">
        <w:t xml:space="preserve"> the district court granted conditional certification companywide based on evidence from two of the defendant’s 44 locations showing a uniform policy requiring off-the-clock work companywide.</w:t>
      </w:r>
    </w:p>
    <w:p w14:paraId="0EE20FE8" w14:textId="77777777" w:rsidR="004322B1" w:rsidRPr="00AD2F44" w:rsidRDefault="004322B1">
      <w:pPr>
        <w:pStyle w:val="10ATextWithIndent"/>
      </w:pPr>
      <w:r w:rsidRPr="00AD2F44">
        <w:t>However, courts have limited the geographic scope of the notice in cases where the plaintiffs have failed to allege or provide sufficient supporting affidavits or other evidence of similar violations outside of the geographic location in which the plaintiffs were employed.</w:t>
      </w:r>
      <w:r>
        <w:rPr>
          <w:vertAlign w:val="superscript"/>
        </w:rPr>
        <w:footnoteReference w:id="126"/>
      </w:r>
      <w:r w:rsidRPr="00AD2F44">
        <w:t xml:space="preserve"> For example, in </w:t>
      </w:r>
      <w:r w:rsidRPr="00AD2F44">
        <w:rPr>
          <w:i/>
          <w:iCs/>
        </w:rPr>
        <w:t>Gonzales v. Hair Club for Men, Ltd., Inc</w:t>
      </w:r>
      <w:r w:rsidRPr="00AD2F44">
        <w:t>.,</w:t>
      </w:r>
      <w:r>
        <w:rPr>
          <w:vertAlign w:val="superscript"/>
        </w:rPr>
        <w:footnoteReference w:id="127"/>
      </w:r>
      <w:r w:rsidRPr="00AD2F44">
        <w:t xml:space="preserve"> the court denied a motion for “companywide” certification where the named plaintiff and two potential opt-in plaintiffs failed to claim any knowledge of violations outside of the one office where all three were employed and the employer had filed an affidavit indicating that hair stylists at each location were required to complete time records and were not allowed to work more than 40 hours per week without prior management approval.</w:t>
      </w:r>
      <w:r>
        <w:rPr>
          <w:vertAlign w:val="superscript"/>
        </w:rPr>
        <w:footnoteReference w:id="128"/>
      </w:r>
      <w:r w:rsidRPr="00AD2F44">
        <w:t xml:space="preserve"> </w:t>
      </w:r>
    </w:p>
    <w:p w14:paraId="1188F52D" w14:textId="77777777" w:rsidR="004322B1" w:rsidRPr="00AD2F44" w:rsidRDefault="004322B1">
      <w:pPr>
        <w:pStyle w:val="07Fourth-LevelHeadabc"/>
      </w:pPr>
      <w:r w:rsidRPr="00AD2F44">
        <w:t>b.</w:t>
      </w:r>
      <w:r w:rsidRPr="00AD2F44">
        <w:tab/>
        <w:t>Variance in Job Duties</w:t>
      </w:r>
    </w:p>
    <w:p w14:paraId="4E32742C" w14:textId="77777777" w:rsidR="004322B1" w:rsidRPr="00AD2F44" w:rsidRDefault="004322B1">
      <w:pPr>
        <w:pStyle w:val="10ATextWithIndent"/>
        <w:rPr>
          <w:vertAlign w:val="superscript"/>
        </w:rPr>
      </w:pPr>
      <w:r w:rsidRPr="00AD2F44">
        <w:t>Courts generally require that the plaintiffs and potential opt-in plaintiffs have similar job duties or evidence that they are affected by the defendant’s conduct in a similar manner.</w:t>
      </w:r>
      <w:r>
        <w:rPr>
          <w:vertAlign w:val="superscript"/>
        </w:rPr>
        <w:footnoteReference w:id="129"/>
      </w:r>
      <w:r w:rsidRPr="00AD2F44">
        <w:t xml:space="preserve"> In </w:t>
      </w:r>
      <w:r w:rsidRPr="00AD2F44">
        <w:rPr>
          <w:i/>
          <w:iCs/>
        </w:rPr>
        <w:t>Reed v. Mobile County School System</w:t>
      </w:r>
      <w:r w:rsidRPr="00AD2F44">
        <w:t>,</w:t>
      </w:r>
      <w:r>
        <w:rPr>
          <w:vertAlign w:val="superscript"/>
        </w:rPr>
        <w:footnoteReference w:id="130"/>
      </w:r>
      <w:r w:rsidRPr="00AD2F44">
        <w:t xml:space="preserve"> the court explained that “different jobs generally carry different responsibilities and often require different hours of employment, undermining the similarity between the employees.”</w:t>
      </w:r>
      <w:r>
        <w:rPr>
          <w:vertAlign w:val="superscript"/>
        </w:rPr>
        <w:footnoteReference w:id="131"/>
      </w:r>
      <w:r w:rsidRPr="00AD2F44">
        <w:t xml:space="preserve"> However, there is no requirement that the job duties be identical.</w:t>
      </w:r>
      <w:r>
        <w:rPr>
          <w:vertAlign w:val="superscript"/>
        </w:rPr>
        <w:footnoteReference w:id="132"/>
      </w:r>
      <w:r w:rsidRPr="00AD2F44">
        <w:t xml:space="preserve"> For example, in </w:t>
      </w:r>
      <w:r w:rsidRPr="00AD2F44">
        <w:rPr>
          <w:i/>
          <w:iCs/>
        </w:rPr>
        <w:t>Harrison v. Enterprise Rent-A-Car Co</w:t>
      </w:r>
      <w:r w:rsidRPr="00AD2F44">
        <w:t>.,</w:t>
      </w:r>
      <w:r>
        <w:rPr>
          <w:vertAlign w:val="superscript"/>
        </w:rPr>
        <w:footnoteReference w:id="133"/>
      </w:r>
      <w:r w:rsidRPr="00AD2F44">
        <w:t xml:space="preserve"> the court rejected the employer’s assertion that the duties performed by the company’s management assistants were “too wide and too varied” for them to be considered “similarly situated.”</w:t>
      </w:r>
      <w:r>
        <w:rPr>
          <w:vertAlign w:val="superscript"/>
        </w:rPr>
        <w:footnoteReference w:id="134"/>
      </w:r>
      <w:r w:rsidRPr="00AD2F44">
        <w:t xml:space="preserve"> The court indicated that, although a more rigorous analysis might result in decertification after discovery, allegations of similar job duties were sufficient at the notice stage.</w:t>
      </w:r>
      <w:r>
        <w:rPr>
          <w:vertAlign w:val="superscript"/>
        </w:rPr>
        <w:footnoteReference w:id="135"/>
      </w:r>
    </w:p>
    <w:p w14:paraId="009F9800" w14:textId="77777777" w:rsidR="004322B1" w:rsidRPr="00AD2F44" w:rsidRDefault="004322B1">
      <w:pPr>
        <w:pStyle w:val="10ATextWithIndent"/>
        <w:rPr>
          <w:vertAlign w:val="superscript"/>
        </w:rPr>
      </w:pPr>
      <w:r w:rsidRPr="00AD2F44">
        <w:t>Courts have conditionally certified classes containing employees who performed varying job duties in cases where the plaintiff is able to demonstrate the similarly situated requirement by establishing that employees holding multiple job titles were treated in a uniform manner.</w:t>
      </w:r>
      <w:r>
        <w:rPr>
          <w:vertAlign w:val="superscript"/>
        </w:rPr>
        <w:footnoteReference w:id="136"/>
      </w:r>
      <w:r w:rsidRPr="00AD2F44">
        <w:t xml:space="preserve"> For example, in </w:t>
      </w:r>
      <w:r w:rsidRPr="00AD2F44">
        <w:rPr>
          <w:i/>
          <w:iCs/>
        </w:rPr>
        <w:t>Harper v. Lovett’s Buffet, Inc</w:t>
      </w:r>
      <w:r w:rsidRPr="00AD2F44">
        <w:t>.,</w:t>
      </w:r>
      <w:r>
        <w:rPr>
          <w:vertAlign w:val="superscript"/>
        </w:rPr>
        <w:footnoteReference w:id="137"/>
      </w:r>
      <w:r w:rsidRPr="00AD2F44">
        <w:t xml:space="preserve"> the court found that all “hourly wage employees” in the defendant’s restaurant were similarly situated based on evidence that the hourly employees were subjected to “management’s practice of clocking them out while they were, presumably, still working.”</w:t>
      </w:r>
      <w:r>
        <w:rPr>
          <w:vertAlign w:val="superscript"/>
        </w:rPr>
        <w:footnoteReference w:id="138"/>
      </w:r>
    </w:p>
    <w:p w14:paraId="0596ED94" w14:textId="77777777" w:rsidR="004322B1" w:rsidRPr="00AD2F44" w:rsidRDefault="004322B1">
      <w:pPr>
        <w:pStyle w:val="10ATextWithIndent"/>
        <w:rPr>
          <w:vertAlign w:val="superscript"/>
        </w:rPr>
      </w:pPr>
      <w:r w:rsidRPr="00AD2F44">
        <w:t>Courts have refused to extend certification to job classifications not held by the named plaintiffs where the plaintiffs’ evidence failed to establish that the policy at issue affected individuals in the excluded job classification in a similar manner.</w:t>
      </w:r>
      <w:r>
        <w:rPr>
          <w:vertAlign w:val="superscript"/>
        </w:rPr>
        <w:footnoteReference w:id="139"/>
      </w:r>
      <w:r w:rsidRPr="00AD2F44">
        <w:t xml:space="preserve"> For example, in </w:t>
      </w:r>
      <w:r w:rsidRPr="00AD2F44">
        <w:rPr>
          <w:i/>
          <w:iCs/>
        </w:rPr>
        <w:t>Sherrill v. Sutherland Global Services</w:t>
      </w:r>
      <w:r w:rsidRPr="00AD2F44">
        <w:t>,</w:t>
      </w:r>
      <w:r>
        <w:rPr>
          <w:vertAlign w:val="superscript"/>
        </w:rPr>
        <w:footnoteReference w:id="140"/>
      </w:r>
      <w:r w:rsidRPr="00AD2F44">
        <w:t xml:space="preserve"> a district court refused to extend conditional certification to “all hourly employees” based on the plaintiffs’ showing that the same timekeeping system was used for all hourly employees.</w:t>
      </w:r>
      <w:r>
        <w:rPr>
          <w:vertAlign w:val="superscript"/>
        </w:rPr>
        <w:footnoteReference w:id="141"/>
      </w:r>
      <w:r w:rsidRPr="00AD2F44">
        <w:t xml:space="preserve"> The plaintiffs had provided evidence that employees who performed telemarketing services allegedly were subject to a one-hour meal deduction even if the employees worked through lunch, were being denied compensation for preliminary and postliminary job duties, and were not being paid overtime compensation for commissions, but failed to establish that other hourly employees were subjected to these same policies. Courts have also refused to grant conditional certification where the plaintiffs’ job duties varied meaningfully from other employees within the same job position or the plaintiffs did not introduce evidence that others within the same job position were performing similar duties.</w:t>
      </w:r>
      <w:r>
        <w:rPr>
          <w:vertAlign w:val="superscript"/>
        </w:rPr>
        <w:footnoteReference w:id="142"/>
      </w:r>
    </w:p>
    <w:p w14:paraId="0A24F560" w14:textId="77777777" w:rsidR="004322B1" w:rsidRPr="00AD2F44" w:rsidRDefault="004322B1">
      <w:pPr>
        <w:pStyle w:val="07Fourth-LevelHeadabc"/>
      </w:pPr>
      <w:r w:rsidRPr="00AD2F44">
        <w:t>c.</w:t>
      </w:r>
      <w:r w:rsidRPr="00AD2F44">
        <w:tab/>
        <w:t>Individualized Allegations or Defenses</w:t>
      </w:r>
    </w:p>
    <w:p w14:paraId="46E62219" w14:textId="77777777" w:rsidR="004322B1" w:rsidRPr="00AD2F44" w:rsidRDefault="004322B1">
      <w:pPr>
        <w:pStyle w:val="10ATextWithIndent"/>
        <w:rPr>
          <w:vertAlign w:val="superscript"/>
        </w:rPr>
      </w:pPr>
      <w:r w:rsidRPr="00AD2F44">
        <w:t>Employers commonly argue that the employees’ claims or the employer’s defenses are too individualized for conditional certification.</w:t>
      </w:r>
      <w:r>
        <w:rPr>
          <w:vertAlign w:val="superscript"/>
        </w:rPr>
        <w:footnoteReference w:id="143"/>
      </w:r>
      <w:r w:rsidRPr="00AD2F44">
        <w:t xml:space="preserve"> Courts generally do not deny conditional certification at the notice stage based on such arguments and instead hold that these issues are better raised in a motion to decertify a class after discovery has been conducted.</w:t>
      </w:r>
      <w:r>
        <w:rPr>
          <w:vertAlign w:val="superscript"/>
        </w:rPr>
        <w:footnoteReference w:id="144"/>
      </w:r>
      <w:r w:rsidRPr="00AD2F44">
        <w:t xml:space="preserve"> However, at the notice stage, courts have considered the following factors in denying conditional certification: differences in the way the plaintiffs and opt-in plaintiffs are classified for overtime purposes, the size of stores where the plaintiffs worked versus the opt-in plaintiffs, specific job duties performed by the plaintiffs versus the opt-in plaintiffs, and state laws applicable to plaintiffs versus the opt-in plaintiffs.</w:t>
      </w:r>
      <w:r>
        <w:rPr>
          <w:vertAlign w:val="superscript"/>
        </w:rPr>
        <w:footnoteReference w:id="145"/>
      </w:r>
    </w:p>
    <w:p w14:paraId="05B6F8D3" w14:textId="77777777" w:rsidR="004322B1" w:rsidRPr="00AD2F44" w:rsidRDefault="004322B1">
      <w:pPr>
        <w:pStyle w:val="07Fourth-LevelHeadabc"/>
      </w:pPr>
      <w:r w:rsidRPr="00AD2F44">
        <w:t>d.</w:t>
      </w:r>
      <w:r w:rsidRPr="00AD2F44">
        <w:tab/>
        <w:t>Interest in Joining the Action</w:t>
      </w:r>
    </w:p>
    <w:p w14:paraId="5774773D" w14:textId="77777777" w:rsidR="004322B1" w:rsidRPr="00AD2F44" w:rsidRDefault="004322B1">
      <w:pPr>
        <w:pStyle w:val="10ATextWithIndent"/>
        <w:rPr>
          <w:vertAlign w:val="superscript"/>
        </w:rPr>
      </w:pPr>
      <w:r w:rsidRPr="00AD2F44">
        <w:t>Some courts have required the plaintiffs to present sufficient evidence that opt-in plaintiffs desire to join the collective action.</w:t>
      </w:r>
      <w:r>
        <w:rPr>
          <w:vertAlign w:val="superscript"/>
        </w:rPr>
        <w:footnoteReference w:id="146"/>
      </w:r>
      <w:r w:rsidRPr="00AD2F44">
        <w:t xml:space="preserve"> Other courts have rejected the requirement that plaintiffs demonstrate interest by potential opt-in plaintiffs in order to obtain court-facilitated notice.</w:t>
      </w:r>
      <w:r>
        <w:rPr>
          <w:vertAlign w:val="superscript"/>
        </w:rPr>
        <w:footnoteReference w:id="147"/>
      </w:r>
      <w:r w:rsidRPr="00AD2F44">
        <w:t xml:space="preserve"> Evidence of other employees who desire to opt in may be based on affidavits, consents to join the lawsuit, or expert evidence on the existence of other similarly situated employees.</w:t>
      </w:r>
      <w:r>
        <w:rPr>
          <w:vertAlign w:val="superscript"/>
        </w:rPr>
        <w:footnoteReference w:id="148"/>
      </w:r>
    </w:p>
    <w:p w14:paraId="2A0F4F08" w14:textId="77777777" w:rsidR="004322B1" w:rsidRPr="00AD2F44" w:rsidRDefault="004322B1">
      <w:pPr>
        <w:pStyle w:val="10ATextWithIndent"/>
      </w:pPr>
      <w:r w:rsidRPr="00AD2F44">
        <w:t>Some courts have conducted a detailed analysis of whether interest by other potential opt-in plaintiffs had been established.</w:t>
      </w:r>
      <w:r>
        <w:rPr>
          <w:rStyle w:val="FootnoteReference"/>
        </w:rPr>
        <w:footnoteReference w:id="149"/>
      </w:r>
      <w:r w:rsidRPr="00AD2F44">
        <w:t xml:space="preserve"> For example, in </w:t>
      </w:r>
      <w:r w:rsidRPr="00AD2F44">
        <w:rPr>
          <w:i/>
          <w:iCs/>
        </w:rPr>
        <w:t>Rodgers v. CVS Pharmacy, Inc</w:t>
      </w:r>
      <w:r w:rsidRPr="00AD2F44">
        <w:t>.,</w:t>
      </w:r>
      <w:r>
        <w:rPr>
          <w:vertAlign w:val="superscript"/>
        </w:rPr>
        <w:footnoteReference w:id="150"/>
      </w:r>
      <w:r w:rsidRPr="00AD2F44">
        <w:t xml:space="preserve"> the court held that the named plaintiff had failed to meet the requirement of showing that other potential plaintiffs were interested in joining the case despite the plaintiff’s proof that (1) other employees had changes made to their timesheets with a manager override function in the employer’s computerized time recordkeeping system; (2) two opt-in plaintiffs from different locations filed affidavits asserting that they and other employees in their stores were the victims of similar time shaving by managers; (3) the DOL had received employee complaints unrelated to time shaving against the company; and (4) newspaper articles addressing the concept of retail stores shaving time contained a reference to one anonymous complaint against the employer unrelated to time shaving. In contrast, the employer submitted 31 affidavits from employees who worked with the named plaintiff and the two opt-in plaintiffs asserting that they had never been the victim of improper timekeeping practices. The court noted that in a year-long period since the filing of the action, the plaintiff had identified only two opt-in plaintiffs out of a putative collective that contained more than 250,000 employees.</w:t>
      </w:r>
    </w:p>
    <w:p w14:paraId="2857A0A7" w14:textId="77777777" w:rsidR="004322B1" w:rsidRPr="00AD2F44" w:rsidRDefault="004322B1">
      <w:pPr>
        <w:pStyle w:val="10ATextWithIndent"/>
      </w:pPr>
      <w:r w:rsidRPr="00AD2F44">
        <w:t>Other courts have required minimal evidence to support a finding that other employees desire to join the case.</w:t>
      </w:r>
      <w:r>
        <w:rPr>
          <w:vertAlign w:val="superscript"/>
        </w:rPr>
        <w:footnoteReference w:id="151"/>
      </w:r>
      <w:r w:rsidRPr="00AD2F44">
        <w:t xml:space="preserve"> For example, in </w:t>
      </w:r>
      <w:r w:rsidRPr="00AD2F44">
        <w:rPr>
          <w:i/>
          <w:iCs/>
        </w:rPr>
        <w:t>Guerra v. Big Johnson Concrete Pumping, Inc</w:t>
      </w:r>
      <w:r w:rsidRPr="00AD2F44">
        <w:t>.,</w:t>
      </w:r>
      <w:r>
        <w:rPr>
          <w:vertAlign w:val="superscript"/>
        </w:rPr>
        <w:footnoteReference w:id="152"/>
      </w:r>
      <w:r w:rsidRPr="00AD2F44">
        <w:t xml:space="preserve"> the court indicated that the filing of at least one affidavit from an opt-in plaintiff was sufficient to “raise the plaintiff’s contention [that other plaintiffs desire to opt in to the case] beyond one of mere speculation.”</w:t>
      </w:r>
      <w:r>
        <w:rPr>
          <w:vertAlign w:val="superscript"/>
        </w:rPr>
        <w:footnoteReference w:id="153"/>
      </w:r>
    </w:p>
    <w:p w14:paraId="44BAE9BB" w14:textId="77777777" w:rsidR="004322B1" w:rsidRPr="00AD2F44" w:rsidRDefault="004322B1">
      <w:pPr>
        <w:pStyle w:val="07Fourth-LevelHeadabc"/>
      </w:pPr>
      <w:r w:rsidRPr="00AD2F44">
        <w:t>e.</w:t>
      </w:r>
      <w:r w:rsidRPr="00AD2F44">
        <w:tab/>
        <w:t>Similar Practices or Policies</w:t>
      </w:r>
    </w:p>
    <w:p w14:paraId="51A57436" w14:textId="77777777" w:rsidR="004322B1" w:rsidRPr="00AD2F44" w:rsidRDefault="004322B1">
      <w:pPr>
        <w:pStyle w:val="10ATextWithIndent"/>
      </w:pPr>
      <w:r w:rsidRPr="00AD2F44">
        <w:t>Courts are likely to grant conditional certification in cases where the plaintiff establishes a single or common policy, practice, or pattern of FLSA violations.</w:t>
      </w:r>
      <w:r>
        <w:rPr>
          <w:vertAlign w:val="superscript"/>
        </w:rPr>
        <w:footnoteReference w:id="154"/>
      </w:r>
      <w:r w:rsidRPr="00AD2F44">
        <w:t xml:space="preserve"> For example, in </w:t>
      </w:r>
      <w:r w:rsidRPr="00AD2F44">
        <w:rPr>
          <w:i/>
          <w:iCs/>
        </w:rPr>
        <w:t>Carmody v. Florida Center for Recovery, Inc</w:t>
      </w:r>
      <w:r w:rsidRPr="00AD2F44">
        <w:t>.,</w:t>
      </w:r>
      <w:r>
        <w:rPr>
          <w:vertAlign w:val="superscript"/>
        </w:rPr>
        <w:footnoteReference w:id="155"/>
      </w:r>
      <w:r w:rsidRPr="00AD2F44">
        <w:t xml:space="preserve"> the court conditionally certified a class in part based on the allegation that the employer failed to pay nonexempt employees for overtime and pursued a policy of deducting 30 minutes from lunch irrespective of whether the employee actually took a lunch break. Similarly, in </w:t>
      </w:r>
      <w:r w:rsidRPr="00AD2F44">
        <w:rPr>
          <w:i/>
          <w:iCs/>
        </w:rPr>
        <w:t>Guerra v. Big Johnson Concrete Pumping, Inc</w:t>
      </w:r>
      <w:r w:rsidRPr="00AD2F44">
        <w:t>.,</w:t>
      </w:r>
      <w:r>
        <w:rPr>
          <w:vertAlign w:val="superscript"/>
        </w:rPr>
        <w:footnoteReference w:id="156"/>
      </w:r>
      <w:r w:rsidRPr="00AD2F44">
        <w:t xml:space="preserve"> the court conditionally certified a collective action based on the plaintiff’s allegation that the company had a practice of reducing an employee’s regular rate to minimum wage during the employee’s last week of employment, which resulted in the improper payment of overtime compensation for hours worked over 40. Along the same lines, in </w:t>
      </w:r>
      <w:r w:rsidRPr="00AD2F44">
        <w:rPr>
          <w:i/>
          <w:iCs/>
        </w:rPr>
        <w:t>Goode v. Nuance Communications, Inc.</w:t>
      </w:r>
      <w:r w:rsidRPr="00AD2F44">
        <w:t>,</w:t>
      </w:r>
      <w:r>
        <w:rPr>
          <w:vertAlign w:val="superscript"/>
        </w:rPr>
        <w:footnoteReference w:id="157"/>
      </w:r>
      <w:r w:rsidRPr="00AD2F44">
        <w:t xml:space="preserve"> the court granted conditional certification based on the claim (as evidenced by affidavits) that the employer had a practice of ignoring its written policy that employees should be paid for their rest breaks.</w:t>
      </w:r>
    </w:p>
    <w:p w14:paraId="53682E2F" w14:textId="77777777" w:rsidR="004322B1" w:rsidRPr="00AD2F44" w:rsidRDefault="004322B1">
      <w:pPr>
        <w:pStyle w:val="10ATextWithIndent"/>
      </w:pPr>
      <w:r w:rsidRPr="00AD2F44">
        <w:t>Failure to establish that the company had a single or common decision, policy, practice, or plan that resulted in the putative collective not being paid minimum wages or overtime compensation usually will result in denial of conditional certification.</w:t>
      </w:r>
      <w:r>
        <w:rPr>
          <w:vertAlign w:val="superscript"/>
        </w:rPr>
        <w:footnoteReference w:id="158"/>
      </w:r>
      <w:r w:rsidRPr="00AD2F44">
        <w:t xml:space="preserve"> For example, in </w:t>
      </w:r>
      <w:r w:rsidRPr="00AD2F44">
        <w:rPr>
          <w:i/>
          <w:iCs/>
        </w:rPr>
        <w:t>Saxton v. Title Max of Alabama, Inc</w:t>
      </w:r>
      <w:r w:rsidRPr="00AD2F44">
        <w:t>.,</w:t>
      </w:r>
      <w:r>
        <w:rPr>
          <w:vertAlign w:val="superscript"/>
        </w:rPr>
        <w:footnoteReference w:id="159"/>
      </w:r>
      <w:r w:rsidRPr="00AD2F44">
        <w:t xml:space="preserve"> 39 plaintiffs filed a putative collective action against their employer alleging that as assistant managers they were not properly paid overtime compensation. The court denied conditional certification as to a collective of assistant managers and found that the plaintiffs did “not offer </w:t>
      </w:r>
      <w:r w:rsidRPr="00AD2F44">
        <w:rPr>
          <w:i/>
          <w:iCs/>
        </w:rPr>
        <w:t>any</w:t>
      </w:r>
      <w:r w:rsidRPr="00AD2F44">
        <w:t xml:space="preserve"> detailed sworn statements or point to any ‘single decision, policy, or plan’ that allegedly resulted in the proposed opt-in class not receiving overtime wages in contravention of FLSA.”</w:t>
      </w:r>
      <w:r>
        <w:rPr>
          <w:vertAlign w:val="superscript"/>
        </w:rPr>
        <w:footnoteReference w:id="160"/>
      </w:r>
      <w:r w:rsidRPr="00AD2F44">
        <w:t xml:space="preserve"> The court noted that the company had presented 158 affidavits that tended to show compliance with the company’s stated rule that assistant managers do not work over 40 hours a week unless paid overtime.</w:t>
      </w:r>
    </w:p>
    <w:p w14:paraId="5EC0907F" w14:textId="77777777" w:rsidR="004322B1" w:rsidRPr="00AD2F44" w:rsidRDefault="004322B1">
      <w:pPr>
        <w:pStyle w:val="06Third-LevelHead123"/>
      </w:pPr>
      <w:r w:rsidRPr="00AD2F44">
        <w:t>5.</w:t>
      </w:r>
      <w:r w:rsidRPr="00AD2F44">
        <w:tab/>
        <w:t>Conditional Certification in Specific Types of Cases</w:t>
      </w:r>
    </w:p>
    <w:p w14:paraId="1C7446A9" w14:textId="77777777" w:rsidR="004322B1" w:rsidRPr="00AD2F44" w:rsidRDefault="004322B1">
      <w:pPr>
        <w:pStyle w:val="10ATextWithIndent"/>
      </w:pPr>
      <w:r w:rsidRPr="00AD2F44">
        <w:t>The factors courts consider at the conditional certification stage vary based on the type of case at issue. Therefore, this section analyzes judicial treatment of the conditional certification inquiry by the kind of case involved.</w:t>
      </w:r>
    </w:p>
    <w:p w14:paraId="33C771CD" w14:textId="77777777" w:rsidR="004322B1" w:rsidRPr="00AD2F44" w:rsidRDefault="004322B1">
      <w:pPr>
        <w:pStyle w:val="07Fourth-LevelHeadabc"/>
      </w:pPr>
      <w:r w:rsidRPr="00AD2F44">
        <w:t>a.</w:t>
      </w:r>
      <w:r w:rsidRPr="00AD2F44">
        <w:tab/>
        <w:t>Misclassification Cases</w:t>
      </w:r>
    </w:p>
    <w:p w14:paraId="056585FD" w14:textId="77777777" w:rsidR="004322B1" w:rsidRPr="00AD2F44" w:rsidRDefault="004322B1">
      <w:pPr>
        <w:pStyle w:val="08Fifth-LevelHeadi"/>
      </w:pPr>
      <w:r w:rsidRPr="00AD2F44">
        <w:t>(</w:t>
      </w:r>
      <w:proofErr w:type="spellStart"/>
      <w:r w:rsidRPr="00AD2F44">
        <w:t>i</w:t>
      </w:r>
      <w:proofErr w:type="spellEnd"/>
      <w:r w:rsidRPr="00AD2F44">
        <w:t>.)</w:t>
      </w:r>
      <w:r w:rsidRPr="00AD2F44">
        <w:tab/>
        <w:t>Exemption Cases</w:t>
      </w:r>
    </w:p>
    <w:p w14:paraId="22D1FD73" w14:textId="77777777" w:rsidR="004322B1" w:rsidRPr="00AD2F44" w:rsidRDefault="004322B1">
      <w:pPr>
        <w:pStyle w:val="10ATextWithIndent"/>
      </w:pPr>
      <w:r w:rsidRPr="00AD2F44">
        <w:t>Courts differ on whether an across-the-board decision of how to treat employees who perform similar duties is sufficient to conditionally certify a collective action. Some courts have held that because exempt/nonexempt classification decisions are frequently made on a position and companywide basis, plaintiffs in misclassification cases are often able to demonstrate that they were subject to a common policy or plan and therefore meet the relatively low threshold for first-stage certification.</w:t>
      </w:r>
      <w:r>
        <w:rPr>
          <w:vertAlign w:val="superscript"/>
        </w:rPr>
        <w:footnoteReference w:id="161"/>
      </w:r>
      <w:r w:rsidRPr="00AD2F44">
        <w:t xml:space="preserve"> As one court reasoned when granting conditional certification:</w:t>
      </w:r>
    </w:p>
    <w:p w14:paraId="6CF4E3A4" w14:textId="77777777" w:rsidR="004322B1" w:rsidRPr="00AD2F44" w:rsidRDefault="004322B1">
      <w:pPr>
        <w:pStyle w:val="09BBlockQuoteWithoutIndent"/>
        <w:rPr>
          <w:vertAlign w:val="superscript"/>
        </w:rPr>
      </w:pPr>
      <w:r w:rsidRPr="00AD2F44">
        <w:t>First and foremost, Plaintiffs have argued, and Defendants do not dispute, that Defendants had a custom, policy, or practice of classifying all sales representatives as exempt without performing any individualized analysis of their job duties. Thus, Defendants have found sufficient similarity in the job duties of their sales representatives that they treat them as one homogenous group for purposes of the FLSA. It is somewhat disingenuous, then, for Defendants to argue that they should be permitted to treat all sales representatives as one group for purposes of classifying them as exempt, but that this Court can only determine the validity of that classification by looking to the specific job duties of each individual sales representative.</w:t>
      </w:r>
      <w:r>
        <w:rPr>
          <w:vertAlign w:val="superscript"/>
        </w:rPr>
        <w:footnoteReference w:id="162"/>
      </w:r>
    </w:p>
    <w:p w14:paraId="09CDF3A2" w14:textId="77777777" w:rsidR="004322B1" w:rsidRPr="00AD2F44" w:rsidRDefault="004322B1">
      <w:pPr>
        <w:pStyle w:val="10ATextWithIndent"/>
        <w:rPr>
          <w:vertAlign w:val="superscript"/>
        </w:rPr>
      </w:pPr>
      <w:r w:rsidRPr="00AD2F44">
        <w:t xml:space="preserve">In upholding the trial court’s refusal to decertify an FLSA collective action, the Eleventh Circuit in </w:t>
      </w:r>
      <w:r w:rsidRPr="00AD2F44">
        <w:rPr>
          <w:i/>
          <w:iCs/>
        </w:rPr>
        <w:t>Morgan v. Family Dollar Stores, Inc</w:t>
      </w:r>
      <w:r w:rsidRPr="00AD2F44">
        <w:t>.</w:t>
      </w:r>
      <w:r>
        <w:rPr>
          <w:vertAlign w:val="superscript"/>
        </w:rPr>
        <w:footnoteReference w:id="163"/>
      </w:r>
      <w:r w:rsidRPr="00AD2F44">
        <w:t xml:space="preserve"> found persuasive “that Family Dollar applied the executive exemption across the board to every store manager—no matter the size, region, or sales volume of the store.”</w:t>
      </w:r>
      <w:r>
        <w:rPr>
          <w:vertAlign w:val="superscript"/>
        </w:rPr>
        <w:footnoteReference w:id="164"/>
      </w:r>
      <w:r w:rsidRPr="00AD2F44">
        <w:t xml:space="preserve"> “Plaintiffs’ evidence established that Family Dollar uniformly exempted all store managers from overtime pay requirements, and its exemption decision did not turn on any individualized factors. Not one. There is nothing unfair about litigating a single corporate decision in a single collective action.”</w:t>
      </w:r>
      <w:r>
        <w:rPr>
          <w:vertAlign w:val="superscript"/>
        </w:rPr>
        <w:footnoteReference w:id="165"/>
      </w:r>
    </w:p>
    <w:p w14:paraId="3D083471" w14:textId="77777777" w:rsidR="004322B1" w:rsidRPr="00AD2F44" w:rsidRDefault="004322B1">
      <w:pPr>
        <w:pStyle w:val="10ATextWithIndent"/>
        <w:rPr>
          <w:vertAlign w:val="superscript"/>
        </w:rPr>
      </w:pPr>
      <w:r w:rsidRPr="00AD2F44">
        <w:t>Other courts have found the decision to classify all employees in a single job position as exempt not to be sufficient by itself to warrant conditional certification.</w:t>
      </w:r>
      <w:r>
        <w:rPr>
          <w:vertAlign w:val="superscript"/>
        </w:rPr>
        <w:footnoteReference w:id="166"/>
      </w:r>
      <w:r w:rsidRPr="00AD2F44">
        <w:t xml:space="preserve"> In at least some of these cases, the courts have expressly held that a position or companywide classification policy is not sufficient to support a conditional determination that the collective action members are similarly situated. For example, in </w:t>
      </w:r>
      <w:r w:rsidRPr="00AD2F44">
        <w:rPr>
          <w:i/>
          <w:iCs/>
        </w:rPr>
        <w:t>Trinh v. JP Morgan Chase &amp; Co</w:t>
      </w:r>
      <w:r w:rsidRPr="00AD2F44">
        <w:t>.,</w:t>
      </w:r>
      <w:r>
        <w:rPr>
          <w:vertAlign w:val="superscript"/>
        </w:rPr>
        <w:footnoteReference w:id="167"/>
      </w:r>
      <w:r w:rsidRPr="00AD2F44">
        <w:t xml:space="preserve"> the court held: “Although assuming—for now—that Plaintiffs have alleged that ‘misclassifying loan officers as exempt’ was an improper institution-wide practice, they have not detailed the extent to which all JP Morgan loan officers, nationwide, are similar.”</w:t>
      </w:r>
      <w:r>
        <w:rPr>
          <w:vertAlign w:val="superscript"/>
        </w:rPr>
        <w:footnoteReference w:id="168"/>
      </w:r>
      <w:r w:rsidRPr="00AD2F44">
        <w:t xml:space="preserve"> Instead, the court required that the plaintiffs present additional evidence that they “and the broad class they wish to represent” were similarly situated “with respect to job requirements and pay provisions.”</w:t>
      </w:r>
      <w:r>
        <w:rPr>
          <w:vertAlign w:val="superscript"/>
        </w:rPr>
        <w:footnoteReference w:id="169"/>
      </w:r>
    </w:p>
    <w:p w14:paraId="7ED09B6E" w14:textId="77777777" w:rsidR="004322B1" w:rsidRPr="00AD2F44" w:rsidRDefault="004322B1">
      <w:pPr>
        <w:pStyle w:val="08Fifth-LevelHeadi"/>
      </w:pPr>
      <w:r w:rsidRPr="00AD2F44">
        <w:t>(ii.)</w:t>
      </w:r>
      <w:r w:rsidRPr="00AD2F44">
        <w:tab/>
        <w:t>Independent Contractor Cases</w:t>
      </w:r>
    </w:p>
    <w:p w14:paraId="23E7B6A3" w14:textId="77777777" w:rsidR="004322B1" w:rsidRPr="00AD2F44" w:rsidRDefault="004322B1">
      <w:pPr>
        <w:pStyle w:val="10ATextWithIndent"/>
        <w:rPr>
          <w:vertAlign w:val="superscript"/>
        </w:rPr>
      </w:pPr>
      <w:r w:rsidRPr="00AD2F44">
        <w:t>Courts frequently grant conditional certification in independent contractor misclassification cases, reasoning that the uniform nature of classifying a group of workers with similar duties as independent contractors warrants certification and issues concerning the economic realities test for independent contractor status should be reviewed in the second stage.</w:t>
      </w:r>
      <w:r>
        <w:rPr>
          <w:vertAlign w:val="superscript"/>
        </w:rPr>
        <w:footnoteReference w:id="170"/>
      </w:r>
      <w:r w:rsidRPr="00AD2F44">
        <w:t xml:space="preserve"> However, some courts deny conditional certification of such cases because of the individualized inquiry necessary to evaluate the independent contractor factors under the economic realities test.</w:t>
      </w:r>
      <w:r>
        <w:rPr>
          <w:vertAlign w:val="superscript"/>
        </w:rPr>
        <w:footnoteReference w:id="171"/>
      </w:r>
    </w:p>
    <w:p w14:paraId="0B563F72" w14:textId="77777777" w:rsidR="004322B1" w:rsidRPr="00AD2F44" w:rsidRDefault="004322B1">
      <w:pPr>
        <w:pStyle w:val="07Fourth-LevelHeadabc"/>
      </w:pPr>
      <w:r w:rsidRPr="00AD2F44">
        <w:t>b.</w:t>
      </w:r>
      <w:r w:rsidRPr="00AD2F44">
        <w:tab/>
        <w:t>Off-the-Clock Cases</w:t>
      </w:r>
    </w:p>
    <w:p w14:paraId="06CC9CAF" w14:textId="77777777" w:rsidR="004322B1" w:rsidRPr="00AD2F44" w:rsidRDefault="004322B1">
      <w:pPr>
        <w:pStyle w:val="10ATextWithIndent"/>
        <w:rPr>
          <w:vertAlign w:val="superscript"/>
        </w:rPr>
      </w:pPr>
      <w:r w:rsidRPr="00AD2F44">
        <w:t>The decision whether to conditionally certify off-the-clock cases typically depends on the amount of evidence presented. While there are disparities in the amount of evidence required for plaintiffs to meet the lenient standard for conditional certification, courts permit certification where plaintiffs articulate a company policy and provide some amount of evidence of the existence of other employees impacted by the policy.</w:t>
      </w:r>
      <w:r>
        <w:rPr>
          <w:vertAlign w:val="superscript"/>
        </w:rPr>
        <w:footnoteReference w:id="172"/>
      </w:r>
      <w:r w:rsidRPr="00AD2F44">
        <w:t xml:space="preserve"> However, where a plaintiff fails to present sufficient evidence of an improper policy or practice, courts have denied conditional certification in off-the-clock cases.</w:t>
      </w:r>
      <w:r>
        <w:rPr>
          <w:vertAlign w:val="superscript"/>
        </w:rPr>
        <w:footnoteReference w:id="173"/>
      </w:r>
    </w:p>
    <w:p w14:paraId="72A395C0" w14:textId="77777777" w:rsidR="004322B1" w:rsidRPr="00AD2F44" w:rsidRDefault="004322B1">
      <w:pPr>
        <w:pStyle w:val="10ATextWithIndent"/>
        <w:rPr>
          <w:vertAlign w:val="superscript"/>
        </w:rPr>
      </w:pPr>
      <w:r w:rsidRPr="00AD2F44">
        <w:t xml:space="preserve">Courts may permit conditional certification even when they express concerns that the case will not survive the decertification stage. In </w:t>
      </w:r>
      <w:r w:rsidRPr="00AD2F44">
        <w:rPr>
          <w:i/>
          <w:iCs/>
        </w:rPr>
        <w:t>Chase v. AIMCO</w:t>
      </w:r>
      <w:r w:rsidRPr="00AD2F44">
        <w:t>,</w:t>
      </w:r>
      <w:r>
        <w:rPr>
          <w:vertAlign w:val="superscript"/>
        </w:rPr>
        <w:footnoteReference w:id="174"/>
      </w:r>
      <w:r w:rsidRPr="00AD2F44">
        <w:t xml:space="preserve"> the court openly questioned whether the individual issues potentially associated with the claims would preclude second-stage certification, but nevertheless issued notice, noting: “Even if a collective action is not ultimately certified, the process of allowing individual AIMCO workers to lodge their claims in a forum where they can be recognized, evaluated, and possibly settled, is consistent with the policy choice Congress made when it created the FLSA right of action.”</w:t>
      </w:r>
      <w:r>
        <w:rPr>
          <w:vertAlign w:val="superscript"/>
        </w:rPr>
        <w:footnoteReference w:id="175"/>
      </w:r>
    </w:p>
    <w:p w14:paraId="08B4DF17" w14:textId="77777777" w:rsidR="004322B1" w:rsidRPr="00AD2F44" w:rsidRDefault="004322B1">
      <w:pPr>
        <w:pStyle w:val="10ATextWithIndent"/>
        <w:rPr>
          <w:vertAlign w:val="superscript"/>
        </w:rPr>
      </w:pPr>
      <w:r w:rsidRPr="00AD2F44">
        <w:t>Some courts rely on the existence of a formal written policy requiring the company to pay for all hours worked to deny requests for conditional certification.</w:t>
      </w:r>
      <w:r>
        <w:rPr>
          <w:vertAlign w:val="superscript"/>
        </w:rPr>
        <w:footnoteReference w:id="176"/>
      </w:r>
      <w:r w:rsidRPr="00AD2F44">
        <w:t xml:space="preserve"> The existence of such a policy, however, is typically considered alongside other factors weighing against conditional certification and may not be determinative by itself.</w:t>
      </w:r>
      <w:r>
        <w:rPr>
          <w:vertAlign w:val="superscript"/>
        </w:rPr>
        <w:footnoteReference w:id="177"/>
      </w:r>
    </w:p>
    <w:p w14:paraId="1DDF1E0B" w14:textId="77777777" w:rsidR="004322B1" w:rsidRPr="00AD2F44" w:rsidRDefault="004322B1">
      <w:pPr>
        <w:pStyle w:val="10ATextWithIndent"/>
        <w:rPr>
          <w:vertAlign w:val="superscript"/>
        </w:rPr>
      </w:pPr>
      <w:r w:rsidRPr="00AD2F44">
        <w:t xml:space="preserve">The outcome on conditional certification motions has also varied where employees have alleged that employers’ policies or practices have denied them compensation for all of their hours worked. For instance, in </w:t>
      </w:r>
      <w:r w:rsidRPr="00AD2F44">
        <w:rPr>
          <w:i/>
          <w:iCs/>
        </w:rPr>
        <w:t>Yap v. Mooncake Foods, Inc</w:t>
      </w:r>
      <w:r w:rsidRPr="00AD2F44">
        <w:t>.,</w:t>
      </w:r>
      <w:r>
        <w:rPr>
          <w:vertAlign w:val="superscript"/>
        </w:rPr>
        <w:footnoteReference w:id="178"/>
      </w:r>
      <w:r w:rsidRPr="00AD2F44">
        <w:t xml:space="preserve"> the plaintiffs sought to conditionally certify a collective involving restaurant workers working at four restaurants operated by ostensibly separate employers. The plaintiffs alleged multiple claims including failure to pay overtime, failure to pay minimum wage, denial of meal breaks, failure to inform employees of the tip credit rules, and failure to reimburse for expenses associated with purchasing and maintaining delivery trucks. Members of the proposed collective included drivers and chefs. In granting conditional certification of a collective that included drivers and chefs working at all four locations, the court held that the plaintiffs had alleged sufficient facts to treat all the defendant restaurants as a single integrated enterprise. The court also held that the plaintiffs could represent employees who worked at restaurants where the plaintiffs had never worked. The crucial inquiry, the court pointed out, was whether they were similarly situated. And the key to that inquiry was whether the members of the putative collective were subject to the same allegedly unlawful practice or policy.</w:t>
      </w:r>
      <w:r>
        <w:rPr>
          <w:vertAlign w:val="superscript"/>
        </w:rPr>
        <w:footnoteReference w:id="179"/>
      </w:r>
      <w:r w:rsidRPr="00AD2F44">
        <w:t xml:space="preserve"> Thus, allegations and evidence of a policy or procedure designed to deny employees pay for their hours worked, even when implemented through various means, may suffice.</w:t>
      </w:r>
      <w:r>
        <w:rPr>
          <w:vertAlign w:val="superscript"/>
        </w:rPr>
        <w:footnoteReference w:id="180"/>
      </w:r>
    </w:p>
    <w:p w14:paraId="139057AD" w14:textId="77777777" w:rsidR="004322B1" w:rsidRPr="00AD2F44" w:rsidRDefault="004322B1">
      <w:pPr>
        <w:pStyle w:val="10ATextWithIndent"/>
        <w:rPr>
          <w:vertAlign w:val="superscript"/>
        </w:rPr>
      </w:pPr>
      <w:r w:rsidRPr="00AD2F44">
        <w:t xml:space="preserve">However, in </w:t>
      </w:r>
      <w:r w:rsidRPr="00AD2F44">
        <w:rPr>
          <w:i/>
          <w:iCs/>
        </w:rPr>
        <w:t>West v. Border Foods, Inc</w:t>
      </w:r>
      <w:r w:rsidRPr="00AD2F44">
        <w:t>.,</w:t>
      </w:r>
      <w:r>
        <w:rPr>
          <w:vertAlign w:val="superscript"/>
        </w:rPr>
        <w:footnoteReference w:id="181"/>
      </w:r>
      <w:r w:rsidRPr="00AD2F44">
        <w:t xml:space="preserve"> the court denied certification where the plaintiffs worked at different locations for different managers allegedly using different means to deprive them of overtime compensation, and the nature of the violation differed among the plaintiffs.</w:t>
      </w:r>
      <w:r>
        <w:rPr>
          <w:vertAlign w:val="superscript"/>
        </w:rPr>
        <w:footnoteReference w:id="182"/>
      </w:r>
    </w:p>
    <w:p w14:paraId="23804CDC" w14:textId="77777777" w:rsidR="004322B1" w:rsidRPr="00AD2F44" w:rsidRDefault="004322B1">
      <w:pPr>
        <w:pStyle w:val="10ATextWithIndent"/>
      </w:pPr>
      <w:r w:rsidRPr="00AD2F44">
        <w:t>Courts’ consideration of several particular types of off-the-clock cases merits additional discussion.</w:t>
      </w:r>
    </w:p>
    <w:p w14:paraId="0C115291" w14:textId="77777777" w:rsidR="004322B1" w:rsidRPr="00AD2F44" w:rsidRDefault="004322B1">
      <w:pPr>
        <w:pStyle w:val="08Fifth-LevelHeadi"/>
      </w:pPr>
      <w:r w:rsidRPr="00AD2F44">
        <w:t>(</w:t>
      </w:r>
      <w:proofErr w:type="spellStart"/>
      <w:r w:rsidRPr="00AD2F44">
        <w:t>i</w:t>
      </w:r>
      <w:proofErr w:type="spellEnd"/>
      <w:r w:rsidRPr="00AD2F44">
        <w:t>.)</w:t>
      </w:r>
      <w:r w:rsidRPr="00AD2F44">
        <w:tab/>
        <w:t>Pre-Shift and Post-Shift Cases</w:t>
      </w:r>
    </w:p>
    <w:p w14:paraId="0F993276" w14:textId="77777777" w:rsidR="004322B1" w:rsidRPr="00AD2F44" w:rsidRDefault="004322B1">
      <w:pPr>
        <w:pStyle w:val="10ATextWithIndent"/>
        <w:rPr>
          <w:vertAlign w:val="superscript"/>
        </w:rPr>
      </w:pPr>
      <w:r w:rsidRPr="00AD2F44">
        <w:t>Cases alleging that an employer has a policy or practice of requiring employees to arrive at work early to prepare for work before the start of their regularly scheduled workday or perform unpaid work after their shift has ended have often been granted conditional certification.</w:t>
      </w:r>
      <w:r>
        <w:rPr>
          <w:vertAlign w:val="superscript"/>
        </w:rPr>
        <w:footnoteReference w:id="183"/>
      </w:r>
      <w:r w:rsidRPr="00AD2F44">
        <w:t xml:space="preserve"> While defendants may choose to not challenge conditional certification per se,</w:t>
      </w:r>
      <w:r>
        <w:rPr>
          <w:vertAlign w:val="superscript"/>
        </w:rPr>
        <w:footnoteReference w:id="184"/>
      </w:r>
      <w:r w:rsidRPr="00AD2F44">
        <w:t xml:space="preserve"> but challenge the scope of certification, some courts have limited the scope of certification to those facilities with declarations or other factual evidence suggesting a common policy or practice.</w:t>
      </w:r>
      <w:r>
        <w:rPr>
          <w:vertAlign w:val="superscript"/>
        </w:rPr>
        <w:footnoteReference w:id="185"/>
      </w:r>
    </w:p>
    <w:p w14:paraId="03318BAC" w14:textId="77777777" w:rsidR="004322B1" w:rsidRPr="00AD2F44" w:rsidRDefault="004322B1">
      <w:pPr>
        <w:pStyle w:val="10ATextWithIndent"/>
        <w:rPr>
          <w:vertAlign w:val="superscript"/>
        </w:rPr>
      </w:pPr>
      <w:r w:rsidRPr="00AD2F44">
        <w:t>Courts have granted certification to workers who allege that they were required to arrive at work early to load tools or receive instructions, then travel to the first job site, and after their paid time ended, travel back from the last job site to a shop location to secure equipment.</w:t>
      </w:r>
      <w:r>
        <w:rPr>
          <w:vertAlign w:val="superscript"/>
        </w:rPr>
        <w:footnoteReference w:id="186"/>
      </w:r>
      <w:r w:rsidRPr="00AD2F44">
        <w:t xml:space="preserve"> For example, in </w:t>
      </w:r>
      <w:r w:rsidRPr="00AD2F44">
        <w:rPr>
          <w:i/>
          <w:iCs/>
        </w:rPr>
        <w:t>Wren v. RGIS Inventory Specialists</w:t>
      </w:r>
      <w:r w:rsidRPr="00AD2F44">
        <w:t>,</w:t>
      </w:r>
      <w:r>
        <w:rPr>
          <w:vertAlign w:val="superscript"/>
        </w:rPr>
        <w:footnoteReference w:id="187"/>
      </w:r>
      <w:r w:rsidRPr="00AD2F44">
        <w:t xml:space="preserve"> the court granted nationwide certification to hourly auditors spanning multiple job positions at hundreds of offices on claims for time spent waiting for employer-provided transportation to job sites, travel to the job site, waiting at the job site, and donning employer-required equipment at the job site. The court certified the action based in part on the employees’ declarations providing similar descriptions of their experience, the employer’s centralized payroll system, company documents establishing mandatory and uniform timekeeping, and compensation policies that required auditors to be ready to work at the inventory start time.</w:t>
      </w:r>
      <w:r>
        <w:rPr>
          <w:vertAlign w:val="superscript"/>
        </w:rPr>
        <w:footnoteReference w:id="188"/>
      </w:r>
      <w:r w:rsidRPr="00AD2F44">
        <w:t xml:space="preserve"> The court rejected the defendant’s argument that because compensable time varied by district and supervisor, the employees were not similarly situated at conditional certification, finding instead that variations in the amount of uncompensated time related to damages.</w:t>
      </w:r>
      <w:r>
        <w:rPr>
          <w:vertAlign w:val="superscript"/>
        </w:rPr>
        <w:footnoteReference w:id="189"/>
      </w:r>
      <w:r w:rsidRPr="00AD2F44">
        <w:t xml:space="preserve"> Other courts have similarly held that a common policy or practice of requiring workers to perform pre-shift duties so that they may begin performing their regular duties immediately upon the start of their shift supports conditional certification of claims for unpaid pre-shift duties.</w:t>
      </w:r>
      <w:r>
        <w:rPr>
          <w:vertAlign w:val="superscript"/>
        </w:rPr>
        <w:footnoteReference w:id="190"/>
      </w:r>
    </w:p>
    <w:p w14:paraId="1EC7FECF" w14:textId="77777777" w:rsidR="004322B1" w:rsidRPr="00AD2F44" w:rsidRDefault="004322B1">
      <w:pPr>
        <w:pStyle w:val="10ATextWithIndent"/>
        <w:rPr>
          <w:vertAlign w:val="superscript"/>
        </w:rPr>
      </w:pPr>
      <w:r w:rsidRPr="00AD2F44">
        <w:t>Notwithstanding the lenient burden plaintiffs have at the conditional certification stage, courts have denied certification on claims arising from tasks performed pre- and post-shift where the allegations are not adequately supported with evidence or where plaintiffs failed to offer specific evidence to support the existence of a common policy or practice to bind their experience to potential collective action members.</w:t>
      </w:r>
      <w:r>
        <w:rPr>
          <w:vertAlign w:val="superscript"/>
        </w:rPr>
        <w:footnoteReference w:id="191"/>
      </w:r>
      <w:r w:rsidRPr="00AD2F44">
        <w:t xml:space="preserve"> For example, in </w:t>
      </w:r>
      <w:r w:rsidRPr="00AD2F44">
        <w:rPr>
          <w:i/>
          <w:iCs/>
        </w:rPr>
        <w:t>Salinas v. O’Reilly Automotive, Inc</w:t>
      </w:r>
      <w:r w:rsidRPr="00AD2F44">
        <w:t>.,</w:t>
      </w:r>
      <w:r>
        <w:rPr>
          <w:vertAlign w:val="superscript"/>
        </w:rPr>
        <w:footnoteReference w:id="192"/>
      </w:r>
      <w:r w:rsidRPr="00AD2F44">
        <w:t xml:space="preserve"> the court denied conditional certification to a single named plaintiff who sought to certify a collective action for unpaid post-shift work running register reports and conducting store closing duties.</w:t>
      </w:r>
      <w:r>
        <w:rPr>
          <w:vertAlign w:val="superscript"/>
        </w:rPr>
        <w:footnoteReference w:id="193"/>
      </w:r>
      <w:r w:rsidRPr="00AD2F44">
        <w:t xml:space="preserve"> The court observed that the plaintiff’s affidavit asserted a violation at only one of six stores at which she had worked, and affidavits by opt-in plaintiffs and potential members of the collective action suggested that store managers engaged in different compensation practices.</w:t>
      </w:r>
      <w:r>
        <w:rPr>
          <w:vertAlign w:val="superscript"/>
        </w:rPr>
        <w:footnoteReference w:id="194"/>
      </w:r>
      <w:r w:rsidRPr="00AD2F44">
        <w:t xml:space="preserve"> The court concluded that simply because many of the claims presented by the named plaintiff and the other workers “happen to involve a failure to pay overtime for duties performed after closing hours,” this “is alone insufficient” to show that the named plaintiff and potential class members were “bound together as victims” of a companywide policy or practice.</w:t>
      </w:r>
      <w:r>
        <w:rPr>
          <w:vertAlign w:val="superscript"/>
        </w:rPr>
        <w:footnoteReference w:id="195"/>
      </w:r>
    </w:p>
    <w:p w14:paraId="7986FCF3" w14:textId="77777777" w:rsidR="004322B1" w:rsidRPr="00AD2F44" w:rsidRDefault="004322B1">
      <w:pPr>
        <w:pStyle w:val="10ATextWithIndent"/>
      </w:pPr>
      <w:r w:rsidRPr="00AD2F44">
        <w:t>Courts have certified claims by call center employees who have supported their allegations that their employer had a common practice of failing to compensate them for unpaid time spent logging on and off computers, uploading software, and performing other unpaid work such as calling back customers or completing paperwork prior to the scheduled shift or during unpaid lunch breaks.</w:t>
      </w:r>
      <w:r>
        <w:rPr>
          <w:vertAlign w:val="superscript"/>
        </w:rPr>
        <w:footnoteReference w:id="196"/>
      </w:r>
      <w:r w:rsidRPr="00AD2F44">
        <w:t xml:space="preserve"> For example, in </w:t>
      </w:r>
      <w:r w:rsidRPr="00AD2F44">
        <w:rPr>
          <w:i/>
          <w:iCs/>
        </w:rPr>
        <w:t>Burch v. Qwest Communications International</w:t>
      </w:r>
      <w:r w:rsidRPr="00AD2F44">
        <w:t>,</w:t>
      </w:r>
      <w:r>
        <w:rPr>
          <w:vertAlign w:val="superscript"/>
        </w:rPr>
        <w:footnoteReference w:id="197"/>
      </w:r>
      <w:r w:rsidRPr="00AD2F44">
        <w:t xml:space="preserve"> the court granted certification and authorized nationwide notice to 8,000 call center employees, where the plaintiffs alleged that the defendant relied on a uniform system of time monitoring, based on time logged into the phone system, and plaintiffs submitted declarations from employees in five states making similar allegations, despite substantial variation in the off-the-clock time claimed.</w:t>
      </w:r>
    </w:p>
    <w:p w14:paraId="4AA2FE7F" w14:textId="77777777" w:rsidR="004322B1" w:rsidRPr="00AD2F44" w:rsidRDefault="004322B1">
      <w:pPr>
        <w:pStyle w:val="10ATextWithIndent"/>
        <w:rPr>
          <w:vertAlign w:val="superscript"/>
        </w:rPr>
      </w:pPr>
      <w:r w:rsidRPr="00AD2F44">
        <w:t xml:space="preserve">Courts have denied conditional certification where the defendant refuted the plaintiffs’ allegations concerning the pay practice at issue and the plaintiffs did not provide adequate factual support for the common policy alleged. For example, in </w:t>
      </w:r>
      <w:r w:rsidRPr="00AD2F44">
        <w:rPr>
          <w:i/>
          <w:iCs/>
        </w:rPr>
        <w:t>Adair v. Wisconsin Bell, Inc</w:t>
      </w:r>
      <w:r w:rsidRPr="00AD2F44">
        <w:t>.,</w:t>
      </w:r>
      <w:r>
        <w:rPr>
          <w:vertAlign w:val="superscript"/>
        </w:rPr>
        <w:footnoteReference w:id="198"/>
      </w:r>
      <w:r w:rsidRPr="00AD2F44">
        <w:t xml:space="preserve"> the court denied conditional certification to call center employees across four facilities where the plaintiffs failed to provide factual support for their allegation that the employer had a common policy requiring call center workers to work beyond their scheduled shift time, and the defendant demonstrated that it did not compensate plaintiffs according to the time logged into the phone system as plaintiffs had originally alleged.</w:t>
      </w:r>
      <w:r>
        <w:rPr>
          <w:vertAlign w:val="superscript"/>
        </w:rPr>
        <w:footnoteReference w:id="199"/>
      </w:r>
    </w:p>
    <w:p w14:paraId="6A0A30AA" w14:textId="77777777" w:rsidR="004322B1" w:rsidRPr="00AD2F44" w:rsidRDefault="004322B1">
      <w:pPr>
        <w:pStyle w:val="10ATextWithIndent"/>
        <w:rPr>
          <w:vertAlign w:val="superscript"/>
        </w:rPr>
      </w:pPr>
      <w:r w:rsidRPr="00AD2F44">
        <w:t>There has been considerable litigation over “donning and doffing” claims, where employees in occupations such as food processing, law enforcement, and manufacturing industries have sought compensation for the time they spend before and after their shifts, putting on, taking off, and cleaning the protective gear or uniforms required for their jobs and walking to and from their place on the production line.</w:t>
      </w:r>
      <w:r>
        <w:rPr>
          <w:vertAlign w:val="superscript"/>
        </w:rPr>
        <w:footnoteReference w:id="200"/>
      </w:r>
      <w:r w:rsidRPr="00AD2F44">
        <w:t xml:space="preserve"> Courts have routinely conditionally certified claims by plaintiffs alleging a common practice of failing to compensate workers for required donning and doffing activities where workers have the same basic job duties and pay structure and allege they are victims of a common policy of failing to pay workers for time spent donning and doffing.</w:t>
      </w:r>
      <w:r>
        <w:rPr>
          <w:vertAlign w:val="superscript"/>
        </w:rPr>
        <w:footnoteReference w:id="201"/>
      </w:r>
      <w:r w:rsidRPr="00AD2F44">
        <w:t xml:space="preserve"> For example, in </w:t>
      </w:r>
      <w:r w:rsidRPr="00AD2F44">
        <w:rPr>
          <w:i/>
          <w:iCs/>
        </w:rPr>
        <w:t xml:space="preserve">Frank v. </w:t>
      </w:r>
      <w:proofErr w:type="spellStart"/>
      <w:r w:rsidRPr="00AD2F44">
        <w:rPr>
          <w:i/>
          <w:iCs/>
        </w:rPr>
        <w:t>Gold’n</w:t>
      </w:r>
      <w:proofErr w:type="spellEnd"/>
      <w:r w:rsidRPr="00AD2F44">
        <w:rPr>
          <w:i/>
          <w:iCs/>
        </w:rPr>
        <w:t xml:space="preserve"> Plump Poultry, Inc</w:t>
      </w:r>
      <w:r w:rsidRPr="00AD2F44">
        <w:t>.,</w:t>
      </w:r>
      <w:r>
        <w:rPr>
          <w:vertAlign w:val="superscript"/>
        </w:rPr>
        <w:footnoteReference w:id="202"/>
      </w:r>
      <w:r w:rsidRPr="00AD2F44">
        <w:t xml:space="preserve"> the district court certified a collective action of production and sanitation workers at three poultry processing facilities, holding that the employer’s failure to “affirmatively require its supervisors to implement a practice of paying for donning, doffing and sanitizing time is itself evidence of a single decision sufficient to warrant conditional certification.”</w:t>
      </w:r>
      <w:r>
        <w:rPr>
          <w:vertAlign w:val="superscript"/>
        </w:rPr>
        <w:footnoteReference w:id="203"/>
      </w:r>
      <w:r w:rsidRPr="00AD2F44">
        <w:t xml:space="preserve"> Courts have rejected arguments that a collective action may not be certified due to differences in protective gear worn, the amounts of time it takes to don and doff the protective gear, methods of timekeeping and compensation, and whether a collective bargaining agreement exists at the plant.</w:t>
      </w:r>
      <w:r>
        <w:rPr>
          <w:vertAlign w:val="superscript"/>
        </w:rPr>
        <w:footnoteReference w:id="204"/>
      </w:r>
    </w:p>
    <w:p w14:paraId="23F9E47E" w14:textId="77777777" w:rsidR="004322B1" w:rsidRPr="00AD2F44" w:rsidRDefault="004322B1">
      <w:pPr>
        <w:pStyle w:val="10ATextWithIndent"/>
        <w:rPr>
          <w:vertAlign w:val="superscript"/>
        </w:rPr>
      </w:pPr>
      <w:r w:rsidRPr="00AD2F44">
        <w:t>Courts have also held that where workers challenge a common policy or practice of uncompensated time, differences in the specific job duties of employees are immaterial and do not require a case-by-case inquiry.</w:t>
      </w:r>
      <w:r>
        <w:rPr>
          <w:vertAlign w:val="superscript"/>
        </w:rPr>
        <w:footnoteReference w:id="205"/>
      </w:r>
      <w:r w:rsidRPr="00AD2F44">
        <w:t xml:space="preserve"> Courts have granted companywide or multi-facility conditional certification based on evidence of a common practice across facilities, even where specific evidence has not been provided from each facility.</w:t>
      </w:r>
      <w:r>
        <w:rPr>
          <w:vertAlign w:val="superscript"/>
        </w:rPr>
        <w:footnoteReference w:id="206"/>
      </w:r>
      <w:r w:rsidRPr="00AD2F44">
        <w:t xml:space="preserve"> Other courts have been reluctant to order notice over a broad geographic scope absent evidence that employees across the company were treated similarly, and instead have granted limited certification to particular regions or plants.</w:t>
      </w:r>
      <w:r>
        <w:rPr>
          <w:vertAlign w:val="superscript"/>
        </w:rPr>
        <w:footnoteReference w:id="207"/>
      </w:r>
    </w:p>
    <w:p w14:paraId="44BF7D7B" w14:textId="77777777" w:rsidR="004322B1" w:rsidRPr="00AD2F44" w:rsidRDefault="004322B1">
      <w:pPr>
        <w:pStyle w:val="08Fifth-LevelHeadi"/>
      </w:pPr>
      <w:r w:rsidRPr="00AD2F44">
        <w:t>(ii.)</w:t>
      </w:r>
      <w:r w:rsidRPr="00AD2F44">
        <w:tab/>
        <w:t>Uncompensated Work During Meal Break Time</w:t>
      </w:r>
    </w:p>
    <w:p w14:paraId="013DAB02" w14:textId="77777777" w:rsidR="004322B1" w:rsidRPr="00AD2F44" w:rsidRDefault="004322B1">
      <w:pPr>
        <w:pStyle w:val="10ATextWithIndent"/>
        <w:rPr>
          <w:vertAlign w:val="superscript"/>
        </w:rPr>
      </w:pPr>
      <w:r w:rsidRPr="00AD2F44">
        <w:t>Courts have conditionally certified collective actions for work performed during unpaid meal breaks where employees have provided a modest factual showing to support their claims that workers were similarly affected by this policy or practice.</w:t>
      </w:r>
      <w:r>
        <w:rPr>
          <w:vertAlign w:val="superscript"/>
        </w:rPr>
        <w:footnoteReference w:id="208"/>
      </w:r>
      <w:r w:rsidRPr="00AD2F44">
        <w:t xml:space="preserve"> For example, in </w:t>
      </w:r>
      <w:r w:rsidRPr="00AD2F44">
        <w:rPr>
          <w:i/>
          <w:iCs/>
        </w:rPr>
        <w:t>Jones-Turner v. Yellow Enterprise Systems, LLC</w:t>
      </w:r>
      <w:r w:rsidRPr="00AD2F44">
        <w:t>,</w:t>
      </w:r>
      <w:r>
        <w:rPr>
          <w:vertAlign w:val="superscript"/>
        </w:rPr>
        <w:footnoteReference w:id="209"/>
      </w:r>
      <w:r w:rsidRPr="00AD2F44">
        <w:t xml:space="preserve"> the court certified a collective action of ambulance drivers and EMTs where the plaintiffs alleged that despite the employer’s policy of documenting time worked during the unpaid lunch break, these documents were ignored or destroyed, and the plaintiffs supported their allegations through affidavits, employee testimony, and consent forms.</w:t>
      </w:r>
      <w:r>
        <w:rPr>
          <w:vertAlign w:val="superscript"/>
        </w:rPr>
        <w:footnoteReference w:id="210"/>
      </w:r>
      <w:r w:rsidRPr="00AD2F44">
        <w:t xml:space="preserve"> In </w:t>
      </w:r>
      <w:r w:rsidRPr="00AD2F44">
        <w:rPr>
          <w:i/>
          <w:iCs/>
        </w:rPr>
        <w:t>Barrus v. Dick’s Sporting Goods, Inc</w:t>
      </w:r>
      <w:r w:rsidRPr="00AD2F44">
        <w:t>.,</w:t>
      </w:r>
      <w:r>
        <w:rPr>
          <w:vertAlign w:val="superscript"/>
        </w:rPr>
        <w:footnoteReference w:id="211"/>
      </w:r>
      <w:r w:rsidRPr="00AD2F44">
        <w:t xml:space="preserve"> the court granted nationwide certification to claims by retail employees where the plaintiffs’ evidence included affidavits by former managers with personal knowledge of the employer’s uniform timekeeping system, automatic meal break deduction policy, and lack of training for employees in correcting improperly deducted time.</w:t>
      </w:r>
      <w:r>
        <w:rPr>
          <w:vertAlign w:val="superscript"/>
        </w:rPr>
        <w:footnoteReference w:id="212"/>
      </w:r>
      <w:r w:rsidRPr="00AD2F44">
        <w:t xml:space="preserve"> Courts have also granted conditional certification where plaintiffs did not sufficiently support their allegations with their own evidence, but the employer conceded to having a uniform policy of not compensating workers for time worked during breaks.</w:t>
      </w:r>
      <w:r>
        <w:rPr>
          <w:vertAlign w:val="superscript"/>
        </w:rPr>
        <w:footnoteReference w:id="213"/>
      </w:r>
    </w:p>
    <w:p w14:paraId="35D61E9B" w14:textId="77777777" w:rsidR="004322B1" w:rsidRPr="00AD2F44" w:rsidRDefault="004322B1">
      <w:pPr>
        <w:pStyle w:val="10ATextWithIndent"/>
        <w:rPr>
          <w:vertAlign w:val="superscript"/>
        </w:rPr>
      </w:pPr>
      <w:r w:rsidRPr="00AD2F44">
        <w:t>Courts have also certified actions for unpaid break time where workers perform different job duties but the manner of the overtime violation is the same—an automatic deduction of meal breaks—and employees allege they were subjected to a similar policy of having to work during unpaid meal periods for similar reasons, such as a heavy workload and understaffing.</w:t>
      </w:r>
      <w:r>
        <w:rPr>
          <w:vertAlign w:val="superscript"/>
        </w:rPr>
        <w:footnoteReference w:id="214"/>
      </w:r>
      <w:r w:rsidRPr="00AD2F44">
        <w:t xml:space="preserve"> Courts have declined to consider defendants’ arguments regarding differences in job duties, finding such an inquiry appropriate at the second stage of the certification analysis.</w:t>
      </w:r>
      <w:r>
        <w:rPr>
          <w:vertAlign w:val="superscript"/>
        </w:rPr>
        <w:footnoteReference w:id="215"/>
      </w:r>
      <w:r w:rsidRPr="00AD2F44">
        <w:t xml:space="preserve"> Other courts have limited the scope of certification to the particular job position for which declarations have been provided.</w:t>
      </w:r>
      <w:r>
        <w:rPr>
          <w:vertAlign w:val="superscript"/>
        </w:rPr>
        <w:footnoteReference w:id="216"/>
      </w:r>
    </w:p>
    <w:p w14:paraId="7260E098" w14:textId="77777777" w:rsidR="004322B1" w:rsidRPr="00AD2F44" w:rsidRDefault="004322B1">
      <w:pPr>
        <w:pStyle w:val="10ATextWithIndent"/>
      </w:pPr>
      <w:r w:rsidRPr="00AD2F44">
        <w:t>With respect to meal periods, there may be judicial efficiencies served by a collective action covering multiple plants in one action.</w:t>
      </w:r>
      <w:r>
        <w:rPr>
          <w:vertAlign w:val="superscript"/>
        </w:rPr>
        <w:footnoteReference w:id="217"/>
      </w:r>
      <w:r w:rsidRPr="00AD2F44">
        <w:t xml:space="preserve"> However, other courts have limited the geographic scope of meal break claims where plaintiffs provided insufficient evidence of a nationwide policy.</w:t>
      </w:r>
      <w:r>
        <w:rPr>
          <w:vertAlign w:val="superscript"/>
        </w:rPr>
        <w:footnoteReference w:id="218"/>
      </w:r>
      <w:r w:rsidRPr="00AD2F44">
        <w:t xml:space="preserve"> At least one court has denied conditional certification in a meal break case, despite finding that the plaintiffs had described a potentially unlawful policy of treating breaks of 20 minutes or fewer as bona fide breaks, where the named plaintiffs were not subject to the allegedly unlawful policy.</w:t>
      </w:r>
      <w:r>
        <w:rPr>
          <w:vertAlign w:val="superscript"/>
        </w:rPr>
        <w:footnoteReference w:id="219"/>
      </w:r>
      <w:r w:rsidRPr="00AD2F44">
        <w:t xml:space="preserve"> The court concluded that the plaintiffs could not have been harmed by the policy, and so could not be similarly situated to putative class members who were.</w:t>
      </w:r>
      <w:r>
        <w:rPr>
          <w:vertAlign w:val="superscript"/>
        </w:rPr>
        <w:footnoteReference w:id="220"/>
      </w:r>
      <w:r w:rsidRPr="00AD2F44">
        <w:t xml:space="preserve"> </w:t>
      </w:r>
    </w:p>
    <w:p w14:paraId="09952D0B" w14:textId="77777777" w:rsidR="004322B1" w:rsidRPr="00AD2F44" w:rsidRDefault="004322B1">
      <w:pPr>
        <w:pStyle w:val="10ATextWithIndent"/>
      </w:pPr>
      <w:r w:rsidRPr="00AD2F44">
        <w:t xml:space="preserve">Courts have denied certification where plaintiffs have not provided evidence to rebut an employer’s policy requiring payment for time worked during meal breaks. For example, in </w:t>
      </w:r>
      <w:r w:rsidRPr="00AD2F44">
        <w:rPr>
          <w:i/>
          <w:iCs/>
        </w:rPr>
        <w:t>Dudley v. Texas Waste Systems, Inc</w:t>
      </w:r>
      <w:r w:rsidRPr="00AD2F44">
        <w:t>.,</w:t>
      </w:r>
      <w:r>
        <w:rPr>
          <w:vertAlign w:val="superscript"/>
        </w:rPr>
        <w:footnoteReference w:id="221"/>
      </w:r>
      <w:r w:rsidRPr="00AD2F44">
        <w:t xml:space="preserve"> the court denied conditional certification where the employer had a policy requiring employees to take lunch breaks and report time spent working during lunch breaks. The court found that the plaintiff truck drivers’ unsupported assertions in the complaint and affidavits that the time was unpaid were insufficient to grant certification. The court further concluded that it would be required to hear individual testimony on whether drivers regularly or only occasionally took lunch breaks, which weighed against certification. Courts have also denied collective action certification on meal break claims in circumstances where plaintiffs showed only the common practice of automatic meal-time deductions, but failed to provide evidence that employees worked through meals.</w:t>
      </w:r>
      <w:r>
        <w:rPr>
          <w:vertAlign w:val="superscript"/>
        </w:rPr>
        <w:footnoteReference w:id="222"/>
      </w:r>
      <w:r w:rsidRPr="00AD2F44">
        <w:t xml:space="preserve"> Likewise, the court in </w:t>
      </w:r>
      <w:r w:rsidRPr="00AD2F44">
        <w:rPr>
          <w:i/>
          <w:iCs/>
        </w:rPr>
        <w:t>Valcho v. Dallas County Hospital District </w:t>
      </w:r>
      <w:r>
        <w:rPr>
          <w:vertAlign w:val="superscript"/>
        </w:rPr>
        <w:footnoteReference w:id="223"/>
      </w:r>
      <w:r w:rsidRPr="00AD2F44">
        <w:t xml:space="preserve"> denied certification for a group of nurses where the plaintiff failed to produce evidence that any other nurse was owed overtime for working through breaks, and the defendant contradicted the nurse’s central allegation by documenting that nurses who were uncompensated during the proposed class period had been paid back wages and signed releases asserting that no further wages were owed.</w:t>
      </w:r>
    </w:p>
    <w:p w14:paraId="3AEDC25B" w14:textId="77777777" w:rsidR="004322B1" w:rsidRPr="00AD2F44" w:rsidRDefault="004322B1">
      <w:pPr>
        <w:pStyle w:val="08Fifth-LevelHeadi"/>
      </w:pPr>
      <w:r w:rsidRPr="00AD2F44">
        <w:t>(iii.)</w:t>
      </w:r>
      <w:r w:rsidRPr="00AD2F44">
        <w:tab/>
        <w:t>Rounding Cases</w:t>
      </w:r>
    </w:p>
    <w:p w14:paraId="4E460236" w14:textId="77777777" w:rsidR="004322B1" w:rsidRPr="00AD2F44" w:rsidRDefault="004322B1">
      <w:pPr>
        <w:pStyle w:val="10ATextWithIndent"/>
      </w:pPr>
      <w:r w:rsidRPr="00AD2F44">
        <w:t>The Department of Labor’s (DOL’s) enforcement policy allows employers to round time-clock punches to increments of as much as a quarter hour, up or down, so long as the system “is used in such a manner that it will not result, over a period of time, in the failure to compensate the employees properly for all the time they have actually worked.”</w:t>
      </w:r>
      <w:r>
        <w:rPr>
          <w:vertAlign w:val="superscript"/>
        </w:rPr>
        <w:footnoteReference w:id="224"/>
      </w:r>
      <w:r w:rsidRPr="00AD2F44">
        <w:t xml:space="preserve"> In time-rounding cases where employees allege employers have consistently undercounted their time worked, testimony from company representatives with knowledge of the employer’s timekeeping practices may support conditional certification of improper rounding claims.</w:t>
      </w:r>
      <w:r>
        <w:rPr>
          <w:vertAlign w:val="superscript"/>
        </w:rPr>
        <w:footnoteReference w:id="225"/>
      </w:r>
      <w:r w:rsidRPr="00AD2F44">
        <w:t xml:space="preserve"> For example, in </w:t>
      </w:r>
      <w:r w:rsidRPr="00AD2F44">
        <w:rPr>
          <w:i/>
          <w:iCs/>
        </w:rPr>
        <w:t>Rincon v. BP Security &amp; Investigations, Inc</w:t>
      </w:r>
      <w:r w:rsidRPr="00AD2F44">
        <w:t>.,</w:t>
      </w:r>
      <w:r>
        <w:rPr>
          <w:vertAlign w:val="superscript"/>
        </w:rPr>
        <w:footnoteReference w:id="226"/>
      </w:r>
      <w:r w:rsidRPr="00AD2F44">
        <w:t xml:space="preserve"> the court certified a collective based on the testimony of a former payroll manager. The former payroll manager stated that time cards were routinely revised downward to conform to the work schedules of the security guards and that the company had a policy of rounding fractional hours to the nearest quarter hour, but instead automatically rounded time down to the detriment of the security guard plaintiffs.</w:t>
      </w:r>
    </w:p>
    <w:p w14:paraId="6ECFB3B2" w14:textId="77777777" w:rsidR="004322B1" w:rsidRPr="00AD2F44" w:rsidRDefault="004322B1">
      <w:pPr>
        <w:pStyle w:val="10ATextWithIndent"/>
        <w:rPr>
          <w:vertAlign w:val="superscript"/>
        </w:rPr>
      </w:pPr>
      <w:r w:rsidRPr="00AD2F44">
        <w:t xml:space="preserve">Likewise, in </w:t>
      </w:r>
      <w:r w:rsidRPr="00AD2F44">
        <w:rPr>
          <w:i/>
          <w:iCs/>
        </w:rPr>
        <w:t>Longcrier v. HL-A Co., Inc</w:t>
      </w:r>
      <w:r w:rsidRPr="00AD2F44">
        <w:t>.,</w:t>
      </w:r>
      <w:r>
        <w:rPr>
          <w:vertAlign w:val="superscript"/>
        </w:rPr>
        <w:footnoteReference w:id="227"/>
      </w:r>
      <w:r w:rsidRPr="00AD2F44">
        <w:t xml:space="preserve"> the district court granted conditional certification of a collective asserting, among other claims, improper rounding practices where the plaintiffs submitted 30 declarations in support of their allegations and one declaration from a company employee confirming the existence and operation of the defendant’s rounding policy. The court found that the plaintiffs’ claims for “the off-the-clock work, lunch break truncation, and rounding policies affect all hourly employees, transcending a particular line, particular job duties, or a particular shift.”</w:t>
      </w:r>
      <w:r>
        <w:rPr>
          <w:vertAlign w:val="superscript"/>
        </w:rPr>
        <w:footnoteReference w:id="228"/>
      </w:r>
    </w:p>
    <w:p w14:paraId="312DAAF3" w14:textId="77777777" w:rsidR="004322B1" w:rsidRPr="00AD2F44" w:rsidRDefault="004322B1">
      <w:pPr>
        <w:pStyle w:val="10ATextWithIndent"/>
        <w:rPr>
          <w:vertAlign w:val="superscript"/>
        </w:rPr>
      </w:pPr>
      <w:r w:rsidRPr="00AD2F44">
        <w:t xml:space="preserve">Courts have denied conditional certification of rounding cases, however, in the absence of well-pled pleadings and declarations that not only allege the existence of a policy or practice capable of undercounting employees’ time worked, but also clearly articulate that employees actually suffered a loss of overtime wages as a result. For example, in </w:t>
      </w:r>
      <w:r w:rsidRPr="00AD2F44">
        <w:rPr>
          <w:i/>
          <w:iCs/>
        </w:rPr>
        <w:t>McElmurry v. U.S. Bank National Association</w:t>
      </w:r>
      <w:r w:rsidRPr="00AD2F44">
        <w:t>,</w:t>
      </w:r>
      <w:r>
        <w:rPr>
          <w:vertAlign w:val="superscript"/>
        </w:rPr>
        <w:footnoteReference w:id="229"/>
      </w:r>
      <w:r w:rsidRPr="00AD2F44">
        <w:t xml:space="preserve"> the court denied conditional certification, reasoning that the mere existence of a conversion chart that consistently rounded down compensable time of the employees to the nearest one-tenth of an hour did not “demonstrate that any employee consistently used the chart, regularly rounded down, and as a result suffered a loss of overtime wages.”</w:t>
      </w:r>
      <w:r>
        <w:rPr>
          <w:vertAlign w:val="superscript"/>
        </w:rPr>
        <w:footnoteReference w:id="230"/>
      </w:r>
      <w:r w:rsidRPr="00AD2F44">
        <w:t xml:space="preserve"> The plaintiffs merely asserted that the conversion chart was attached to some timesheets without providing any evidence, such as affidavits, that the employees actually used the charts to round their time down.</w:t>
      </w:r>
      <w:r>
        <w:rPr>
          <w:vertAlign w:val="superscript"/>
        </w:rPr>
        <w:footnoteReference w:id="231"/>
      </w:r>
    </w:p>
    <w:p w14:paraId="40040CB6" w14:textId="77777777" w:rsidR="004322B1" w:rsidRPr="00AD2F44" w:rsidRDefault="004322B1">
      <w:pPr>
        <w:pStyle w:val="08Fifth-LevelHeadi"/>
      </w:pPr>
      <w:r w:rsidRPr="00AD2F44">
        <w:t>(iv.)</w:t>
      </w:r>
      <w:r w:rsidRPr="00AD2F44">
        <w:tab/>
        <w:t>Time Shaving Cases</w:t>
      </w:r>
    </w:p>
    <w:p w14:paraId="76687330" w14:textId="77777777" w:rsidR="004322B1" w:rsidRPr="00AD2F44" w:rsidRDefault="004322B1">
      <w:pPr>
        <w:pStyle w:val="10ATextWithIndent"/>
        <w:rPr>
          <w:vertAlign w:val="superscript"/>
        </w:rPr>
      </w:pPr>
      <w:r w:rsidRPr="00AD2F44">
        <w:t>Another situation where courts may grant conditional certification even though there may not be a specific, unifying company policy is in the context of time shaving practices.</w:t>
      </w:r>
      <w:r>
        <w:rPr>
          <w:vertAlign w:val="superscript"/>
        </w:rPr>
        <w:footnoteReference w:id="232"/>
      </w:r>
      <w:r w:rsidRPr="00AD2F44">
        <w:t xml:space="preserve"> Courts have found that “it is enough if [the plaintiffs’] ‘claims [are] unified by common theories of defendants’ statutory violations, even if the proofs of those theories are inevitably individualized and distinct.’”</w:t>
      </w:r>
      <w:r>
        <w:rPr>
          <w:vertAlign w:val="superscript"/>
        </w:rPr>
        <w:footnoteReference w:id="233"/>
      </w:r>
      <w:r w:rsidRPr="00AD2F44">
        <w:t xml:space="preserve"> Even when a company policy exists, courts have granted conditional certification where time shaving may occur as a result of employers encouraging off-the-clock work or discouraging documentation of overtime.</w:t>
      </w:r>
      <w:r>
        <w:rPr>
          <w:vertAlign w:val="superscript"/>
        </w:rPr>
        <w:footnoteReference w:id="234"/>
      </w:r>
      <w:r w:rsidRPr="00AD2F44">
        <w:t xml:space="preserve"> However, courts have denied conditional certification on the ground that these cases may require individualized assessments</w:t>
      </w:r>
      <w:r>
        <w:rPr>
          <w:vertAlign w:val="superscript"/>
        </w:rPr>
        <w:footnoteReference w:id="235"/>
      </w:r>
      <w:r w:rsidRPr="00AD2F44">
        <w:t xml:space="preserve"> or have limited the scope of the proposed class.</w:t>
      </w:r>
      <w:r>
        <w:rPr>
          <w:vertAlign w:val="superscript"/>
        </w:rPr>
        <w:footnoteReference w:id="236"/>
      </w:r>
    </w:p>
    <w:p w14:paraId="2017E6CF" w14:textId="77777777" w:rsidR="004322B1" w:rsidRPr="00AD2F44" w:rsidRDefault="004322B1">
      <w:pPr>
        <w:pStyle w:val="08Fifth-LevelHeadi"/>
      </w:pPr>
      <w:r w:rsidRPr="00AD2F44">
        <w:t>(v.)</w:t>
      </w:r>
      <w:r w:rsidRPr="00AD2F44">
        <w:tab/>
        <w:t>Travel Time Cases</w:t>
      </w:r>
    </w:p>
    <w:p w14:paraId="4FFE5C1B" w14:textId="77777777" w:rsidR="004322B1" w:rsidRPr="00AD2F44" w:rsidRDefault="004322B1">
      <w:pPr>
        <w:pStyle w:val="10ATextWithIndent"/>
        <w:rPr>
          <w:vertAlign w:val="superscript"/>
        </w:rPr>
      </w:pPr>
      <w:r w:rsidRPr="00AD2F44">
        <w:t>Courts have granted conditional certification in cases where plaintiffs have asserted that the employer did not properly compensate them for travel time.</w:t>
      </w:r>
      <w:r>
        <w:rPr>
          <w:vertAlign w:val="superscript"/>
        </w:rPr>
        <w:footnoteReference w:id="237"/>
      </w:r>
    </w:p>
    <w:p w14:paraId="6C204788" w14:textId="77777777" w:rsidR="004322B1" w:rsidRPr="00AD2F44" w:rsidRDefault="004322B1">
      <w:pPr>
        <w:pStyle w:val="08Fifth-LevelHeadi"/>
      </w:pPr>
      <w:r w:rsidRPr="00AD2F44">
        <w:t>(vi.)</w:t>
      </w:r>
      <w:r w:rsidRPr="00AD2F44">
        <w:tab/>
        <w:t>Tip Credit Cases</w:t>
      </w:r>
    </w:p>
    <w:p w14:paraId="2D651070" w14:textId="77777777" w:rsidR="004322B1" w:rsidRPr="00AD2F44" w:rsidRDefault="004322B1">
      <w:pPr>
        <w:pStyle w:val="10ATextWithIndent"/>
        <w:rPr>
          <w:vertAlign w:val="superscript"/>
        </w:rPr>
      </w:pPr>
      <w:r w:rsidRPr="00AD2F44">
        <w:t>Courts</w:t>
      </w:r>
      <w:r w:rsidRPr="00AD2F44">
        <w:rPr>
          <w:i/>
          <w:iCs/>
        </w:rPr>
        <w:t xml:space="preserve"> </w:t>
      </w:r>
      <w:r w:rsidRPr="00AD2F44">
        <w:t>have granted conditional certification in cases challenging tip credit practices,</w:t>
      </w:r>
      <w:r>
        <w:rPr>
          <w:rStyle w:val="FootnoteReference"/>
        </w:rPr>
        <w:footnoteReference w:id="238"/>
      </w:r>
      <w:r w:rsidRPr="00AD2F44">
        <w:t xml:space="preserve"> but not always.</w:t>
      </w:r>
      <w:r>
        <w:rPr>
          <w:vertAlign w:val="superscript"/>
        </w:rPr>
        <w:footnoteReference w:id="239"/>
      </w:r>
    </w:p>
    <w:p w14:paraId="19345F0C" w14:textId="77777777" w:rsidR="004322B1" w:rsidRPr="00AD2F44" w:rsidRDefault="004322B1">
      <w:pPr>
        <w:pStyle w:val="08Fifth-LevelHeadi"/>
      </w:pPr>
      <w:r w:rsidRPr="00AD2F44">
        <w:t>(vii.)</w:t>
      </w:r>
      <w:r w:rsidRPr="00AD2F44">
        <w:tab/>
        <w:t>Regular Rate Cases</w:t>
      </w:r>
    </w:p>
    <w:p w14:paraId="092F1858" w14:textId="77777777" w:rsidR="004322B1" w:rsidRPr="00AD2F44" w:rsidRDefault="004322B1">
      <w:pPr>
        <w:pStyle w:val="10ATextWithIndent"/>
      </w:pPr>
      <w:r w:rsidRPr="00AD2F44">
        <w:t>Courts</w:t>
      </w:r>
      <w:r w:rsidRPr="00AD2F44">
        <w:rPr>
          <w:i/>
          <w:iCs/>
        </w:rPr>
        <w:t xml:space="preserve"> </w:t>
      </w:r>
      <w:r w:rsidRPr="00AD2F44">
        <w:t>have granted conditional certification where plaintiffs have alleged that employers have improperly calculated the regular rate,</w:t>
      </w:r>
      <w:r>
        <w:rPr>
          <w:vertAlign w:val="superscript"/>
        </w:rPr>
        <w:footnoteReference w:id="240"/>
      </w:r>
      <w:r w:rsidRPr="00AD2F44">
        <w:rPr>
          <w:i/>
          <w:iCs/>
        </w:rPr>
        <w:t xml:space="preserve"> </w:t>
      </w:r>
      <w:r w:rsidRPr="00AD2F44">
        <w:t>unless the plaintiffs fail to demonstrate the existence of a common policy allegedly violating the FLSA.</w:t>
      </w:r>
      <w:r>
        <w:rPr>
          <w:rStyle w:val="FootnoteReference"/>
        </w:rPr>
        <w:footnoteReference w:id="241"/>
      </w:r>
    </w:p>
    <w:p w14:paraId="6EC5984C" w14:textId="77777777" w:rsidR="004322B1" w:rsidRPr="00AD2F44" w:rsidRDefault="004322B1">
      <w:pPr>
        <w:pStyle w:val="06Third-LevelHead123"/>
      </w:pPr>
      <w:r w:rsidRPr="00AD2F44">
        <w:t>6.</w:t>
      </w:r>
      <w:r w:rsidRPr="00AD2F44">
        <w:tab/>
        <w:t>Other Issues That May Be Considered at or Before Stage I</w:t>
      </w:r>
    </w:p>
    <w:p w14:paraId="2D707B85" w14:textId="77777777" w:rsidR="004322B1" w:rsidRPr="00AD2F44" w:rsidRDefault="004322B1">
      <w:pPr>
        <w:pStyle w:val="07Fourth-LevelHeadabc"/>
      </w:pPr>
      <w:r w:rsidRPr="00AD2F44">
        <w:t>a.</w:t>
      </w:r>
      <w:r w:rsidRPr="00AD2F44">
        <w:tab/>
        <w:t>Addressing “Dispositive Issues” Prior to Conditional Certification</w:t>
      </w:r>
    </w:p>
    <w:p w14:paraId="4F3F63F9" w14:textId="77777777" w:rsidR="004322B1" w:rsidRPr="00AD2F44" w:rsidRDefault="004322B1">
      <w:pPr>
        <w:pStyle w:val="10ATextWithIndent"/>
      </w:pPr>
      <w:r w:rsidRPr="00AD2F44">
        <w:t>While employers sometimes ask a court to delay its consideration of a conditional certification motion while the court addresses a “dispositive” issue, such as a motion for summary judgment or a motion to compel arbitration, many courts (in misclassification and other collective action cases) have refused to resolve motions going to the merits or motions to compel arbitration prior to ruling on the conditional certification and notice motion, limiting the inquiry to the similarly situated analysis.</w:t>
      </w:r>
      <w:r>
        <w:rPr>
          <w:vertAlign w:val="superscript"/>
        </w:rPr>
        <w:footnoteReference w:id="242"/>
      </w:r>
      <w:r w:rsidRPr="00AD2F44">
        <w:t xml:space="preserve"> </w:t>
      </w:r>
    </w:p>
    <w:p w14:paraId="4DEB2C4F" w14:textId="77777777" w:rsidR="004322B1" w:rsidRPr="00AD2F44" w:rsidRDefault="004322B1">
      <w:pPr>
        <w:pStyle w:val="10ATextWithIndent"/>
      </w:pPr>
      <w:r w:rsidRPr="00AD2F44">
        <w:t>Nevertheless, other courts have also considered and ruled on motions that address merits issues prior to deciding conditional certification motions.</w:t>
      </w:r>
      <w:r>
        <w:rPr>
          <w:vertAlign w:val="superscript"/>
        </w:rPr>
        <w:footnoteReference w:id="243"/>
      </w:r>
    </w:p>
    <w:p w14:paraId="520FBF45" w14:textId="77777777" w:rsidR="004322B1" w:rsidRPr="00AD2F44" w:rsidRDefault="004322B1">
      <w:pPr>
        <w:pStyle w:val="4thlevelheadai"/>
        <w:rPr>
          <w:rFonts w:cs="Times New Roman"/>
        </w:rPr>
      </w:pPr>
    </w:p>
    <w:p w14:paraId="41299B79" w14:textId="77777777" w:rsidR="004322B1" w:rsidRPr="00AD2F44" w:rsidRDefault="004322B1">
      <w:pPr>
        <w:pStyle w:val="07Fourth-LevelHeadabc"/>
      </w:pPr>
      <w:r w:rsidRPr="00AD2F44">
        <w:t>b.</w:t>
      </w:r>
      <w:r w:rsidRPr="00AD2F44">
        <w:tab/>
        <w:t>Lack of Personal Jurisdiction</w:t>
      </w:r>
    </w:p>
    <w:p w14:paraId="743E4FE3" w14:textId="77777777" w:rsidR="004322B1" w:rsidRPr="00AD2F44" w:rsidRDefault="004322B1">
      <w:pPr>
        <w:pStyle w:val="08Fifth-LevelHeadi"/>
      </w:pPr>
      <w:r w:rsidRPr="00AD2F44">
        <w:t>(</w:t>
      </w:r>
      <w:proofErr w:type="spellStart"/>
      <w:r w:rsidRPr="00AD2F44">
        <w:t>i</w:t>
      </w:r>
      <w:proofErr w:type="spellEnd"/>
      <w:r w:rsidRPr="00AD2F44">
        <w:t>.)</w:t>
      </w:r>
      <w:r w:rsidRPr="00AD2F44">
        <w:tab/>
        <w:t>Jurisdiction Over Defendant</w:t>
      </w:r>
    </w:p>
    <w:p w14:paraId="158BBCFD" w14:textId="77777777" w:rsidR="004322B1" w:rsidRPr="00AD2F44" w:rsidRDefault="004322B1">
      <w:pPr>
        <w:pStyle w:val="10ATextWithIndent"/>
      </w:pPr>
      <w:r w:rsidRPr="00AD2F44">
        <w:t xml:space="preserve">Whether a court has personal jurisdiction over a defendant is a factor that has been considered when deciding conditional certification. For example, an Arizona district court, in </w:t>
      </w:r>
      <w:r w:rsidRPr="00AD2F44">
        <w:rPr>
          <w:i/>
          <w:iCs/>
        </w:rPr>
        <w:t>Kesley v. Entertainment U.S.A. Inc</w:t>
      </w:r>
      <w:r w:rsidRPr="00AD2F44">
        <w:t>.,</w:t>
      </w:r>
      <w:r>
        <w:rPr>
          <w:vertAlign w:val="superscript"/>
        </w:rPr>
        <w:footnoteReference w:id="244"/>
      </w:r>
      <w:r w:rsidRPr="00AD2F44">
        <w:t xml:space="preserve"> considered whether to grant conditional certification as to two entities located in Ohio and North Carolina. The court refused to do so because while they may have been considered part of a “single enterprise” within the meaning of the FLSA, the entities did not have substantial or continuous and systematic contacts with Arizona; thus, the court lacked general jurisdiction over the entities. The court also held that it did not have specific jurisdiction over the entities notwithstanding allegations that all of the defendant entities shared employees, had a common management, pooled their resources, operated from the same headquarters, had common ownership, and operated under the same name.</w:t>
      </w:r>
      <w:r>
        <w:rPr>
          <w:vertAlign w:val="superscript"/>
        </w:rPr>
        <w:footnoteReference w:id="245"/>
      </w:r>
      <w:r w:rsidRPr="00AD2F44">
        <w:t xml:space="preserve"> In </w:t>
      </w:r>
      <w:r w:rsidRPr="00AD2F44">
        <w:rPr>
          <w:i/>
          <w:iCs/>
        </w:rPr>
        <w:t>Olin-Marquez v. Arrow Senior Living Management, LLC</w:t>
      </w:r>
      <w:r w:rsidRPr="00AD2F44">
        <w:t>,</w:t>
      </w:r>
      <w:r>
        <w:rPr>
          <w:rStyle w:val="FootnoteReference"/>
        </w:rPr>
        <w:footnoteReference w:id="246"/>
      </w:r>
      <w:r w:rsidRPr="00AD2F44">
        <w:t xml:space="preserve"> an Ohio district court found that a Missouri-based company was subject to specific personal jurisdiction in Ohio as to the plaintiff’s FLSA claims. The court found that the defendant either on its own or as a joint employer managed multiple businesses in Ohio, hired the plaintiff and set and determined her pay, connecting its purposeful </w:t>
      </w:r>
      <w:proofErr w:type="spellStart"/>
      <w:r w:rsidRPr="00AD2F44">
        <w:t>availment</w:t>
      </w:r>
      <w:proofErr w:type="spellEnd"/>
      <w:r w:rsidRPr="00AD2F44">
        <w:t xml:space="preserve"> and extensive contacts with the state with the plaintiff’s claim of improper overtime pay.</w:t>
      </w:r>
      <w:r>
        <w:rPr>
          <w:rStyle w:val="FootnoteReference"/>
        </w:rPr>
        <w:footnoteReference w:id="247"/>
      </w:r>
      <w:r w:rsidRPr="00AD2F44">
        <w:t xml:space="preserve"> </w:t>
      </w:r>
    </w:p>
    <w:p w14:paraId="2CDE03C3" w14:textId="77777777" w:rsidR="004322B1" w:rsidRPr="00AD2F44" w:rsidRDefault="004322B1">
      <w:pPr>
        <w:pStyle w:val="08Fifth-LevelHeadi"/>
      </w:pPr>
      <w:r w:rsidRPr="00AD2F44">
        <w:t>(ii.)</w:t>
      </w:r>
      <w:r w:rsidRPr="00AD2F44">
        <w:tab/>
        <w:t>Jurisdiction Over Defendant as to Claims of Opt-Ins</w:t>
      </w:r>
    </w:p>
    <w:p w14:paraId="5C431F1D" w14:textId="77777777" w:rsidR="004322B1" w:rsidRPr="00AD2F44" w:rsidRDefault="004322B1">
      <w:pPr>
        <w:pStyle w:val="10ATextWithIndent"/>
        <w:rPr>
          <w:vertAlign w:val="superscript"/>
        </w:rPr>
      </w:pPr>
      <w:r w:rsidRPr="00AD2F44">
        <w:t xml:space="preserve">In </w:t>
      </w:r>
      <w:r w:rsidRPr="00AD2F44">
        <w:rPr>
          <w:i/>
          <w:iCs/>
        </w:rPr>
        <w:t>Bristol-Myers Squibb v. Superior Court</w:t>
      </w:r>
      <w:r w:rsidRPr="00AD2F44">
        <w:t>,</w:t>
      </w:r>
      <w:r w:rsidRPr="00AD2F44">
        <w:rPr>
          <w:vertAlign w:val="superscript"/>
        </w:rPr>
        <w:t xml:space="preserve"> </w:t>
      </w:r>
      <w:r>
        <w:rPr>
          <w:vertAlign w:val="superscript"/>
        </w:rPr>
        <w:footnoteReference w:id="248"/>
      </w:r>
      <w:r w:rsidRPr="00AD2F44">
        <w:t xml:space="preserve"> the Supreme Court, applying constitutional due process principles, held that a state court may exercise personal jurisdiction as to a defendant only over the claims of those plaintiffs in a mass tort action who were injured in, or otherwise connected to, the forum state. The defendant in </w:t>
      </w:r>
      <w:r w:rsidRPr="00AD2F44">
        <w:rPr>
          <w:i/>
          <w:iCs/>
        </w:rPr>
        <w:t>Bristol-Myers Squibb</w:t>
      </w:r>
      <w:r w:rsidRPr="00AD2F44">
        <w:t xml:space="preserve"> was not headquartered or incorporated in the forum state (California), although it sold the drug that was the focus of the lawsuit in California.</w:t>
      </w:r>
      <w:r>
        <w:rPr>
          <w:vertAlign w:val="superscript"/>
        </w:rPr>
        <w:footnoteReference w:id="249"/>
      </w:r>
      <w:r w:rsidRPr="00AD2F44">
        <w:t xml:space="preserve"> The Supreme Court held that just because some plaintiffs had purchased, ingested, and/or were allegedly harmed by the drug in California, these facts did not warrant asserting personal jurisdiction over the claims of nonresident plaintiffs who had not.</w:t>
      </w:r>
      <w:r>
        <w:rPr>
          <w:vertAlign w:val="superscript"/>
        </w:rPr>
        <w:footnoteReference w:id="250"/>
      </w:r>
    </w:p>
    <w:p w14:paraId="160D7C1F" w14:textId="77777777" w:rsidR="004322B1" w:rsidRPr="00AD2F44" w:rsidRDefault="004322B1">
      <w:pPr>
        <w:pStyle w:val="10ATextWithIndent"/>
      </w:pPr>
      <w:r w:rsidRPr="00AD2F44">
        <w:t xml:space="preserve">In the aftermath of </w:t>
      </w:r>
      <w:r w:rsidRPr="00AD2F44">
        <w:rPr>
          <w:i/>
          <w:iCs/>
        </w:rPr>
        <w:t>Bristol-Myers Squibb</w:t>
      </w:r>
      <w:r w:rsidRPr="00AD2F44">
        <w:t>,</w:t>
      </w:r>
      <w:r w:rsidRPr="00AD2F44">
        <w:rPr>
          <w:i/>
          <w:iCs/>
        </w:rPr>
        <w:t xml:space="preserve"> </w:t>
      </w:r>
      <w:r w:rsidRPr="00AD2F44">
        <w:t>some courts have held that the due process principles articulated by the Supreme Court in that case</w:t>
      </w:r>
      <w:r w:rsidRPr="00AD2F44">
        <w:rPr>
          <w:i/>
          <w:iCs/>
        </w:rPr>
        <w:t xml:space="preserve"> </w:t>
      </w:r>
      <w:r w:rsidRPr="00AD2F44">
        <w:t xml:space="preserve">apply to collective actions, reasoning that </w:t>
      </w:r>
      <w:r w:rsidRPr="00AD2F44">
        <w:rPr>
          <w:i/>
          <w:iCs/>
        </w:rPr>
        <w:t>Bristol-Myers Squibb</w:t>
      </w:r>
      <w:r w:rsidRPr="00AD2F44">
        <w:t xml:space="preserve"> was not limited to mass tort claims or state court lawsuits. Two circuit courts have come down on this side. In </w:t>
      </w:r>
      <w:r w:rsidRPr="00AD2F44">
        <w:rPr>
          <w:i/>
          <w:iCs/>
        </w:rPr>
        <w:t>Canaday v. Anthem Companies, Inc.</w:t>
      </w:r>
      <w:r w:rsidRPr="00AD2F44">
        <w:t>,</w:t>
      </w:r>
      <w:r>
        <w:rPr>
          <w:rStyle w:val="FootnoteReference"/>
        </w:rPr>
        <w:footnoteReference w:id="251"/>
      </w:r>
      <w:r w:rsidRPr="00AD2F44">
        <w:t xml:space="preserve"> the Sixth Circuit affirmed dismissal of out-of-state opt-in plaintiffs in a proposed nationwide collective action filed in Tennessee because the employer was headquartered in Indiana. The Sixth Circuit reasoned that </w:t>
      </w:r>
      <w:r w:rsidRPr="00AD2F44">
        <w:rPr>
          <w:i/>
          <w:iCs/>
        </w:rPr>
        <w:t>Bristol-Myers Squibb</w:t>
      </w:r>
      <w:r w:rsidRPr="00AD2F44">
        <w:t xml:space="preserve"> applied “with equal force to FLSA collective actions under federal law” because collective actions are more like the mass action at issue in </w:t>
      </w:r>
      <w:r w:rsidRPr="00AD2F44">
        <w:rPr>
          <w:i/>
          <w:iCs/>
        </w:rPr>
        <w:t>Bristol-Myers Squibb</w:t>
      </w:r>
      <w:r w:rsidRPr="00AD2F44">
        <w:t xml:space="preserve"> than a Rule 23 class action.</w:t>
      </w:r>
      <w:r>
        <w:rPr>
          <w:rStyle w:val="FootnoteReference"/>
        </w:rPr>
        <w:footnoteReference w:id="252"/>
      </w:r>
      <w:r w:rsidRPr="00AD2F44">
        <w:t xml:space="preserve"> The Sixth Circuit found that the out-of-state plaintiffs did not bring claims that arose out of the employer’s contacts with Tennessee because the employer did not (1) employ them, (2) pay them, or (3) “shortchange” them on overtime compensation in Tennessee.</w:t>
      </w:r>
      <w:r>
        <w:rPr>
          <w:rStyle w:val="FootnoteReference"/>
        </w:rPr>
        <w:footnoteReference w:id="253"/>
      </w:r>
      <w:r w:rsidRPr="00AD2F44">
        <w:t xml:space="preserve"> The court rejected seven counterarguments by the plaintiff, reasoning as follows: </w:t>
      </w:r>
    </w:p>
    <w:p w14:paraId="1E5F69E9" w14:textId="77777777" w:rsidR="004322B1" w:rsidRPr="00AD2F44" w:rsidRDefault="004322B1" w:rsidP="00740B42">
      <w:pPr>
        <w:pStyle w:val="12AFirst-LevelList123forcompletesentences"/>
      </w:pPr>
      <w:r w:rsidRPr="00AD2F44">
        <w:t>1.</w:t>
      </w:r>
      <w:r w:rsidRPr="00AD2F44">
        <w:tab/>
        <w:t>Filing a federal claim in federal court did not overcome the absence of a national service of process provision in the FLSA (noting the presence of such national service of process provisions in other statutes) or the limitation of personal jurisdiction under Rule 4(k) of the Federal Rules of Civil Procedure to the state’s jurisdiction over a defendant.</w:t>
      </w:r>
      <w:r>
        <w:rPr>
          <w:rStyle w:val="FootnoteReference"/>
        </w:rPr>
        <w:footnoteReference w:id="254"/>
      </w:r>
      <w:r w:rsidRPr="00AD2F44">
        <w:rPr>
          <w:vertAlign w:val="superscript"/>
        </w:rPr>
        <w:t xml:space="preserve"> </w:t>
      </w:r>
    </w:p>
    <w:p w14:paraId="4D6ECF68" w14:textId="77777777" w:rsidR="004322B1" w:rsidRPr="00AD2F44" w:rsidRDefault="004322B1" w:rsidP="00740B42">
      <w:pPr>
        <w:pStyle w:val="12AFirst-LevelList123forcompletesentences"/>
      </w:pPr>
      <w:r w:rsidRPr="00AD2F44">
        <w:t>2.</w:t>
      </w:r>
      <w:r w:rsidRPr="00AD2F44">
        <w:tab/>
        <w:t>The fact that the opt-in plaintiffs did not have to serve separate process does not eliminate Rule 4(k)’s limit on personal jurisdiction on those plaintiffs’ claims as to the defendant.</w:t>
      </w:r>
      <w:r>
        <w:rPr>
          <w:rStyle w:val="FootnoteReference"/>
        </w:rPr>
        <w:footnoteReference w:id="255"/>
      </w:r>
      <w:r w:rsidRPr="00AD2F44">
        <w:t xml:space="preserve"> </w:t>
      </w:r>
    </w:p>
    <w:p w14:paraId="2F17B8BA" w14:textId="77777777" w:rsidR="004322B1" w:rsidRPr="00AD2F44" w:rsidRDefault="004322B1" w:rsidP="00740B42">
      <w:pPr>
        <w:pStyle w:val="12AFirst-LevelList123forcompletesentences"/>
      </w:pPr>
      <w:r w:rsidRPr="00AD2F44">
        <w:t>3.</w:t>
      </w:r>
      <w:r w:rsidRPr="00AD2F44">
        <w:tab/>
        <w:t>It is improper to analyze personal jurisdiction at the level of the suit instead of at the level of each claim.</w:t>
      </w:r>
      <w:r>
        <w:rPr>
          <w:rStyle w:val="FootnoteReference"/>
        </w:rPr>
        <w:footnoteReference w:id="256"/>
      </w:r>
      <w:r w:rsidRPr="00AD2F44">
        <w:t xml:space="preserve"> </w:t>
      </w:r>
    </w:p>
    <w:p w14:paraId="3C167948" w14:textId="77777777" w:rsidR="004322B1" w:rsidRPr="00AD2F44" w:rsidRDefault="004322B1" w:rsidP="00740B42">
      <w:pPr>
        <w:pStyle w:val="12AFirst-LevelList123forcompletesentences"/>
      </w:pPr>
      <w:r w:rsidRPr="00AD2F44">
        <w:t>4.</w:t>
      </w:r>
      <w:r w:rsidRPr="00AD2F44">
        <w:tab/>
        <w:t>Inefficiencies to the plaintiffs’ claims caused by limiting personal jurisdiction are because personal jurisdiction limits are designed to protect defendants, not to facilitate plaintiffs’ claims, and plaintiffs can sue in jurisdictions with general jurisdiction.</w:t>
      </w:r>
      <w:r>
        <w:rPr>
          <w:rStyle w:val="FootnoteReference"/>
        </w:rPr>
        <w:footnoteReference w:id="257"/>
      </w:r>
      <w:r w:rsidRPr="00AD2F44">
        <w:t xml:space="preserve"> </w:t>
      </w:r>
    </w:p>
    <w:p w14:paraId="4537A476" w14:textId="77777777" w:rsidR="004322B1" w:rsidRPr="00AD2F44" w:rsidRDefault="004322B1" w:rsidP="00740B42">
      <w:pPr>
        <w:pStyle w:val="12AFirst-LevelList123forcompletesentences"/>
      </w:pPr>
      <w:r w:rsidRPr="00AD2F44">
        <w:t>5.</w:t>
      </w:r>
      <w:r w:rsidRPr="00AD2F44">
        <w:tab/>
        <w:t>Use of pendent personal jurisdiction is inapplicable.</w:t>
      </w:r>
      <w:r>
        <w:rPr>
          <w:rStyle w:val="FootnoteReference"/>
        </w:rPr>
        <w:footnoteReference w:id="258"/>
      </w:r>
      <w:r w:rsidRPr="00AD2F44">
        <w:t xml:space="preserve"> </w:t>
      </w:r>
    </w:p>
    <w:p w14:paraId="02AD0C87" w14:textId="77777777" w:rsidR="004322B1" w:rsidRPr="00AD2F44" w:rsidRDefault="004322B1" w:rsidP="00740B42">
      <w:pPr>
        <w:pStyle w:val="12AFirst-LevelList123forcompletesentences"/>
      </w:pPr>
      <w:r w:rsidRPr="00AD2F44">
        <w:t>6.</w:t>
      </w:r>
      <w:r w:rsidRPr="00AD2F44">
        <w:tab/>
        <w:t>The personal jurisdiction rules of Rule 23 class actions do not apply to collective actions, despite some similarities between class and collective actions, because the two types of actions are “fundamentally different,” growing largely out of the fact that class actions are representative, whereas collective actions are not.</w:t>
      </w:r>
      <w:r>
        <w:rPr>
          <w:rStyle w:val="FootnoteReference"/>
        </w:rPr>
        <w:footnoteReference w:id="259"/>
      </w:r>
      <w:r w:rsidRPr="00AD2F44">
        <w:t xml:space="preserve"> </w:t>
      </w:r>
    </w:p>
    <w:p w14:paraId="43C6395C" w14:textId="77777777" w:rsidR="004322B1" w:rsidRPr="00AD2F44" w:rsidRDefault="004322B1" w:rsidP="00740B42">
      <w:pPr>
        <w:pStyle w:val="12AFirst-LevelList123forcompletesentences"/>
      </w:pPr>
      <w:r w:rsidRPr="00AD2F44">
        <w:t>7.</w:t>
      </w:r>
      <w:r w:rsidRPr="00AD2F44">
        <w:tab/>
        <w:t>This decision does not necessarily apply to multidistrict litigation, which implicates a different statute, and so obstacles to such litigation are not a given.</w:t>
      </w:r>
      <w:r>
        <w:rPr>
          <w:rStyle w:val="FootnoteReference"/>
        </w:rPr>
        <w:footnoteReference w:id="260"/>
      </w:r>
      <w:r w:rsidRPr="00AD2F44">
        <w:t xml:space="preserve"> </w:t>
      </w:r>
    </w:p>
    <w:p w14:paraId="26935F9C" w14:textId="77777777" w:rsidR="004322B1" w:rsidRPr="00AD2F44" w:rsidRDefault="004322B1" w:rsidP="009B3F04">
      <w:pPr>
        <w:pStyle w:val="10ATextWithIndent"/>
      </w:pPr>
      <w:r w:rsidRPr="00AD2F44">
        <w:t xml:space="preserve">The day after </w:t>
      </w:r>
      <w:r w:rsidRPr="00AD2F44">
        <w:rPr>
          <w:i/>
          <w:iCs/>
        </w:rPr>
        <w:t>Canaday</w:t>
      </w:r>
      <w:r w:rsidRPr="00AD2F44">
        <w:t xml:space="preserve"> was issued, the Eighth Circuit in </w:t>
      </w:r>
      <w:r w:rsidRPr="00AD2F44">
        <w:rPr>
          <w:i/>
          <w:iCs/>
        </w:rPr>
        <w:t>Vallone v. CJS Solutions Group, LLC</w:t>
      </w:r>
      <w:r>
        <w:rPr>
          <w:rStyle w:val="FootnoteReference"/>
        </w:rPr>
        <w:footnoteReference w:id="261"/>
      </w:r>
      <w:r w:rsidRPr="00AD2F44">
        <w:t xml:space="preserve"> affirmed a district court’s limitation of conditional certification to claims of plaintiffs who traveled to Minnesota, because the employer was headquartered in Florida and the out-of-state plaintiffs’ claims lacked a connection to Minnesota.</w:t>
      </w:r>
      <w:r>
        <w:rPr>
          <w:rStyle w:val="FootnoteReference"/>
        </w:rPr>
        <w:footnoteReference w:id="262"/>
      </w:r>
      <w:r w:rsidRPr="00AD2F44">
        <w:t xml:space="preserve"> The court, like the court in </w:t>
      </w:r>
      <w:r w:rsidRPr="00AD2F44">
        <w:rPr>
          <w:i/>
          <w:iCs/>
        </w:rPr>
        <w:t>Canaday</w:t>
      </w:r>
      <w:r w:rsidRPr="00AD2F44">
        <w:t xml:space="preserve">, relied on the absence of a nationwide service of process provision in the FLSA and Rule 4(k)’s limits on personal jurisdiction to the state’s jurisdictional limits, concluding that </w:t>
      </w:r>
      <w:r w:rsidRPr="00AD2F44">
        <w:rPr>
          <w:i/>
          <w:iCs/>
        </w:rPr>
        <w:t>Bristol-Myers Squibb</w:t>
      </w:r>
      <w:r w:rsidRPr="00AD2F44">
        <w:t xml:space="preserve"> required there to be a “connection between the forum and the specific claims at issue.”</w:t>
      </w:r>
      <w:r>
        <w:rPr>
          <w:rStyle w:val="FootnoteReference"/>
        </w:rPr>
        <w:footnoteReference w:id="263"/>
      </w:r>
      <w:r w:rsidRPr="00AD2F44">
        <w:t xml:space="preserve"> The court rejected the idea that it could exercise personal jurisdiction over all claims against the employer given its jurisdiction over some claims because personal jurisdiction must be determined as to each claim, and “[e]ach failure to pay wages [] is a separate violation that gives rise to a distinct claim.”</w:t>
      </w:r>
      <w:r>
        <w:rPr>
          <w:rStyle w:val="FootnoteReference"/>
        </w:rPr>
        <w:footnoteReference w:id="264"/>
      </w:r>
      <w:r w:rsidRPr="00AD2F44">
        <w:t xml:space="preserve"> A number of district courts outside the Sixth and Eighth Circuits have applied </w:t>
      </w:r>
      <w:r w:rsidRPr="00AD2F44">
        <w:rPr>
          <w:i/>
          <w:iCs/>
        </w:rPr>
        <w:t>Bristol-Myers Squibb</w:t>
      </w:r>
      <w:r w:rsidRPr="00AD2F44">
        <w:t xml:space="preserve"> to find that personal jurisdiction only exists as to in-state plaintiffs’ claims.</w:t>
      </w:r>
      <w:r>
        <w:rPr>
          <w:rStyle w:val="FootnoteReference"/>
        </w:rPr>
        <w:footnoteReference w:id="265"/>
      </w:r>
    </w:p>
    <w:p w14:paraId="7EC79E56" w14:textId="77777777" w:rsidR="004322B1" w:rsidRPr="00AD2F44" w:rsidRDefault="004322B1">
      <w:pPr>
        <w:pStyle w:val="10ATextWithIndent"/>
      </w:pPr>
      <w:r w:rsidRPr="00AD2F44">
        <w:t xml:space="preserve">The First Circuit in </w:t>
      </w:r>
      <w:r w:rsidRPr="00AD2F44">
        <w:rPr>
          <w:i/>
          <w:iCs/>
        </w:rPr>
        <w:t>Waters v. Day &amp; Zimmerman NPS, Inc.</w:t>
      </w:r>
      <w:r>
        <w:rPr>
          <w:rStyle w:val="FootnoteReference"/>
        </w:rPr>
        <w:footnoteReference w:id="266"/>
      </w:r>
      <w:r w:rsidRPr="00AD2F44">
        <w:t xml:space="preserve"> disagreed with the Sixth and Eighth Circuits and affirmed the district court’s denial of a motion to dismiss out-of-state opt-in plaintiffs from a putative collective action. The court held that </w:t>
      </w:r>
      <w:r w:rsidRPr="00AD2F44">
        <w:rPr>
          <w:i/>
          <w:iCs/>
        </w:rPr>
        <w:t>Bristol-Myers Squibb</w:t>
      </w:r>
      <w:r w:rsidRPr="00AD2F44">
        <w:t xml:space="preserve"> rested on Fourteenth Amendment concerns, which were not present in a federal case based on federal claims, and rejected the view that Rule 4(k) operates as a limit on personal jurisdiction, reasoning that the rule is concerned only with whether initial process is properly served by the named plaintiff under the state’s long-arm statute.</w:t>
      </w:r>
      <w:r>
        <w:rPr>
          <w:rStyle w:val="FootnoteReference"/>
        </w:rPr>
        <w:footnoteReference w:id="267"/>
      </w:r>
      <w:r w:rsidRPr="00AD2F44">
        <w:t xml:space="preserve"> The court reasoned that Rule 4(k) is limited to the summons and does not “constrain[] a federal court’s power to act once a summons has been properly served, and personal jurisdiction has been established.”</w:t>
      </w:r>
      <w:r>
        <w:rPr>
          <w:rStyle w:val="FootnoteReference"/>
        </w:rPr>
        <w:footnoteReference w:id="268"/>
      </w:r>
      <w:r w:rsidRPr="00AD2F44">
        <w:t xml:space="preserve"> The court also reasoned that Rule 20, rather than Rule 4, addressed adding plaintiffs; that it had been displaced by the FLSA’s collective action mechanism; and that the FLSA “and its legislative history” reflected Congress’ intent to allow for “all affected employees working for a single employer to bring suit in a single, collective action.”</w:t>
      </w:r>
      <w:r>
        <w:rPr>
          <w:rStyle w:val="FootnoteReference"/>
        </w:rPr>
        <w:footnoteReference w:id="269"/>
      </w:r>
      <w:r w:rsidRPr="00AD2F44">
        <w:t xml:space="preserve"> The First Circuit also concluded that only the named plaintiff needs to satisfy service of process requirements in a collective action.</w:t>
      </w:r>
      <w:r>
        <w:rPr>
          <w:rStyle w:val="FootnoteReference"/>
        </w:rPr>
        <w:footnoteReference w:id="270"/>
      </w:r>
    </w:p>
    <w:p w14:paraId="4B125210" w14:textId="77777777" w:rsidR="004322B1" w:rsidRPr="00AD2F44" w:rsidRDefault="004322B1" w:rsidP="0078383D">
      <w:pPr>
        <w:pStyle w:val="10ATextWithIndent"/>
      </w:pPr>
      <w:r w:rsidRPr="00AD2F44">
        <w:t xml:space="preserve">A number of district courts have also concluded that </w:t>
      </w:r>
      <w:r w:rsidRPr="00AD2F44">
        <w:rPr>
          <w:i/>
          <w:iCs/>
        </w:rPr>
        <w:t>Bristol-Myers Squibb</w:t>
      </w:r>
      <w:r w:rsidRPr="00AD2F44">
        <w:t xml:space="preserve"> does not extend to limiting personal jurisdiction for foreign defendants in FLSA collective actions.</w:t>
      </w:r>
      <w:r>
        <w:rPr>
          <w:rStyle w:val="FootnoteReference"/>
        </w:rPr>
        <w:footnoteReference w:id="271"/>
      </w:r>
    </w:p>
    <w:p w14:paraId="18E2FD5E" w14:textId="77777777" w:rsidR="004322B1" w:rsidRPr="00AD2F44" w:rsidRDefault="004322B1">
      <w:pPr>
        <w:pStyle w:val="07Fourth-LevelHeadabc"/>
      </w:pPr>
      <w:r w:rsidRPr="00AD2F44">
        <w:t>c.</w:t>
      </w:r>
      <w:r w:rsidRPr="00AD2F44">
        <w:tab/>
        <w:t>The Time Period of Employment</w:t>
      </w:r>
    </w:p>
    <w:p w14:paraId="571EB28C" w14:textId="77777777" w:rsidR="004322B1" w:rsidRPr="00AD2F44" w:rsidRDefault="004322B1">
      <w:pPr>
        <w:pStyle w:val="10ATextWithIndent"/>
      </w:pPr>
      <w:r w:rsidRPr="00AD2F44">
        <w:t>Some courts have analyzed whether the plaintiff was employed during the same time frame as the putative collective members in determining the similarly situated issue.</w:t>
      </w:r>
      <w:r>
        <w:rPr>
          <w:vertAlign w:val="superscript"/>
        </w:rPr>
        <w:footnoteReference w:id="272"/>
      </w:r>
      <w:r w:rsidRPr="00AD2F44">
        <w:t xml:space="preserve"> For example, in </w:t>
      </w:r>
      <w:r w:rsidRPr="00AD2F44">
        <w:rPr>
          <w:i/>
          <w:iCs/>
        </w:rPr>
        <w:t>Trezvant v. Fidelity Employer Services Corp</w:t>
      </w:r>
      <w:r w:rsidRPr="00AD2F44">
        <w:t>.,</w:t>
      </w:r>
      <w:r>
        <w:rPr>
          <w:vertAlign w:val="superscript"/>
        </w:rPr>
        <w:footnoteReference w:id="273"/>
      </w:r>
      <w:r w:rsidRPr="00AD2F44">
        <w:t xml:space="preserve"> the company argued that none of the plaintiffs worked for the company in 2004 when the company’s divisions were restructured. The court found that the company failed to illustrate how the company’s restructuring affected the duties of the employees at issue to preclude a finding that employees in the positions at issue were similarly situated after the restructuring.</w:t>
      </w:r>
      <w:r>
        <w:rPr>
          <w:vertAlign w:val="superscript"/>
        </w:rPr>
        <w:footnoteReference w:id="274"/>
      </w:r>
      <w:r w:rsidRPr="00AD2F44">
        <w:t xml:space="preserve"> In </w:t>
      </w:r>
      <w:r w:rsidRPr="00AD2F44">
        <w:rPr>
          <w:i/>
          <w:iCs/>
        </w:rPr>
        <w:t>Balarezo v. NTH Connect Telecom, Inc</w:t>
      </w:r>
      <w:r w:rsidRPr="00AD2F44">
        <w:t>.,</w:t>
      </w:r>
      <w:r>
        <w:rPr>
          <w:vertAlign w:val="superscript"/>
        </w:rPr>
        <w:footnoteReference w:id="275"/>
      </w:r>
      <w:r w:rsidRPr="00AD2F44">
        <w:t xml:space="preserve"> the employer argued that the collective action should not include individuals who were paid as independent contractors in one period and individuals who were paid as employees in a later period. The court rejected this argument and found that during both time periods the putative collective members were paid on a piece-rate basis with no overtime compensation and could therefore be included in the same collective action.</w:t>
      </w:r>
      <w:r>
        <w:rPr>
          <w:vertAlign w:val="superscript"/>
        </w:rPr>
        <w:footnoteReference w:id="276"/>
      </w:r>
      <w:r w:rsidRPr="00AD2F44">
        <w:t xml:space="preserve"> That some plaintiffs would also need to demonstrate that they were not independent contractors was found to be immaterial during the notice stage.</w:t>
      </w:r>
      <w:r>
        <w:rPr>
          <w:vertAlign w:val="superscript"/>
        </w:rPr>
        <w:footnoteReference w:id="277"/>
      </w:r>
      <w:r w:rsidRPr="00AD2F44">
        <w:t xml:space="preserve"> Other courts have analyzed whether the policy that allegedly violated the FLSA continued during the period after the plaintiff was employed.</w:t>
      </w:r>
      <w:r>
        <w:rPr>
          <w:vertAlign w:val="superscript"/>
        </w:rPr>
        <w:footnoteReference w:id="278"/>
      </w:r>
    </w:p>
    <w:p w14:paraId="4FB495ED" w14:textId="77777777" w:rsidR="004322B1" w:rsidRPr="00AD2F44" w:rsidRDefault="004322B1">
      <w:pPr>
        <w:pStyle w:val="07Fourth-LevelHeadabc"/>
      </w:pPr>
      <w:r w:rsidRPr="00AD2F44">
        <w:t>d.</w:t>
      </w:r>
      <w:r w:rsidRPr="00AD2F44">
        <w:tab/>
        <w:t>Certification in Cases Involving Multiple Employers</w:t>
      </w:r>
    </w:p>
    <w:p w14:paraId="5DE8829B" w14:textId="77777777" w:rsidR="004322B1" w:rsidRPr="00AD2F44" w:rsidRDefault="004322B1">
      <w:pPr>
        <w:pStyle w:val="10ATextWithIndent"/>
      </w:pPr>
      <w:r w:rsidRPr="00AD2F44">
        <w:t>Some courts have analyzed whether it is appropriate to conditionally certify a collective action against multiple putative employers. Most courts have conditionally certified cases against multiple putative employers if all other criteria are met such that conditional certification is warranted against any of the employers and have reserved ruling on joint employer status until after discovery has occurred.</w:t>
      </w:r>
      <w:r>
        <w:rPr>
          <w:vertAlign w:val="superscript"/>
        </w:rPr>
        <w:footnoteReference w:id="279"/>
      </w:r>
      <w:r w:rsidRPr="00AD2F44">
        <w:t xml:space="preserve"> Other courts have denied conditional certification in part because the plaintiffs and potential opt-in plaintiffs worked for multiple companies in different locations.</w:t>
      </w:r>
      <w:r>
        <w:rPr>
          <w:vertAlign w:val="superscript"/>
        </w:rPr>
        <w:footnoteReference w:id="280"/>
      </w:r>
      <w:r w:rsidRPr="00AD2F44">
        <w:t xml:space="preserve"> At least one court has permitted notice to a successor company where the plaintiffs adequately alleged the federal common law standard for successor liability.</w:t>
      </w:r>
      <w:r>
        <w:rPr>
          <w:vertAlign w:val="superscript"/>
        </w:rPr>
        <w:footnoteReference w:id="281"/>
      </w:r>
      <w:r w:rsidRPr="00AD2F44">
        <w:t xml:space="preserve"> </w:t>
      </w:r>
    </w:p>
    <w:p w14:paraId="3BE76886" w14:textId="77777777" w:rsidR="004322B1" w:rsidRPr="00AD2F44" w:rsidRDefault="004322B1">
      <w:pPr>
        <w:pStyle w:val="07Fourth-LevelHeadabc"/>
      </w:pPr>
      <w:r w:rsidRPr="00AD2F44">
        <w:t>e.</w:t>
      </w:r>
      <w:r w:rsidRPr="00AD2F44">
        <w:tab/>
        <w:t>Prior Publicity About the Lawsuit</w:t>
      </w:r>
    </w:p>
    <w:p w14:paraId="37A1ABF4" w14:textId="77777777" w:rsidR="004322B1" w:rsidRPr="00AD2F44" w:rsidRDefault="004322B1">
      <w:pPr>
        <w:pStyle w:val="10ATextWithIndent"/>
      </w:pPr>
      <w:r w:rsidRPr="00AD2F44">
        <w:t>Some courts have analyzed whether prior publication of the lawsuit in newspapers or on websites and informal attempts to communicate with potential opt-in plaintiffs by the named plaintiffs or their counsel eliminate the need for collective action notice.</w:t>
      </w:r>
      <w:r>
        <w:rPr>
          <w:vertAlign w:val="superscript"/>
        </w:rPr>
        <w:footnoteReference w:id="282"/>
      </w:r>
      <w:r w:rsidRPr="00AD2F44">
        <w:t xml:space="preserve"> For example, in </w:t>
      </w:r>
      <w:r w:rsidRPr="00AD2F44">
        <w:rPr>
          <w:i/>
          <w:iCs/>
        </w:rPr>
        <w:t>Bernard v. Household International</w:t>
      </w:r>
      <w:r w:rsidRPr="00AD2F44">
        <w:t>,</w:t>
      </w:r>
      <w:r>
        <w:rPr>
          <w:vertAlign w:val="superscript"/>
        </w:rPr>
        <w:footnoteReference w:id="283"/>
      </w:r>
      <w:r w:rsidRPr="00AD2F44">
        <w:t xml:space="preserve"> the district court refused to approve court-facilitated notice because the defendants had already provided the plaintiffs with the names and addresses of the putative collective, plaintiffs’ counsel had advertised in newspapers to reach putative collective members, and five months had elapsed since the list of putative collective members was produced.</w:t>
      </w:r>
      <w:r>
        <w:rPr>
          <w:vertAlign w:val="superscript"/>
        </w:rPr>
        <w:footnoteReference w:id="284"/>
      </w:r>
      <w:r w:rsidRPr="00AD2F44">
        <w:t xml:space="preserve"> By contrast, in </w:t>
      </w:r>
      <w:r w:rsidRPr="00AD2F44">
        <w:rPr>
          <w:i/>
          <w:iCs/>
        </w:rPr>
        <w:t>Simpkins v. Pulte Home Corp</w:t>
      </w:r>
      <w:r w:rsidRPr="00AD2F44">
        <w:t>.,</w:t>
      </w:r>
      <w:r>
        <w:rPr>
          <w:vertAlign w:val="superscript"/>
        </w:rPr>
        <w:footnoteReference w:id="285"/>
      </w:r>
      <w:r w:rsidRPr="00AD2F44">
        <w:t xml:space="preserve"> the defendant argued that conditional certification was unnecessary because plaintiff’s counsel had already conducted an advertising campaign and directly contacted employees. The court disagreed, reasoning in part that mass advertising is not a replacement for a court-authorized notice that fully informs employees of their rights, and that the conduct of the plaintiff’s attorneys should not be determinative of whether potential collective members receive notice.</w:t>
      </w:r>
      <w:r>
        <w:rPr>
          <w:vertAlign w:val="superscript"/>
        </w:rPr>
        <w:footnoteReference w:id="286"/>
      </w:r>
    </w:p>
    <w:p w14:paraId="504E9039" w14:textId="77777777" w:rsidR="004322B1" w:rsidRPr="00AD2F44" w:rsidRDefault="004322B1">
      <w:pPr>
        <w:pStyle w:val="06Third-LevelHead123"/>
      </w:pPr>
      <w:r w:rsidRPr="00AD2F44">
        <w:rPr>
          <w:smallCaps/>
        </w:rPr>
        <w:t>7.</w:t>
      </w:r>
      <w:r w:rsidRPr="00AD2F44">
        <w:rPr>
          <w:smallCaps/>
        </w:rPr>
        <w:tab/>
      </w:r>
      <w:r w:rsidRPr="00AD2F44">
        <w:t>Communication About the Collective Action</w:t>
      </w:r>
    </w:p>
    <w:p w14:paraId="70FFB9B7" w14:textId="77777777" w:rsidR="004322B1" w:rsidRPr="00AD2F44" w:rsidRDefault="004322B1">
      <w:pPr>
        <w:pStyle w:val="07Fourth-LevelHeadabc"/>
      </w:pPr>
      <w:r w:rsidRPr="00AD2F44">
        <w:t>a.</w:t>
      </w:r>
      <w:r w:rsidRPr="00AD2F44">
        <w:tab/>
        <w:t>Contact by the Parties</w:t>
      </w:r>
    </w:p>
    <w:p w14:paraId="1D84879C" w14:textId="77777777" w:rsidR="004322B1" w:rsidRPr="00AD2F44" w:rsidRDefault="004322B1">
      <w:pPr>
        <w:pStyle w:val="08Fifth-LevelHeadi"/>
      </w:pPr>
      <w:r w:rsidRPr="00AD2F44">
        <w:t>(</w:t>
      </w:r>
      <w:proofErr w:type="spellStart"/>
      <w:r w:rsidRPr="00AD2F44">
        <w:t>i</w:t>
      </w:r>
      <w:proofErr w:type="spellEnd"/>
      <w:r w:rsidRPr="00AD2F44">
        <w:t>.)</w:t>
      </w:r>
      <w:r w:rsidRPr="00AD2F44">
        <w:tab/>
        <w:t>Contact by Plaintiffs and Their Counsel</w:t>
      </w:r>
    </w:p>
    <w:p w14:paraId="00533555" w14:textId="77777777" w:rsidR="004322B1" w:rsidRPr="00AD2F44" w:rsidRDefault="004322B1">
      <w:pPr>
        <w:pStyle w:val="10ATextWithIndent"/>
        <w:rPr>
          <w:vertAlign w:val="superscript"/>
        </w:rPr>
      </w:pPr>
      <w:r w:rsidRPr="00AD2F44">
        <w:t xml:space="preserve">In </w:t>
      </w:r>
      <w:r w:rsidRPr="00AD2F44">
        <w:rPr>
          <w:i/>
          <w:iCs/>
        </w:rPr>
        <w:t>Hoffmann-La Roche v. Sperling</w:t>
      </w:r>
      <w:r w:rsidRPr="00AD2F44">
        <w:t>,</w:t>
      </w:r>
      <w:r>
        <w:rPr>
          <w:vertAlign w:val="superscript"/>
        </w:rPr>
        <w:footnoteReference w:id="287"/>
      </w:r>
      <w:r w:rsidRPr="00AD2F44">
        <w:t xml:space="preserve"> the Supreme Court did not reach the question of whether it was inappropriate for plaintiffs’ counsel to initiate communications with putative collective action members without the court’s approval.</w:t>
      </w:r>
      <w:r>
        <w:rPr>
          <w:vertAlign w:val="superscript"/>
        </w:rPr>
        <w:footnoteReference w:id="288"/>
      </w:r>
      <w:r w:rsidRPr="00AD2F44">
        <w:t xml:space="preserve"> In that case, prior to the district court’s approval of notice and conditional certification, plaintiffs’ counsel had unilaterally sent letters to some 600 putative collective action member employees and, as a result, received and filed with the court over 400 opt-in consent forms.</w:t>
      </w:r>
      <w:r>
        <w:rPr>
          <w:vertAlign w:val="superscript"/>
        </w:rPr>
        <w:footnoteReference w:id="289"/>
      </w:r>
    </w:p>
    <w:p w14:paraId="1331A033" w14:textId="77777777" w:rsidR="004322B1" w:rsidRPr="00AD2F44" w:rsidRDefault="004322B1">
      <w:pPr>
        <w:pStyle w:val="10ATextWithIndent"/>
        <w:rPr>
          <w:vertAlign w:val="superscript"/>
        </w:rPr>
      </w:pPr>
      <w:r w:rsidRPr="00AD2F44">
        <w:t>The defendants moved for the district court to sanction plaintiffs’ counsel for sending the letter and “to invalidate the consents already filed on the ground that the solicitation had been misleading” and requested that a “corrective notice” be sent to those who filed the consents.</w:t>
      </w:r>
      <w:r>
        <w:rPr>
          <w:vertAlign w:val="superscript"/>
        </w:rPr>
        <w:footnoteReference w:id="290"/>
      </w:r>
      <w:r w:rsidRPr="00AD2F44">
        <w:t xml:space="preserve"> The district court refused to sanction plaintiffs’ counsel or invalidate the opt-in consent forms already filed by the plaintiffs and additionally ordered that a notice-and-consent form approved by the court be sent to all employees who had not opted into the action.</w:t>
      </w:r>
      <w:r>
        <w:rPr>
          <w:vertAlign w:val="superscript"/>
        </w:rPr>
        <w:footnoteReference w:id="291"/>
      </w:r>
    </w:p>
    <w:p w14:paraId="71DB7F58" w14:textId="77777777" w:rsidR="004322B1" w:rsidRPr="00AD2F44" w:rsidRDefault="004322B1">
      <w:pPr>
        <w:pStyle w:val="10ATextWithIndent"/>
        <w:rPr>
          <w:vertAlign w:val="superscript"/>
        </w:rPr>
      </w:pPr>
      <w:r w:rsidRPr="00AD2F44">
        <w:t>On appeal, the Supreme Court affirmed the district court’s actions with respect to the plaintiffs’ letter and refused to sanction plaintiffs’ counsel. It found that under the collective action procedures in 29 U.S.C. §216(b), the district court had discretion to “</w:t>
      </w:r>
      <w:proofErr w:type="spellStart"/>
      <w:r w:rsidRPr="00AD2F44">
        <w:t>prescrib</w:t>
      </w:r>
      <w:proofErr w:type="spellEnd"/>
      <w:r w:rsidRPr="00AD2F44">
        <w:t>[e] the terms and conditions of communication from the named plaintiffs to the potential members of the class on whose behalf the collective action has been brought.”</w:t>
      </w:r>
      <w:r>
        <w:rPr>
          <w:vertAlign w:val="superscript"/>
        </w:rPr>
        <w:footnoteReference w:id="292"/>
      </w:r>
    </w:p>
    <w:p w14:paraId="0CB151BB" w14:textId="77777777" w:rsidR="004322B1" w:rsidRPr="00AD2F44" w:rsidRDefault="004322B1">
      <w:pPr>
        <w:pStyle w:val="10ATextWithIndent"/>
        <w:rPr>
          <w:vertAlign w:val="superscript"/>
        </w:rPr>
      </w:pPr>
      <w:r w:rsidRPr="00AD2F44">
        <w:t xml:space="preserve">Because the Supreme Court in </w:t>
      </w:r>
      <w:r w:rsidRPr="00AD2F44">
        <w:rPr>
          <w:i/>
          <w:iCs/>
        </w:rPr>
        <w:t>Hoffmann-La Roche</w:t>
      </w:r>
      <w:r w:rsidRPr="00AD2F44">
        <w:t xml:space="preserve"> did not resolve whether the plaintiffs’ counsel’s contact with putative collective action members was appropriate, lower courts have looked to other Supreme Court decisions regarding communications with potential clients outside of the collective action context. Two such decisions, </w:t>
      </w:r>
      <w:r w:rsidRPr="00AD2F44">
        <w:rPr>
          <w:i/>
          <w:iCs/>
        </w:rPr>
        <w:t>Shapero v. Kentucky Bar Association</w:t>
      </w:r>
      <w:r>
        <w:rPr>
          <w:vertAlign w:val="superscript"/>
        </w:rPr>
        <w:footnoteReference w:id="293"/>
      </w:r>
      <w:r w:rsidRPr="00AD2F44">
        <w:rPr>
          <w:i/>
          <w:iCs/>
        </w:rPr>
        <w:t xml:space="preserve"> </w:t>
      </w:r>
      <w:r w:rsidRPr="00AD2F44">
        <w:t xml:space="preserve">and </w:t>
      </w:r>
      <w:r w:rsidRPr="00AD2F44">
        <w:rPr>
          <w:i/>
          <w:iCs/>
        </w:rPr>
        <w:t>Gulf Oil Co. v. Bernard</w:t>
      </w:r>
      <w:r w:rsidRPr="00AD2F44">
        <w:t>,</w:t>
      </w:r>
      <w:r>
        <w:rPr>
          <w:vertAlign w:val="superscript"/>
        </w:rPr>
        <w:footnoteReference w:id="294"/>
      </w:r>
      <w:r w:rsidRPr="00AD2F44">
        <w:t xml:space="preserve"> have provided some guidance for lower courts. In </w:t>
      </w:r>
      <w:r w:rsidRPr="00AD2F44">
        <w:rPr>
          <w:i/>
          <w:iCs/>
        </w:rPr>
        <w:t>Shapero</w:t>
      </w:r>
      <w:r w:rsidRPr="00AD2F44">
        <w:t>, the Court held that the First Amendment prohibited a complete ban on written solicitations to potential clients where the communications were truthful and nondeceptive.</w:t>
      </w:r>
      <w:r>
        <w:rPr>
          <w:vertAlign w:val="superscript"/>
        </w:rPr>
        <w:footnoteReference w:id="295"/>
      </w:r>
      <w:r w:rsidRPr="00AD2F44">
        <w:t xml:space="preserve"> In </w:t>
      </w:r>
      <w:r w:rsidRPr="00AD2F44">
        <w:rPr>
          <w:i/>
          <w:iCs/>
        </w:rPr>
        <w:t>Gulf Oil</w:t>
      </w:r>
      <w:r w:rsidRPr="00AD2F44">
        <w:t>, the Court held that while Rule 23 of the Federal Rules of Civil Procedure grants courts broad authority to control the conduct of counsel and parties, it allows courts to restrict counsel’s written contact with putative class members only where it is necessary to prevent abuse, such as misleading statements about the litigation.</w:t>
      </w:r>
      <w:r>
        <w:rPr>
          <w:vertAlign w:val="superscript"/>
        </w:rPr>
        <w:footnoteReference w:id="296"/>
      </w:r>
    </w:p>
    <w:p w14:paraId="09993B3E" w14:textId="77777777" w:rsidR="004322B1" w:rsidRPr="00AD2F44" w:rsidRDefault="004322B1">
      <w:pPr>
        <w:pStyle w:val="10ATextWithIndent"/>
        <w:rPr>
          <w:vertAlign w:val="superscript"/>
        </w:rPr>
      </w:pPr>
      <w:r w:rsidRPr="00AD2F44">
        <w:t xml:space="preserve">The majority of lower courts have used </w:t>
      </w:r>
      <w:r w:rsidRPr="00AD2F44">
        <w:rPr>
          <w:i/>
          <w:iCs/>
        </w:rPr>
        <w:t>Shapero</w:t>
      </w:r>
      <w:r w:rsidRPr="00AD2F44">
        <w:t xml:space="preserve"> and </w:t>
      </w:r>
      <w:r w:rsidRPr="00AD2F44">
        <w:rPr>
          <w:i/>
          <w:iCs/>
        </w:rPr>
        <w:t>Gulf Oil</w:t>
      </w:r>
      <w:r w:rsidRPr="00AD2F44">
        <w:t xml:space="preserve"> as a starting point for analyzing what restrictions apply to the communications by plaintiffs’ counsel with putative FLSA collective action members. In light of these Supreme Court decisions, courts generally have refused to restrict communications by plaintiffs’ counsel that are not misleading.</w:t>
      </w:r>
      <w:r>
        <w:rPr>
          <w:vertAlign w:val="superscript"/>
        </w:rPr>
        <w:footnoteReference w:id="297"/>
      </w:r>
      <w:r w:rsidRPr="00AD2F44">
        <w:t xml:space="preserve"> For example, one court observed that Section 216(b) of the FLSA “does not require parties to obtain judicial approval before seeking to locate other ‘similarly situated’ persons” and that “it is not the court’s role to prohibit plaintiffs from attempting to gather these consents.”</w:t>
      </w:r>
      <w:r>
        <w:rPr>
          <w:vertAlign w:val="superscript"/>
        </w:rPr>
        <w:footnoteReference w:id="298"/>
      </w:r>
      <w:r w:rsidRPr="00AD2F44">
        <w:t xml:space="preserve"> Another court has explained that a plaintiffs’ counsel’s efforts “to provide notice to potential opt-ins through advertisement letters or other means” may not affect whether the court should approve a court-authorized notice.</w:t>
      </w:r>
      <w:r>
        <w:rPr>
          <w:vertAlign w:val="superscript"/>
        </w:rPr>
        <w:footnoteReference w:id="299"/>
      </w:r>
      <w:r w:rsidRPr="00AD2F44">
        <w:t xml:space="preserve"> Thus, some courts facilitate communications by plaintiffs’ counsel with putative collective action members prior to the certification of a collective action by allowing them to obtain the putative members’ contact information from defendants in discovery, because such information may be needed to define the proposed class properly or to send advertisement letters to putative collective action members.</w:t>
      </w:r>
      <w:r>
        <w:rPr>
          <w:vertAlign w:val="superscript"/>
        </w:rPr>
        <w:footnoteReference w:id="300"/>
      </w:r>
      <w:r w:rsidRPr="00AD2F44">
        <w:t xml:space="preserve"> However, some courts have not allowed the collection of such contact information in precertification discovery</w:t>
      </w:r>
      <w:r>
        <w:rPr>
          <w:vertAlign w:val="superscript"/>
        </w:rPr>
        <w:footnoteReference w:id="301"/>
      </w:r>
      <w:r w:rsidRPr="00AD2F44">
        <w:t xml:space="preserve"> and have prohibited plaintiffs’ counsel from soliciting putative collective action members prior to a ruling on a motion for notice and conditional certification, concluding that such an effort would circumvent the court-supervised notice process mandated by the FLSA.</w:t>
      </w:r>
      <w:r>
        <w:rPr>
          <w:vertAlign w:val="superscript"/>
        </w:rPr>
        <w:footnoteReference w:id="302"/>
      </w:r>
    </w:p>
    <w:p w14:paraId="568277DD" w14:textId="77777777" w:rsidR="004322B1" w:rsidRPr="00AD2F44" w:rsidRDefault="004322B1">
      <w:pPr>
        <w:pStyle w:val="10ATextWithIndent"/>
        <w:rPr>
          <w:vertAlign w:val="superscript"/>
        </w:rPr>
      </w:pPr>
      <w:r w:rsidRPr="00AD2F44">
        <w:t>Despite the broad latitude for communicating with putative collective action members, when there is evidence of false or misleading communications or other misconduct, courts have issued protective orders prohibiting further contact, allowing a “curative” or “corrective” notice, and/or imposing other sanctions.</w:t>
      </w:r>
      <w:r>
        <w:rPr>
          <w:vertAlign w:val="superscript"/>
        </w:rPr>
        <w:footnoteReference w:id="303"/>
      </w:r>
      <w:r w:rsidRPr="00AD2F44">
        <w:t xml:space="preserve"> Examples of where courts have found such false, misleading, or inappropriate communications include, among other things, where plaintiffs’ counsel (1) suggested to employees that they had to join the lawsuit to be able to recover lost wages;</w:t>
      </w:r>
      <w:r>
        <w:rPr>
          <w:vertAlign w:val="superscript"/>
        </w:rPr>
        <w:footnoteReference w:id="304"/>
      </w:r>
      <w:r w:rsidRPr="00AD2F44">
        <w:t xml:space="preserve"> (2) planned to send a letter without court approval that suggested all recipients would be eligible to participate in the putative collective action;</w:t>
      </w:r>
      <w:r>
        <w:rPr>
          <w:vertAlign w:val="superscript"/>
        </w:rPr>
        <w:footnoteReference w:id="305"/>
      </w:r>
      <w:r w:rsidRPr="00AD2F44">
        <w:t xml:space="preserve"> and (3) sent a letter to putative collective action members that falsely suggested that the defendant had voluntarily provided their contact information, falsely implied that the defendant had conceded some merit in the case, and over-targeted the scope of the class, potentially leading employees who would not be within the scope of the class to erroneously believe they had a legal problem.</w:t>
      </w:r>
      <w:r>
        <w:rPr>
          <w:vertAlign w:val="superscript"/>
        </w:rPr>
        <w:footnoteReference w:id="306"/>
      </w:r>
    </w:p>
    <w:p w14:paraId="663D37EB" w14:textId="77777777" w:rsidR="004322B1" w:rsidRPr="00AD2F44" w:rsidRDefault="004322B1">
      <w:pPr>
        <w:pStyle w:val="10ATextWithIndent"/>
        <w:rPr>
          <w:vertAlign w:val="superscript"/>
        </w:rPr>
      </w:pPr>
      <w:r w:rsidRPr="00AD2F44">
        <w:t>To correct misleading communications, one district court required plaintiffs’ counsel to alter their website to change, among other things, the statement that each “[p]</w:t>
      </w:r>
      <w:proofErr w:type="spellStart"/>
      <w:r w:rsidRPr="00AD2F44">
        <w:t>laintiff</w:t>
      </w:r>
      <w:proofErr w:type="spellEnd"/>
      <w:r w:rsidRPr="00AD2F44">
        <w:t xml:space="preserve"> was required to work more than 40 hours per week and did not receive overtime as required by law” to statements that “</w:t>
      </w:r>
      <w:r w:rsidRPr="00AD2F44">
        <w:rPr>
          <w:i/>
          <w:iCs/>
        </w:rPr>
        <w:t>the lawsuit alleges</w:t>
      </w:r>
      <w:r w:rsidRPr="00AD2F44">
        <w:t xml:space="preserve"> that each [p]</w:t>
      </w:r>
      <w:proofErr w:type="spellStart"/>
      <w:r w:rsidRPr="00AD2F44">
        <w:t>laintiff</w:t>
      </w:r>
      <w:proofErr w:type="spellEnd"/>
      <w:r w:rsidRPr="00AD2F44">
        <w:t> … did not receive overtime as required by law” and the defendant “</w:t>
      </w:r>
      <w:r w:rsidRPr="00AD2F44">
        <w:rPr>
          <w:i/>
          <w:iCs/>
        </w:rPr>
        <w:t>denies this allegation</w:t>
      </w:r>
      <w:r w:rsidRPr="00AD2F44">
        <w:t>.”</w:t>
      </w:r>
      <w:r>
        <w:rPr>
          <w:vertAlign w:val="superscript"/>
        </w:rPr>
        <w:footnoteReference w:id="307"/>
      </w:r>
      <w:r w:rsidRPr="00AD2F44">
        <w:t xml:space="preserve"> Some courts have concluded that any sanctions must be narrowly tailored to the alleged misconduct in light of the Supreme Court’s guidance in </w:t>
      </w:r>
      <w:r w:rsidRPr="00AD2F44">
        <w:rPr>
          <w:i/>
          <w:iCs/>
        </w:rPr>
        <w:t>Gulf Oil</w:t>
      </w:r>
      <w:r w:rsidRPr="00AD2F44">
        <w:t>,</w:t>
      </w:r>
      <w:r>
        <w:rPr>
          <w:vertAlign w:val="superscript"/>
        </w:rPr>
        <w:footnoteReference w:id="308"/>
      </w:r>
      <w:r w:rsidRPr="00AD2F44">
        <w:t xml:space="preserve"> whereas others have been willing to enjoin all unsupervised contact with putative collective action members after the first incident of a misleading communication, relying on </w:t>
      </w:r>
      <w:r w:rsidRPr="00AD2F44">
        <w:rPr>
          <w:i/>
          <w:iCs/>
        </w:rPr>
        <w:t>Gulf Oil</w:t>
      </w:r>
      <w:r w:rsidRPr="00AD2F44">
        <w:t>’s expression of the district court’s duty and authority to control class actions.</w:t>
      </w:r>
      <w:r>
        <w:rPr>
          <w:vertAlign w:val="superscript"/>
        </w:rPr>
        <w:footnoteReference w:id="309"/>
      </w:r>
      <w:r w:rsidRPr="00AD2F44">
        <w:t xml:space="preserve"> At least one court has imposed severe sanctions for plaintiffs’ counsel’s precertification communications with putative collective action members, barring counsel from collecting fees or costs from those improperly solicited.</w:t>
      </w:r>
      <w:r>
        <w:rPr>
          <w:vertAlign w:val="superscript"/>
        </w:rPr>
        <w:footnoteReference w:id="310"/>
      </w:r>
    </w:p>
    <w:p w14:paraId="55971C05" w14:textId="77777777" w:rsidR="004322B1" w:rsidRPr="00AD2F44" w:rsidRDefault="004322B1">
      <w:pPr>
        <w:pStyle w:val="10ATextWithIndent"/>
        <w:rPr>
          <w:vertAlign w:val="superscript"/>
        </w:rPr>
      </w:pPr>
      <w:r w:rsidRPr="00AD2F44">
        <w:t>Pre-notice communications by plaintiffs’ counsel with potential opt-in plaintiffs may not be protected by the attorney-client privilege, particularly where the communication is merely a questionnaire or advertisement about the lawsuit, because the attorney-client relationship may not yet exist at that stage.</w:t>
      </w:r>
      <w:r>
        <w:rPr>
          <w:vertAlign w:val="superscript"/>
        </w:rPr>
        <w:footnoteReference w:id="311"/>
      </w:r>
      <w:r w:rsidRPr="00AD2F44">
        <w:t xml:space="preserve"> Moreover, depending on the applicable state rules of professional conduct, pre-notice ex </w:t>
      </w:r>
      <w:proofErr w:type="spellStart"/>
      <w:r w:rsidRPr="00AD2F44">
        <w:t>parte</w:t>
      </w:r>
      <w:proofErr w:type="spellEnd"/>
      <w:r w:rsidRPr="00AD2F44">
        <w:t xml:space="preserve"> communications by plaintiffs’ counsel with certain managerial and supervisory employees may be impermissible.</w:t>
      </w:r>
      <w:r>
        <w:rPr>
          <w:vertAlign w:val="superscript"/>
        </w:rPr>
        <w:footnoteReference w:id="312"/>
      </w:r>
    </w:p>
    <w:p w14:paraId="211ACA01" w14:textId="77777777" w:rsidR="004322B1" w:rsidRPr="00AD2F44" w:rsidRDefault="004322B1">
      <w:pPr>
        <w:pStyle w:val="10ATextWithIndent"/>
        <w:rPr>
          <w:vertAlign w:val="superscript"/>
        </w:rPr>
      </w:pPr>
      <w:r w:rsidRPr="00AD2F44">
        <w:t>An issue that has occasionally arisen is plaintiffs’ counsel’s contact with putative class members during the pendency of notice. One court has found that a plaintiffs’ counsel’s website was an improper communication with the putative class where the order granting notice limited notice to first class and electronic mail.</w:t>
      </w:r>
      <w:r>
        <w:rPr>
          <w:vertAlign w:val="superscript"/>
        </w:rPr>
        <w:footnoteReference w:id="313"/>
      </w:r>
      <w:r w:rsidRPr="00AD2F44">
        <w:t xml:space="preserve"> Other courts have imposed requirements for plaintiffs’ counsel to notify defendants’ counsel and possibly the court where plaintiffs’ counsel have sought to issue “reminder letters” or other communications about the case during the pendency of the notice, although those courts have stopped short of sanctioning plaintiffs’ counsel.</w:t>
      </w:r>
      <w:r>
        <w:rPr>
          <w:vertAlign w:val="superscript"/>
        </w:rPr>
        <w:footnoteReference w:id="314"/>
      </w:r>
    </w:p>
    <w:p w14:paraId="1BC44834" w14:textId="77777777" w:rsidR="004322B1" w:rsidRPr="00AD2F44" w:rsidRDefault="004322B1">
      <w:pPr>
        <w:pStyle w:val="10ATextWithIndent"/>
        <w:rPr>
          <w:vertAlign w:val="superscript"/>
        </w:rPr>
      </w:pPr>
      <w:r w:rsidRPr="00AD2F44">
        <w:t>Courts may impose other conditions on contact by counsel during the notice period.</w:t>
      </w:r>
      <w:r>
        <w:rPr>
          <w:vertAlign w:val="superscript"/>
        </w:rPr>
        <w:footnoteReference w:id="315"/>
      </w:r>
    </w:p>
    <w:p w14:paraId="5412C370" w14:textId="77777777" w:rsidR="004322B1" w:rsidRPr="00AD2F44" w:rsidRDefault="004322B1">
      <w:pPr>
        <w:pStyle w:val="08Fifth-LevelHeadi"/>
      </w:pPr>
      <w:r w:rsidRPr="00AD2F44">
        <w:t>(ii.)</w:t>
      </w:r>
      <w:r w:rsidRPr="00AD2F44">
        <w:tab/>
        <w:t>Contact by Defendants and Their Counsel</w:t>
      </w:r>
    </w:p>
    <w:p w14:paraId="6EE083A4" w14:textId="77777777" w:rsidR="004322B1" w:rsidRPr="00AD2F44" w:rsidRDefault="004322B1">
      <w:pPr>
        <w:pStyle w:val="10ATextWithIndent"/>
        <w:rPr>
          <w:vertAlign w:val="superscript"/>
        </w:rPr>
      </w:pPr>
      <w:r w:rsidRPr="00AD2F44">
        <w:t>Defendants and their counsel typically may not communicate about the litigation directly with employees who have affirmatively opted into the litigation and thus become party plaintiffs.</w:t>
      </w:r>
      <w:r>
        <w:rPr>
          <w:vertAlign w:val="superscript"/>
        </w:rPr>
        <w:footnoteReference w:id="316"/>
      </w:r>
      <w:r w:rsidRPr="00AD2F44">
        <w:t xml:space="preserve"> Whether such communication is prohibited is governed by each state’s rules of professional conduct. On the other hand, as to putative collective action members who have not yet elected to opt in and have not formed an attorney-client relationship,</w:t>
      </w:r>
      <w:r>
        <w:rPr>
          <w:vertAlign w:val="superscript"/>
        </w:rPr>
        <w:footnoteReference w:id="317"/>
      </w:r>
      <w:r w:rsidRPr="00AD2F44">
        <w:t xml:space="preserve"> most courts follow the approach of </w:t>
      </w:r>
      <w:r w:rsidRPr="00AD2F44">
        <w:rPr>
          <w:i/>
          <w:iCs/>
        </w:rPr>
        <w:t>Gulf Oil</w:t>
      </w:r>
      <w:r>
        <w:rPr>
          <w:vertAlign w:val="superscript"/>
        </w:rPr>
        <w:footnoteReference w:id="318"/>
      </w:r>
      <w:r w:rsidRPr="00AD2F44">
        <w:t xml:space="preserve"> and permit communications</w:t>
      </w:r>
      <w:r>
        <w:rPr>
          <w:vertAlign w:val="superscript"/>
        </w:rPr>
        <w:footnoteReference w:id="319"/>
      </w:r>
      <w:r w:rsidRPr="00AD2F44">
        <w:t xml:space="preserve"> with potential plaintiffs unless those communications are shown to be misleading or coercive.</w:t>
      </w:r>
      <w:r>
        <w:rPr>
          <w:vertAlign w:val="superscript"/>
        </w:rPr>
        <w:footnoteReference w:id="320"/>
      </w:r>
      <w:r w:rsidRPr="00AD2F44">
        <w:t xml:space="preserve"> Once conditional certification has been granted and notice to putative collective action members has been authorized, courts take a more restrictive view of permissible communications by defense counsel.</w:t>
      </w:r>
      <w:r>
        <w:rPr>
          <w:vertAlign w:val="superscript"/>
        </w:rPr>
        <w:footnoteReference w:id="321"/>
      </w:r>
    </w:p>
    <w:p w14:paraId="36271042" w14:textId="77777777" w:rsidR="004322B1" w:rsidRPr="00AD2F44" w:rsidRDefault="004322B1">
      <w:pPr>
        <w:pStyle w:val="10ATextWithIndent"/>
        <w:rPr>
          <w:vertAlign w:val="superscript"/>
        </w:rPr>
      </w:pPr>
      <w:r w:rsidRPr="00AD2F44">
        <w:t>Prior to conditional certification, defendants generally may interview and gather declarations from putative collective action members, provided there are no material misrepresentations made to such individuals and the defendants are not specifically attempting to discourage participation in the lawsuit.</w:t>
      </w:r>
      <w:r>
        <w:rPr>
          <w:vertAlign w:val="superscript"/>
        </w:rPr>
        <w:footnoteReference w:id="322"/>
      </w:r>
      <w:r w:rsidRPr="00AD2F44">
        <w:t xml:space="preserve"> Similarly, before a case is conditionally certified, defendants can make </w:t>
      </w:r>
      <w:proofErr w:type="spellStart"/>
      <w:r w:rsidRPr="00AD2F44">
        <w:t>nonmisleading</w:t>
      </w:r>
      <w:proofErr w:type="spellEnd"/>
      <w:r w:rsidRPr="00AD2F44">
        <w:t xml:space="preserve"> or noncoercive communications to putative collective action members about the nature of the litigation.</w:t>
      </w:r>
      <w:r>
        <w:rPr>
          <w:vertAlign w:val="superscript"/>
        </w:rPr>
        <w:footnoteReference w:id="323"/>
      </w:r>
      <w:r w:rsidRPr="00AD2F44">
        <w:t xml:space="preserve"> For example, in </w:t>
      </w:r>
      <w:r w:rsidRPr="00AD2F44">
        <w:rPr>
          <w:i/>
          <w:iCs/>
        </w:rPr>
        <w:t>Gerlach v. Wells Fargo &amp; Co</w:t>
      </w:r>
      <w:r w:rsidRPr="00AD2F44">
        <w:t>.,</w:t>
      </w:r>
      <w:r>
        <w:rPr>
          <w:vertAlign w:val="superscript"/>
        </w:rPr>
        <w:footnoteReference w:id="324"/>
      </w:r>
      <w:r w:rsidRPr="00AD2F44">
        <w:t xml:space="preserve"> the defendants sent some of their employees (including a number of putative collective action members) a document retention notice and attached a “Q &amp; A document” that listed questions and answers about the pending litigation.</w:t>
      </w:r>
      <w:r>
        <w:rPr>
          <w:vertAlign w:val="superscript"/>
        </w:rPr>
        <w:footnoteReference w:id="325"/>
      </w:r>
      <w:r w:rsidRPr="00AD2F44">
        <w:t xml:space="preserve"> The court rejected the plaintiffs’ request for the issuance of a corrective notice and an order prohibiting defendants from any further contacts with potential collective action members. The court reasoned that a “Q&amp;A document,” which the employer had sent out as an attachment to a document instructing its employees to retain documents relating to their work after the case was filed, was not sufficiently misleading or coercive, as it accurately informed the recipients that it was their decision whether to speak to an attorney about the lawsuit and they would not suffer any retaliation if they spoke to plaintiffs’ counsel or joined the lawsuit, and also because the court would send its own notice to all potential collective action members.</w:t>
      </w:r>
      <w:r>
        <w:rPr>
          <w:vertAlign w:val="superscript"/>
        </w:rPr>
        <w:footnoteReference w:id="326"/>
      </w:r>
      <w:r w:rsidRPr="00AD2F44">
        <w:t xml:space="preserve"> However, a number of other courts have found that the nature of the employer-employee relationship is sufficiently inherently coercive that in certain circumstances a stricter limit on the amount of communication between defendants and putative collective action members may be warranted even where the court does not make a finding that a particular abuse occurred.</w:t>
      </w:r>
      <w:r>
        <w:rPr>
          <w:vertAlign w:val="superscript"/>
        </w:rPr>
        <w:footnoteReference w:id="327"/>
      </w:r>
      <w:r w:rsidRPr="00AD2F44">
        <w:t xml:space="preserve"> By way of illustration, courts will scrutinize efforts by defendants to implement arbitration programs before a case is conditionally certified.</w:t>
      </w:r>
      <w:r>
        <w:rPr>
          <w:vertAlign w:val="superscript"/>
        </w:rPr>
        <w:footnoteReference w:id="328"/>
      </w:r>
    </w:p>
    <w:p w14:paraId="13A77A30" w14:textId="77777777" w:rsidR="004322B1" w:rsidRPr="00AD2F44" w:rsidRDefault="004322B1">
      <w:pPr>
        <w:pStyle w:val="10ATextWithIndent"/>
        <w:rPr>
          <w:vertAlign w:val="superscript"/>
        </w:rPr>
      </w:pPr>
      <w:r w:rsidRPr="00AD2F44">
        <w:t>Defendants have been sanctioned when they engage in misleading or coercive communications with putative collective action members. For instance, one court concluded that it was improper for a defendant to send a letter to its employees encouraging them not to join the lawsuit.</w:t>
      </w:r>
      <w:r>
        <w:rPr>
          <w:vertAlign w:val="superscript"/>
        </w:rPr>
        <w:footnoteReference w:id="329"/>
      </w:r>
      <w:r w:rsidRPr="00AD2F44">
        <w:t xml:space="preserve"> In another example of potentially sanctionable conduct, a court observed that a defendant could not send letters to putative collective action members that contained “potentially intimidating language about the nature and extent of discovery.”</w:t>
      </w:r>
      <w:r>
        <w:rPr>
          <w:vertAlign w:val="superscript"/>
        </w:rPr>
        <w:footnoteReference w:id="330"/>
      </w:r>
    </w:p>
    <w:p w14:paraId="1B073E7C" w14:textId="77777777" w:rsidR="004322B1" w:rsidRPr="00AD2F44" w:rsidRDefault="004322B1">
      <w:pPr>
        <w:pStyle w:val="10ATextWithIndent"/>
        <w:rPr>
          <w:vertAlign w:val="superscript"/>
        </w:rPr>
      </w:pPr>
      <w:r w:rsidRPr="00AD2F44">
        <w:t>Sanctions also have been imposed where defendants’ counsel contacted putative collective action members, mischaracterized the litigation, and attempted to obtain their declarations without disclosing that doing so might be adverse to their interests,</w:t>
      </w:r>
      <w:r>
        <w:rPr>
          <w:vertAlign w:val="superscript"/>
        </w:rPr>
        <w:footnoteReference w:id="331"/>
      </w:r>
      <w:r w:rsidRPr="00AD2F44">
        <w:t xml:space="preserve"> and where defendants sought to obtain ex </w:t>
      </w:r>
      <w:proofErr w:type="spellStart"/>
      <w:r w:rsidRPr="00AD2F44">
        <w:t>parte</w:t>
      </w:r>
      <w:proofErr w:type="spellEnd"/>
      <w:r w:rsidRPr="00AD2F44">
        <w:t xml:space="preserve"> releases from putative collective action members.</w:t>
      </w:r>
      <w:r>
        <w:rPr>
          <w:vertAlign w:val="superscript"/>
        </w:rPr>
        <w:footnoteReference w:id="332"/>
      </w:r>
      <w:r w:rsidRPr="00AD2F44">
        <w:t xml:space="preserve"> Just as with improper communications by plaintiff’s counsel, one sanction or remedy for coercive or misleading communications by defense counsel may be a corrective notice.</w:t>
      </w:r>
      <w:r>
        <w:rPr>
          <w:vertAlign w:val="superscript"/>
        </w:rPr>
        <w:footnoteReference w:id="333"/>
      </w:r>
      <w:r w:rsidRPr="00AD2F44">
        <w:t xml:space="preserve"> At least one court has directed defendants to send corrective notices not only to the specific individuals who received the challenged communication but to </w:t>
      </w:r>
      <w:r w:rsidRPr="00AD2F44">
        <w:rPr>
          <w:i/>
          <w:iCs/>
        </w:rPr>
        <w:t>all</w:t>
      </w:r>
      <w:r w:rsidRPr="00AD2F44">
        <w:t xml:space="preserve"> putative collective action members.</w:t>
      </w:r>
      <w:r>
        <w:rPr>
          <w:vertAlign w:val="superscript"/>
        </w:rPr>
        <w:footnoteReference w:id="334"/>
      </w:r>
    </w:p>
    <w:p w14:paraId="7FF4D39D" w14:textId="77777777" w:rsidR="004322B1" w:rsidRPr="00AD2F44" w:rsidRDefault="004322B1">
      <w:pPr>
        <w:pStyle w:val="07Fourth-LevelHeadabc"/>
      </w:pPr>
      <w:r w:rsidRPr="00AD2F44">
        <w:t>b.</w:t>
      </w:r>
      <w:r w:rsidRPr="00AD2F44">
        <w:tab/>
        <w:t>Court-Facilitated Notice</w:t>
      </w:r>
    </w:p>
    <w:p w14:paraId="6E67338E" w14:textId="77777777" w:rsidR="004322B1" w:rsidRPr="00AD2F44" w:rsidRDefault="004322B1">
      <w:pPr>
        <w:pStyle w:val="10ATextWithIndent"/>
        <w:rPr>
          <w:vertAlign w:val="superscript"/>
        </w:rPr>
      </w:pPr>
      <w:r w:rsidRPr="00AD2F44">
        <w:t>A court’s involvement in the notice process may serve several important goals, including countering the potential for misuse of the collective device, avoiding a multiplicity of duplicative suits, possibly obviating the need to cancel consents obtained in an improper manner, and establishing reasonable deadlines to expedite the case’s disposition.</w:t>
      </w:r>
      <w:r>
        <w:rPr>
          <w:vertAlign w:val="superscript"/>
        </w:rPr>
        <w:footnoteReference w:id="335"/>
      </w:r>
      <w:r w:rsidRPr="00AD2F44">
        <w:t xml:space="preserve"> In </w:t>
      </w:r>
      <w:r w:rsidRPr="00AD2F44">
        <w:rPr>
          <w:i/>
          <w:iCs/>
        </w:rPr>
        <w:t>Hoffmann-</w:t>
      </w:r>
      <w:r w:rsidRPr="00AD2F44">
        <w:rPr>
          <w:i/>
          <w:iCs/>
        </w:rPr>
        <w:br/>
        <w:t>La Roche v. Sperling</w:t>
      </w:r>
      <w:r w:rsidRPr="00AD2F44">
        <w:t>,</w:t>
      </w:r>
      <w:r>
        <w:rPr>
          <w:vertAlign w:val="superscript"/>
        </w:rPr>
        <w:footnoteReference w:id="336"/>
      </w:r>
      <w:r w:rsidRPr="00AD2F44">
        <w:t xml:space="preserve"> the Supreme Court declined to address what form the notice should take or its contents, but instead delegated those tasks to the district court’s broad discretion.</w:t>
      </w:r>
      <w:r>
        <w:rPr>
          <w:vertAlign w:val="superscript"/>
        </w:rPr>
        <w:footnoteReference w:id="337"/>
      </w:r>
    </w:p>
    <w:p w14:paraId="0831C2CE" w14:textId="77777777" w:rsidR="004322B1" w:rsidRPr="00AD2F44" w:rsidRDefault="004322B1">
      <w:pPr>
        <w:pStyle w:val="10ATextWithIndent"/>
        <w:rPr>
          <w:vertAlign w:val="superscript"/>
        </w:rPr>
      </w:pPr>
      <w:r w:rsidRPr="00AD2F44">
        <w:t>Plaintiffs often submit a proposed notice with their motion for notice. Nevertheless, before exercising their discretion, courts may order the parties to meet and confer and attempt to agree on the proposed language for the notice.</w:t>
      </w:r>
      <w:r>
        <w:rPr>
          <w:vertAlign w:val="superscript"/>
        </w:rPr>
        <w:footnoteReference w:id="338"/>
      </w:r>
      <w:r w:rsidRPr="00AD2F44">
        <w:t xml:space="preserve"> Although courts generally approve proposed notices that are submitted jointly by the parties or at least not contested by a party,</w:t>
      </w:r>
      <w:r>
        <w:rPr>
          <w:vertAlign w:val="superscript"/>
        </w:rPr>
        <w:footnoteReference w:id="339"/>
      </w:r>
      <w:r w:rsidRPr="00AD2F44">
        <w:t xml:space="preserve"> courts have nevertheless exercised their discretion to modify stipulated notices to ensure the appearance of judicial neutrality.</w:t>
      </w:r>
      <w:r>
        <w:rPr>
          <w:vertAlign w:val="superscript"/>
        </w:rPr>
        <w:footnoteReference w:id="340"/>
      </w:r>
    </w:p>
    <w:p w14:paraId="780B01D2" w14:textId="77777777" w:rsidR="004322B1" w:rsidRPr="00AD2F44" w:rsidRDefault="004322B1">
      <w:pPr>
        <w:pStyle w:val="08Fifth-LevelHeadi"/>
      </w:pPr>
      <w:r w:rsidRPr="00AD2F44">
        <w:t>(</w:t>
      </w:r>
      <w:proofErr w:type="spellStart"/>
      <w:r w:rsidRPr="00AD2F44">
        <w:t>i</w:t>
      </w:r>
      <w:proofErr w:type="spellEnd"/>
      <w:r w:rsidRPr="00AD2F44">
        <w:t>.)</w:t>
      </w:r>
      <w:r w:rsidRPr="00AD2F44">
        <w:tab/>
        <w:t>Notice Content</w:t>
      </w:r>
    </w:p>
    <w:p w14:paraId="5951BCD7" w14:textId="77777777" w:rsidR="004322B1" w:rsidRPr="00AD2F44" w:rsidRDefault="004322B1">
      <w:pPr>
        <w:pStyle w:val="10ATextWithIndent"/>
        <w:rPr>
          <w:vertAlign w:val="superscript"/>
        </w:rPr>
      </w:pPr>
      <w:r w:rsidRPr="00AD2F44">
        <w:t>In general, notices contain a description of some or all of the following: (1) the purpose of the notice; (2) the nature of the lawsuit filed</w:t>
      </w:r>
      <w:r>
        <w:rPr>
          <w:vertAlign w:val="superscript"/>
        </w:rPr>
        <w:footnoteReference w:id="341"/>
      </w:r>
      <w:r w:rsidRPr="00AD2F44">
        <w:rPr>
          <w:vertAlign w:val="superscript"/>
        </w:rPr>
        <w:t xml:space="preserve"> </w:t>
      </w:r>
      <w:r w:rsidRPr="00AD2F44">
        <w:t>and the relief being sought; (3) the proposed collective composition;</w:t>
      </w:r>
      <w:r>
        <w:rPr>
          <w:vertAlign w:val="superscript"/>
        </w:rPr>
        <w:footnoteReference w:id="342"/>
      </w:r>
      <w:r w:rsidRPr="00AD2F44">
        <w:t xml:space="preserve"> (4) the legal effect of joining the lawsuit; (5) the fact that the court has not taken any position regarding the merits of the lawsuit;</w:t>
      </w:r>
      <w:r>
        <w:rPr>
          <w:rStyle w:val="FootnoteReference"/>
        </w:rPr>
        <w:footnoteReference w:id="343"/>
      </w:r>
      <w:r w:rsidRPr="00AD2F44">
        <w:t xml:space="preserve"> (6) how to join the lawsuit; (7) the purely voluntary nature of the decision</w:t>
      </w:r>
      <w:r>
        <w:rPr>
          <w:vertAlign w:val="superscript"/>
        </w:rPr>
        <w:footnoteReference w:id="344"/>
      </w:r>
      <w:r w:rsidRPr="00AD2F44">
        <w:t xml:space="preserve"> and the legal effect of not joining the lawsuit; (8) the prohibition against retaliation;</w:t>
      </w:r>
      <w:r>
        <w:rPr>
          <w:vertAlign w:val="superscript"/>
        </w:rPr>
        <w:footnoteReference w:id="345"/>
      </w:r>
      <w:r w:rsidRPr="00AD2F44">
        <w:t xml:space="preserve"> and (9) the relevant contact information for any inquiries. A blank consent form is then attached to the notice. Sample notices can be found in cases where a copy of the court-approved notice is appended to the actual opinion.</w:t>
      </w:r>
      <w:r>
        <w:rPr>
          <w:vertAlign w:val="superscript"/>
        </w:rPr>
        <w:footnoteReference w:id="346"/>
      </w:r>
    </w:p>
    <w:p w14:paraId="2FC65F25" w14:textId="77777777" w:rsidR="004322B1" w:rsidRPr="00AD2F44" w:rsidRDefault="004322B1">
      <w:pPr>
        <w:pStyle w:val="10ATextWithIndent"/>
        <w:rPr>
          <w:vertAlign w:val="superscript"/>
        </w:rPr>
      </w:pPr>
      <w:r w:rsidRPr="00AD2F44">
        <w:t>Courts require that the notice be drafted in neutral, clear, and objective language.</w:t>
      </w:r>
      <w:r>
        <w:rPr>
          <w:vertAlign w:val="superscript"/>
        </w:rPr>
        <w:footnoteReference w:id="347"/>
      </w:r>
      <w:r w:rsidRPr="00AD2F44">
        <w:t xml:space="preserve"> Where the putative class is composed of non-English speaking employees, courts may require that the notice be distributed in other languages.</w:t>
      </w:r>
      <w:r>
        <w:rPr>
          <w:vertAlign w:val="superscript"/>
        </w:rPr>
        <w:footnoteReference w:id="348"/>
      </w:r>
    </w:p>
    <w:p w14:paraId="683CDC84" w14:textId="77777777" w:rsidR="004322B1" w:rsidRPr="00AD2F44" w:rsidRDefault="004322B1">
      <w:pPr>
        <w:pStyle w:val="10ATextWithIndent"/>
      </w:pPr>
      <w:r w:rsidRPr="00AD2F44">
        <w:t>Notices generally contain a section describing the effect of joining the lawsuit, explaining that by submitting the attached consent form employees agree (1) to be bound by the court’s judgment;</w:t>
      </w:r>
      <w:r>
        <w:rPr>
          <w:vertAlign w:val="superscript"/>
        </w:rPr>
        <w:footnoteReference w:id="349"/>
      </w:r>
      <w:r w:rsidRPr="00AD2F44">
        <w:t xml:space="preserve"> (2) to designate the named plaintiff(s) as their agent(s) to make decisions on their behalf regarding the lawsuit, including the manner and method of conducting the suit; and (3) that the decisions made by the named plaintiff(s) are binding.</w:t>
      </w:r>
      <w:r>
        <w:rPr>
          <w:vertAlign w:val="superscript"/>
        </w:rPr>
        <w:footnoteReference w:id="350"/>
      </w:r>
      <w:r w:rsidRPr="00AD2F44">
        <w:t xml:space="preserve"> Some courts have rejected defendants’ requests to require opt-in plaintiffs to sign consent forms under penalty of perjury.</w:t>
      </w:r>
      <w:r>
        <w:rPr>
          <w:vertAlign w:val="superscript"/>
        </w:rPr>
        <w:footnoteReference w:id="351"/>
      </w:r>
      <w:r w:rsidRPr="00AD2F44">
        <w:t xml:space="preserve"> Below is a description of the issues that frequently arise in formulating the notice.</w:t>
      </w:r>
    </w:p>
    <w:p w14:paraId="01E49823" w14:textId="77777777" w:rsidR="004322B1" w:rsidRPr="00AD2F44" w:rsidRDefault="004322B1">
      <w:pPr>
        <w:pStyle w:val="10ATextWithIndent"/>
        <w:rPr>
          <w:vertAlign w:val="superscript"/>
        </w:rPr>
      </w:pPr>
      <w:r w:rsidRPr="00AD2F44">
        <w:t>One frequently litigated issue is whether the defendant is entitled to include a statement of its position in the notice. Although resolution of this issue will vary with the discretion of the district court, many courts have found it appropriate to include a general statement of denial in the notice.</w:t>
      </w:r>
      <w:r>
        <w:rPr>
          <w:vertAlign w:val="superscript"/>
        </w:rPr>
        <w:footnoteReference w:id="352"/>
      </w:r>
    </w:p>
    <w:p w14:paraId="39AD2492" w14:textId="77777777" w:rsidR="004322B1" w:rsidRPr="00AD2F44" w:rsidRDefault="004322B1">
      <w:pPr>
        <w:pStyle w:val="10ATextWithIndent"/>
        <w:rPr>
          <w:vertAlign w:val="superscript"/>
        </w:rPr>
      </w:pPr>
      <w:r w:rsidRPr="00AD2F44">
        <w:t>Another frequently litigated issue is whether the notice should describe any obligations of the opt-in plaintiffs related to participating in the lawsuit. Several courts have held that the notice should advise the putative plaintiffs that they may be required to provide information, respond to written discovery, appear for a deposition, and testify in court.</w:t>
      </w:r>
      <w:r>
        <w:rPr>
          <w:vertAlign w:val="superscript"/>
        </w:rPr>
        <w:footnoteReference w:id="353"/>
      </w:r>
      <w:r w:rsidRPr="00AD2F44">
        <w:t xml:space="preserve"> Other courts have concluded that such language is dissuasive and should be excluded.</w:t>
      </w:r>
      <w:r>
        <w:rPr>
          <w:vertAlign w:val="superscript"/>
        </w:rPr>
        <w:footnoteReference w:id="354"/>
      </w:r>
      <w:r w:rsidRPr="00AD2F44">
        <w:t xml:space="preserve"> Statements that the plaintiffs will be required to travel to the forum state for depositions and/or trial at their own expense are usually stricken.</w:t>
      </w:r>
      <w:r>
        <w:rPr>
          <w:vertAlign w:val="superscript"/>
        </w:rPr>
        <w:footnoteReference w:id="355"/>
      </w:r>
    </w:p>
    <w:p w14:paraId="4260D52D" w14:textId="77777777" w:rsidR="004322B1" w:rsidRPr="00AD2F44" w:rsidRDefault="004322B1">
      <w:pPr>
        <w:pStyle w:val="10ATextWithIndent"/>
        <w:rPr>
          <w:vertAlign w:val="superscript"/>
        </w:rPr>
      </w:pPr>
      <w:r w:rsidRPr="00AD2F44">
        <w:t>Another contested issue is whether the opt-in plaintiffs can be represented by their own counsel or must file a separate action. Some courts have found that opt-in plaintiffs must be represented by counsel representing the collective and can maintain their own counsel only if they file a separate action.</w:t>
      </w:r>
      <w:r>
        <w:rPr>
          <w:vertAlign w:val="superscript"/>
        </w:rPr>
        <w:footnoteReference w:id="356"/>
      </w:r>
      <w:r w:rsidRPr="00AD2F44">
        <w:t xml:space="preserve"> Other courts allow for multiple counsel in the same action.</w:t>
      </w:r>
      <w:r>
        <w:rPr>
          <w:vertAlign w:val="superscript"/>
        </w:rPr>
        <w:footnoteReference w:id="357"/>
      </w:r>
      <w:r w:rsidRPr="00AD2F44">
        <w:t xml:space="preserve"> Several courts have found that potential plaintiffs should be notified of their right to choose their own counsel,</w:t>
      </w:r>
      <w:r>
        <w:rPr>
          <w:vertAlign w:val="superscript"/>
        </w:rPr>
        <w:footnoteReference w:id="358"/>
      </w:r>
      <w:r w:rsidRPr="00AD2F44">
        <w:t xml:space="preserve"> but others have not.</w:t>
      </w:r>
      <w:r>
        <w:rPr>
          <w:vertAlign w:val="superscript"/>
        </w:rPr>
        <w:footnoteReference w:id="359"/>
      </w:r>
    </w:p>
    <w:p w14:paraId="17DEEB8D" w14:textId="77777777" w:rsidR="004322B1" w:rsidRPr="00AD2F44" w:rsidRDefault="004322B1">
      <w:pPr>
        <w:pStyle w:val="10ATextWithIndent"/>
        <w:rPr>
          <w:vertAlign w:val="superscript"/>
        </w:rPr>
      </w:pPr>
      <w:r w:rsidRPr="00AD2F44">
        <w:t>Parties also often contest whether the notice should include a statement explaining whether putative plaintiffs may be liable for the defendant’s costs if the plaintiffs do not prevail. Many courts have refused to include language regarding costs on the grounds that, among other things, it could serve as a disincentive to participate in the lawsuit.</w:t>
      </w:r>
      <w:r>
        <w:rPr>
          <w:vertAlign w:val="superscript"/>
        </w:rPr>
        <w:footnoteReference w:id="360"/>
      </w:r>
      <w:r w:rsidRPr="00AD2F44">
        <w:t xml:space="preserve"> On the other hand, several courts have included such language as necessary to give the potential plaintiffs a full account of the risk of litigation.</w:t>
      </w:r>
      <w:r>
        <w:rPr>
          <w:vertAlign w:val="superscript"/>
        </w:rPr>
        <w:footnoteReference w:id="361"/>
      </w:r>
      <w:r>
        <w:t xml:space="preserve"> One district court declined to include such information in the notice, but directed plaintiffs’ counsel to advise opt-ins of their case obligations, including the potential for paying costs, before filing a consent form.</w:t>
      </w:r>
      <w:r>
        <w:rPr>
          <w:rStyle w:val="FootnoteReference"/>
        </w:rPr>
        <w:footnoteReference w:id="362"/>
      </w:r>
    </w:p>
    <w:p w14:paraId="5DFF4FA5" w14:textId="77777777" w:rsidR="004322B1" w:rsidRPr="00AD2F44" w:rsidRDefault="004322B1">
      <w:pPr>
        <w:pStyle w:val="10ATextWithIndent"/>
        <w:rPr>
          <w:vertAlign w:val="superscript"/>
        </w:rPr>
      </w:pPr>
      <w:r w:rsidRPr="00AD2F44">
        <w:t>A related issue that has arisen in some cases is whether the notice needs to provide information to putative plaintiffs regarding the compensation arrangement entered into by the named plaintiff with plaintiff’s counsel. Reasoning that the fee structure may impact an employee’s recovery, several district courts have required information on plaintiff’s counsel’s fee arrangement to be included.</w:t>
      </w:r>
      <w:r>
        <w:rPr>
          <w:vertAlign w:val="superscript"/>
        </w:rPr>
        <w:footnoteReference w:id="363"/>
      </w:r>
      <w:r w:rsidRPr="00AD2F44">
        <w:t xml:space="preserve"> Parties have also disputed the nature of the content of the fee information to be included.</w:t>
      </w:r>
      <w:r>
        <w:rPr>
          <w:vertAlign w:val="superscript"/>
        </w:rPr>
        <w:footnoteReference w:id="364"/>
      </w:r>
    </w:p>
    <w:p w14:paraId="269F5B76" w14:textId="77777777" w:rsidR="004322B1" w:rsidRPr="00AD2F44" w:rsidRDefault="004322B1">
      <w:pPr>
        <w:pStyle w:val="10ATextWithIndent"/>
      </w:pPr>
      <w:r w:rsidRPr="00AD2F44">
        <w:t>The Supreme Court has cautioned that, in exercising discretion over the notice process, “courts must be scrupulous to respect judicial neutrality … [and] take care to avoid even the appearance of judicial endorsement of the merits of the action.”</w:t>
      </w:r>
      <w:r>
        <w:rPr>
          <w:vertAlign w:val="superscript"/>
        </w:rPr>
        <w:footnoteReference w:id="365"/>
      </w:r>
      <w:r w:rsidRPr="00AD2F44">
        <w:t xml:space="preserve"> Where that line must be drawn is another often-litigated question.</w:t>
      </w:r>
    </w:p>
    <w:p w14:paraId="4A8494A2" w14:textId="77777777" w:rsidR="004322B1" w:rsidRPr="00AD2F44" w:rsidRDefault="004322B1">
      <w:pPr>
        <w:pStyle w:val="10ATextWithIndent"/>
        <w:rPr>
          <w:vertAlign w:val="superscript"/>
        </w:rPr>
      </w:pPr>
      <w:r w:rsidRPr="00AD2F44">
        <w:t>Many courts have ordered that the notice include a prominent and sometimes bolded statement that the court does not express any views about the merits or defenses in the action.</w:t>
      </w:r>
      <w:r>
        <w:rPr>
          <w:vertAlign w:val="superscript"/>
        </w:rPr>
        <w:footnoteReference w:id="366"/>
      </w:r>
      <w:r w:rsidRPr="00AD2F44">
        <w:t xml:space="preserve"> Courts have also considered whether to take other steps to protect the appearance of judicial neutrality by, among other things, striking the caption or deleting any heading or letterhead that includes only the court’s name.</w:t>
      </w:r>
      <w:r>
        <w:rPr>
          <w:vertAlign w:val="superscript"/>
        </w:rPr>
        <w:footnoteReference w:id="367"/>
      </w:r>
      <w:r w:rsidRPr="00AD2F44">
        <w:t xml:space="preserve"> Courts have also required (1) correcting notices that only include a single sentence regarding the court’s neutrality at the very end of the notice;</w:t>
      </w:r>
      <w:r>
        <w:rPr>
          <w:vertAlign w:val="superscript"/>
        </w:rPr>
        <w:footnoteReference w:id="368"/>
      </w:r>
      <w:r w:rsidRPr="00AD2F44">
        <w:t xml:space="preserve"> (2) removing the judge’s name or signature;</w:t>
      </w:r>
      <w:r>
        <w:rPr>
          <w:vertAlign w:val="superscript"/>
        </w:rPr>
        <w:footnoteReference w:id="369"/>
      </w:r>
      <w:r w:rsidRPr="00AD2F44">
        <w:t xml:space="preserve"> (3) including a statement directing the potential plaintiffs not to contact the court;</w:t>
      </w:r>
      <w:r>
        <w:rPr>
          <w:vertAlign w:val="superscript"/>
        </w:rPr>
        <w:footnoteReference w:id="370"/>
      </w:r>
      <w:r w:rsidRPr="00AD2F44">
        <w:t xml:space="preserve"> or (4) including judicial disclaimers.</w:t>
      </w:r>
      <w:r>
        <w:rPr>
          <w:vertAlign w:val="superscript"/>
        </w:rPr>
        <w:footnoteReference w:id="371"/>
      </w:r>
    </w:p>
    <w:p w14:paraId="5B46F1BA" w14:textId="77777777" w:rsidR="004322B1" w:rsidRPr="00AD2F44" w:rsidRDefault="004322B1">
      <w:pPr>
        <w:pStyle w:val="10ATextWithIndent"/>
        <w:rPr>
          <w:vertAlign w:val="superscript"/>
        </w:rPr>
      </w:pPr>
      <w:r w:rsidRPr="00AD2F44">
        <w:t>A key feature of the notice is a section describing the right of the potential class members to join the lawsuit. This section establishes the opt-in protocol for signing and returning the appended consent form and an explanation of the consequences for failing to do so in a timely manner.</w:t>
      </w:r>
      <w:r>
        <w:rPr>
          <w:vertAlign w:val="superscript"/>
        </w:rPr>
        <w:footnoteReference w:id="372"/>
      </w:r>
      <w:r w:rsidRPr="00AD2F44">
        <w:t xml:space="preserve"> Some courts have addressed issues concerning the precise format of the consent form.</w:t>
      </w:r>
      <w:r>
        <w:rPr>
          <w:vertAlign w:val="superscript"/>
        </w:rPr>
        <w:footnoteReference w:id="373"/>
      </w:r>
      <w:r w:rsidRPr="00AD2F44">
        <w:t xml:space="preserve"> Individuals manifest their consent to join the lawsuit by signing the consent form appended to the notice and returning it by the specified deadline.</w:t>
      </w:r>
      <w:r>
        <w:rPr>
          <w:vertAlign w:val="superscript"/>
        </w:rPr>
        <w:footnoteReference w:id="374"/>
      </w:r>
    </w:p>
    <w:p w14:paraId="4BB45578" w14:textId="77777777" w:rsidR="004322B1" w:rsidRPr="00AD2F44" w:rsidRDefault="004322B1">
      <w:pPr>
        <w:pStyle w:val="10ATextWithIndent"/>
        <w:rPr>
          <w:vertAlign w:val="superscript"/>
        </w:rPr>
      </w:pPr>
      <w:r w:rsidRPr="00AD2F44">
        <w:t>Questions arise as to who should collect the signed consent forms—the court, a third-party administrator, or plaintiffs’ counsel.</w:t>
      </w:r>
      <w:r>
        <w:rPr>
          <w:vertAlign w:val="superscript"/>
        </w:rPr>
        <w:footnoteReference w:id="375"/>
      </w:r>
      <w:r w:rsidRPr="00AD2F44">
        <w:t xml:space="preserve"> Generally the consent forms must be filed with the court regardless of who initially collects the consent forms.</w:t>
      </w:r>
      <w:r>
        <w:rPr>
          <w:vertAlign w:val="superscript"/>
        </w:rPr>
        <w:footnoteReference w:id="376"/>
      </w:r>
      <w:r w:rsidRPr="00AD2F44">
        <w:t xml:space="preserve"> Finally, to avoid confusion,</w:t>
      </w:r>
      <w:r>
        <w:rPr>
          <w:vertAlign w:val="superscript"/>
        </w:rPr>
        <w:footnoteReference w:id="377"/>
      </w:r>
      <w:r w:rsidRPr="00AD2F44">
        <w:t xml:space="preserve"> parties typically specify how timely receipt will be determined—by postmark</w:t>
      </w:r>
      <w:r>
        <w:rPr>
          <w:vertAlign w:val="superscript"/>
        </w:rPr>
        <w:footnoteReference w:id="378"/>
      </w:r>
      <w:r w:rsidRPr="00AD2F44">
        <w:t xml:space="preserve"> or actual receipt.</w:t>
      </w:r>
      <w:r>
        <w:rPr>
          <w:vertAlign w:val="superscript"/>
        </w:rPr>
        <w:footnoteReference w:id="379"/>
      </w:r>
    </w:p>
    <w:p w14:paraId="603FC1D2" w14:textId="77777777" w:rsidR="004322B1" w:rsidRPr="00AD2F44" w:rsidRDefault="004322B1">
      <w:pPr>
        <w:pStyle w:val="10ATextWithIndent"/>
        <w:rPr>
          <w:vertAlign w:val="superscript"/>
        </w:rPr>
      </w:pPr>
      <w:r w:rsidRPr="00AD2F44">
        <w:t>Notices usually include the contact information for the person to whom any inquiries should be directed in the event putative collective action members have questions about the action. Given the court’s neutrality in the process, questions are customarily directed to counsel for the collective.</w:t>
      </w:r>
      <w:r>
        <w:rPr>
          <w:vertAlign w:val="superscript"/>
        </w:rPr>
        <w:footnoteReference w:id="380"/>
      </w:r>
      <w:r w:rsidRPr="00AD2F44">
        <w:t xml:space="preserve"> Courts have routinely found that inclusion of such information does not amount to unethical solicitation of clients.</w:t>
      </w:r>
      <w:r>
        <w:rPr>
          <w:vertAlign w:val="superscript"/>
        </w:rPr>
        <w:footnoteReference w:id="381"/>
      </w:r>
      <w:r w:rsidRPr="00AD2F44">
        <w:t xml:space="preserve"> However, some courts have limited the amount of contact information, including information from plaintiffs’ counsel’s website, to be included in the notice.</w:t>
      </w:r>
      <w:r>
        <w:rPr>
          <w:vertAlign w:val="superscript"/>
        </w:rPr>
        <w:footnoteReference w:id="382"/>
      </w:r>
      <w:r w:rsidRPr="00AD2F44">
        <w:t xml:space="preserve"> And at least one court has determined that such contact information should not be placed immediately after a sentence notifying potential plaintiffs of their right to consult with counsel because it could be viewed as misleading.</w:t>
      </w:r>
      <w:r>
        <w:rPr>
          <w:vertAlign w:val="superscript"/>
        </w:rPr>
        <w:footnoteReference w:id="383"/>
      </w:r>
    </w:p>
    <w:p w14:paraId="08FB7E58" w14:textId="77777777" w:rsidR="004322B1" w:rsidRPr="00AD2F44" w:rsidRDefault="004322B1">
      <w:pPr>
        <w:pStyle w:val="10ATextWithIndent"/>
        <w:rPr>
          <w:vertAlign w:val="superscript"/>
        </w:rPr>
      </w:pPr>
      <w:r w:rsidRPr="00AD2F44">
        <w:t>Parties have also disputed whether the notice should contain the contact information for defense counsel. Some courts have rejected the inclusion of defense counsel’s contact information on the grounds that, among other things, it is unnecessary or potentially confusing.</w:t>
      </w:r>
      <w:r>
        <w:rPr>
          <w:vertAlign w:val="superscript"/>
        </w:rPr>
        <w:footnoteReference w:id="384"/>
      </w:r>
      <w:r w:rsidRPr="00AD2F44">
        <w:t xml:space="preserve"> But other courts have included such information for appearances of neutrality.</w:t>
      </w:r>
      <w:r>
        <w:rPr>
          <w:vertAlign w:val="superscript"/>
        </w:rPr>
        <w:footnoteReference w:id="385"/>
      </w:r>
    </w:p>
    <w:p w14:paraId="332A9C68" w14:textId="77777777" w:rsidR="004322B1" w:rsidRPr="00AD2F44" w:rsidRDefault="004322B1">
      <w:pPr>
        <w:pStyle w:val="10ATextWithIndent"/>
        <w:rPr>
          <w:vertAlign w:val="superscript"/>
        </w:rPr>
      </w:pPr>
      <w:r w:rsidRPr="00AD2F44">
        <w:t>Where cases involve supplemental state law claims, courts have differed on whether the notice should include a reference to such claims. Some courts direct that such claims be included in the notice because it gives more complete information to putative collective action members about the lawsuit or reduces the confusion that could result from receiving two separate notices.</w:t>
      </w:r>
      <w:r>
        <w:rPr>
          <w:vertAlign w:val="superscript"/>
        </w:rPr>
        <w:footnoteReference w:id="386"/>
      </w:r>
      <w:r w:rsidRPr="00AD2F44">
        <w:t xml:space="preserve"> Other courts have refused to include mention of such claims because they are subject to the notice provisions of Rule 23 of the Federal Rules of Civil Procedure or a state analog and including both opt-in and opt-out requirements in the same notice could cause confusion among the putative collective members.</w:t>
      </w:r>
      <w:r>
        <w:rPr>
          <w:vertAlign w:val="superscript"/>
        </w:rPr>
        <w:footnoteReference w:id="387"/>
      </w:r>
    </w:p>
    <w:p w14:paraId="04BF2298" w14:textId="77777777" w:rsidR="004322B1" w:rsidRPr="00AD2F44" w:rsidRDefault="004322B1">
      <w:pPr>
        <w:pStyle w:val="10ATextWithIndent"/>
        <w:rPr>
          <w:vertAlign w:val="superscript"/>
        </w:rPr>
      </w:pPr>
      <w:r w:rsidRPr="00AD2F44">
        <w:t>Statements that an employer may not retaliate against an employee for joining a collective action are frequently requested and approved.</w:t>
      </w:r>
      <w:r>
        <w:rPr>
          <w:vertAlign w:val="superscript"/>
        </w:rPr>
        <w:footnoteReference w:id="388"/>
      </w:r>
      <w:r w:rsidRPr="00AD2F44">
        <w:t xml:space="preserve"> For example, in </w:t>
      </w:r>
      <w:r w:rsidRPr="00AD2F44">
        <w:rPr>
          <w:i/>
          <w:iCs/>
        </w:rPr>
        <w:t>Palma v. MetroPCS Wireless, Inc.</w:t>
      </w:r>
      <w:r w:rsidRPr="00AD2F44">
        <w:t>,</w:t>
      </w:r>
      <w:r>
        <w:rPr>
          <w:vertAlign w:val="superscript"/>
        </w:rPr>
        <w:footnoteReference w:id="389"/>
      </w:r>
      <w:r w:rsidRPr="00AD2F44">
        <w:t xml:space="preserve"> the court held that anti-retaliation language was properly included in the notice, though it struck as ­improperly solicitous language informing employees they could contact the plaintiffs’ lawyer if they felt they had been retaliated against for participating in the lawsuit. As with other aspects of the notice, the court’s primary concern is that the language is objective</w:t>
      </w:r>
      <w:r>
        <w:rPr>
          <w:vertAlign w:val="superscript"/>
        </w:rPr>
        <w:footnoteReference w:id="390"/>
      </w:r>
      <w:r w:rsidRPr="00AD2F44">
        <w:t xml:space="preserve"> and accurate.</w:t>
      </w:r>
      <w:r>
        <w:rPr>
          <w:vertAlign w:val="superscript"/>
        </w:rPr>
        <w:footnoteReference w:id="391"/>
      </w:r>
    </w:p>
    <w:p w14:paraId="339EC868" w14:textId="77777777" w:rsidR="004322B1" w:rsidRPr="00AD2F44" w:rsidRDefault="004322B1">
      <w:pPr>
        <w:pStyle w:val="08Fifth-LevelHeadi"/>
      </w:pPr>
      <w:r w:rsidRPr="00AD2F44">
        <w:t>(ii.)</w:t>
      </w:r>
      <w:r w:rsidRPr="00AD2F44">
        <w:tab/>
        <w:t>Scope of Providing Notice</w:t>
      </w:r>
    </w:p>
    <w:p w14:paraId="6D7B178B" w14:textId="77777777" w:rsidR="004322B1" w:rsidRPr="00AD2F44" w:rsidRDefault="004322B1">
      <w:pPr>
        <w:pStyle w:val="10ATextWithIndent"/>
        <w:rPr>
          <w:vertAlign w:val="superscript"/>
        </w:rPr>
      </w:pPr>
      <w:r w:rsidRPr="00AD2F44">
        <w:t>An FLSA action must be brought within two years after the alleged violation occurs unless the plaintiffs can demonstrate that the employer’s conduct was willful, in which case the limitations period is three years.</w:t>
      </w:r>
      <w:r>
        <w:rPr>
          <w:vertAlign w:val="superscript"/>
        </w:rPr>
        <w:footnoteReference w:id="392"/>
      </w:r>
      <w:r w:rsidRPr="00AD2F44">
        <w:t xml:space="preserve"> Where the plaintiffs bring a collective action and the allegations of willfulness in the complaint are sufficient,</w:t>
      </w:r>
      <w:r>
        <w:rPr>
          <w:vertAlign w:val="superscript"/>
        </w:rPr>
        <w:footnoteReference w:id="393"/>
      </w:r>
      <w:r w:rsidRPr="00AD2F44">
        <w:t xml:space="preserve"> courts generally authorize notice to persons employed within a three-year period based on those allegations alone.</w:t>
      </w:r>
      <w:r>
        <w:rPr>
          <w:vertAlign w:val="superscript"/>
        </w:rPr>
        <w:footnoteReference w:id="394"/>
      </w:r>
    </w:p>
    <w:p w14:paraId="26432091" w14:textId="77777777" w:rsidR="004322B1" w:rsidRPr="00AD2F44" w:rsidRDefault="004322B1">
      <w:pPr>
        <w:pStyle w:val="10ATextWithIndent"/>
        <w:rPr>
          <w:vertAlign w:val="superscript"/>
        </w:rPr>
      </w:pPr>
      <w:r w:rsidRPr="00AD2F44">
        <w:t>The FLSA expressly provides that in a collective action an individual claimant’s action commences at the time the written consent is filed with the court.</w:t>
      </w:r>
      <w:r>
        <w:rPr>
          <w:vertAlign w:val="superscript"/>
        </w:rPr>
        <w:footnoteReference w:id="395"/>
      </w:r>
      <w:r w:rsidRPr="00AD2F44">
        <w:t xml:space="preserve"> Some courts have measured the relevant time period from three years preceding the date the court ordered notice to be given,</w:t>
      </w:r>
      <w:r>
        <w:rPr>
          <w:vertAlign w:val="superscript"/>
        </w:rPr>
        <w:footnoteReference w:id="396"/>
      </w:r>
      <w:r w:rsidRPr="00AD2F44">
        <w:t xml:space="preserve"> while other courts have measured the period from three years preceding the filing of the complaint.</w:t>
      </w:r>
      <w:r>
        <w:rPr>
          <w:vertAlign w:val="superscript"/>
        </w:rPr>
        <w:footnoteReference w:id="397"/>
      </w:r>
      <w:r w:rsidRPr="00AD2F44">
        <w:t xml:space="preserve"> In cases alleging both FLSA claims and state-law wage claims where the state law has a longer statute of limitations period than three years, some courts have used the state law limitations period for FLSA Section 216(b) notice,</w:t>
      </w:r>
      <w:r>
        <w:rPr>
          <w:vertAlign w:val="superscript"/>
        </w:rPr>
        <w:footnoteReference w:id="398"/>
      </w:r>
      <w:r w:rsidRPr="00AD2F44">
        <w:t xml:space="preserve"> while others have insisted on the shorter limitations period of the FLSA.</w:t>
      </w:r>
      <w:r>
        <w:rPr>
          <w:vertAlign w:val="superscript"/>
        </w:rPr>
        <w:footnoteReference w:id="399"/>
      </w:r>
    </w:p>
    <w:p w14:paraId="784511E5" w14:textId="77777777" w:rsidR="004322B1" w:rsidRPr="00AD2F44" w:rsidRDefault="004322B1">
      <w:pPr>
        <w:pStyle w:val="10ATextWithIndent"/>
        <w:rPr>
          <w:vertAlign w:val="superscript"/>
        </w:rPr>
      </w:pPr>
      <w:r w:rsidRPr="00AD2F44">
        <w:t>Courts may extend the limitations period for filing consents to join under the doctrine of equitable tolling.</w:t>
      </w:r>
      <w:r>
        <w:rPr>
          <w:vertAlign w:val="superscript"/>
        </w:rPr>
        <w:footnoteReference w:id="400"/>
      </w:r>
      <w:r w:rsidRPr="00AD2F44">
        <w:t xml:space="preserve"> Equitable tolling may be applied when the employer fails to post required notices about employees’ rights.</w:t>
      </w:r>
      <w:r>
        <w:rPr>
          <w:vertAlign w:val="superscript"/>
        </w:rPr>
        <w:footnoteReference w:id="401"/>
      </w:r>
      <w:r w:rsidRPr="00AD2F44">
        <w:t xml:space="preserve"> However, where employees have actual knowledge of their rights under the FLSA, the employer’s failure to post the required notice may not warrant equitable tolling.</w:t>
      </w:r>
      <w:r>
        <w:rPr>
          <w:vertAlign w:val="superscript"/>
        </w:rPr>
        <w:footnoteReference w:id="402"/>
      </w:r>
    </w:p>
    <w:p w14:paraId="0CCC7961" w14:textId="77777777" w:rsidR="004322B1" w:rsidRPr="00AD2F44" w:rsidRDefault="004322B1">
      <w:pPr>
        <w:pStyle w:val="10ATextWithIndent"/>
      </w:pPr>
      <w:r w:rsidRPr="00AD2F44">
        <w:t>Where plaintiffs have attempted to assert their rights by, for example, filing a defective pleading within the limitations period, equitable tolling has been applied.</w:t>
      </w:r>
      <w:r>
        <w:rPr>
          <w:vertAlign w:val="superscript"/>
        </w:rPr>
        <w:footnoteReference w:id="403"/>
      </w:r>
      <w:r w:rsidRPr="00AD2F44">
        <w:t xml:space="preserve"> Similarly, some courts have considered whether to apply equitable tolling for the time between a motion to conditionally certify a class and the time the court rules on the motion.</w:t>
      </w:r>
      <w:r>
        <w:rPr>
          <w:vertAlign w:val="superscript"/>
        </w:rPr>
        <w:footnoteReference w:id="404"/>
      </w:r>
      <w:r w:rsidRPr="00AD2F44">
        <w:t xml:space="preserve"> Likewise, equitable tolling may be appropriate where the plaintiffs have tried and failed to obtain information about class members in order to provide notice of the pendency of the action.</w:t>
      </w:r>
      <w:r>
        <w:rPr>
          <w:vertAlign w:val="superscript"/>
        </w:rPr>
        <w:footnoteReference w:id="405"/>
      </w:r>
      <w:r w:rsidRPr="00AD2F44">
        <w:t xml:space="preserve"> For example, in </w:t>
      </w:r>
      <w:r w:rsidRPr="00AD2F44">
        <w:rPr>
          <w:i/>
          <w:iCs/>
        </w:rPr>
        <w:t>Adams v. Inter-Con Security Systems</w:t>
      </w:r>
      <w:r w:rsidRPr="00AD2F44">
        <w:t>,</w:t>
      </w:r>
      <w:r>
        <w:rPr>
          <w:vertAlign w:val="superscript"/>
        </w:rPr>
        <w:footnoteReference w:id="406"/>
      </w:r>
      <w:r w:rsidRPr="00AD2F44">
        <w:t xml:space="preserve"> the defendant refused to supply potential plaintiffs’ contact information until the class had been conditionally certified.</w:t>
      </w:r>
      <w:r>
        <w:rPr>
          <w:vertAlign w:val="superscript"/>
        </w:rPr>
        <w:footnoteReference w:id="407"/>
      </w:r>
      <w:r w:rsidRPr="00AD2F44">
        <w:t xml:space="preserve"> The court allowed tolling, noting that “[f]</w:t>
      </w:r>
      <w:proofErr w:type="spellStart"/>
      <w:r w:rsidRPr="00AD2F44">
        <w:t>aultless</w:t>
      </w:r>
      <w:proofErr w:type="spellEnd"/>
      <w:r w:rsidRPr="00AD2F44">
        <w:t xml:space="preserve"> potential plaintiffs should not be deprived of their legal rights on the basis of a defendant’s delay, calculated or otherwise.”</w:t>
      </w:r>
      <w:r>
        <w:rPr>
          <w:vertAlign w:val="superscript"/>
        </w:rPr>
        <w:footnoteReference w:id="408"/>
      </w:r>
      <w:r w:rsidRPr="00AD2F44">
        <w:t xml:space="preserve"> However, some courts hold that a delay in providing notice to potential collective action members is insufficient to trigger equitable tolling.</w:t>
      </w:r>
      <w:r>
        <w:rPr>
          <w:vertAlign w:val="superscript"/>
        </w:rPr>
        <w:footnoteReference w:id="409"/>
      </w:r>
    </w:p>
    <w:p w14:paraId="1B592308" w14:textId="77777777" w:rsidR="004322B1" w:rsidRPr="00AD2F44" w:rsidRDefault="004322B1">
      <w:pPr>
        <w:pStyle w:val="10ATextWithIndent"/>
        <w:rPr>
          <w:vertAlign w:val="superscript"/>
        </w:rPr>
      </w:pPr>
      <w:r w:rsidRPr="00AD2F44">
        <w:t>Some courts have found that the COVID-19 pandemic may constitute extraordinary circumstances that may trigger equitable tolling.</w:t>
      </w:r>
      <w:r>
        <w:rPr>
          <w:rStyle w:val="FootnoteReference"/>
        </w:rPr>
        <w:footnoteReference w:id="410"/>
      </w:r>
      <w:r w:rsidRPr="00AD2F44">
        <w:t xml:space="preserve"> </w:t>
      </w:r>
    </w:p>
    <w:p w14:paraId="45A1A480" w14:textId="77777777" w:rsidR="004322B1" w:rsidRPr="00AD2F44" w:rsidRDefault="004322B1">
      <w:pPr>
        <w:pStyle w:val="10ATextWithIndent"/>
        <w:rPr>
          <w:vertAlign w:val="superscript"/>
        </w:rPr>
      </w:pPr>
      <w:r w:rsidRPr="00AD2F44">
        <w:t>Evidence of concealment or trickery by the defendant that prevented employees from filing consents within the statute of limitations will generally result in equitable tolling.</w:t>
      </w:r>
      <w:r>
        <w:rPr>
          <w:vertAlign w:val="superscript"/>
        </w:rPr>
        <w:footnoteReference w:id="411"/>
      </w:r>
      <w:r w:rsidRPr="00AD2F44">
        <w:t xml:space="preserve"> However, classifying a group of employees as exempt under the FLSA,</w:t>
      </w:r>
      <w:r>
        <w:rPr>
          <w:vertAlign w:val="superscript"/>
        </w:rPr>
        <w:footnoteReference w:id="412"/>
      </w:r>
      <w:r w:rsidRPr="00AD2F44">
        <w:t xml:space="preserve"> or informing employees they would not be paid for overtime, has generally not been held to constitute misconduct justifying equitable tolling.</w:t>
      </w:r>
      <w:r>
        <w:rPr>
          <w:vertAlign w:val="superscript"/>
        </w:rPr>
        <w:footnoteReference w:id="413"/>
      </w:r>
    </w:p>
    <w:p w14:paraId="65309DFC" w14:textId="77777777" w:rsidR="004322B1" w:rsidRPr="00AD2F44" w:rsidRDefault="004322B1">
      <w:pPr>
        <w:pStyle w:val="10ATextWithIndent"/>
        <w:rPr>
          <w:vertAlign w:val="superscript"/>
        </w:rPr>
      </w:pPr>
      <w:r w:rsidRPr="00AD2F44">
        <w:t>Finally, under certain circumstances, courts have allowed plaintiffs’ claims to toll when parties have agreed to engage in a period of settlement negotiations</w:t>
      </w:r>
      <w:r>
        <w:rPr>
          <w:vertAlign w:val="superscript"/>
        </w:rPr>
        <w:footnoteReference w:id="414"/>
      </w:r>
      <w:r w:rsidRPr="00AD2F44">
        <w:t xml:space="preserve"> or during a period when the case is being transferred to another court.</w:t>
      </w:r>
      <w:r>
        <w:rPr>
          <w:vertAlign w:val="superscript"/>
        </w:rPr>
        <w:footnoteReference w:id="415"/>
      </w:r>
      <w:r w:rsidRPr="00AD2F44">
        <w:t xml:space="preserve"> One federal district court has equitably tolled the statute of limitations in light of procedural obstacles during the settlement process.</w:t>
      </w:r>
      <w:r>
        <w:rPr>
          <w:vertAlign w:val="superscript"/>
        </w:rPr>
        <w:footnoteReference w:id="416"/>
      </w:r>
      <w:r w:rsidRPr="00AD2F44">
        <w:t xml:space="preserve"> However, courts have denied equitable tolling for a variety of reasons, such as because the opt-in plaintiffs had not been barred from filing consents,</w:t>
      </w:r>
      <w:r>
        <w:rPr>
          <w:vertAlign w:val="superscript"/>
        </w:rPr>
        <w:footnoteReference w:id="417"/>
      </w:r>
      <w:r w:rsidRPr="00AD2F44">
        <w:t xml:space="preserve"> because equitable tolling was sought merely in response to a defendant’s refusal to provide contact information,</w:t>
      </w:r>
      <w:r>
        <w:rPr>
          <w:vertAlign w:val="superscript"/>
        </w:rPr>
        <w:footnoteReference w:id="418"/>
      </w:r>
      <w:r w:rsidRPr="00AD2F44">
        <w:t xml:space="preserve"> or because the plaintiffs failed to allege sufficient need for such a remedy.</w:t>
      </w:r>
      <w:r>
        <w:rPr>
          <w:vertAlign w:val="superscript"/>
        </w:rPr>
        <w:footnoteReference w:id="419"/>
      </w:r>
      <w:r w:rsidRPr="00AD2F44">
        <w:t xml:space="preserve"> At least one appellate court and one district court have refused to permit equitable tolling on behalf of putative opt-in collective members on the grounds that doing so would constitute an unconstitutional advisory opinion, because those individuals had not joined the lawsuit.</w:t>
      </w:r>
      <w:r>
        <w:rPr>
          <w:vertAlign w:val="superscript"/>
        </w:rPr>
        <w:footnoteReference w:id="420"/>
      </w:r>
    </w:p>
    <w:p w14:paraId="1529C46F" w14:textId="77777777" w:rsidR="004322B1" w:rsidRPr="00AD2F44" w:rsidRDefault="004322B1">
      <w:pPr>
        <w:pStyle w:val="10ATextWithIndent"/>
        <w:rPr>
          <w:vertAlign w:val="superscript"/>
        </w:rPr>
      </w:pPr>
      <w:r w:rsidRPr="00AD2F44">
        <w:t xml:space="preserve">In </w:t>
      </w:r>
      <w:r w:rsidRPr="00AD2F44">
        <w:rPr>
          <w:i/>
          <w:iCs/>
        </w:rPr>
        <w:t>Hoffmann-La Roche v. Sperling</w:t>
      </w:r>
      <w:r w:rsidRPr="00AD2F44">
        <w:t>,</w:t>
      </w:r>
      <w:r>
        <w:rPr>
          <w:vertAlign w:val="superscript"/>
        </w:rPr>
        <w:footnoteReference w:id="421"/>
      </w:r>
      <w:r w:rsidRPr="00AD2F44">
        <w:t xml:space="preserve"> the Supreme Court recommended that trial courts establish deadlines for submitting signed consents “to expedite disposition of the action.”</w:t>
      </w:r>
      <w:r>
        <w:rPr>
          <w:vertAlign w:val="superscript"/>
        </w:rPr>
        <w:footnoteReference w:id="422"/>
      </w:r>
      <w:r w:rsidRPr="00AD2F44">
        <w:t xml:space="preserve"> As such, most courts establish a deadline for submitting consents.</w:t>
      </w:r>
      <w:r>
        <w:rPr>
          <w:vertAlign w:val="superscript"/>
        </w:rPr>
        <w:footnoteReference w:id="423"/>
      </w:r>
      <w:r w:rsidRPr="00AD2F44">
        <w:t xml:space="preserve"> In situations where there might be difficulties in locating potential opt-in plaintiffs, the court may order longer periods of time.</w:t>
      </w:r>
      <w:r>
        <w:rPr>
          <w:vertAlign w:val="superscript"/>
        </w:rPr>
        <w:footnoteReference w:id="424"/>
      </w:r>
      <w:r w:rsidRPr="00AD2F44">
        <w:t xml:space="preserve"> In certain instances, despite setting a deadline, courts have exercised discretion to allow opt-in plaintiffs to file their consent forms late.</w:t>
      </w:r>
      <w:r>
        <w:rPr>
          <w:vertAlign w:val="superscript"/>
        </w:rPr>
        <w:footnoteReference w:id="425"/>
      </w:r>
      <w:r w:rsidRPr="00AD2F44">
        <w:t xml:space="preserve"> District courts have broad discretion in establishing and modifying cut-off dates for the filing of consents to ensure an action will proceed efficiently.</w:t>
      </w:r>
      <w:r>
        <w:rPr>
          <w:vertAlign w:val="superscript"/>
        </w:rPr>
        <w:footnoteReference w:id="426"/>
      </w:r>
      <w:r w:rsidRPr="00AD2F44">
        <w:t xml:space="preserve"> For instance, in </w:t>
      </w:r>
      <w:r w:rsidRPr="00AD2F44">
        <w:rPr>
          <w:i/>
          <w:iCs/>
        </w:rPr>
        <w:t>In re</w:t>
      </w:r>
      <w:r w:rsidRPr="00AD2F44">
        <w:t xml:space="preserve"> </w:t>
      </w:r>
      <w:r w:rsidRPr="00AD2F44">
        <w:rPr>
          <w:i/>
          <w:iCs/>
        </w:rPr>
        <w:t>Food Lion</w:t>
      </w:r>
      <w:r w:rsidRPr="00AD2F44">
        <w:t>,</w:t>
      </w:r>
      <w:r>
        <w:rPr>
          <w:vertAlign w:val="superscript"/>
        </w:rPr>
        <w:footnoteReference w:id="427"/>
      </w:r>
      <w:r w:rsidRPr="00AD2F44">
        <w:t xml:space="preserve"> the Fourth Circuit affirmed the district court’s order providing that late opt-in forms would not be accepted absent a showing of “exceptional circumstances,” and persons sending tardy forms would not be permitted to join the collective. If a putative opt-in plaintiff is barred from joining a collective action, that plaintiff is not precluded from filing a separate collective action.</w:t>
      </w:r>
      <w:r>
        <w:rPr>
          <w:vertAlign w:val="superscript"/>
        </w:rPr>
        <w:footnoteReference w:id="428"/>
      </w:r>
    </w:p>
    <w:p w14:paraId="7E61A1C6" w14:textId="77777777" w:rsidR="004322B1" w:rsidRPr="00AD2F44" w:rsidRDefault="004322B1">
      <w:pPr>
        <w:pStyle w:val="08Fifth-LevelHeadi"/>
      </w:pPr>
      <w:r w:rsidRPr="00AD2F44">
        <w:t>(iii.)</w:t>
      </w:r>
      <w:r w:rsidRPr="00AD2F44">
        <w:tab/>
        <w:t>Method of Providing Notice and Data Provided by the Defendant</w:t>
      </w:r>
    </w:p>
    <w:p w14:paraId="028825C4" w14:textId="77777777" w:rsidR="004322B1" w:rsidRPr="00AD2F44" w:rsidRDefault="004322B1">
      <w:pPr>
        <w:pStyle w:val="10ATextWithIndent"/>
        <w:rPr>
          <w:spacing w:val="2"/>
          <w:vertAlign w:val="superscript"/>
        </w:rPr>
      </w:pPr>
      <w:r w:rsidRPr="00AD2F44">
        <w:t>Courts vary widely in the terms and conditions they impose on communicating notice to the putative collective. Typically, counsel for the putative collective is responsible for distributing the notice.</w:t>
      </w:r>
      <w:r>
        <w:rPr>
          <w:vertAlign w:val="superscript"/>
        </w:rPr>
        <w:footnoteReference w:id="429"/>
      </w:r>
      <w:r w:rsidRPr="00AD2F44">
        <w:t xml:space="preserve"> On occasion, though, a third-party administrator may be responsible for distributing the notice, usually in circumstances of misconduct or where there are confidentiality or integrity concerns.</w:t>
      </w:r>
      <w:r>
        <w:rPr>
          <w:vertAlign w:val="superscript"/>
        </w:rPr>
        <w:footnoteReference w:id="430"/>
      </w:r>
      <w:r w:rsidRPr="00AD2F44">
        <w:t xml:space="preserve"> A district court may order the defendant to issue a notice as well.</w:t>
      </w:r>
      <w:r>
        <w:rPr>
          <w:vertAlign w:val="superscript"/>
        </w:rPr>
        <w:footnoteReference w:id="431"/>
      </w:r>
      <w:r w:rsidRPr="00AD2F44">
        <w:t xml:space="preserve"> Traditionally, plaintiffs bear the cost of notice distribution.</w:t>
      </w:r>
      <w:r>
        <w:rPr>
          <w:vertAlign w:val="superscript"/>
        </w:rPr>
        <w:footnoteReference w:id="432"/>
      </w:r>
      <w:r w:rsidRPr="00AD2F44">
        <w:t xml:space="preserve"> This includes dissemination via first class mail.</w:t>
      </w:r>
      <w:r>
        <w:rPr>
          <w:vertAlign w:val="superscript"/>
        </w:rPr>
        <w:footnoteReference w:id="433"/>
      </w:r>
      <w:r w:rsidRPr="00AD2F44">
        <w:t xml:space="preserve"> Courts have also considered the use of other methods of distribution, particularly where the putative collective members are difficult to determine or contact or there is a risk of nonreceipt. These methods include email;</w:t>
      </w:r>
      <w:r>
        <w:rPr>
          <w:vertAlign w:val="superscript"/>
        </w:rPr>
        <w:footnoteReference w:id="434"/>
      </w:r>
      <w:r w:rsidRPr="00AD2F44">
        <w:t xml:space="preserve"> texting;</w:t>
      </w:r>
      <w:r>
        <w:rPr>
          <w:vertAlign w:val="superscript"/>
        </w:rPr>
        <w:footnoteReference w:id="435"/>
      </w:r>
      <w:r w:rsidRPr="00AD2F44">
        <w:t xml:space="preserve"> posting at the employer’s worksite(s) or on its bulletin board;</w:t>
      </w:r>
      <w:r>
        <w:rPr>
          <w:vertAlign w:val="superscript"/>
        </w:rPr>
        <w:footnoteReference w:id="436"/>
      </w:r>
      <w:r w:rsidRPr="00AD2F44">
        <w:t xml:space="preserve"> posting on the plaintiffs’ counsel’s website or a newly created website;</w:t>
      </w:r>
      <w:r>
        <w:rPr>
          <w:vertAlign w:val="superscript"/>
        </w:rPr>
        <w:footnoteReference w:id="437"/>
      </w:r>
      <w:r w:rsidRPr="00AD2F44">
        <w:t xml:space="preserve"> through the employer’s payroll </w:t>
      </w:r>
      <w:r w:rsidRPr="00AD2F44">
        <w:rPr>
          <w:spacing w:val="2"/>
        </w:rPr>
        <w:t>department or attached to the employees’ paychecks;</w:t>
      </w:r>
      <w:r>
        <w:rPr>
          <w:spacing w:val="2"/>
          <w:vertAlign w:val="superscript"/>
        </w:rPr>
        <w:footnoteReference w:id="438"/>
      </w:r>
      <w:r w:rsidRPr="00AD2F44">
        <w:rPr>
          <w:spacing w:val="2"/>
        </w:rPr>
        <w:t xml:space="preserve"> employer newsletter;</w:t>
      </w:r>
      <w:r>
        <w:rPr>
          <w:spacing w:val="2"/>
          <w:vertAlign w:val="superscript"/>
        </w:rPr>
        <w:footnoteReference w:id="439"/>
      </w:r>
      <w:r w:rsidRPr="00AD2F44">
        <w:rPr>
          <w:spacing w:val="2"/>
        </w:rPr>
        <w:t xml:space="preserve"> publication in a local newspaper;</w:t>
      </w:r>
      <w:r>
        <w:rPr>
          <w:spacing w:val="2"/>
          <w:vertAlign w:val="superscript"/>
        </w:rPr>
        <w:footnoteReference w:id="440"/>
      </w:r>
      <w:r w:rsidRPr="00AD2F44">
        <w:rPr>
          <w:spacing w:val="2"/>
        </w:rPr>
        <w:t xml:space="preserve"> radio advertisements;</w:t>
      </w:r>
      <w:r>
        <w:rPr>
          <w:spacing w:val="2"/>
          <w:vertAlign w:val="superscript"/>
        </w:rPr>
        <w:footnoteReference w:id="441"/>
      </w:r>
      <w:r w:rsidRPr="00AD2F44">
        <w:rPr>
          <w:spacing w:val="2"/>
        </w:rPr>
        <w:t xml:space="preserve"> telephone;</w:t>
      </w:r>
      <w:r>
        <w:rPr>
          <w:spacing w:val="2"/>
          <w:vertAlign w:val="superscript"/>
        </w:rPr>
        <w:footnoteReference w:id="442"/>
      </w:r>
      <w:r w:rsidRPr="00AD2F44">
        <w:rPr>
          <w:spacing w:val="2"/>
        </w:rPr>
        <w:t xml:space="preserve"> social media;</w:t>
      </w:r>
      <w:r>
        <w:rPr>
          <w:rStyle w:val="FootnoteReference"/>
          <w:spacing w:val="2"/>
        </w:rPr>
        <w:footnoteReference w:id="443"/>
      </w:r>
      <w:r w:rsidRPr="00AD2F44">
        <w:rPr>
          <w:spacing w:val="2"/>
        </w:rPr>
        <w:t xml:space="preserve"> and at a foreign consulate.</w:t>
      </w:r>
      <w:r>
        <w:rPr>
          <w:spacing w:val="2"/>
          <w:vertAlign w:val="superscript"/>
        </w:rPr>
        <w:footnoteReference w:id="444"/>
      </w:r>
    </w:p>
    <w:p w14:paraId="3C1D74FE" w14:textId="77777777" w:rsidR="004322B1" w:rsidRPr="00AD2F44" w:rsidRDefault="004322B1">
      <w:pPr>
        <w:pStyle w:val="10ATextWithIndent"/>
        <w:rPr>
          <w:vertAlign w:val="superscript"/>
        </w:rPr>
      </w:pPr>
      <w:r w:rsidRPr="00AD2F44">
        <w:t>Some courts have been reluctant to order distribution of the notice by email.</w:t>
      </w:r>
      <w:r>
        <w:rPr>
          <w:vertAlign w:val="superscript"/>
        </w:rPr>
        <w:footnoteReference w:id="445"/>
      </w:r>
      <w:r w:rsidRPr="00AD2F44">
        <w:t xml:space="preserve"> However, many other courts acknowledge that distribution by email offers the advantages of minimal cost and near instantaneous distribution and thus permit this method,</w:t>
      </w:r>
      <w:r>
        <w:rPr>
          <w:vertAlign w:val="superscript"/>
        </w:rPr>
        <w:footnoteReference w:id="446"/>
      </w:r>
      <w:r w:rsidRPr="00AD2F44">
        <w:t xml:space="preserve"> particularly in situations where the nature of the case involves email or the Internet or the defendant itself is involved in the Internet or software industry, because the composition of the putative collective is such that the risks associated with email notice are outweighed by its benefits.</w:t>
      </w:r>
      <w:r>
        <w:rPr>
          <w:vertAlign w:val="superscript"/>
        </w:rPr>
        <w:footnoteReference w:id="447"/>
      </w:r>
      <w:r w:rsidRPr="00AD2F44">
        <w:t xml:space="preserve"> Similarly, some courts have permitted notice to be issued by text message,</w:t>
      </w:r>
      <w:r>
        <w:rPr>
          <w:vertAlign w:val="superscript"/>
        </w:rPr>
        <w:footnoteReference w:id="448"/>
      </w:r>
      <w:r w:rsidRPr="00AD2F44">
        <w:t xml:space="preserve"> but other courts have rejected such requests.</w:t>
      </w:r>
      <w:r>
        <w:rPr>
          <w:vertAlign w:val="superscript"/>
        </w:rPr>
        <w:footnoteReference w:id="449"/>
      </w:r>
      <w:r w:rsidRPr="00AD2F44">
        <w:t xml:space="preserve"> Additionally, some courts have denied dissemination of notice through quick response (QR) codes,</w:t>
      </w:r>
      <w:r>
        <w:rPr>
          <w:rStyle w:val="FootnoteReference"/>
        </w:rPr>
        <w:footnoteReference w:id="450"/>
      </w:r>
      <w:r w:rsidRPr="00AD2F44">
        <w:t xml:space="preserve"> but at least one court has allowed a QR code on the notice form.</w:t>
      </w:r>
      <w:r>
        <w:rPr>
          <w:rStyle w:val="FootnoteReference"/>
        </w:rPr>
        <w:footnoteReference w:id="451"/>
      </w:r>
    </w:p>
    <w:p w14:paraId="511E153B" w14:textId="77777777" w:rsidR="004322B1" w:rsidRPr="00AD2F44" w:rsidRDefault="004322B1">
      <w:pPr>
        <w:pStyle w:val="10ATextWithIndent"/>
        <w:rPr>
          <w:vertAlign w:val="superscript"/>
        </w:rPr>
      </w:pPr>
      <w:r w:rsidRPr="00AD2F44">
        <w:t>One issue that frequently arises is what information needs to be disclosed to putative collective counsel in order for them to distribute the notice. Such information typically includes names, job titles, dates of employment, and last known addresses of any putative collective members.</w:t>
      </w:r>
      <w:r>
        <w:rPr>
          <w:vertAlign w:val="superscript"/>
        </w:rPr>
        <w:footnoteReference w:id="452"/>
      </w:r>
      <w:r w:rsidRPr="00AD2F44">
        <w:t xml:space="preserve"> Courts have ordered the disclosure of such information even in the face of confidentiality objections.</w:t>
      </w:r>
      <w:r>
        <w:rPr>
          <w:vertAlign w:val="superscript"/>
        </w:rPr>
        <w:footnoteReference w:id="453"/>
      </w:r>
      <w:r w:rsidRPr="00AD2F44">
        <w:t xml:space="preserve"> Some courts have also ordered the production of additional information, including email addresses,</w:t>
      </w:r>
      <w:r>
        <w:rPr>
          <w:vertAlign w:val="superscript"/>
        </w:rPr>
        <w:footnoteReference w:id="454"/>
      </w:r>
      <w:r w:rsidRPr="00AD2F44">
        <w:t xml:space="preserve"> telephone numbers, and dates of birth.</w:t>
      </w:r>
      <w:r>
        <w:rPr>
          <w:vertAlign w:val="superscript"/>
        </w:rPr>
        <w:footnoteReference w:id="455"/>
      </w:r>
      <w:r w:rsidRPr="00AD2F44">
        <w:t xml:space="preserve"> With respect to requests for Social Security numbers, most courts to address this issue have not ordered disclosure either in whole or in part.</w:t>
      </w:r>
      <w:r>
        <w:rPr>
          <w:vertAlign w:val="superscript"/>
        </w:rPr>
        <w:footnoteReference w:id="456"/>
      </w:r>
      <w:r w:rsidRPr="00AD2F44">
        <w:t xml:space="preserve"> Only on rare occasions has a court ordered the disclosure of Social Security numbers, usually where the disclosure is uncontested.</w:t>
      </w:r>
      <w:r>
        <w:rPr>
          <w:vertAlign w:val="superscript"/>
        </w:rPr>
        <w:footnoteReference w:id="457"/>
      </w:r>
      <w:r w:rsidRPr="00AD2F44">
        <w:t xml:space="preserve"> Courts have been more willing to provide plaintiff’s counsel with this additional information when notices have been returned as undeliverable.</w:t>
      </w:r>
      <w:r>
        <w:rPr>
          <w:vertAlign w:val="superscript"/>
        </w:rPr>
        <w:footnoteReference w:id="458"/>
      </w:r>
      <w:r w:rsidRPr="00AD2F44">
        <w:t xml:space="preserve"> Courts are split on whether to send reminder notices after initial notice is issued, some reasoning that it is unnecessary or threatens to undermine the appearance of court neutrality,</w:t>
      </w:r>
      <w:r>
        <w:rPr>
          <w:vertAlign w:val="superscript"/>
        </w:rPr>
        <w:footnoteReference w:id="459"/>
      </w:r>
      <w:r w:rsidRPr="00AD2F44">
        <w:t xml:space="preserve"> and others allowing it as a reasonable method of making the notice process effective.</w:t>
      </w:r>
      <w:r>
        <w:rPr>
          <w:vertAlign w:val="superscript"/>
        </w:rPr>
        <w:footnoteReference w:id="460"/>
      </w:r>
      <w:r w:rsidRPr="00AD2F44">
        <w:t xml:space="preserve"> </w:t>
      </w:r>
    </w:p>
    <w:p w14:paraId="0A216AED" w14:textId="77777777" w:rsidR="004322B1" w:rsidRPr="00AD2F44" w:rsidRDefault="004322B1">
      <w:pPr>
        <w:pStyle w:val="05Second-LevelHeadABC"/>
      </w:pPr>
      <w:r w:rsidRPr="00AD2F44">
        <w:t>C.</w:t>
      </w:r>
      <w:r w:rsidRPr="00AD2F44">
        <w:tab/>
        <w:t>Stage II: The Standard for Deciding Motions to Decertify Collective Actions</w:t>
      </w:r>
    </w:p>
    <w:p w14:paraId="3F0FCE8E" w14:textId="77777777" w:rsidR="004322B1" w:rsidRPr="00AD2F44" w:rsidRDefault="004322B1">
      <w:pPr>
        <w:pStyle w:val="06Third-LevelHead123"/>
      </w:pPr>
      <w:r w:rsidRPr="00AD2F44">
        <w:t>1.</w:t>
      </w:r>
      <w:r w:rsidRPr="00AD2F44">
        <w:tab/>
        <w:t>Introduction</w:t>
      </w:r>
    </w:p>
    <w:p w14:paraId="5C73E9DD" w14:textId="77777777" w:rsidR="004322B1" w:rsidRPr="00AD2F44" w:rsidRDefault="004322B1">
      <w:pPr>
        <w:pStyle w:val="10ATextWithIndent"/>
      </w:pPr>
      <w:r w:rsidRPr="00AD2F44">
        <w:t>The two-step process courts have adopted to determine whether employees are similarly situated under Section 216(b) requires courts to consider whether potential class members are “similarly situated” at two different stages in the litigation, applying different levels of scrutiny.</w:t>
      </w:r>
      <w:r>
        <w:rPr>
          <w:vertAlign w:val="superscript"/>
        </w:rPr>
        <w:footnoteReference w:id="461"/>
      </w:r>
      <w:r w:rsidRPr="00AD2F44">
        <w:t xml:space="preserve"> At the first stage, discussed in Section III.B [The Two-Stage Process Used to Determine if a Collective Action May Proceed to Trial; Stage I: Standard for Determining Whether Conditional Certification Should Be Granted] of this chapter, the court decides whether to approve notice of the lawsuit to potential class members. The court generally has minimal evidence before it at this stage and reviews such motions using a “fairly lenient” standard.</w:t>
      </w:r>
    </w:p>
    <w:p w14:paraId="65DF99AD" w14:textId="77777777" w:rsidR="004322B1" w:rsidRPr="00AD2F44" w:rsidRDefault="004322B1">
      <w:pPr>
        <w:pStyle w:val="10ATextWithIndent"/>
        <w:rPr>
          <w:vertAlign w:val="superscript"/>
        </w:rPr>
      </w:pPr>
      <w:r w:rsidRPr="00AD2F44">
        <w:t>The second-stage evaluation is usually precipitated by a defendant’s motion for decertification at the close of discovery.</w:t>
      </w:r>
      <w:r>
        <w:rPr>
          <w:vertAlign w:val="superscript"/>
        </w:rPr>
        <w:footnoteReference w:id="462"/>
      </w:r>
      <w:r w:rsidRPr="00AD2F44">
        <w:t xml:space="preserve"> Some courts have also reconsidered motions for decertification upon the close of trial.</w:t>
      </w:r>
      <w:r>
        <w:rPr>
          <w:vertAlign w:val="superscript"/>
        </w:rPr>
        <w:footnoteReference w:id="463"/>
      </w:r>
      <w:r w:rsidRPr="00AD2F44">
        <w:t xml:space="preserve"> During the second-stage analysis, the court has more information on which to base its decision than before discovery was conducted, and it therefore applies a more stringent standard than at the first stage.</w:t>
      </w:r>
      <w:r>
        <w:rPr>
          <w:vertAlign w:val="superscript"/>
        </w:rPr>
        <w:footnoteReference w:id="464"/>
      </w:r>
      <w:r w:rsidRPr="00AD2F44">
        <w:t xml:space="preserve"> Although plaintiffs continue to bear the burden of establishing that they are similarly situated in the second stage, they do not have to prove that they are “identically situated.”</w:t>
      </w:r>
      <w:r>
        <w:rPr>
          <w:vertAlign w:val="superscript"/>
        </w:rPr>
        <w:footnoteReference w:id="465"/>
      </w:r>
      <w:r w:rsidRPr="00AD2F44">
        <w:t xml:space="preserve"> As with decisions at the first stage, certification decisions at the second stage are within a district court’s discretion.</w:t>
      </w:r>
      <w:r>
        <w:rPr>
          <w:vertAlign w:val="superscript"/>
        </w:rPr>
        <w:footnoteReference w:id="466"/>
      </w:r>
      <w:r w:rsidRPr="00AD2F44">
        <w:t xml:space="preserve"> The Third Circuit has described the second stage as the “final certification” stage, and has held that plaintiffs “must demonstrate by a preponderance of the evidence that members of a proposed collective action are similarly situated in order to obtain final certification and proceed with the case as a collective action.”</w:t>
      </w:r>
      <w:r>
        <w:rPr>
          <w:vertAlign w:val="superscript"/>
        </w:rPr>
        <w:footnoteReference w:id="467"/>
      </w:r>
    </w:p>
    <w:p w14:paraId="4E176C3F" w14:textId="77777777" w:rsidR="004322B1" w:rsidRPr="00AD2F44" w:rsidRDefault="004322B1">
      <w:pPr>
        <w:pStyle w:val="10ATextWithIndent"/>
        <w:rPr>
          <w:vertAlign w:val="superscript"/>
        </w:rPr>
      </w:pPr>
      <w:r w:rsidRPr="00AD2F44">
        <w:t>In conducting the second-stage analysis, some courts consider three factors: (1) the disparity or similarity of the factual and employment settings of the individual plaintiffs, (2) the various defenses available to the defendant and whether those may be asserted collectively or individually as to each plaintiff, and (3) fairness and procedural considerations.</w:t>
      </w:r>
      <w:r>
        <w:rPr>
          <w:vertAlign w:val="superscript"/>
        </w:rPr>
        <w:footnoteReference w:id="468"/>
      </w:r>
      <w:r w:rsidRPr="00AD2F44">
        <w:t xml:space="preserve"> The factors “are not mutually exclusive, and there is considerable overlap among them.”</w:t>
      </w:r>
      <w:r>
        <w:rPr>
          <w:vertAlign w:val="superscript"/>
        </w:rPr>
        <w:footnoteReference w:id="469"/>
      </w:r>
      <w:r w:rsidRPr="00AD2F44">
        <w:t xml:space="preserve"> Generally, however, “the more dissimilar plaintiffs are and the more individuated [the employer’s] defenses are, the greater doubts there are about the fairness of a ruling on the merits—for either side—that is reached on the basis of purportedly representative evidence.”</w:t>
      </w:r>
      <w:r>
        <w:rPr>
          <w:vertAlign w:val="superscript"/>
        </w:rPr>
        <w:footnoteReference w:id="470"/>
      </w:r>
      <w:r w:rsidRPr="00AD2F44">
        <w:t xml:space="preserve"> On the other hand, if the court finds that the plaintiffs’ “claims may be supported by generalized proof,” it is likely to deny a decertification motion.</w:t>
      </w:r>
      <w:r>
        <w:rPr>
          <w:vertAlign w:val="superscript"/>
        </w:rPr>
        <w:footnoteReference w:id="471"/>
      </w:r>
    </w:p>
    <w:p w14:paraId="73A08407" w14:textId="77777777" w:rsidR="004322B1" w:rsidRPr="00AD2F44" w:rsidRDefault="004322B1">
      <w:pPr>
        <w:pStyle w:val="10ATextWithIndent"/>
        <w:rPr>
          <w:vertAlign w:val="superscript"/>
        </w:rPr>
      </w:pPr>
      <w:r w:rsidRPr="00AD2F44">
        <w:t>In addition to these factors, courts may favor decertification where the size of the class is small</w:t>
      </w:r>
      <w:r>
        <w:rPr>
          <w:vertAlign w:val="superscript"/>
        </w:rPr>
        <w:footnoteReference w:id="472"/>
      </w:r>
      <w:r w:rsidRPr="00AD2F44">
        <w:t xml:space="preserve"> or when there is a low opt-in rate.</w:t>
      </w:r>
      <w:r>
        <w:rPr>
          <w:vertAlign w:val="superscript"/>
        </w:rPr>
        <w:footnoteReference w:id="473"/>
      </w:r>
      <w:r w:rsidRPr="00AD2F44">
        <w:t xml:space="preserve"> However, other courts have held that an opt-in rate is irrelevant to whether the opt-in plaintiffs are similarly situated.</w:t>
      </w:r>
      <w:r>
        <w:rPr>
          <w:vertAlign w:val="superscript"/>
        </w:rPr>
        <w:footnoteReference w:id="474"/>
      </w:r>
    </w:p>
    <w:p w14:paraId="6FF5E3E5" w14:textId="77777777" w:rsidR="004322B1" w:rsidRPr="00AD2F44" w:rsidRDefault="004322B1">
      <w:pPr>
        <w:pStyle w:val="10ATextWithIndent"/>
      </w:pPr>
      <w:r w:rsidRPr="00AD2F44">
        <w:t>The Ninth Circuit takes a somewhat different approach when considering decertification motions. According to the Ninth Circuit, “[p]arty plaintiffs are similarly situated, and may proceed in a collective, to the extent they share a similar issue of law or fact material to the disposition of their FLSA claims.”</w:t>
      </w:r>
      <w:r>
        <w:rPr>
          <w:vertAlign w:val="superscript"/>
        </w:rPr>
        <w:footnoteReference w:id="475"/>
      </w:r>
      <w:r w:rsidRPr="00AD2F44">
        <w:t xml:space="preserve"> Significantly, as long as the proposed collective’s “factual or legal similarities are material to the resolution of their case, dissimilarities in other respects should not defeat collective treatment.”</w:t>
      </w:r>
      <w:r>
        <w:rPr>
          <w:vertAlign w:val="superscript"/>
        </w:rPr>
        <w:footnoteReference w:id="476"/>
      </w:r>
    </w:p>
    <w:p w14:paraId="4734C300" w14:textId="77777777" w:rsidR="004322B1" w:rsidRPr="00AD2F44" w:rsidRDefault="004322B1">
      <w:pPr>
        <w:pStyle w:val="10ATextWithIndent"/>
      </w:pPr>
      <w:r w:rsidRPr="00AD2F44">
        <w:rPr>
          <w:color w:val="000000"/>
        </w:rPr>
        <w:t>The Second Circuit rejects the use of the three-factor analysis.</w:t>
      </w:r>
      <w:r>
        <w:rPr>
          <w:rStyle w:val="FootnoteReference"/>
          <w:color w:val="000000"/>
        </w:rPr>
        <w:footnoteReference w:id="477"/>
      </w:r>
      <w:r w:rsidRPr="00AD2F44">
        <w:rPr>
          <w:color w:val="000000"/>
        </w:rPr>
        <w:t xml:space="preserve"> Instead, it instructs district courts to consider whether plaintiffs and opt-in plaintiffs “</w:t>
      </w:r>
      <w:r w:rsidRPr="00AD2F44">
        <w:rPr>
          <w:color w:val="000000"/>
          <w:shd w:val="clear" w:color="auto" w:fill="FFFFFF"/>
        </w:rPr>
        <w:t>share one or more similar questions of law or fact material to the disposition of their FLSA claims.</w:t>
      </w:r>
      <w:r w:rsidRPr="00AD2F44">
        <w:rPr>
          <w:color w:val="000000"/>
        </w:rPr>
        <w:t>”</w:t>
      </w:r>
      <w:r>
        <w:rPr>
          <w:rStyle w:val="FootnoteReference"/>
          <w:color w:val="000000"/>
        </w:rPr>
        <w:footnoteReference w:id="478"/>
      </w:r>
    </w:p>
    <w:p w14:paraId="4E29A5C0" w14:textId="77777777" w:rsidR="004322B1" w:rsidRPr="00AD2F44" w:rsidRDefault="004322B1">
      <w:pPr>
        <w:pStyle w:val="10ATextWithIndent"/>
        <w:rPr>
          <w:vertAlign w:val="superscript"/>
        </w:rPr>
      </w:pPr>
      <w:r w:rsidRPr="00AD2F44">
        <w:t>If a court determines that collective treatment is appropriate and denies a motion for decertification, the case will proceed to trial as a collective action.</w:t>
      </w:r>
      <w:r>
        <w:rPr>
          <w:vertAlign w:val="superscript"/>
        </w:rPr>
        <w:footnoteReference w:id="479"/>
      </w:r>
      <w:r w:rsidRPr="00AD2F44">
        <w:t xml:space="preserve"> If, on the other hand, the court determines that collective treatment is not warranted, the case is decertified, the opt-in plaintiffs’ claims are dismissed without prejudice, and the named plaintiffs proceed to trial on their individual claims.</w:t>
      </w:r>
      <w:r>
        <w:rPr>
          <w:vertAlign w:val="superscript"/>
        </w:rPr>
        <w:footnoteReference w:id="480"/>
      </w:r>
      <w:r w:rsidRPr="00AD2F44">
        <w:t xml:space="preserve"> Alternatively, courts may partially decertify a conditionally certified collective action and permit only those who are similarly situated to proceed to trial based on representative testimony.</w:t>
      </w:r>
      <w:r>
        <w:rPr>
          <w:vertAlign w:val="superscript"/>
        </w:rPr>
        <w:footnoteReference w:id="481"/>
      </w:r>
      <w:r w:rsidRPr="00AD2F44">
        <w:t xml:space="preserve"> </w:t>
      </w:r>
    </w:p>
    <w:p w14:paraId="2EC88CEB" w14:textId="77777777" w:rsidR="004322B1" w:rsidRPr="00AD2F44" w:rsidRDefault="004322B1">
      <w:pPr>
        <w:pStyle w:val="10ATextWithIndent"/>
        <w:rPr>
          <w:vertAlign w:val="superscript"/>
        </w:rPr>
      </w:pPr>
      <w:r w:rsidRPr="00AD2F44">
        <w:t>In the event that a court decertifies a conditionally certified collective action, opt-in plaintiffs may refile their cases as individual or multi-plaintiff actions. Cases re-filed as multi-plaintiff actions must meet the requirements for joinder under Rules 20 and 21 of the Federal Rules of Civil Procedure.</w:t>
      </w:r>
      <w:r>
        <w:rPr>
          <w:vertAlign w:val="superscript"/>
        </w:rPr>
        <w:footnoteReference w:id="482"/>
      </w:r>
      <w:r w:rsidRPr="00AD2F44">
        <w:t xml:space="preserve"> After decertification and subsequent refiling, there remains the possibility that the cases will be reconsolidated by the Judicial Panel on Multidistrict Litigation (JPML).</w:t>
      </w:r>
      <w:r>
        <w:rPr>
          <w:vertAlign w:val="superscript"/>
        </w:rPr>
        <w:footnoteReference w:id="483"/>
      </w:r>
    </w:p>
    <w:p w14:paraId="5ED2E8DD" w14:textId="77777777" w:rsidR="004322B1" w:rsidRPr="00AD2F44" w:rsidRDefault="004322B1">
      <w:pPr>
        <w:pStyle w:val="06Third-LevelHead123"/>
      </w:pPr>
      <w:r w:rsidRPr="00AD2F44">
        <w:t>2.</w:t>
      </w:r>
      <w:r w:rsidRPr="00AD2F44">
        <w:tab/>
        <w:t>Disparate Factual and Employment Settings of the Plaintiffs</w:t>
      </w:r>
    </w:p>
    <w:p w14:paraId="5C3C49CA" w14:textId="77777777" w:rsidR="004322B1" w:rsidRPr="00AD2F44" w:rsidRDefault="004322B1">
      <w:pPr>
        <w:pStyle w:val="10ATextWithIndent"/>
        <w:rPr>
          <w:vertAlign w:val="superscript"/>
        </w:rPr>
      </w:pPr>
      <w:r w:rsidRPr="00AD2F44">
        <w:t>The first factor under the second-stage analysis considers whether the plaintiffs’ factual claims and employment backgrounds are sufficiently similar to warrant collective treatment. Plaintiffs must establish meaningful identifiable facts or a legal nexus that binds their claims together so that collective treatment is warranted.</w:t>
      </w:r>
      <w:r>
        <w:rPr>
          <w:vertAlign w:val="superscript"/>
        </w:rPr>
        <w:footnoteReference w:id="484"/>
      </w:r>
      <w:r w:rsidRPr="00AD2F44">
        <w:t xml:space="preserve"> It is not sufficient for collective treatment that the plaintiffs worked for the same employer</w:t>
      </w:r>
      <w:r>
        <w:rPr>
          <w:vertAlign w:val="superscript"/>
        </w:rPr>
        <w:footnoteReference w:id="485"/>
      </w:r>
      <w:r w:rsidRPr="00AD2F44">
        <w:t xml:space="preserve"> or that, “without more … </w:t>
      </w:r>
      <w:r w:rsidRPr="00AD2F44">
        <w:rPr>
          <w:i/>
          <w:iCs/>
        </w:rPr>
        <w:t>some</w:t>
      </w:r>
      <w:r w:rsidRPr="00AD2F44">
        <w:t xml:space="preserve"> FLSA violations have occurred.”</w:t>
      </w:r>
      <w:r>
        <w:rPr>
          <w:vertAlign w:val="superscript"/>
        </w:rPr>
        <w:footnoteReference w:id="486"/>
      </w:r>
      <w:r w:rsidRPr="00AD2F44">
        <w:t xml:space="preserve"> Decertification would be appropriate where plaintiffs are subject to varying work conditions in different work locations or under different supervisors.</w:t>
      </w:r>
      <w:r>
        <w:rPr>
          <w:vertAlign w:val="superscript"/>
        </w:rPr>
        <w:footnoteReference w:id="487"/>
      </w:r>
    </w:p>
    <w:p w14:paraId="0FE7AC9E" w14:textId="77777777" w:rsidR="004322B1" w:rsidRPr="00AD2F44" w:rsidRDefault="004322B1">
      <w:pPr>
        <w:pStyle w:val="10ATextWithIndent"/>
        <w:rPr>
          <w:vertAlign w:val="superscript"/>
        </w:rPr>
      </w:pPr>
      <w:r w:rsidRPr="00AD2F44">
        <w:t>When evaluating the plaintiffs’ claims, courts apply a multi-factored approach that considers, to the extent relevant, the plaintiffs’ job duties, geographic locations, employer supervision, and compensation.</w:t>
      </w:r>
      <w:r>
        <w:rPr>
          <w:vertAlign w:val="superscript"/>
        </w:rPr>
        <w:footnoteReference w:id="488"/>
      </w:r>
      <w:r w:rsidRPr="00AD2F44">
        <w:t xml:space="preserve"> These factors are considered in tandem, and one similarity or divergence is generally not sufficient to justify either continued collective treatment or decertification. For example, while courts consider the geographic scope of the class, the mere fact that plaintiffs worked at different facilities does not warrant decertification if their job duties and other aspects of employment were sufficiently similar to warrant collective </w:t>
      </w:r>
      <w:sdt>
        <w:sdtPr>
          <w:tag w:val="goog_rdk_6"/>
          <w:id w:val="-960879785"/>
        </w:sdtPr>
        <w:sdtEndPr/>
        <w:sdtContent/>
      </w:sdt>
      <w:r w:rsidRPr="00AD2F44">
        <w:t>treatment.</w:t>
      </w:r>
      <w:r>
        <w:rPr>
          <w:vertAlign w:val="superscript"/>
        </w:rPr>
        <w:footnoteReference w:id="489"/>
      </w:r>
      <w:r w:rsidRPr="00AD2F44">
        <w:t xml:space="preserve"> On the other hand, similar compensation structures and job titles alone are generally not sufficient to justify collective treatment.</w:t>
      </w:r>
      <w:r>
        <w:rPr>
          <w:vertAlign w:val="superscript"/>
        </w:rPr>
        <w:footnoteReference w:id="490"/>
      </w:r>
      <w:r w:rsidRPr="00AD2F44">
        <w:t xml:space="preserve"> Differences among class members that do not undermine the court’s ability to resolve issues on a collective basis are insufficient to justify decertification.</w:t>
      </w:r>
      <w:r>
        <w:rPr>
          <w:vertAlign w:val="superscript"/>
        </w:rPr>
        <w:footnoteReference w:id="491"/>
      </w:r>
    </w:p>
    <w:p w14:paraId="45D5E1E5" w14:textId="77777777" w:rsidR="004322B1" w:rsidRPr="00AD2F44" w:rsidRDefault="004322B1">
      <w:pPr>
        <w:pStyle w:val="10ATextWithIndent"/>
        <w:rPr>
          <w:vertAlign w:val="superscript"/>
        </w:rPr>
      </w:pPr>
      <w:r w:rsidRPr="00AD2F44">
        <w:t>Related to the factual and employment settings of class members, many courts consider whether plaintiffs have established a common employer policy, practice, or plan alleged to be in violation of the FLSA.</w:t>
      </w:r>
      <w:r>
        <w:rPr>
          <w:vertAlign w:val="superscript"/>
        </w:rPr>
        <w:footnoteReference w:id="492"/>
      </w:r>
      <w:r w:rsidRPr="00AD2F44">
        <w:t xml:space="preserve"> The existence of a common policy, practice, or plan may “assuage concerns about plaintiffs’ otherwise varied circumstances.”</w:t>
      </w:r>
      <w:r>
        <w:rPr>
          <w:vertAlign w:val="superscript"/>
        </w:rPr>
        <w:footnoteReference w:id="493"/>
      </w:r>
      <w:r w:rsidRPr="00AD2F44">
        <w:t xml:space="preserve"> Some district courts have held that the absence of a policy requiring compensation for specific acts can constitute a uniform policy justifying collective treatment.</w:t>
      </w:r>
      <w:r>
        <w:rPr>
          <w:vertAlign w:val="superscript"/>
        </w:rPr>
        <w:footnoteReference w:id="494"/>
      </w:r>
      <w:r w:rsidRPr="00AD2F44">
        <w:t xml:space="preserve"> However, some courts have held that a common policy is not a rigid requirement for collective treatment.</w:t>
      </w:r>
      <w:r>
        <w:rPr>
          <w:vertAlign w:val="superscript"/>
        </w:rPr>
        <w:footnoteReference w:id="495"/>
      </w:r>
      <w:r w:rsidRPr="00AD2F44">
        <w:t xml:space="preserve"> Other courts have weighed against collective treatment events that undermine the existence of a common policy, such as changes in a policy</w:t>
      </w:r>
      <w:r>
        <w:rPr>
          <w:vertAlign w:val="superscript"/>
        </w:rPr>
        <w:footnoteReference w:id="496"/>
      </w:r>
      <w:r w:rsidRPr="00AD2F44">
        <w:t xml:space="preserve"> or differing individual interpretations of a policy.</w:t>
      </w:r>
      <w:r>
        <w:rPr>
          <w:vertAlign w:val="superscript"/>
        </w:rPr>
        <w:footnoteReference w:id="497"/>
      </w:r>
      <w:r w:rsidRPr="00AD2F44">
        <w:t xml:space="preserve"> But some courts hold to the contrary.</w:t>
      </w:r>
      <w:r>
        <w:rPr>
          <w:vertAlign w:val="superscript"/>
        </w:rPr>
        <w:footnoteReference w:id="498"/>
      </w:r>
    </w:p>
    <w:p w14:paraId="3947E662" w14:textId="77777777" w:rsidR="004322B1" w:rsidRPr="00AD2F44" w:rsidRDefault="004322B1">
      <w:pPr>
        <w:pStyle w:val="06Third-LevelHead123"/>
      </w:pPr>
      <w:r w:rsidRPr="00AD2F44">
        <w:t>3.</w:t>
      </w:r>
      <w:r w:rsidRPr="00AD2F44">
        <w:tab/>
        <w:t>Individualized Defenses</w:t>
      </w:r>
    </w:p>
    <w:p w14:paraId="165E0F6D" w14:textId="77777777" w:rsidR="004322B1" w:rsidRPr="00AD2F44" w:rsidRDefault="004322B1">
      <w:pPr>
        <w:pStyle w:val="10ATextWithIndent"/>
        <w:rPr>
          <w:vertAlign w:val="superscript"/>
        </w:rPr>
      </w:pPr>
      <w:r w:rsidRPr="00AD2F44">
        <w:t>The second factor in the second-stage analysis examines whether the defendant alleges generalized defenses applicable to the entire class or whether the defenses vary with respect to each individual opt-in plaintiff. Whether or not a defense is general or individualized may turn in part on the varying factual and employment settings of the plaintiffs, and courts often consider these factors in tandem.</w:t>
      </w:r>
      <w:r>
        <w:rPr>
          <w:vertAlign w:val="superscript"/>
        </w:rPr>
        <w:footnoteReference w:id="499"/>
      </w:r>
      <w:r w:rsidRPr="00AD2F44">
        <w:t xml:space="preserve"> Some courts have held that individualized defenses can sometimes provide their own basis for decertification, particularly where they “prevent an efficient proceeding with a representative class.”</w:t>
      </w:r>
      <w:r>
        <w:rPr>
          <w:vertAlign w:val="superscript"/>
        </w:rPr>
        <w:footnoteReference w:id="500"/>
      </w:r>
      <w:r w:rsidRPr="00AD2F44">
        <w:t xml:space="preserve"> Nevertheless, other courts have held that the existence of individualized defenses is not sufficient to warrant decertification if there are sufficient common issues or job traits that permit collective litigation of the claims.</w:t>
      </w:r>
      <w:r>
        <w:rPr>
          <w:vertAlign w:val="superscript"/>
        </w:rPr>
        <w:footnoteReference w:id="501"/>
      </w:r>
    </w:p>
    <w:p w14:paraId="31828990" w14:textId="77777777" w:rsidR="004322B1" w:rsidRPr="00AD2F44" w:rsidRDefault="004322B1">
      <w:pPr>
        <w:pStyle w:val="10ATextWithIndent"/>
        <w:rPr>
          <w:vertAlign w:val="superscript"/>
        </w:rPr>
      </w:pPr>
      <w:r w:rsidRPr="00AD2F44">
        <w:t>Generalized defenses that can be litigated against an entire collective with ease do not warrant decertification. For example, a number of courts have held that statute of limitations defenses do not warrant decertification.</w:t>
      </w:r>
      <w:r>
        <w:rPr>
          <w:vertAlign w:val="superscript"/>
        </w:rPr>
        <w:footnoteReference w:id="502"/>
      </w:r>
      <w:r w:rsidRPr="00AD2F44">
        <w:t xml:space="preserve"> A number of courts also have found that damages calculations do not warrant decertification</w:t>
      </w:r>
      <w:r>
        <w:rPr>
          <w:vertAlign w:val="superscript"/>
        </w:rPr>
        <w:footnoteReference w:id="503"/>
      </w:r>
      <w:r w:rsidRPr="00AD2F44">
        <w:t xml:space="preserve"> and/or can be resolved through bifurcating the liability and damages phases of trial.</w:t>
      </w:r>
      <w:r>
        <w:rPr>
          <w:vertAlign w:val="superscript"/>
        </w:rPr>
        <w:footnoteReference w:id="504"/>
      </w:r>
      <w:r w:rsidRPr="00AD2F44">
        <w:t xml:space="preserve"> At least one court has disagreed.</w:t>
      </w:r>
      <w:r>
        <w:rPr>
          <w:vertAlign w:val="superscript"/>
        </w:rPr>
        <w:footnoteReference w:id="505"/>
      </w:r>
      <w:r w:rsidRPr="00AD2F44">
        <w:t xml:space="preserve"> Arguments pertaining to whether an employer acted in good faith and other company-level practices are not sufficiently individualized to warrant decertification.</w:t>
      </w:r>
      <w:r>
        <w:rPr>
          <w:vertAlign w:val="superscript"/>
        </w:rPr>
        <w:footnoteReference w:id="506"/>
      </w:r>
      <w:r w:rsidRPr="00AD2F44">
        <w:t xml:space="preserve"> A set-off defense may not require decertification where it applies equally across all plaintiffs or can be managed when computing damages.</w:t>
      </w:r>
      <w:r>
        <w:rPr>
          <w:vertAlign w:val="superscript"/>
        </w:rPr>
        <w:footnoteReference w:id="507"/>
      </w:r>
      <w:r w:rsidRPr="00AD2F44">
        <w:t xml:space="preserve"> Decertification is not proper where claims can be proved through common proof and representative evidence.</w:t>
      </w:r>
      <w:r>
        <w:rPr>
          <w:vertAlign w:val="superscript"/>
        </w:rPr>
        <w:footnoteReference w:id="508"/>
      </w:r>
    </w:p>
    <w:p w14:paraId="77E41F4B" w14:textId="77777777" w:rsidR="004322B1" w:rsidRPr="00AD2F44" w:rsidRDefault="004322B1">
      <w:pPr>
        <w:pStyle w:val="10ATextWithIndent"/>
        <w:rPr>
          <w:vertAlign w:val="superscript"/>
        </w:rPr>
      </w:pPr>
      <w:r w:rsidRPr="00AD2F44">
        <w:t>On the other hand, many courts have granted decertification where defenses require the court to conduct detailed individualized inquiries into the claims of each plaintiff.</w:t>
      </w:r>
      <w:r>
        <w:rPr>
          <w:vertAlign w:val="superscript"/>
        </w:rPr>
        <w:footnoteReference w:id="509"/>
      </w:r>
      <w:r w:rsidRPr="00AD2F44">
        <w:t xml:space="preserve"> For example, when some members of the opt-in class are subject to an exemption defense and others are not, the disparate defenses may weigh in favor of decertification,</w:t>
      </w:r>
      <w:r>
        <w:rPr>
          <w:vertAlign w:val="superscript"/>
        </w:rPr>
        <w:footnoteReference w:id="510"/>
      </w:r>
      <w:r w:rsidRPr="00AD2F44">
        <w:t xml:space="preserve"> but that is not always the case.</w:t>
      </w:r>
      <w:r>
        <w:rPr>
          <w:vertAlign w:val="superscript"/>
        </w:rPr>
        <w:footnoteReference w:id="511"/>
      </w:r>
      <w:r w:rsidRPr="00AD2F44">
        <w:t xml:space="preserve"> Similarly, some courts have found equitable estoppel and de minimis defenses to be “individualized defenses” that render collective treatment inappropriate, while others disagree.</w:t>
      </w:r>
      <w:r>
        <w:rPr>
          <w:vertAlign w:val="superscript"/>
        </w:rPr>
        <w:footnoteReference w:id="512"/>
      </w:r>
      <w:r w:rsidRPr="00AD2F44">
        <w:t xml:space="preserve"> Finally, some courts have found that, where the evidence shows some members would not have worked unpaid overtime even when adding alleged off-the-clock time, or where liability otherwise cannot be established on a </w:t>
      </w:r>
      <w:proofErr w:type="spellStart"/>
      <w:r w:rsidRPr="00AD2F44">
        <w:t>classwide</w:t>
      </w:r>
      <w:proofErr w:type="spellEnd"/>
      <w:r w:rsidRPr="00AD2F44">
        <w:t xml:space="preserve"> basis, individualized determinations of liability preclude collective treatment.</w:t>
      </w:r>
      <w:r>
        <w:rPr>
          <w:vertAlign w:val="superscript"/>
        </w:rPr>
        <w:footnoteReference w:id="513"/>
      </w:r>
    </w:p>
    <w:p w14:paraId="0591731D" w14:textId="77777777" w:rsidR="004322B1" w:rsidRPr="00AD2F44" w:rsidRDefault="004322B1">
      <w:pPr>
        <w:pStyle w:val="10ATextWithIndent"/>
        <w:rPr>
          <w:vertAlign w:val="superscript"/>
        </w:rPr>
      </w:pPr>
      <w:r w:rsidRPr="00AD2F44">
        <w:t xml:space="preserve">Individualized determinations regarding damages may render a collective action infeasible. In </w:t>
      </w:r>
      <w:r w:rsidRPr="00AD2F44">
        <w:rPr>
          <w:i/>
          <w:iCs/>
        </w:rPr>
        <w:t xml:space="preserve">Espenscheid v. </w:t>
      </w:r>
      <w:proofErr w:type="spellStart"/>
      <w:r w:rsidRPr="00AD2F44">
        <w:rPr>
          <w:i/>
          <w:iCs/>
        </w:rPr>
        <w:t>DirectSAT</w:t>
      </w:r>
      <w:proofErr w:type="spellEnd"/>
      <w:r w:rsidRPr="00AD2F44">
        <w:rPr>
          <w:i/>
          <w:iCs/>
        </w:rPr>
        <w:t xml:space="preserve"> USA, LLC</w:t>
      </w:r>
      <w:r w:rsidRPr="00AD2F44">
        <w:t>,</w:t>
      </w:r>
      <w:r>
        <w:rPr>
          <w:vertAlign w:val="superscript"/>
        </w:rPr>
        <w:footnoteReference w:id="514"/>
      </w:r>
      <w:r w:rsidRPr="00AD2F44">
        <w:rPr>
          <w:i/>
          <w:iCs/>
        </w:rPr>
        <w:t xml:space="preserve"> </w:t>
      </w:r>
      <w:r w:rsidRPr="00AD2F44">
        <w:t>a collective of 2,341 technicians who installed and repaired satellite equipment at customer homes sought unpaid overtime under the FLSA, among other claims.</w:t>
      </w:r>
      <w:r>
        <w:rPr>
          <w:vertAlign w:val="superscript"/>
        </w:rPr>
        <w:footnoteReference w:id="515"/>
      </w:r>
      <w:r w:rsidRPr="00AD2F44">
        <w:t xml:space="preserve"> The plaintiffs were paid by the job, rather than hourly.</w:t>
      </w:r>
      <w:r>
        <w:rPr>
          <w:vertAlign w:val="superscript"/>
        </w:rPr>
        <w:footnoteReference w:id="516"/>
      </w:r>
      <w:r w:rsidRPr="00AD2F44">
        <w:t xml:space="preserve"> As the Seventh Circuit pointed out, “since workers differ in their effort and efficiency … some, maybe many, of the technicians may not work more than 40 hours a week and may even work fewer hours; others may work more than 40 hours a week.”</w:t>
      </w:r>
      <w:r>
        <w:rPr>
          <w:vertAlign w:val="superscript"/>
        </w:rPr>
        <w:footnoteReference w:id="517"/>
      </w:r>
      <w:r w:rsidRPr="00AD2F44">
        <w:t xml:space="preserve"> That the plaintiffs were paid by the job compounded the court’s difficulties because the calculation of the plaintiffs’ regular rates to be used in determining unpaid overtime would vary depending on how long it took each plaintiff to perform each job.</w:t>
      </w:r>
      <w:r>
        <w:rPr>
          <w:vertAlign w:val="superscript"/>
        </w:rPr>
        <w:footnoteReference w:id="518"/>
      </w:r>
      <w:r w:rsidRPr="00AD2F44">
        <w:t xml:space="preserve"> Additionally, some of the plaintiffs reported their time spent on certain tasks, while others did not.</w:t>
      </w:r>
      <w:r>
        <w:rPr>
          <w:vertAlign w:val="superscript"/>
        </w:rPr>
        <w:footnoteReference w:id="519"/>
      </w:r>
    </w:p>
    <w:p w14:paraId="37F9E48C" w14:textId="77777777" w:rsidR="004322B1" w:rsidRPr="00AD2F44" w:rsidRDefault="004322B1">
      <w:pPr>
        <w:pStyle w:val="10ATextWithIndent"/>
        <w:rPr>
          <w:vertAlign w:val="superscript"/>
        </w:rPr>
      </w:pPr>
      <w:r w:rsidRPr="00AD2F44">
        <w:t>In light of the variance in the plaintiffs’ experiences, the Seventh Circuit rejected the plaintiffs’ proposal to use representative testimony from 42 of the 2,341 plaintiffs in order to establish their alleged damages. As the court explained, “[t]o extrapolate from the experience of the 42 to that of the 2,341 would require that all 2,341 have done roughly the same amount of work, including the same amount of overtime work, and had been paid the same wage. … No one thinks there was such uniformity.”</w:t>
      </w:r>
      <w:r>
        <w:rPr>
          <w:vertAlign w:val="superscript"/>
        </w:rPr>
        <w:footnoteReference w:id="520"/>
      </w:r>
      <w:r w:rsidRPr="00AD2F44">
        <w:t xml:space="preserve"> Rather, in order to determine the amount of damages claimed, it would be necessary to hold 2,341 separate evidentiary hearings, which threatened to “swamp” the district court.</w:t>
      </w:r>
      <w:r>
        <w:rPr>
          <w:vertAlign w:val="superscript"/>
        </w:rPr>
        <w:footnoteReference w:id="521"/>
      </w:r>
      <w:r w:rsidRPr="00AD2F44">
        <w:t xml:space="preserve"> As such, the individualized analyses required to determine damages rendered the plaintiffs’ collective action infeasible, and the court affirmed the district court’s decision to decertify.</w:t>
      </w:r>
      <w:r>
        <w:rPr>
          <w:vertAlign w:val="superscript"/>
        </w:rPr>
        <w:footnoteReference w:id="522"/>
      </w:r>
      <w:r w:rsidRPr="00AD2F44">
        <w:t xml:space="preserve"> In </w:t>
      </w:r>
      <w:proofErr w:type="spellStart"/>
      <w:r w:rsidRPr="00AD2F44">
        <w:rPr>
          <w:i/>
          <w:iCs/>
        </w:rPr>
        <w:t>Indergit</w:t>
      </w:r>
      <w:proofErr w:type="spellEnd"/>
      <w:r w:rsidRPr="00AD2F44">
        <w:rPr>
          <w:i/>
          <w:iCs/>
        </w:rPr>
        <w:t xml:space="preserve"> v</w:t>
      </w:r>
      <w:r w:rsidRPr="00AD2F44">
        <w:t>.</w:t>
      </w:r>
      <w:r w:rsidRPr="00AD2F44">
        <w:rPr>
          <w:i/>
          <w:iCs/>
        </w:rPr>
        <w:t xml:space="preserve"> Rite Aid Corp</w:t>
      </w:r>
      <w:r w:rsidRPr="00AD2F44">
        <w:t>.,</w:t>
      </w:r>
      <w:r>
        <w:rPr>
          <w:vertAlign w:val="superscript"/>
        </w:rPr>
        <w:footnoteReference w:id="523"/>
      </w:r>
      <w:r w:rsidRPr="00AD2F44">
        <w:rPr>
          <w:i/>
          <w:iCs/>
        </w:rPr>
        <w:t xml:space="preserve"> </w:t>
      </w:r>
      <w:r w:rsidRPr="00AD2F44">
        <w:t xml:space="preserve">a New York district court expressly rejected </w:t>
      </w:r>
      <w:r w:rsidRPr="00AD2F44">
        <w:rPr>
          <w:i/>
          <w:iCs/>
        </w:rPr>
        <w:t>Espenscheid</w:t>
      </w:r>
      <w:r w:rsidRPr="00AD2F44">
        <w:t xml:space="preserve"> and noted that “the issue of damages does not preclude collective action, and the case can be bifurcated into liability and damages phases if and when it becomes necessary.”</w:t>
      </w:r>
      <w:r>
        <w:rPr>
          <w:vertAlign w:val="superscript"/>
        </w:rPr>
        <w:footnoteReference w:id="524"/>
      </w:r>
    </w:p>
    <w:p w14:paraId="08C18D81" w14:textId="77777777" w:rsidR="004322B1" w:rsidRPr="00AD2F44" w:rsidRDefault="004322B1">
      <w:pPr>
        <w:pStyle w:val="06Third-LevelHead123"/>
      </w:pPr>
      <w:r w:rsidRPr="00AD2F44">
        <w:t>4.</w:t>
      </w:r>
      <w:r w:rsidRPr="00AD2F44">
        <w:tab/>
        <w:t>Fairness and Procedural Considerations</w:t>
      </w:r>
    </w:p>
    <w:p w14:paraId="045E3BA6" w14:textId="77777777" w:rsidR="004322B1" w:rsidRPr="00AD2F44" w:rsidRDefault="004322B1">
      <w:pPr>
        <w:pStyle w:val="10ATextWithIndent"/>
        <w:rPr>
          <w:vertAlign w:val="superscript"/>
        </w:rPr>
      </w:pPr>
      <w:r w:rsidRPr="00AD2F44">
        <w:t>Under the third factor of the second-stage analysis, courts consider whether adjudicating the claims on a collective basis is fair to both parties and procedurally feasible.</w:t>
      </w:r>
      <w:r w:rsidRPr="00AD2F44">
        <w:rPr>
          <w:vertAlign w:val="superscript"/>
        </w:rPr>
        <w:t xml:space="preserve"> </w:t>
      </w:r>
    </w:p>
    <w:p w14:paraId="2E23021C" w14:textId="77777777" w:rsidR="004322B1" w:rsidRPr="00AD2F44" w:rsidRDefault="004322B1">
      <w:pPr>
        <w:pStyle w:val="10ATextWithIndent"/>
        <w:rPr>
          <w:vertAlign w:val="superscript"/>
        </w:rPr>
      </w:pPr>
      <w:r w:rsidRPr="00AD2F44">
        <w:t>As the Supreme Court has explained, the primary objectives of a Section 216(b) collective action are to (1) lower the burden to individual plaintiffs through the pooling of resources and (2) enhance judicial efficiency by resolving common issues of law and fact arising from the same alleged unlawful activity in one proceeding.</w:t>
      </w:r>
      <w:r>
        <w:rPr>
          <w:vertAlign w:val="superscript"/>
        </w:rPr>
        <w:footnoteReference w:id="525"/>
      </w:r>
      <w:r w:rsidRPr="00AD2F44">
        <w:t xml:space="preserve"> Moreover, given the FLSA’s remedial purpose,</w:t>
      </w:r>
      <w:r>
        <w:rPr>
          <w:vertAlign w:val="superscript"/>
        </w:rPr>
        <w:footnoteReference w:id="526"/>
      </w:r>
      <w:r w:rsidRPr="00AD2F44">
        <w:t xml:space="preserve"> some courts have held that close calls regarding collective treatment should be resolved in favor of certification.</w:t>
      </w:r>
      <w:r>
        <w:rPr>
          <w:vertAlign w:val="superscript"/>
        </w:rPr>
        <w:footnoteReference w:id="527"/>
      </w:r>
    </w:p>
    <w:p w14:paraId="1014A57F" w14:textId="77777777" w:rsidR="004322B1" w:rsidRPr="00AD2F44" w:rsidRDefault="004322B1">
      <w:pPr>
        <w:pStyle w:val="10ATextWithIndent"/>
        <w:rPr>
          <w:vertAlign w:val="superscript"/>
        </w:rPr>
      </w:pPr>
      <w:r w:rsidRPr="00AD2F44">
        <w:t>Many courts considering this factor focus primarily on the benefits of collective treatment to employees. As one federal district court has explained, “[f]or many plaintiffs, a collective action is the only practical method of adjudicating their FLSA claims.”</w:t>
      </w:r>
      <w:r>
        <w:rPr>
          <w:vertAlign w:val="superscript"/>
        </w:rPr>
        <w:footnoteReference w:id="528"/>
      </w:r>
      <w:r w:rsidRPr="00AD2F44">
        <w:t xml:space="preserve"> So long as plaintiffs are sufficiently similarly situated, courts have denied decertification motions, reasoning that “the individual plaintiffs are less able to bear the costs of separate trials because they have fewer resources” than the employer.</w:t>
      </w:r>
      <w:r>
        <w:rPr>
          <w:vertAlign w:val="superscript"/>
        </w:rPr>
        <w:footnoteReference w:id="529"/>
      </w:r>
    </w:p>
    <w:p w14:paraId="031DAAE5" w14:textId="77777777" w:rsidR="004322B1" w:rsidRPr="00AD2F44" w:rsidRDefault="004322B1">
      <w:pPr>
        <w:pStyle w:val="10ATextWithIndent"/>
        <w:rPr>
          <w:vertAlign w:val="superscript"/>
        </w:rPr>
      </w:pPr>
      <w:r w:rsidRPr="00AD2F44">
        <w:t>On the other hand, courts have granted decertification motions where the employees are not similarly situated because of the “serious concerns about due process” of forcing an employer to rely on representative proof to defend its position in this context.</w:t>
      </w:r>
      <w:r>
        <w:rPr>
          <w:vertAlign w:val="superscript"/>
        </w:rPr>
        <w:footnoteReference w:id="530"/>
      </w:r>
      <w:r w:rsidRPr="00AD2F44">
        <w:t xml:space="preserve"> Moreover, some courts have recognized that defendants “could be potentially prejudiced by a jury painting with a broad brush” in a collective action if jurors inaccurately assume all plaintiffs are entitled to the same remedy.</w:t>
      </w:r>
      <w:r>
        <w:rPr>
          <w:vertAlign w:val="superscript"/>
        </w:rPr>
        <w:footnoteReference w:id="531"/>
      </w:r>
      <w:r w:rsidRPr="00AD2F44">
        <w:t xml:space="preserve"> This is especially true where evidence shows that some members of the collective did not work overtime. As one district court has explained, “it would be a miscarriage of justice for [the employer] to pay overtime damages to a subset of Plaintiffs who are not actually owed any overtime damages. Likewise, it would be improper for Plaintiffs who did not work overtime to receive such damages.”</w:t>
      </w:r>
      <w:r>
        <w:rPr>
          <w:vertAlign w:val="superscript"/>
        </w:rPr>
        <w:footnoteReference w:id="532"/>
      </w:r>
    </w:p>
    <w:p w14:paraId="2431B7AF" w14:textId="77777777" w:rsidR="004322B1" w:rsidRPr="00AD2F44" w:rsidRDefault="004322B1">
      <w:pPr>
        <w:pStyle w:val="10ATextWithIndent"/>
        <w:rPr>
          <w:vertAlign w:val="superscript"/>
        </w:rPr>
      </w:pPr>
      <w:r w:rsidRPr="00AD2F44">
        <w:t>In addition to the rights of both parties, courts focus on whether litigating a collective action would be procedurally feasible. Courts have recognized that decertification is appropriate where litigating a collective action would be unwieldy for the court and/or a jury,</w:t>
      </w:r>
      <w:r>
        <w:rPr>
          <w:vertAlign w:val="superscript"/>
        </w:rPr>
        <w:footnoteReference w:id="533"/>
      </w:r>
      <w:r w:rsidRPr="00AD2F44">
        <w:t xml:space="preserve"> and that litigating a collective action where the plaintiffs are not similarly situated would “undercut any efficiency or cost-saving arguments as the collective will not be able to rely on meaningful collective proof.”</w:t>
      </w:r>
      <w:r>
        <w:rPr>
          <w:vertAlign w:val="superscript"/>
        </w:rPr>
        <w:footnoteReference w:id="534"/>
      </w:r>
      <w:r w:rsidRPr="00AD2F44">
        <w:t xml:space="preserve"> Analyzing individual claims of hundreds of plaintiffs in a single proceeding is not practical where the plaintiffs’ claims are not similarly situated and any ruling on the merits would be unfair to both sides.</w:t>
      </w:r>
      <w:r>
        <w:rPr>
          <w:vertAlign w:val="superscript"/>
        </w:rPr>
        <w:footnoteReference w:id="535"/>
      </w:r>
      <w:r w:rsidRPr="00AD2F44">
        <w:t xml:space="preserve"> Courts have denied motions for decertification where doing so would prompt the same issue to be litigated in several separate cases and waste limited judicial time and resources.</w:t>
      </w:r>
      <w:r>
        <w:rPr>
          <w:vertAlign w:val="superscript"/>
        </w:rPr>
        <w:footnoteReference w:id="536"/>
      </w:r>
      <w:r w:rsidRPr="00AD2F44">
        <w:t xml:space="preserve"> Some courts have balanced these competing demands by creating separate subclasses for various aspects of the litigation.</w:t>
      </w:r>
      <w:r>
        <w:rPr>
          <w:vertAlign w:val="superscript"/>
        </w:rPr>
        <w:footnoteReference w:id="537"/>
      </w:r>
      <w:r w:rsidRPr="00AD2F44">
        <w:t xml:space="preserve"> The Sixth Circuit has indicated that a district court should examine whether partial decertification is possible when faced with the situation where a subset of the plaintiffs fail to allege violations of the FLSA.</w:t>
      </w:r>
      <w:r>
        <w:rPr>
          <w:vertAlign w:val="superscript"/>
        </w:rPr>
        <w:footnoteReference w:id="538"/>
      </w:r>
      <w:r w:rsidRPr="00AD2F44">
        <w:t xml:space="preserve"> The court noted that the option of partial certification is important to consider because it counters the argument that a collective action must be totally decertified if some members are not similarly situated to the others.</w:t>
      </w:r>
      <w:r>
        <w:rPr>
          <w:vertAlign w:val="superscript"/>
        </w:rPr>
        <w:footnoteReference w:id="539"/>
      </w:r>
    </w:p>
    <w:p w14:paraId="226079AA" w14:textId="77777777" w:rsidR="004322B1" w:rsidRPr="00AD2F44" w:rsidRDefault="004322B1">
      <w:pPr>
        <w:pStyle w:val="10ATextWithIndent"/>
        <w:rPr>
          <w:vertAlign w:val="superscript"/>
        </w:rPr>
      </w:pPr>
      <w:r w:rsidRPr="00AD2F44">
        <w:t xml:space="preserve">Additionally, some courts have found that the plaintiffs’ failure to propose a workable trial plan weighed in favor of decertification. In </w:t>
      </w:r>
      <w:r w:rsidRPr="00AD2F44">
        <w:rPr>
          <w:i/>
          <w:iCs/>
        </w:rPr>
        <w:t xml:space="preserve">Espenscheid v. </w:t>
      </w:r>
      <w:proofErr w:type="spellStart"/>
      <w:r w:rsidRPr="00AD2F44">
        <w:rPr>
          <w:i/>
          <w:iCs/>
        </w:rPr>
        <w:t>DirectSAT</w:t>
      </w:r>
      <w:proofErr w:type="spellEnd"/>
      <w:r w:rsidRPr="00AD2F44">
        <w:rPr>
          <w:i/>
          <w:iCs/>
        </w:rPr>
        <w:t xml:space="preserve"> USA, LLC</w:t>
      </w:r>
      <w:r w:rsidRPr="00AD2F44">
        <w:t>,</w:t>
      </w:r>
      <w:r>
        <w:rPr>
          <w:vertAlign w:val="superscript"/>
        </w:rPr>
        <w:footnoteReference w:id="540"/>
      </w:r>
      <w:r w:rsidRPr="00AD2F44">
        <w:t xml:space="preserve"> for example, the Seventh Circuit affirmed decertification of an FLSA collective action where the plaintiffs failed to propose a specific and feasible trial plan.</w:t>
      </w:r>
      <w:r>
        <w:rPr>
          <w:vertAlign w:val="superscript"/>
        </w:rPr>
        <w:footnoteReference w:id="541"/>
      </w:r>
    </w:p>
    <w:p w14:paraId="6A282501" w14:textId="77777777" w:rsidR="004322B1" w:rsidRPr="00AD2F44" w:rsidRDefault="004322B1">
      <w:pPr>
        <w:pStyle w:val="06Third-LevelHead123"/>
      </w:pPr>
      <w:r w:rsidRPr="00AD2F44">
        <w:t>5.</w:t>
      </w:r>
      <w:r w:rsidRPr="00AD2F44">
        <w:tab/>
        <w:t>Decertification Motions in Specific Types of Cases</w:t>
      </w:r>
    </w:p>
    <w:p w14:paraId="212084B0" w14:textId="77777777" w:rsidR="004322B1" w:rsidRPr="00AD2F44" w:rsidRDefault="004322B1">
      <w:pPr>
        <w:pStyle w:val="07Fourth-LevelHeadabc"/>
      </w:pPr>
      <w:r w:rsidRPr="00AD2F44">
        <w:t>a.</w:t>
      </w:r>
      <w:r w:rsidRPr="00AD2F44">
        <w:tab/>
        <w:t>Misclassification Cases</w:t>
      </w:r>
    </w:p>
    <w:p w14:paraId="778F07EF" w14:textId="77777777" w:rsidR="004322B1" w:rsidRPr="00AD2F44" w:rsidRDefault="004322B1">
      <w:pPr>
        <w:pStyle w:val="08Fifth-LevelHeadi"/>
      </w:pPr>
      <w:r w:rsidRPr="00AD2F44">
        <w:t>(</w:t>
      </w:r>
      <w:proofErr w:type="spellStart"/>
      <w:r w:rsidRPr="00AD2F44">
        <w:t>i</w:t>
      </w:r>
      <w:proofErr w:type="spellEnd"/>
      <w:r w:rsidRPr="00AD2F44">
        <w:t>.)</w:t>
      </w:r>
      <w:r w:rsidRPr="00AD2F44">
        <w:tab/>
        <w:t>Independent Contractor Cases</w:t>
      </w:r>
    </w:p>
    <w:p w14:paraId="45305E46" w14:textId="77777777" w:rsidR="004322B1" w:rsidRPr="00AD2F44" w:rsidRDefault="004322B1">
      <w:pPr>
        <w:pStyle w:val="10ATextWithIndent"/>
        <w:rPr>
          <w:vertAlign w:val="superscript"/>
        </w:rPr>
      </w:pPr>
      <w:r w:rsidRPr="00AD2F44">
        <w:t>In cases alleging that workers have been improperly classified as independent contractors, courts hearing decertification motions have to decide whether the workers’ status is subject to collective-wide proof, versus highly individualized inquiries.</w:t>
      </w:r>
      <w:r>
        <w:rPr>
          <w:vertAlign w:val="superscript"/>
        </w:rPr>
        <w:footnoteReference w:id="542"/>
      </w:r>
      <w:r w:rsidRPr="00AD2F44">
        <w:t xml:space="preserve"> Courts have evaluated whether collective treatment is appropriate based solely on whether the employer classified all the plaintiffs as independent contractors,</w:t>
      </w:r>
      <w:r>
        <w:rPr>
          <w:vertAlign w:val="superscript"/>
        </w:rPr>
        <w:footnoteReference w:id="543"/>
      </w:r>
      <w:r w:rsidRPr="00AD2F44">
        <w:t xml:space="preserve"> and whether variances in job duties are sufficient to warrant decertification.</w:t>
      </w:r>
      <w:r>
        <w:rPr>
          <w:vertAlign w:val="superscript"/>
        </w:rPr>
        <w:footnoteReference w:id="544"/>
      </w:r>
    </w:p>
    <w:p w14:paraId="6B9D8668" w14:textId="77777777" w:rsidR="004322B1" w:rsidRPr="00AD2F44" w:rsidRDefault="004322B1">
      <w:pPr>
        <w:pStyle w:val="08Fifth-LevelHeadi"/>
      </w:pPr>
      <w:r w:rsidRPr="00AD2F44">
        <w:t>(ii.)</w:t>
      </w:r>
      <w:r w:rsidRPr="00AD2F44">
        <w:tab/>
        <w:t>Cases Involving FLSA Exemptions</w:t>
      </w:r>
    </w:p>
    <w:p w14:paraId="153A41F7" w14:textId="77777777" w:rsidR="004322B1" w:rsidRPr="00AD2F44" w:rsidRDefault="004322B1">
      <w:pPr>
        <w:pStyle w:val="10ATextWithIndent"/>
        <w:rPr>
          <w:vertAlign w:val="superscript"/>
        </w:rPr>
      </w:pPr>
      <w:r w:rsidRPr="00AD2F44">
        <w:t>Collective actions often present the issue of whether plaintiffs with similar FLSA exemption classifications are subject to disparate factual and employment settings.</w:t>
      </w:r>
      <w:r>
        <w:rPr>
          <w:vertAlign w:val="superscript"/>
        </w:rPr>
        <w:footnoteReference w:id="545"/>
      </w:r>
    </w:p>
    <w:p w14:paraId="77014FB5" w14:textId="77777777" w:rsidR="004322B1" w:rsidRPr="00AD2F44" w:rsidRDefault="004322B1">
      <w:pPr>
        <w:pStyle w:val="10ATextWithIndent"/>
        <w:rPr>
          <w:vertAlign w:val="superscript"/>
        </w:rPr>
      </w:pPr>
      <w:r w:rsidRPr="00AD2F44">
        <w:t>The mere fact that a group of employees has the same job title and/or job description is not sufficient standing alone to warrant collective treatment.</w:t>
      </w:r>
      <w:r>
        <w:rPr>
          <w:vertAlign w:val="superscript"/>
        </w:rPr>
        <w:footnoteReference w:id="546"/>
      </w:r>
      <w:r w:rsidRPr="00AD2F44">
        <w:t xml:space="preserve"> Similarly, an employer’s decision to categorize a group of employees as “exempt” or “nonexempt” is not sufficient on its own to warrant collective action treatment,</w:t>
      </w:r>
      <w:r>
        <w:rPr>
          <w:vertAlign w:val="superscript"/>
        </w:rPr>
        <w:footnoteReference w:id="547"/>
      </w:r>
      <w:r w:rsidRPr="00AD2F44">
        <w:t xml:space="preserve"> although some courts have granted or upheld certification relying in part on such categorization.</w:t>
      </w:r>
      <w:r>
        <w:rPr>
          <w:vertAlign w:val="superscript"/>
        </w:rPr>
        <w:footnoteReference w:id="548"/>
      </w:r>
      <w:r w:rsidRPr="00AD2F44">
        <w:t xml:space="preserve"> Plaintiffs with identical job descriptions and classifications have been denied collective treatment where their job duties vary in ways that are material to the exemption determination.</w:t>
      </w:r>
      <w:r>
        <w:rPr>
          <w:vertAlign w:val="superscript"/>
        </w:rPr>
        <w:footnoteReference w:id="549"/>
      </w:r>
      <w:r w:rsidRPr="00AD2F44">
        <w:t xml:space="preserve"> On the other hand, evidence of an “across-the-board” application of an exemption without regard for individual variations may undercut an employer’s argument that such variations are material or otherwise at odds with collective treatment.</w:t>
      </w:r>
      <w:r>
        <w:rPr>
          <w:vertAlign w:val="superscript"/>
        </w:rPr>
        <w:footnoteReference w:id="550"/>
      </w:r>
    </w:p>
    <w:p w14:paraId="085BCEB0" w14:textId="77777777" w:rsidR="004322B1" w:rsidRPr="00AD2F44" w:rsidRDefault="004322B1">
      <w:pPr>
        <w:pStyle w:val="10ATextWithIndent"/>
        <w:rPr>
          <w:vertAlign w:val="superscript"/>
        </w:rPr>
      </w:pPr>
      <w:r w:rsidRPr="00AD2F44">
        <w:t>Courts have also reached different conclusions regarding the extent to which they must analyze the individual job duties of each plaintiff to resolve the merits of a collective action exemption case. Some courts have concluded that collective treatment is not appropriate in a misclassification case based on the premise that each individual plaintiff’s day-to-day job duties must be analyzed to determine whether they are subject to the exemption.</w:t>
      </w:r>
      <w:r>
        <w:rPr>
          <w:vertAlign w:val="superscript"/>
        </w:rPr>
        <w:footnoteReference w:id="551"/>
      </w:r>
      <w:r w:rsidRPr="00AD2F44">
        <w:t xml:space="preserve"> Similarly, some courts have found that differences in pay structure among class members weighs in favor of decertification.</w:t>
      </w:r>
      <w:r>
        <w:rPr>
          <w:vertAlign w:val="superscript"/>
        </w:rPr>
        <w:footnoteReference w:id="552"/>
      </w:r>
      <w:r w:rsidRPr="00AD2F44">
        <w:t xml:space="preserve"> However, other courts have held that collective treatment is appropriate where the record reflects that the plaintiffs had similar factual and employment settings such that their claims could be resolved through generalized proof or representative evidence.</w:t>
      </w:r>
      <w:r>
        <w:rPr>
          <w:vertAlign w:val="superscript"/>
        </w:rPr>
        <w:footnoteReference w:id="553"/>
      </w:r>
      <w:r w:rsidRPr="00AD2F44">
        <w:t xml:space="preserve"> In some cases, courts have refused to apply an individualized approach to evaluating exemption decisions where the employer failed to consider such individual factors when classifying the employees in question.</w:t>
      </w:r>
      <w:r>
        <w:rPr>
          <w:vertAlign w:val="superscript"/>
        </w:rPr>
        <w:footnoteReference w:id="554"/>
      </w:r>
    </w:p>
    <w:p w14:paraId="4514FA32" w14:textId="77777777" w:rsidR="004322B1" w:rsidRPr="00AD2F44" w:rsidRDefault="004322B1">
      <w:pPr>
        <w:pStyle w:val="10ATextWithIndent"/>
        <w:rPr>
          <w:vertAlign w:val="superscript"/>
        </w:rPr>
      </w:pPr>
      <w:r w:rsidRPr="00AD2F44">
        <w:t>In a misclassification case, if there is evidence that some members of the collective did not work over 40 hours—thus making the collective susceptible to individualized determinations as to liability—collective treatment may be inappropriate.</w:t>
      </w:r>
      <w:r>
        <w:rPr>
          <w:vertAlign w:val="superscript"/>
        </w:rPr>
        <w:footnoteReference w:id="555"/>
      </w:r>
      <w:r w:rsidRPr="00AD2F44">
        <w:t xml:space="preserve"> In </w:t>
      </w:r>
      <w:r w:rsidRPr="00AD2F44">
        <w:rPr>
          <w:i/>
          <w:iCs/>
        </w:rPr>
        <w:t>Rindfleisch v. Gentiva Health Services, Inc.</w:t>
      </w:r>
      <w:r w:rsidRPr="00AD2F44">
        <w:t>,</w:t>
      </w:r>
      <w:r>
        <w:rPr>
          <w:vertAlign w:val="superscript"/>
        </w:rPr>
        <w:footnoteReference w:id="556"/>
      </w:r>
      <w:r w:rsidRPr="00AD2F44">
        <w:t xml:space="preserve"> the district court decertified a collective of over 1,000 home health nurses in which the plaintiffs challenged their classification as exempt professionals, reasoning that “the fact that some Plaintiffs did not actually work overtime hours, creates a disparate factual setting among the individual Plaintiffs as the issue of liability is not susceptible to common proof.”</w:t>
      </w:r>
      <w:r>
        <w:rPr>
          <w:vertAlign w:val="superscript"/>
        </w:rPr>
        <w:footnoteReference w:id="557"/>
      </w:r>
    </w:p>
    <w:p w14:paraId="50CF3C36" w14:textId="77777777" w:rsidR="004322B1" w:rsidRPr="00AD2F44" w:rsidRDefault="004322B1">
      <w:pPr>
        <w:pStyle w:val="07Fourth-LevelHeadabc"/>
      </w:pPr>
      <w:r w:rsidRPr="00AD2F44">
        <w:t>b.</w:t>
      </w:r>
      <w:r w:rsidRPr="00AD2F44">
        <w:tab/>
        <w:t>Off-the-Clock Claims</w:t>
      </w:r>
    </w:p>
    <w:p w14:paraId="3945BA9C" w14:textId="77777777" w:rsidR="004322B1" w:rsidRPr="00AD2F44" w:rsidRDefault="004322B1">
      <w:pPr>
        <w:pStyle w:val="10ATextWithIndent"/>
        <w:rPr>
          <w:vertAlign w:val="superscript"/>
        </w:rPr>
      </w:pPr>
      <w:r w:rsidRPr="00AD2F44">
        <w:t>Another common collective action issue is the extent to which plaintiffs alleging they were forced to work off the clock can establish they were subject to similar factual and employment settings.</w:t>
      </w:r>
      <w:r>
        <w:rPr>
          <w:vertAlign w:val="superscript"/>
        </w:rPr>
        <w:footnoteReference w:id="558"/>
      </w:r>
      <w:r w:rsidRPr="00AD2F44">
        <w:t xml:space="preserve"> Several courts have granted motions for decertification where the plaintiffs failed to establish any companywide policy requiring off-the-clock work, finding collective treatment is inappropriate where employees allege individual managers encouraged them to work off the clock without any companywide directive requiring such work.</w:t>
      </w:r>
      <w:r>
        <w:rPr>
          <w:vertAlign w:val="superscript"/>
        </w:rPr>
        <w:footnoteReference w:id="559"/>
      </w:r>
      <w:r w:rsidRPr="00AD2F44">
        <w:t xml:space="preserve"> Even where multiple collective members have alleged off-the-clock work, some courts have held that collective treatment is not warranted where plaintiffs offered divergent testimony regarding whether they ever worked off the clock, their reasons for working off the clock, the amount of work they performed off the clock, whether time records were manipulated by their supervisors, and the types of tasks performed off the clock.</w:t>
      </w:r>
      <w:r>
        <w:rPr>
          <w:vertAlign w:val="superscript"/>
        </w:rPr>
        <w:footnoteReference w:id="560"/>
      </w:r>
      <w:r w:rsidRPr="00AD2F44">
        <w:t xml:space="preserve"> Additionally, evidence that a company policy prohibited off-the-clock work,</w:t>
      </w:r>
      <w:r>
        <w:rPr>
          <w:vertAlign w:val="superscript"/>
        </w:rPr>
        <w:footnoteReference w:id="561"/>
      </w:r>
      <w:r w:rsidRPr="00AD2F44">
        <w:t xml:space="preserve"> or that overtime was paid to some plaintiffs and putative collective members, may undermine similarly situated arguments.</w:t>
      </w:r>
      <w:r>
        <w:rPr>
          <w:vertAlign w:val="superscript"/>
        </w:rPr>
        <w:footnoteReference w:id="562"/>
      </w:r>
    </w:p>
    <w:p w14:paraId="4314C817" w14:textId="77777777" w:rsidR="004322B1" w:rsidRPr="00AD2F44" w:rsidRDefault="004322B1">
      <w:pPr>
        <w:pStyle w:val="10ATextWithIndent"/>
        <w:rPr>
          <w:vertAlign w:val="superscript"/>
        </w:rPr>
      </w:pPr>
      <w:r w:rsidRPr="00AD2F44">
        <w:t>However, other courts have held that collective treatment is warranted where numerous plaintiffs have testified to some amount of off-the-clock work, even if their allegations are not uniform.</w:t>
      </w:r>
      <w:r>
        <w:rPr>
          <w:vertAlign w:val="superscript"/>
        </w:rPr>
        <w:footnoteReference w:id="563"/>
      </w:r>
      <w:r w:rsidRPr="00AD2F44">
        <w:t xml:space="preserve"> These courts have concluded that numerous individualized allegations of off-the-clock work suffice to establish a companywide policy or practice warranting collective treatment even if there is no official companywide policy or practice requiring such work.</w:t>
      </w:r>
      <w:r>
        <w:rPr>
          <w:vertAlign w:val="superscript"/>
        </w:rPr>
        <w:footnoteReference w:id="564"/>
      </w:r>
      <w:r w:rsidRPr="00AD2F44">
        <w:t xml:space="preserve"> The Sixth Circuit explained that where the plaintiffs’ claims were unified by a common theory of the defendant’s statutory violations, allegedly forcing employees to work off the clock and improperly editing timesheets, the plaintiffs were similarly situated even if the “proofs of these theories are inevitably individualized and distinct.”</w:t>
      </w:r>
      <w:r>
        <w:rPr>
          <w:vertAlign w:val="superscript"/>
        </w:rPr>
        <w:footnoteReference w:id="565"/>
      </w:r>
      <w:r w:rsidRPr="00AD2F44">
        <w:t xml:space="preserve"> As a district court in Texas explained, “[a]n employer should not be allowed to escape class liability simply because some managers do not commit FLSA violations as long as the evidence shows that there is a factual or legal nexus that binds together the claims of the opt-in plaintiffs before the Court.”</w:t>
      </w:r>
      <w:r>
        <w:rPr>
          <w:vertAlign w:val="superscript"/>
        </w:rPr>
        <w:footnoteReference w:id="566"/>
      </w:r>
    </w:p>
    <w:p w14:paraId="0F4CF6E5" w14:textId="77777777" w:rsidR="004322B1" w:rsidRPr="00AD2F44" w:rsidRDefault="004322B1">
      <w:pPr>
        <w:pStyle w:val="10ATextWithIndent"/>
        <w:rPr>
          <w:vertAlign w:val="superscript"/>
        </w:rPr>
      </w:pPr>
      <w:r w:rsidRPr="00AD2F44">
        <w:t>Courts have similarly given varying weight to companywide policies designed to minimize labor costs. Some courts have held that lawful policies intended to control costs, such as requiring manager pre-approval for overtime, can support a similarly situated finding where such a policy, in combination with other factors, leads to a pattern of FLSA violations.</w:t>
      </w:r>
      <w:r>
        <w:rPr>
          <w:vertAlign w:val="superscript"/>
        </w:rPr>
        <w:footnoteReference w:id="567"/>
      </w:r>
      <w:r w:rsidRPr="00AD2F44">
        <w:t xml:space="preserve"> Moreover, explicit policies prohibiting off-the-clock work may be trumped where multiple individual managers suggested, or required, employees to work off the clock in order to meet labor budgets or productivity requirements.</w:t>
      </w:r>
      <w:r>
        <w:rPr>
          <w:vertAlign w:val="superscript"/>
        </w:rPr>
        <w:footnoteReference w:id="568"/>
      </w:r>
      <w:r w:rsidRPr="00AD2F44">
        <w:t xml:space="preserve"> On the other hand, some courts have held that a policy discouraging overtime might not be sufficient to warrant collective treatment where each individual manager has interpreted and implemented the policy in different ways,</w:t>
      </w:r>
      <w:r>
        <w:rPr>
          <w:vertAlign w:val="superscript"/>
        </w:rPr>
        <w:footnoteReference w:id="569"/>
      </w:r>
      <w:r w:rsidRPr="00AD2F44">
        <w:t xml:space="preserve"> or when there was compelling evidence that employees had worked substantial overtime hours on the clock.</w:t>
      </w:r>
      <w:r>
        <w:rPr>
          <w:vertAlign w:val="superscript"/>
        </w:rPr>
        <w:footnoteReference w:id="570"/>
      </w:r>
    </w:p>
    <w:p w14:paraId="16A86F2F" w14:textId="77777777" w:rsidR="004322B1" w:rsidRPr="00AD2F44" w:rsidRDefault="004322B1">
      <w:pPr>
        <w:pStyle w:val="10ATextWithIndent"/>
      </w:pPr>
      <w:r w:rsidRPr="00AD2F44">
        <w:t>What follows are examples of cases that have dealt with decertification motions targeting specific types of off-the-clock claims.</w:t>
      </w:r>
    </w:p>
    <w:p w14:paraId="56BE1632" w14:textId="77777777" w:rsidR="004322B1" w:rsidRPr="00AD2F44" w:rsidRDefault="004322B1">
      <w:pPr>
        <w:pStyle w:val="08Fifth-LevelHeadi"/>
      </w:pPr>
      <w:r w:rsidRPr="00AD2F44">
        <w:t>(</w:t>
      </w:r>
      <w:proofErr w:type="spellStart"/>
      <w:r w:rsidRPr="00AD2F44">
        <w:t>i</w:t>
      </w:r>
      <w:proofErr w:type="spellEnd"/>
      <w:r w:rsidRPr="00AD2F44">
        <w:t>.)</w:t>
      </w:r>
      <w:r w:rsidRPr="00AD2F44">
        <w:tab/>
        <w:t>Pre-Shift and Post-Shift Cases</w:t>
      </w:r>
    </w:p>
    <w:p w14:paraId="556657E0" w14:textId="77777777" w:rsidR="004322B1" w:rsidRPr="00AD2F44" w:rsidRDefault="004322B1">
      <w:pPr>
        <w:pStyle w:val="10ATextWithIndent"/>
      </w:pPr>
      <w:r w:rsidRPr="00AD2F44">
        <w:t>As with other types of off-the-clock claims, the existence of highly individualized inquiries versus common policies to determine whether pre- or post-shift work is compensable drives whether courts grant decertification motions.</w:t>
      </w:r>
      <w:r>
        <w:rPr>
          <w:vertAlign w:val="superscript"/>
        </w:rPr>
        <w:footnoteReference w:id="571"/>
      </w:r>
      <w:r w:rsidRPr="00AD2F44">
        <w:t xml:space="preserve"> </w:t>
      </w:r>
    </w:p>
    <w:p w14:paraId="524612CD" w14:textId="77777777" w:rsidR="004322B1" w:rsidRPr="00AD2F44" w:rsidRDefault="004322B1">
      <w:pPr>
        <w:pStyle w:val="08Fifth-LevelHeadi"/>
      </w:pPr>
      <w:r w:rsidRPr="00AD2F44">
        <w:t>(ii.)</w:t>
      </w:r>
      <w:r w:rsidRPr="00AD2F44">
        <w:tab/>
        <w:t>Uncompensated Work During Meal Break Time</w:t>
      </w:r>
    </w:p>
    <w:p w14:paraId="654C27EC" w14:textId="77777777" w:rsidR="004322B1" w:rsidRPr="00AD2F44" w:rsidRDefault="004322B1">
      <w:pPr>
        <w:pStyle w:val="10ATextWithIndent"/>
      </w:pPr>
      <w:r w:rsidRPr="00AD2F44">
        <w:t>Courts that have ruled on motions to decertify meal break cases focus on whether the employer had implemented a uniform policy requiring employees to work without being compensated,</w:t>
      </w:r>
      <w:r>
        <w:rPr>
          <w:vertAlign w:val="superscript"/>
        </w:rPr>
        <w:footnoteReference w:id="572"/>
      </w:r>
      <w:r w:rsidRPr="00AD2F44">
        <w:t xml:space="preserve"> or whether resolving such claims would involve individualized inquiries.</w:t>
      </w:r>
      <w:r>
        <w:rPr>
          <w:vertAlign w:val="superscript"/>
        </w:rPr>
        <w:footnoteReference w:id="573"/>
      </w:r>
      <w:r w:rsidRPr="00AD2F44">
        <w:t xml:space="preserve"> </w:t>
      </w:r>
    </w:p>
    <w:p w14:paraId="35A486B1" w14:textId="77777777" w:rsidR="004322B1" w:rsidRPr="00AD2F44" w:rsidRDefault="004322B1">
      <w:pPr>
        <w:pStyle w:val="08Fifth-LevelHeadi"/>
      </w:pPr>
      <w:r w:rsidRPr="00AD2F44">
        <w:t>(iii.)</w:t>
      </w:r>
      <w:r w:rsidRPr="00AD2F44">
        <w:tab/>
        <w:t>Rounding Cases</w:t>
      </w:r>
    </w:p>
    <w:p w14:paraId="03CFF4BE" w14:textId="77777777" w:rsidR="004322B1" w:rsidRPr="00AD2F44" w:rsidRDefault="004322B1">
      <w:pPr>
        <w:pStyle w:val="10ATextWithIndent"/>
        <w:rPr>
          <w:vertAlign w:val="superscript"/>
        </w:rPr>
      </w:pPr>
      <w:r w:rsidRPr="00AD2F44">
        <w:t>Courts have decertified cases involving rounding claims, but not where a policy exists that is common to the collective and allegedly results in undercompensating members of the collective.</w:t>
      </w:r>
      <w:r>
        <w:rPr>
          <w:vertAlign w:val="superscript"/>
        </w:rPr>
        <w:footnoteReference w:id="574"/>
      </w:r>
    </w:p>
    <w:p w14:paraId="5BECD897" w14:textId="77777777" w:rsidR="004322B1" w:rsidRPr="00AD2F44" w:rsidRDefault="004322B1">
      <w:pPr>
        <w:pStyle w:val="08Fifth-LevelHeadi"/>
      </w:pPr>
      <w:r w:rsidRPr="00AD2F44">
        <w:t>(iv.)</w:t>
      </w:r>
      <w:r w:rsidRPr="00AD2F44">
        <w:tab/>
        <w:t>Time Shaving Cases</w:t>
      </w:r>
    </w:p>
    <w:p w14:paraId="283E0235" w14:textId="77777777" w:rsidR="004322B1" w:rsidRPr="00AD2F44" w:rsidRDefault="004322B1">
      <w:pPr>
        <w:pStyle w:val="10ATextWithIndent"/>
        <w:rPr>
          <w:vertAlign w:val="superscript"/>
        </w:rPr>
      </w:pPr>
      <w:r w:rsidRPr="00AD2F44">
        <w:t>Courts have denied decertification motions in time shaving cases where there were common conditions of employment.</w:t>
      </w:r>
      <w:r>
        <w:rPr>
          <w:vertAlign w:val="superscript"/>
        </w:rPr>
        <w:footnoteReference w:id="575"/>
      </w:r>
    </w:p>
    <w:p w14:paraId="6DE76D90" w14:textId="77777777" w:rsidR="004322B1" w:rsidRPr="00AD2F44" w:rsidRDefault="004322B1">
      <w:pPr>
        <w:pStyle w:val="08Fifth-LevelHeadi"/>
      </w:pPr>
      <w:r w:rsidRPr="00AD2F44">
        <w:t>(v.)</w:t>
      </w:r>
      <w:r w:rsidRPr="00AD2F44">
        <w:tab/>
        <w:t>Travel Time Cases</w:t>
      </w:r>
    </w:p>
    <w:p w14:paraId="626323FF" w14:textId="77777777" w:rsidR="004322B1" w:rsidRPr="00AD2F44" w:rsidRDefault="004322B1">
      <w:pPr>
        <w:pStyle w:val="10ATextWithIndent"/>
        <w:rPr>
          <w:vertAlign w:val="superscript"/>
        </w:rPr>
      </w:pPr>
      <w:r w:rsidRPr="00AD2F44">
        <w:t>Courts have typically refused to decertify collective actions based on travel time claims.</w:t>
      </w:r>
      <w:r>
        <w:rPr>
          <w:vertAlign w:val="superscript"/>
        </w:rPr>
        <w:footnoteReference w:id="576"/>
      </w:r>
      <w:r w:rsidRPr="00AD2F44">
        <w:t xml:space="preserve"> However, a showing of a policy prohibiting off-the-clock work and defendants’ lack of knowledge of the travel time may warrant decertification.</w:t>
      </w:r>
      <w:r>
        <w:rPr>
          <w:vertAlign w:val="superscript"/>
        </w:rPr>
        <w:footnoteReference w:id="577"/>
      </w:r>
    </w:p>
    <w:p w14:paraId="1068E30D" w14:textId="77777777" w:rsidR="004322B1" w:rsidRPr="00AD2F44" w:rsidRDefault="004322B1">
      <w:pPr>
        <w:pStyle w:val="07Fourth-LevelHeadabc"/>
      </w:pPr>
      <w:r w:rsidRPr="00AD2F44">
        <w:t>c.</w:t>
      </w:r>
      <w:r w:rsidRPr="00AD2F44">
        <w:tab/>
        <w:t>Tip Credit Cases</w:t>
      </w:r>
    </w:p>
    <w:p w14:paraId="22DB3567" w14:textId="77777777" w:rsidR="004322B1" w:rsidRPr="00AD2F44" w:rsidRDefault="004322B1">
      <w:pPr>
        <w:pStyle w:val="10ATextWithIndent"/>
      </w:pPr>
      <w:r w:rsidRPr="00AD2F44">
        <w:t>Courts have denied motions to decertify tip credit claims where plaintiffs have relied on the existence of policies common to the collective.</w:t>
      </w:r>
      <w:r>
        <w:rPr>
          <w:vertAlign w:val="superscript"/>
        </w:rPr>
        <w:footnoteReference w:id="578"/>
      </w:r>
      <w:r w:rsidRPr="00AD2F44">
        <w:t xml:space="preserve"> However, courts have granted decertification where there is no showing of common policies.</w:t>
      </w:r>
      <w:r>
        <w:rPr>
          <w:vertAlign w:val="superscript"/>
        </w:rPr>
        <w:footnoteReference w:id="579"/>
      </w:r>
      <w:r w:rsidRPr="00AD2F44">
        <w:t xml:space="preserve"> </w:t>
      </w:r>
    </w:p>
    <w:p w14:paraId="4E9C756D" w14:textId="77777777" w:rsidR="004322B1" w:rsidRPr="00AD2F44" w:rsidRDefault="00EE0E34">
      <w:pPr>
        <w:pStyle w:val="07Fourth-LevelHeadabc"/>
      </w:pPr>
      <w:sdt>
        <w:sdtPr>
          <w:tag w:val="goog_rdk_1"/>
          <w:id w:val="-378867581"/>
        </w:sdtPr>
        <w:sdtEndPr/>
        <w:sdtContent/>
      </w:sdt>
      <w:r w:rsidR="004322B1" w:rsidRPr="00AD2F44">
        <w:t>d.</w:t>
      </w:r>
      <w:r w:rsidR="004322B1" w:rsidRPr="00AD2F44">
        <w:tab/>
        <w:t>Regular Rate Cases</w:t>
      </w:r>
    </w:p>
    <w:p w14:paraId="6351BB99" w14:textId="77777777" w:rsidR="004322B1" w:rsidRPr="00AD2F44" w:rsidRDefault="004322B1">
      <w:pPr>
        <w:pStyle w:val="10ATextWithIndent"/>
        <w:rPr>
          <w:vertAlign w:val="superscript"/>
        </w:rPr>
      </w:pPr>
      <w:r w:rsidRPr="00AD2F44">
        <w:t>Courts have not granted decertification motions simply because calculating damages might require individualized inquiries.</w:t>
      </w:r>
      <w:r>
        <w:rPr>
          <w:vertAlign w:val="superscript"/>
        </w:rPr>
        <w:footnoteReference w:id="580"/>
      </w:r>
    </w:p>
    <w:p w14:paraId="5196D717" w14:textId="77777777" w:rsidR="004322B1" w:rsidRPr="00AD2F44" w:rsidRDefault="004322B1">
      <w:pPr>
        <w:pStyle w:val="04First-LevelHeadIIIIII"/>
      </w:pPr>
      <w:r w:rsidRPr="00AD2F44">
        <w:t>IV.</w:t>
      </w:r>
      <w:r w:rsidRPr="00AD2F44">
        <w:t> </w:t>
      </w:r>
      <w:r w:rsidRPr="00AD2F44">
        <w:t xml:space="preserve">Treatment of Opt-Ins Following Denial of Notice or Grant of Decertification </w:t>
      </w:r>
    </w:p>
    <w:p w14:paraId="22C66686" w14:textId="77777777" w:rsidR="004322B1" w:rsidRPr="00AD2F44" w:rsidRDefault="004322B1" w:rsidP="0089536D">
      <w:pPr>
        <w:pStyle w:val="10ATextWithIndent"/>
      </w:pPr>
      <w:r w:rsidRPr="00AD2F44">
        <w:t>After denying conditional certification or decertifying a collective action, courts may face the issue of how to treat opt-in plaintiffs. Generally, courts address the legal effect of decertification by dismissing opt-in plaintiffs without prejudice, and the named plaintiffs proceed with their own claims.</w:t>
      </w:r>
      <w:r>
        <w:rPr>
          <w:rStyle w:val="FootnoteReference"/>
          <w:bCs/>
        </w:rPr>
        <w:footnoteReference w:id="581"/>
      </w:r>
      <w:r w:rsidRPr="00AD2F44">
        <w:t xml:space="preserve"> As the Seventh Circuit has recognized, “when a collective action is decertified, it reverts to one or more individual actions on behalf of the named plaintiffs, … which is just what happens when a Rule 23 class is decertified: the unnamed class members go poof and the named plaintiffs’ claims revert to being individual claims.”</w:t>
      </w:r>
      <w:r>
        <w:rPr>
          <w:rStyle w:val="FootnoteReference"/>
          <w:bCs/>
        </w:rPr>
        <w:footnoteReference w:id="582"/>
      </w:r>
      <w:r w:rsidRPr="00AD2F44">
        <w:t xml:space="preserve"> This raises issues as to whether and how dismissed opt-in plaintiffs may proceed with their claims and whether their claims have been tolled. Several courts granting decertification motions have </w:t>
      </w:r>
      <w:proofErr w:type="spellStart"/>
      <w:r w:rsidRPr="00AD2F44">
        <w:t>tolled</w:t>
      </w:r>
      <w:proofErr w:type="spellEnd"/>
      <w:r w:rsidRPr="00AD2F44">
        <w:t xml:space="preserve"> the statute of limitations for a limited period of time after the decertification order to give putative class members additional time to file their own lawsuits.</w:t>
      </w:r>
      <w:r>
        <w:rPr>
          <w:vertAlign w:val="superscript"/>
        </w:rPr>
        <w:footnoteReference w:id="583"/>
      </w:r>
    </w:p>
    <w:p w14:paraId="3057DC00" w14:textId="77777777" w:rsidR="004322B1" w:rsidRPr="00AD2F44" w:rsidRDefault="004322B1">
      <w:pPr>
        <w:pStyle w:val="05Second-LevelHeadABC"/>
      </w:pPr>
      <w:r w:rsidRPr="00AD2F44">
        <w:t>A.</w:t>
      </w:r>
      <w:r w:rsidRPr="00AD2F44">
        <w:tab/>
        <w:t>Intervention</w:t>
      </w:r>
    </w:p>
    <w:p w14:paraId="359FC41E" w14:textId="77777777" w:rsidR="004322B1" w:rsidRPr="00AD2F44" w:rsidRDefault="004322B1">
      <w:pPr>
        <w:pStyle w:val="10ATextWithIndent"/>
      </w:pPr>
      <w:r w:rsidRPr="00AD2F44">
        <w:t xml:space="preserve">In the event the court denies collective action certification, opt-in plaintiffs may seek to intervene into the case pursuant to Rule 24 of the Federal Rules of Civil Procedure, either as a matter of right under Rule 24(a)(2) or as permissive intervenors under Rule 24(b). </w:t>
      </w:r>
    </w:p>
    <w:p w14:paraId="4D337DC0" w14:textId="77777777" w:rsidR="004322B1" w:rsidRPr="00AD2F44" w:rsidRDefault="004322B1">
      <w:pPr>
        <w:pStyle w:val="10ATextWithIndent"/>
        <w:rPr>
          <w:vertAlign w:val="superscript"/>
        </w:rPr>
      </w:pPr>
      <w:r w:rsidRPr="00AD2F44">
        <w:t>Intervention as a matter of right under Rule 24(a)(2) permits opt-in plaintiffs to join an action after the court denies collective action treatment when the intervenors satisfy a four-factor test.</w:t>
      </w:r>
      <w:r>
        <w:rPr>
          <w:vertAlign w:val="superscript"/>
        </w:rPr>
        <w:footnoteReference w:id="584"/>
      </w:r>
      <w:r w:rsidRPr="00AD2F44">
        <w:t xml:space="preserve"> Importantly, the motion to intervene under Rule 24(a)(2) must be timely, which under certain circumstances may require filing even before certification of a collective is denied.</w:t>
      </w:r>
      <w:r>
        <w:rPr>
          <w:vertAlign w:val="superscript"/>
        </w:rPr>
        <w:footnoteReference w:id="585"/>
      </w:r>
      <w:r w:rsidRPr="00AD2F44">
        <w:t xml:space="preserve"> In addition to timeliness, the focus of the Rule 24(a)(2) inquiry in collective actions has often been the risk of impairment of the proposed intervenors’ interests and whether the intervenors’ interests are adequately represented without intervention.</w:t>
      </w:r>
      <w:r>
        <w:rPr>
          <w:vertAlign w:val="superscript"/>
        </w:rPr>
        <w:footnoteReference w:id="586"/>
      </w:r>
    </w:p>
    <w:p w14:paraId="4B6C1A32" w14:textId="77777777" w:rsidR="004322B1" w:rsidRPr="00AD2F44" w:rsidRDefault="004322B1">
      <w:pPr>
        <w:pStyle w:val="10ATextWithIndent"/>
        <w:rPr>
          <w:vertAlign w:val="superscript"/>
        </w:rPr>
      </w:pPr>
      <w:r w:rsidRPr="00AD2F44">
        <w:t xml:space="preserve">In </w:t>
      </w:r>
      <w:r w:rsidRPr="00AD2F44">
        <w:rPr>
          <w:i/>
          <w:iCs/>
        </w:rPr>
        <w:t>Stone v. First Union Corp</w:t>
      </w:r>
      <w:r w:rsidRPr="00AD2F44">
        <w:t>.,</w:t>
      </w:r>
      <w:r>
        <w:rPr>
          <w:vertAlign w:val="superscript"/>
        </w:rPr>
        <w:footnoteReference w:id="587"/>
      </w:r>
      <w:r w:rsidRPr="00AD2F44">
        <w:t xml:space="preserve"> the Eleventh Circuit held that even when a district court is not bound by an earlier adjudication, a prior “decision would have significant persuasive effects” that might impair an intervenor’s rights in a second action by creating a negative stare decisis effect because the plaintiffs alleged that the same company policy impaired their rights.</w:t>
      </w:r>
      <w:r>
        <w:rPr>
          <w:vertAlign w:val="superscript"/>
        </w:rPr>
        <w:footnoteReference w:id="588"/>
      </w:r>
      <w:r w:rsidRPr="00AD2F44">
        <w:t xml:space="preserve"> Despite differences that precluded collective action treatment, intervention was warranted because “one court’s ruling on whether the bank’s policy, as a matter of law, was in violation of the [Age Discrimination in Employment Act (ADEA)] could influence later suits.”</w:t>
      </w:r>
      <w:r>
        <w:rPr>
          <w:vertAlign w:val="superscript"/>
        </w:rPr>
        <w:footnoteReference w:id="589"/>
      </w:r>
      <w:r w:rsidRPr="00AD2F44">
        <w:t xml:space="preserve"> However, in </w:t>
      </w:r>
      <w:r w:rsidRPr="00AD2F44">
        <w:rPr>
          <w:i/>
          <w:iCs/>
        </w:rPr>
        <w:t>Fox v. Tyson Foods, Inc</w:t>
      </w:r>
      <w:r w:rsidRPr="00AD2F44">
        <w:t>.,</w:t>
      </w:r>
      <w:r>
        <w:rPr>
          <w:vertAlign w:val="superscript"/>
        </w:rPr>
        <w:footnoteReference w:id="590"/>
      </w:r>
      <w:r w:rsidRPr="00AD2F44">
        <w:t xml:space="preserve"> a case applying </w:t>
      </w:r>
      <w:r w:rsidRPr="00AD2F44">
        <w:rPr>
          <w:i/>
          <w:iCs/>
        </w:rPr>
        <w:t>Stone</w:t>
      </w:r>
      <w:r w:rsidRPr="00AD2F44">
        <w:t>, the Eleventh Circuit clarified that the persuasive effect of an earlier adjudication does not automatically extend to all actions involving similar claims.</w:t>
      </w:r>
      <w:r>
        <w:rPr>
          <w:vertAlign w:val="superscript"/>
        </w:rPr>
        <w:footnoteReference w:id="591"/>
      </w:r>
      <w:r w:rsidRPr="00AD2F44">
        <w:t xml:space="preserve"> In </w:t>
      </w:r>
      <w:r w:rsidRPr="00AD2F44">
        <w:rPr>
          <w:i/>
          <w:iCs/>
        </w:rPr>
        <w:t>Fox</w:t>
      </w:r>
      <w:r w:rsidRPr="00AD2F44">
        <w:t xml:space="preserve">, the court held that there was no common policy or plan of compensation or clothing requirements, and, in contrast to </w:t>
      </w:r>
      <w:r w:rsidRPr="00AD2F44">
        <w:rPr>
          <w:i/>
          <w:iCs/>
        </w:rPr>
        <w:t>Stone</w:t>
      </w:r>
      <w:r w:rsidRPr="00AD2F44">
        <w:t>, any “persuasive effect on later actions by the petitioners … would be insufficient to supply the necessary practical impediment” to the intervenor’s rights to permit intervention.</w:t>
      </w:r>
      <w:r>
        <w:rPr>
          <w:vertAlign w:val="superscript"/>
        </w:rPr>
        <w:footnoteReference w:id="592"/>
      </w:r>
    </w:p>
    <w:p w14:paraId="0D35DC24" w14:textId="77777777" w:rsidR="004322B1" w:rsidRPr="00AD2F44" w:rsidRDefault="004322B1">
      <w:pPr>
        <w:pStyle w:val="10ATextWithIndent"/>
        <w:rPr>
          <w:vertAlign w:val="superscript"/>
        </w:rPr>
      </w:pPr>
      <w:r w:rsidRPr="00AD2F44">
        <w:t>Assuming there is sufficient risk to their interests to permit intervention, proposed intervenors must also overcome a weak “presumption of adequate representation” by the named plaintiff in order to intervene as of right under Rule 24(a)(2).</w:t>
      </w:r>
      <w:r>
        <w:rPr>
          <w:vertAlign w:val="superscript"/>
        </w:rPr>
        <w:footnoteReference w:id="593"/>
      </w:r>
      <w:r w:rsidRPr="00AD2F44">
        <w:t xml:space="preserve"> In </w:t>
      </w:r>
      <w:r w:rsidRPr="00AD2F44">
        <w:rPr>
          <w:i/>
          <w:iCs/>
        </w:rPr>
        <w:t>Stone</w:t>
      </w:r>
      <w:r w:rsidRPr="00AD2F44">
        <w:t>, the differences that justified denying certification were also the basis for concluding that the named plaintiff was “not an adequate representative plaintiff for class action purposes,” and thus might not adequately represent the intervenor’s interests.</w:t>
      </w:r>
      <w:r>
        <w:rPr>
          <w:vertAlign w:val="superscript"/>
        </w:rPr>
        <w:footnoteReference w:id="594"/>
      </w:r>
      <w:r w:rsidRPr="00AD2F44">
        <w:t xml:space="preserve"> Although the plaintiffs all alleged that a single bank policy impaired their rights, the court reasoned that the named plaintiff and the intervenors might wish to emphasize different aspects of the policy, which was sufficient “to overcome the weak presumption of adequate representation” and justify intervention.</w:t>
      </w:r>
      <w:r>
        <w:rPr>
          <w:vertAlign w:val="superscript"/>
        </w:rPr>
        <w:footnoteReference w:id="595"/>
      </w:r>
    </w:p>
    <w:p w14:paraId="664AFABC" w14:textId="77777777" w:rsidR="004322B1" w:rsidRPr="00AD2F44" w:rsidRDefault="004322B1">
      <w:pPr>
        <w:pStyle w:val="10ATextWithIndent"/>
        <w:rPr>
          <w:vertAlign w:val="superscript"/>
        </w:rPr>
      </w:pPr>
      <w:r w:rsidRPr="00AD2F44">
        <w:t>Even if intervention as of right under Rule 24(a)(2) is unavailable, courts may allow permissive intervention by former opt-ins of a decertified collective action under Rule 24(b).</w:t>
      </w:r>
      <w:r>
        <w:rPr>
          <w:vertAlign w:val="superscript"/>
        </w:rPr>
        <w:footnoteReference w:id="596"/>
      </w:r>
      <w:r w:rsidRPr="00AD2F44">
        <w:t xml:space="preserve"> Under Rule 24(b), the court must consider whether the party seeking to intervene “has a claim or defense that shares with the main action a common question of law or fact.”</w:t>
      </w:r>
      <w:r>
        <w:rPr>
          <w:vertAlign w:val="superscript"/>
        </w:rPr>
        <w:footnoteReference w:id="597"/>
      </w:r>
      <w:r w:rsidRPr="00AD2F44">
        <w:t xml:space="preserve"> Also, in exercising its discretion regarding intervention, “the court must consider whether the intervention will unduly delay or prejudice the adjudication of the original parties’ rights.”</w:t>
      </w:r>
      <w:r>
        <w:rPr>
          <w:vertAlign w:val="superscript"/>
        </w:rPr>
        <w:footnoteReference w:id="598"/>
      </w:r>
    </w:p>
    <w:p w14:paraId="6581FE33" w14:textId="77777777" w:rsidR="004322B1" w:rsidRPr="00AD2F44" w:rsidRDefault="004322B1">
      <w:pPr>
        <w:pStyle w:val="10ATextWithIndent"/>
      </w:pPr>
      <w:r w:rsidRPr="00AD2F44">
        <w:t xml:space="preserve">Applying these standards, the court in </w:t>
      </w:r>
      <w:r w:rsidRPr="00AD2F44">
        <w:rPr>
          <w:i/>
          <w:iCs/>
        </w:rPr>
        <w:t>Roussell v. Brinker International, Inc</w:t>
      </w:r>
      <w:r w:rsidRPr="00AD2F44">
        <w:t>.</w:t>
      </w:r>
      <w:r>
        <w:rPr>
          <w:vertAlign w:val="superscript"/>
        </w:rPr>
        <w:footnoteReference w:id="599"/>
      </w:r>
      <w:r w:rsidRPr="00AD2F44">
        <w:t xml:space="preserve"> denied intervention by former opt-in plaintiffs after decertification of an action involving the application of the tip credit rule. While the defendant conceded that common issues of law and fact existed, the court denied intervention because it would have unduly prejudiced the defendant and delayed the original adjudication. The court explained:</w:t>
      </w:r>
    </w:p>
    <w:p w14:paraId="4701C6B0" w14:textId="77777777" w:rsidR="004322B1" w:rsidRPr="00AD2F44" w:rsidRDefault="004322B1">
      <w:pPr>
        <w:pStyle w:val="09BBlockQuoteWithoutIndent"/>
        <w:rPr>
          <w:vertAlign w:val="superscript"/>
        </w:rPr>
      </w:pPr>
      <w:r w:rsidRPr="00AD2F44">
        <w:t xml:space="preserve">Here, the existing Plaintiffs do not adequately represent Movants’ interests. … It is not clear, however, that the Movants will help provide a full development of the facts at issue. With the addition of each Movant, the individualized considerations regarding the coercive inquiry will multiply the factual issues to be considered and, given the number of Movants, will undoubtedly result in considerable delay in the prosecution of this case. A trial involving upwards of 400 individual Plaintiffs is unmanageable, especially considering the number of stores represented, each involving managers from widely dispersed geographic regions. The Court cannot avoid the conclusion that a trial of this magnitude and complexity would unduly prejudice Defendant or cause substantial delay. Discovery would have to be reopened as to the Movants. Witnesses from all over the country would have to be scheduled for trial. Moreover, as Defendant notes, jurors could be confused by the presentation of multiple claims and impute evidence between multiple claimants. As the Supreme Court foresaw in </w:t>
      </w:r>
      <w:r w:rsidRPr="00AD2F44">
        <w:rPr>
          <w:i/>
          <w:iCs/>
        </w:rPr>
        <w:t>Crown, Cork,</w:t>
      </w:r>
      <w:r w:rsidRPr="00AD2F44">
        <w:t xml:space="preserve"> there may be times when the decertified class members will not be able to avail themselves of either intervention as of right or permissive intervention. The Movants’ motion shall be denied for reasons of undue prejudice and delay.</w:t>
      </w:r>
      <w:r>
        <w:rPr>
          <w:vertAlign w:val="superscript"/>
        </w:rPr>
        <w:footnoteReference w:id="600"/>
      </w:r>
    </w:p>
    <w:p w14:paraId="2A3037D0" w14:textId="77777777" w:rsidR="004322B1" w:rsidRPr="00AD2F44" w:rsidRDefault="004322B1">
      <w:pPr>
        <w:pStyle w:val="10ATextWithIndent"/>
        <w:rPr>
          <w:vertAlign w:val="superscript"/>
        </w:rPr>
      </w:pPr>
      <w:r w:rsidRPr="00AD2F44">
        <w:t xml:space="preserve">On the other hand, in </w:t>
      </w:r>
      <w:r w:rsidRPr="00AD2F44">
        <w:rPr>
          <w:i/>
          <w:iCs/>
        </w:rPr>
        <w:t>Lipnicki v. Meritage Homes Corp</w:t>
      </w:r>
      <w:r w:rsidRPr="00AD2F44">
        <w:t>.,</w:t>
      </w:r>
      <w:r>
        <w:rPr>
          <w:vertAlign w:val="superscript"/>
        </w:rPr>
        <w:footnoteReference w:id="601"/>
      </w:r>
      <w:r w:rsidRPr="00AD2F44">
        <w:t xml:space="preserve"> the court granted a motion to intervene by former opt-ins from a decertified collective action involving application of the outside sales exemption where the claims of the intervenors presented common legal issues with respect to the meaning and applicability of DOL opinion letters discussing the outside sales exemption in the new home industry as well as on the issue of willfulness (assuming there was misclassification).</w:t>
      </w:r>
      <w:r>
        <w:rPr>
          <w:vertAlign w:val="superscript"/>
        </w:rPr>
        <w:footnoteReference w:id="602"/>
      </w:r>
      <w:r w:rsidRPr="00AD2F44">
        <w:t xml:space="preserve"> The court further found that intervention resulted in little delay or prejudice to the original parties because two of the named plaintiffs had a case set for trial in the same month as the intervention ruling, and the third plaintiff would be scheduled for trial soon thereafter.</w:t>
      </w:r>
      <w:r>
        <w:rPr>
          <w:vertAlign w:val="superscript"/>
        </w:rPr>
        <w:footnoteReference w:id="603"/>
      </w:r>
      <w:r w:rsidRPr="00AD2F44">
        <w:t xml:space="preserve"> According to the court, the claims of the former opt-ins would be resolved sooner in a single forum (as opposed to being required to file numerous individual actions in courts that are not already familiar with and have not already made key rulings in the case).</w:t>
      </w:r>
      <w:r>
        <w:rPr>
          <w:vertAlign w:val="superscript"/>
        </w:rPr>
        <w:footnoteReference w:id="604"/>
      </w:r>
      <w:r w:rsidRPr="00AD2F44">
        <w:t xml:space="preserve"> The court also noted that a case involving 70 plaintiffs was not unmanageable.</w:t>
      </w:r>
      <w:r>
        <w:rPr>
          <w:vertAlign w:val="superscript"/>
        </w:rPr>
        <w:footnoteReference w:id="605"/>
      </w:r>
    </w:p>
    <w:p w14:paraId="16D9F34B" w14:textId="77777777" w:rsidR="004322B1" w:rsidRPr="00AD2F44" w:rsidRDefault="004322B1">
      <w:pPr>
        <w:pStyle w:val="10ATextWithIndent"/>
        <w:rPr>
          <w:vertAlign w:val="superscript"/>
        </w:rPr>
      </w:pPr>
      <w:r w:rsidRPr="00AD2F44">
        <w:t xml:space="preserve">In </w:t>
      </w:r>
      <w:r w:rsidRPr="00AD2F44">
        <w:rPr>
          <w:i/>
          <w:iCs/>
        </w:rPr>
        <w:t>Senne v</w:t>
      </w:r>
      <w:r w:rsidRPr="00AD2F44">
        <w:t>.</w:t>
      </w:r>
      <w:r w:rsidRPr="00AD2F44">
        <w:rPr>
          <w:i/>
          <w:iCs/>
        </w:rPr>
        <w:t xml:space="preserve"> Kansas City Royals Baseball Corp</w:t>
      </w:r>
      <w:r w:rsidRPr="00AD2F44">
        <w:t>.,</w:t>
      </w:r>
      <w:r>
        <w:rPr>
          <w:vertAlign w:val="superscript"/>
          <w:lang w:val="pt-PT"/>
        </w:rPr>
        <w:footnoteReference w:id="606"/>
      </w:r>
      <w:r w:rsidRPr="00AD2F44">
        <w:t xml:space="preserve"> a California federal court granted a Rule 24(b) motion initiated by five minor league baseball players seeking to intervene in a decertified collective action brought by a group of former minor league baseball players who alleged FLSA claims against Major League Baseball (MLB) and several MLB franchises. The court found that common questions of law and fact existed between the intervenors’ claims and the main action and that the request to intervene was timely and would not cause undue delay or prejudice.</w:t>
      </w:r>
      <w:r>
        <w:rPr>
          <w:vertAlign w:val="superscript"/>
          <w:lang w:val="pt-PT"/>
        </w:rPr>
        <w:footnoteReference w:id="607"/>
      </w:r>
      <w:r w:rsidRPr="00AD2F44">
        <w:t xml:space="preserve"> One of the intervenors filed his intervention motion promptly after the court allowed another party to withdraw and the plaintiffs notified the defendants that they sought to substitute the intervenor as a named plaintiff for the withdrawn party; the rest of the proposed intervenors filed a request to intervene promptly after the court issued its order decertifying the FLSA collective action.</w:t>
      </w:r>
      <w:r>
        <w:rPr>
          <w:vertAlign w:val="superscript"/>
          <w:lang w:val="pt-PT"/>
        </w:rPr>
        <w:footnoteReference w:id="608"/>
      </w:r>
      <w:r w:rsidRPr="00AD2F44">
        <w:t xml:space="preserve"> In allowing the intervention, the court determined that the defendants would suffer minimal prejudice because (1) the intervenors had nearly identical claims as the named plaintiffs; (2) no additional discovery was needed for the pending motion for reconsideration; (3) there were no imminent trial deadlines (due to the class being vacated); and (4) to the extent the defendants may be required to conduct discovery as to the intervenors’ claims, the same discovery would be necessary if the court required them to file separate actions.</w:t>
      </w:r>
      <w:r>
        <w:rPr>
          <w:vertAlign w:val="superscript"/>
        </w:rPr>
        <w:footnoteReference w:id="609"/>
      </w:r>
    </w:p>
    <w:p w14:paraId="425737B9" w14:textId="77777777" w:rsidR="004322B1" w:rsidRPr="00AD2F44" w:rsidRDefault="004322B1">
      <w:pPr>
        <w:pStyle w:val="05Second-LevelHeadABC"/>
      </w:pPr>
      <w:r w:rsidRPr="00AD2F44">
        <w:t>B.</w:t>
      </w:r>
      <w:r w:rsidRPr="00AD2F44">
        <w:tab/>
        <w:t>Joinder</w:t>
      </w:r>
    </w:p>
    <w:p w14:paraId="270185E1" w14:textId="77777777" w:rsidR="004322B1" w:rsidRPr="00AD2F44" w:rsidRDefault="004322B1">
      <w:pPr>
        <w:pStyle w:val="10ATextWithIndent"/>
        <w:rPr>
          <w:vertAlign w:val="superscript"/>
        </w:rPr>
      </w:pPr>
      <w:r w:rsidRPr="00AD2F44">
        <w:t>Opt-in plaintiffs who have been dismissed without prejudice following decertification may refile their claims either individually or jointly under the permissive joinder standard set forth in Rule 20 of the Federal Rules of Civil Procedure. Under Rule 20, plaintiffs may file jointly in one action where they assert the “right to relief jointly, severally, or in the alternative with respect to or arising out of the same transaction, occurrence, or series of transactions or occurrences,” and “any question of law or fact common to all plaintiffs will arise in the action.”</w:t>
      </w:r>
      <w:r>
        <w:rPr>
          <w:vertAlign w:val="superscript"/>
        </w:rPr>
        <w:footnoteReference w:id="610"/>
      </w:r>
    </w:p>
    <w:p w14:paraId="0079E222" w14:textId="77777777" w:rsidR="004322B1" w:rsidRPr="00AD2F44" w:rsidRDefault="004322B1">
      <w:pPr>
        <w:pStyle w:val="10ATextWithIndent"/>
        <w:rPr>
          <w:vertAlign w:val="superscript"/>
        </w:rPr>
      </w:pPr>
      <w:r w:rsidRPr="00AD2F44">
        <w:t>Although the decision to file jointly is initially at the plaintiffs’ discretion, the court—“[o]n motion or on its own”—may then drop or sever plaintiffs “on just terms” pursuant to the misjoinder procedure set forth in Rule 21.</w:t>
      </w:r>
      <w:r>
        <w:rPr>
          <w:vertAlign w:val="superscript"/>
        </w:rPr>
        <w:footnoteReference w:id="611"/>
      </w:r>
      <w:r w:rsidRPr="00AD2F44">
        <w:t xml:space="preserve"> The court may also, in its discretion, order separate trials pursuant to Rule 42.</w:t>
      </w:r>
      <w:r>
        <w:rPr>
          <w:vertAlign w:val="superscript"/>
        </w:rPr>
        <w:footnoteReference w:id="612"/>
      </w:r>
      <w:r w:rsidRPr="00AD2F44">
        <w:t xml:space="preserve"> In exercising that discretion, courts generally look first to the two-pronged requirements for joinder under Rule 20(a)(1), but may also consider issues of “fundamental fairness, judicial economy, prejudice, undue delay, as well as the dual threat of duplicitous litigation and inconsistent verdicts.”</w:t>
      </w:r>
      <w:r>
        <w:rPr>
          <w:vertAlign w:val="superscript"/>
        </w:rPr>
        <w:footnoteReference w:id="613"/>
      </w:r>
    </w:p>
    <w:p w14:paraId="5EE4DA36" w14:textId="77777777" w:rsidR="004322B1" w:rsidRPr="00AD2F44" w:rsidRDefault="004322B1">
      <w:pPr>
        <w:pStyle w:val="10ATextWithIndent"/>
        <w:rPr>
          <w:vertAlign w:val="superscript"/>
        </w:rPr>
      </w:pPr>
      <w:r w:rsidRPr="00AD2F44">
        <w:t>In the context of multi-plaintiff FLSA cases, courts frequently focus their analysis on variances in plaintiffs’ job duties, worksites, managers, and governing policies.</w:t>
      </w:r>
      <w:r>
        <w:rPr>
          <w:vertAlign w:val="superscript"/>
        </w:rPr>
        <w:footnoteReference w:id="614"/>
      </w:r>
      <w:r w:rsidRPr="00AD2F44">
        <w:t xml:space="preserve"> The number of plaintiffs joined in the lawsuit has also been significant in the analysis.</w:t>
      </w:r>
      <w:r>
        <w:rPr>
          <w:vertAlign w:val="superscript"/>
        </w:rPr>
        <w:footnoteReference w:id="615"/>
      </w:r>
      <w:r w:rsidRPr="00AD2F44">
        <w:t xml:space="preserve"> Importantly, some courts have relied heavily on the decertification decisions as persuasive on questions of prejudice to defendants, judicial economy, and fairness, forgoing the initial Rule 20 analysis of whether the plaintiffs’ claims arise out of the same transaction or occurrence and share common issues of law or fact.</w:t>
      </w:r>
      <w:r>
        <w:rPr>
          <w:vertAlign w:val="superscript"/>
        </w:rPr>
        <w:footnoteReference w:id="616"/>
      </w:r>
      <w:r w:rsidRPr="00AD2F44">
        <w:t xml:space="preserve"> Others have ruled that denial of certification under the less stringent Section 216(b) standard necessarily precludes a finding that the same plaintiffs meet the Rule 20 standard for joinder.</w:t>
      </w:r>
      <w:r>
        <w:rPr>
          <w:vertAlign w:val="superscript"/>
        </w:rPr>
        <w:footnoteReference w:id="617"/>
      </w:r>
    </w:p>
    <w:p w14:paraId="0C943BBD" w14:textId="77777777" w:rsidR="004322B1" w:rsidRPr="00AD2F44" w:rsidRDefault="004322B1">
      <w:pPr>
        <w:pStyle w:val="04First-LevelHeadIIIIII"/>
      </w:pPr>
      <w:r w:rsidRPr="00AD2F44">
        <w:t>V.</w:t>
      </w:r>
      <w:r w:rsidRPr="00AD2F44">
        <w:t> </w:t>
      </w:r>
      <w:r w:rsidRPr="00AD2F44">
        <w:t>Case Management Issues</w:t>
      </w:r>
    </w:p>
    <w:p w14:paraId="2DC472BD" w14:textId="77777777" w:rsidR="004322B1" w:rsidRPr="00AD2F44" w:rsidRDefault="004322B1">
      <w:pPr>
        <w:pStyle w:val="05Second-LevelHeadABC"/>
      </w:pPr>
      <w:r w:rsidRPr="00AD2F44">
        <w:t>A.</w:t>
      </w:r>
      <w:r w:rsidRPr="00AD2F44">
        <w:tab/>
        <w:t>Scope of Discovery From Opt-In Plaintiffs</w:t>
      </w:r>
    </w:p>
    <w:p w14:paraId="64729586" w14:textId="77777777" w:rsidR="004322B1" w:rsidRPr="00AD2F44" w:rsidRDefault="004322B1">
      <w:pPr>
        <w:pStyle w:val="10ATextWithIndent"/>
        <w:rPr>
          <w:vertAlign w:val="superscript"/>
        </w:rPr>
      </w:pPr>
      <w:r w:rsidRPr="00AD2F44">
        <w:t>Assuming that a court has followed the two-step ad hoc approach to certification for a collective action and decides to grant conditional certification,</w:t>
      </w:r>
      <w:r>
        <w:rPr>
          <w:vertAlign w:val="superscript"/>
        </w:rPr>
        <w:footnoteReference w:id="618"/>
      </w:r>
      <w:r w:rsidRPr="00AD2F44">
        <w:t xml:space="preserve"> notice generally issues and putative collective action members can opt in to become plaintiffs. “The action [then] proceeds as a representative action throughout discovery.”</w:t>
      </w:r>
      <w:r>
        <w:rPr>
          <w:vertAlign w:val="superscript"/>
        </w:rPr>
        <w:footnoteReference w:id="619"/>
      </w:r>
      <w:r w:rsidRPr="00AD2F44">
        <w:t xml:space="preserve"> The fact that the action has been conditionally certified, however, does not answer the question of what scope of discovery will be allowed regarding the opt-in plaintiffs of the conditionally certified class, though there is not much dispute that the parties can take discovery on the merits of the claims following notice.</w:t>
      </w:r>
      <w:r>
        <w:rPr>
          <w:vertAlign w:val="superscript"/>
        </w:rPr>
        <w:footnoteReference w:id="620"/>
      </w:r>
    </w:p>
    <w:p w14:paraId="1ADF1FDB" w14:textId="77777777" w:rsidR="004322B1" w:rsidRPr="00AD2F44" w:rsidRDefault="004322B1">
      <w:pPr>
        <w:pStyle w:val="10ATextWithIndent"/>
        <w:rPr>
          <w:vertAlign w:val="superscript"/>
        </w:rPr>
      </w:pPr>
      <w:r w:rsidRPr="00AD2F44">
        <w:t>The courts of appeals have not yet weighed in on the issue directly, and discovery issues are generally the domain of district courts in any case.</w:t>
      </w:r>
      <w:r>
        <w:rPr>
          <w:vertAlign w:val="superscript"/>
        </w:rPr>
        <w:footnoteReference w:id="621"/>
      </w:r>
      <w:r w:rsidRPr="00AD2F44">
        <w:t xml:space="preserve"> As one district court explained, “Being discretionary calls by [District Court] judges presented with different facts and approaching their tasks from different perspectives, the cases provide little help beyond broad general outlines. The only thing that they reveal is that there is no universally accepted method for handling discovery in cases like this.”</w:t>
      </w:r>
      <w:r>
        <w:rPr>
          <w:vertAlign w:val="superscript"/>
        </w:rPr>
        <w:footnoteReference w:id="622"/>
      </w:r>
      <w:r w:rsidRPr="00AD2F44">
        <w:t xml:space="preserve"> District courts considering this issue have come to different conclusions about whether discovery should be restricted to representative sampling of the class</w:t>
      </w:r>
      <w:r>
        <w:rPr>
          <w:vertAlign w:val="superscript"/>
        </w:rPr>
        <w:footnoteReference w:id="623"/>
      </w:r>
      <w:r w:rsidRPr="00AD2F44">
        <w:t xml:space="preserve"> or whether defendants can take individualized discovery of opt-in plaintiffs.</w:t>
      </w:r>
      <w:r>
        <w:rPr>
          <w:vertAlign w:val="superscript"/>
        </w:rPr>
        <w:footnoteReference w:id="624"/>
      </w:r>
      <w:r w:rsidRPr="00AD2F44">
        <w:t xml:space="preserve"> Factors influencing the determination may include whether the defendant seeks written discovery or deposition discovery, the size of the class, the burden the court believes the discovery would impose on opt-in class members, the court’s view about the representative nature of a Section 216(b) case after conditional certification, and the court’s view of the application of Rule 23 jurisprudence on discovery of class members.</w:t>
      </w:r>
      <w:r>
        <w:rPr>
          <w:vertAlign w:val="superscript"/>
        </w:rPr>
        <w:footnoteReference w:id="625"/>
      </w:r>
      <w:r w:rsidRPr="00AD2F44">
        <w:t xml:space="preserve"> Where the class is compact, courts have been more willing to allow individualized discovery of the opt-in plaintiffs.</w:t>
      </w:r>
      <w:r>
        <w:rPr>
          <w:vertAlign w:val="superscript"/>
        </w:rPr>
        <w:footnoteReference w:id="626"/>
      </w:r>
      <w:r w:rsidRPr="00AD2F44">
        <w:t xml:space="preserve"> In large classes, courts have been less willing to do so.</w:t>
      </w:r>
      <w:r>
        <w:rPr>
          <w:vertAlign w:val="superscript"/>
        </w:rPr>
        <w:footnoteReference w:id="627"/>
      </w:r>
    </w:p>
    <w:p w14:paraId="7CD5D6CB" w14:textId="77777777" w:rsidR="004322B1" w:rsidRPr="00AD2F44" w:rsidRDefault="004322B1">
      <w:pPr>
        <w:pStyle w:val="10ATextWithIndent"/>
        <w:rPr>
          <w:vertAlign w:val="superscript"/>
        </w:rPr>
      </w:pPr>
      <w:r w:rsidRPr="00AD2F44">
        <w:t xml:space="preserve">However, the size of the class is not necessarily the determining factor for courts in deciding the scope of discovery permitted. Some courts view individualized discovery in collective actions as inappropriate because of the nature of the action. In </w:t>
      </w:r>
      <w:r w:rsidRPr="00AD2F44">
        <w:rPr>
          <w:i/>
          <w:iCs/>
        </w:rPr>
        <w:t>McGrath v. City of Philadelphia</w:t>
      </w:r>
      <w:r w:rsidRPr="00AD2F44">
        <w:t>,</w:t>
      </w:r>
      <w:r>
        <w:rPr>
          <w:vertAlign w:val="superscript"/>
        </w:rPr>
        <w:footnoteReference w:id="628"/>
      </w:r>
      <w:r w:rsidRPr="00AD2F44">
        <w:t xml:space="preserve"> the district court reasoned that discovery of absent collective action members “would only serve to obfuscate the issues and drastically enhance the costs of litigation. Such a result cannot be countenanced.”</w:t>
      </w:r>
      <w:r>
        <w:rPr>
          <w:vertAlign w:val="superscript"/>
        </w:rPr>
        <w:footnoteReference w:id="629"/>
      </w:r>
    </w:p>
    <w:p w14:paraId="329E1977" w14:textId="77777777" w:rsidR="004322B1" w:rsidRPr="00AD2F44" w:rsidRDefault="004322B1">
      <w:pPr>
        <w:pStyle w:val="10ATextWithIndent"/>
      </w:pPr>
      <w:r w:rsidRPr="00AD2F44">
        <w:t>Other courts limiting discovery to a representative sample have voiced similar concerns about the burden of extensive discovery of individual class members,</w:t>
      </w:r>
      <w:r>
        <w:rPr>
          <w:vertAlign w:val="superscript"/>
        </w:rPr>
        <w:footnoteReference w:id="630"/>
      </w:r>
      <w:r w:rsidRPr="00AD2F44">
        <w:t xml:space="preserve"> and/or have relied on Rule 23 efficiency principles,</w:t>
      </w:r>
      <w:r>
        <w:rPr>
          <w:vertAlign w:val="superscript"/>
        </w:rPr>
        <w:footnoteReference w:id="631"/>
      </w:r>
      <w:r w:rsidRPr="00AD2F44">
        <w:t xml:space="preserve"> to support their view that discovery in a collective action should be by representative sampling or seeking </w:t>
      </w:r>
      <w:proofErr w:type="spellStart"/>
      <w:r w:rsidRPr="00AD2F44">
        <w:t>classwide</w:t>
      </w:r>
      <w:proofErr w:type="spellEnd"/>
      <w:r w:rsidRPr="00AD2F44">
        <w:t xml:space="preserve"> information in an aggregate form. Some courts split the difference or take an incremental approach, reasoning that a representative sample provides the defendant a “reasonable” opportunity to develop its defenses,</w:t>
      </w:r>
      <w:r>
        <w:rPr>
          <w:vertAlign w:val="superscript"/>
        </w:rPr>
        <w:footnoteReference w:id="632"/>
      </w:r>
      <w:r w:rsidRPr="00AD2F44">
        <w:t xml:space="preserve"> but will still leave the door open for additional discovery if the defendant can make a later showing that more discovery is necessary.</w:t>
      </w:r>
      <w:r>
        <w:rPr>
          <w:vertAlign w:val="superscript"/>
        </w:rPr>
        <w:footnoteReference w:id="633"/>
      </w:r>
      <w:r w:rsidRPr="00AD2F44">
        <w:t xml:space="preserve"> Courts limiting discovery to a sample have directed parties to meet and confer over the appropriate sample size rather than set it themselves.</w:t>
      </w:r>
      <w:r>
        <w:rPr>
          <w:vertAlign w:val="superscript"/>
        </w:rPr>
        <w:footnoteReference w:id="634"/>
      </w:r>
      <w:r w:rsidRPr="00AD2F44">
        <w:t xml:space="preserve"> Other courts have looked to Rule 26 of the Federal Rules of Civil Procedure and limited discovery that would impose an undue burden on a party.</w:t>
      </w:r>
      <w:r>
        <w:rPr>
          <w:vertAlign w:val="superscript"/>
        </w:rPr>
        <w:footnoteReference w:id="635"/>
      </w:r>
      <w:r w:rsidRPr="00AD2F44">
        <w:t xml:space="preserve"> </w:t>
      </w:r>
    </w:p>
    <w:p w14:paraId="7643BD79" w14:textId="77777777" w:rsidR="004322B1" w:rsidRPr="00AD2F44" w:rsidRDefault="004322B1">
      <w:pPr>
        <w:pStyle w:val="10ATextWithIndent"/>
      </w:pPr>
      <w:r w:rsidRPr="00AD2F44">
        <w:t xml:space="preserve">In </w:t>
      </w:r>
      <w:r w:rsidRPr="00AD2F44">
        <w:rPr>
          <w:i/>
          <w:iCs/>
        </w:rPr>
        <w:t>Geer v. Challenge Financial Investors Corp</w:t>
      </w:r>
      <w:r w:rsidRPr="00AD2F44">
        <w:t>.,</w:t>
      </w:r>
      <w:r>
        <w:rPr>
          <w:vertAlign w:val="superscript"/>
        </w:rPr>
        <w:footnoteReference w:id="636"/>
      </w:r>
      <w:r w:rsidRPr="00AD2F44">
        <w:t xml:space="preserve"> the district court refused to allow in-person depositions of all 272 plaintiffs involved in the case, reasoning that the defendant had failed to show why taking depositions of all plaintiffs (even those of out-of-state opt-ins with small claims) was “necessary or, if they are necessary, that their proposed manner for taking the depositions is relatively cost-effective.”</w:t>
      </w:r>
      <w:r>
        <w:rPr>
          <w:vertAlign w:val="superscript"/>
        </w:rPr>
        <w:footnoteReference w:id="637"/>
      </w:r>
      <w:r w:rsidRPr="00AD2F44">
        <w:t xml:space="preserve"> The court distinguished some of the cases permitting individualized discovery primarily on the size of the class.</w:t>
      </w:r>
      <w:r>
        <w:rPr>
          <w:vertAlign w:val="superscript"/>
        </w:rPr>
        <w:footnoteReference w:id="638"/>
      </w:r>
      <w:r w:rsidRPr="00AD2F44">
        <w:t xml:space="preserve"> It also distinguished an ADEA case where a court allowed for numerous depositions, </w:t>
      </w:r>
      <w:r w:rsidRPr="00AD2F44">
        <w:rPr>
          <w:i/>
          <w:iCs/>
        </w:rPr>
        <w:t>Williams v. Sprint/United Management Co</w:t>
      </w:r>
      <w:r w:rsidRPr="00AD2F44">
        <w:t>.,</w:t>
      </w:r>
      <w:r>
        <w:rPr>
          <w:vertAlign w:val="superscript"/>
        </w:rPr>
        <w:footnoteReference w:id="639"/>
      </w:r>
      <w:r w:rsidRPr="00AD2F44">
        <w:t xml:space="preserve"> because the allegations of intentional age discrimination in </w:t>
      </w:r>
      <w:r w:rsidRPr="00AD2F44">
        <w:rPr>
          <w:i/>
          <w:iCs/>
        </w:rPr>
        <w:t xml:space="preserve">Williams </w:t>
      </w:r>
      <w:r w:rsidRPr="00AD2F44">
        <w:t xml:space="preserve">were “by their very nature, factually intensive, unique, and not analogous to the claims [in </w:t>
      </w:r>
      <w:r w:rsidRPr="00AD2F44">
        <w:rPr>
          <w:i/>
          <w:iCs/>
        </w:rPr>
        <w:t>Geer</w:t>
      </w:r>
      <w:r w:rsidRPr="00AD2F44">
        <w:t>].”</w:t>
      </w:r>
      <w:r>
        <w:rPr>
          <w:vertAlign w:val="superscript"/>
        </w:rPr>
        <w:footnoteReference w:id="640"/>
      </w:r>
      <w:r w:rsidRPr="00AD2F44">
        <w:t xml:space="preserve"> The court also found support from the </w:t>
      </w:r>
      <w:r w:rsidRPr="00AD2F44">
        <w:rPr>
          <w:i/>
          <w:iCs/>
        </w:rPr>
        <w:t>Manual for Complex Litigation</w:t>
      </w:r>
      <w:r w:rsidRPr="00AD2F44">
        <w:t>,</w:t>
      </w:r>
      <w:r>
        <w:rPr>
          <w:vertAlign w:val="superscript"/>
        </w:rPr>
        <w:footnoteReference w:id="641"/>
      </w:r>
      <w:r w:rsidRPr="00AD2F44">
        <w:t xml:space="preserve"> which encourages judges to consider limiting unnecessary depositions in complex cases.</w:t>
      </w:r>
    </w:p>
    <w:p w14:paraId="1FC8C398" w14:textId="77777777" w:rsidR="004322B1" w:rsidRPr="00AD2F44" w:rsidRDefault="004322B1">
      <w:pPr>
        <w:pStyle w:val="10ATextWithIndent"/>
        <w:rPr>
          <w:vertAlign w:val="superscript"/>
        </w:rPr>
      </w:pPr>
      <w:r w:rsidRPr="00AD2F44">
        <w:t xml:space="preserve">In contrast, the district court in </w:t>
      </w:r>
      <w:r w:rsidRPr="00AD2F44">
        <w:rPr>
          <w:i/>
          <w:iCs/>
        </w:rPr>
        <w:t>Renfro v. Spartan Computer Services</w:t>
      </w:r>
      <w:r>
        <w:rPr>
          <w:vertAlign w:val="superscript"/>
        </w:rPr>
        <w:footnoteReference w:id="642"/>
      </w:r>
      <w:r w:rsidRPr="00AD2F44">
        <w:rPr>
          <w:i/>
          <w:iCs/>
        </w:rPr>
        <w:t xml:space="preserve"> </w:t>
      </w:r>
      <w:r w:rsidRPr="00AD2F44">
        <w:t xml:space="preserve">permitted written discovery to all 136 opt-in plaintiffs and depositions of all 27 opt-in plaintiffs whose depositions were noticed, citing with approval the holding in </w:t>
      </w:r>
      <w:r w:rsidRPr="00AD2F44">
        <w:rPr>
          <w:i/>
          <w:iCs/>
        </w:rPr>
        <w:t>Williams</w:t>
      </w:r>
      <w:r w:rsidRPr="00AD2F44">
        <w:t xml:space="preserve"> that individualized discovery of opt-in plaintiffs is permissible.</w:t>
      </w:r>
      <w:r>
        <w:rPr>
          <w:vertAlign w:val="superscript"/>
        </w:rPr>
        <w:footnoteReference w:id="643"/>
      </w:r>
      <w:r w:rsidRPr="00AD2F44">
        <w:t xml:space="preserve"> The court distinguished representative discovery cases like </w:t>
      </w:r>
      <w:r w:rsidRPr="00AD2F44">
        <w:rPr>
          <w:i/>
          <w:iCs/>
        </w:rPr>
        <w:t>McGrath v. City of Philadelphia</w:t>
      </w:r>
      <w:r w:rsidRPr="00AD2F44">
        <w:t>,</w:t>
      </w:r>
      <w:r>
        <w:rPr>
          <w:vertAlign w:val="superscript"/>
        </w:rPr>
        <w:footnoteReference w:id="644"/>
      </w:r>
      <w:r w:rsidRPr="00AD2F44">
        <w:t xml:space="preserve"> because those cases unnecessarily relied on Rule 23 class action jurisprudence, which is distinguishable from FLSA collective actions under Section 216(b) because, unlike class actions, plaintiffs have to opt in to collective actions affirmatively and the opt-in notice tells them that they will be subject to discovery.</w:t>
      </w:r>
      <w:r>
        <w:rPr>
          <w:vertAlign w:val="superscript"/>
        </w:rPr>
        <w:footnoteReference w:id="645"/>
      </w:r>
    </w:p>
    <w:p w14:paraId="740462C6" w14:textId="77777777" w:rsidR="004322B1" w:rsidRPr="00AD2F44" w:rsidRDefault="004322B1">
      <w:pPr>
        <w:pStyle w:val="10ATextWithIndent"/>
        <w:rPr>
          <w:vertAlign w:val="superscript"/>
        </w:rPr>
      </w:pPr>
      <w:r w:rsidRPr="00AD2F44">
        <w:t xml:space="preserve">In </w:t>
      </w:r>
      <w:r w:rsidRPr="00AD2F44">
        <w:rPr>
          <w:i/>
          <w:iCs/>
        </w:rPr>
        <w:t>Coldiron v. Pizza Hut, Inc</w:t>
      </w:r>
      <w:r w:rsidRPr="00AD2F44">
        <w:t>.,</w:t>
      </w:r>
      <w:r>
        <w:rPr>
          <w:vertAlign w:val="superscript"/>
        </w:rPr>
        <w:footnoteReference w:id="646"/>
      </w:r>
      <w:r w:rsidRPr="00AD2F44">
        <w:t xml:space="preserve"> a district court in California permitted written discovery of all 306 opt-in plaintiffs in a case alleging misclassification of managers as exempt from overtime requirements. The court reasoned that individualized discovery from each opt-in plaintiff “is both necessary and appropriate” in light of the defendant’s stated intention to file a motion for decertification.</w:t>
      </w:r>
      <w:r>
        <w:rPr>
          <w:vertAlign w:val="superscript"/>
        </w:rPr>
        <w:footnoteReference w:id="647"/>
      </w:r>
      <w:r w:rsidRPr="00AD2F44">
        <w:t xml:space="preserve"> The court relied in part on </w:t>
      </w:r>
      <w:r w:rsidRPr="00AD2F44">
        <w:rPr>
          <w:i/>
          <w:iCs/>
        </w:rPr>
        <w:t>Kaas v. Pratt &amp; Whitney</w:t>
      </w:r>
      <w:r w:rsidRPr="00AD2F44">
        <w:t>,</w:t>
      </w:r>
      <w:r>
        <w:rPr>
          <w:vertAlign w:val="superscript"/>
        </w:rPr>
        <w:footnoteReference w:id="648"/>
      </w:r>
      <w:r w:rsidRPr="00AD2F44">
        <w:t xml:space="preserve"> where a district court in Florida allowed depositions and written discovery of all 100 opt-in plaintiffs, holding that such individualized discovery was “essential,” because the defendant could challenge whether any of the opt-in plaintiffs were similarly situated.</w:t>
      </w:r>
      <w:r>
        <w:rPr>
          <w:vertAlign w:val="superscript"/>
        </w:rPr>
        <w:footnoteReference w:id="649"/>
      </w:r>
    </w:p>
    <w:p w14:paraId="674E4DD9" w14:textId="77777777" w:rsidR="004322B1" w:rsidRPr="00AD2F44" w:rsidRDefault="004322B1">
      <w:pPr>
        <w:pStyle w:val="10ATextWithIndent"/>
      </w:pPr>
      <w:r w:rsidRPr="00AD2F44">
        <w:t>Later in the case, however, the court rejected the defendant’s attempt to take 75 four-hour depositions. Although the court still agreed that individualized discovery was essential, the defendant had slept on its rights for two years and failed to seek the vast majority of depositions until a month before the pretrial conference.</w:t>
      </w:r>
      <w:r w:rsidRPr="00AD2F44">
        <w:rPr>
          <w:vertAlign w:val="superscript"/>
        </w:rPr>
        <w:t xml:space="preserve"> </w:t>
      </w:r>
      <w:r>
        <w:rPr>
          <w:vertAlign w:val="superscript"/>
        </w:rPr>
        <w:footnoteReference w:id="650"/>
      </w:r>
      <w:r w:rsidRPr="00AD2F44">
        <w:t xml:space="preserve"> The court therefore rejected the defendant’s request for 75 depositions and presumptively limited the defendant to 10, with the option of petitioning the court for additional depositions afterward.</w:t>
      </w:r>
      <w:r>
        <w:rPr>
          <w:vertAlign w:val="superscript"/>
        </w:rPr>
        <w:footnoteReference w:id="651"/>
      </w:r>
      <w:r w:rsidRPr="00AD2F44">
        <w:t xml:space="preserve"> </w:t>
      </w:r>
    </w:p>
    <w:p w14:paraId="420D6ADA" w14:textId="77777777" w:rsidR="004322B1" w:rsidRPr="00AD2F44" w:rsidRDefault="004322B1">
      <w:pPr>
        <w:pStyle w:val="10ATextWithIndent"/>
      </w:pPr>
      <w:r w:rsidRPr="00AD2F44">
        <w:t xml:space="preserve">Sometimes parties try to modify written discovery to ameliorate discovery concerns for large classes. In </w:t>
      </w:r>
      <w:r w:rsidRPr="00AD2F44">
        <w:rPr>
          <w:i/>
          <w:iCs/>
        </w:rPr>
        <w:t>Krueger v. New York Telephone Co</w:t>
      </w:r>
      <w:r w:rsidRPr="00AD2F44">
        <w:t>.,</w:t>
      </w:r>
      <w:r>
        <w:rPr>
          <w:vertAlign w:val="superscript"/>
        </w:rPr>
        <w:footnoteReference w:id="652"/>
      </w:r>
      <w:r w:rsidRPr="00AD2F44">
        <w:t xml:space="preserve"> an ADEA collective action, the court granted a motion to compel depositions for 33 of 162 opt-ins as requested by the defendant (only 14 were in dispute), and written discovery as to all 162, reasoning that the evidence sought was relevant and necessary to </w:t>
      </w:r>
      <w:proofErr w:type="spellStart"/>
      <w:r w:rsidRPr="00AD2F44">
        <w:t>classwide</w:t>
      </w:r>
      <w:proofErr w:type="spellEnd"/>
      <w:r w:rsidRPr="00AD2F44">
        <w:t xml:space="preserve"> issues of liability.</w:t>
      </w:r>
      <w:r>
        <w:rPr>
          <w:vertAlign w:val="superscript"/>
        </w:rPr>
        <w:footnoteReference w:id="653"/>
      </w:r>
      <w:r w:rsidRPr="00AD2F44">
        <w:t xml:space="preserve"> In granting the written discovery, the court highlighted the defendant’s reasonableness in offering to use a questionnaire rather than interrogatories to reduce the potential burden on the plaintiffs.</w:t>
      </w:r>
      <w:r>
        <w:rPr>
          <w:vertAlign w:val="superscript"/>
        </w:rPr>
        <w:footnoteReference w:id="654"/>
      </w:r>
      <w:r w:rsidRPr="00AD2F44">
        <w:t xml:space="preserve"> </w:t>
      </w:r>
    </w:p>
    <w:p w14:paraId="17C9120D" w14:textId="77777777" w:rsidR="004322B1" w:rsidRPr="00AD2F44" w:rsidRDefault="004322B1">
      <w:pPr>
        <w:pStyle w:val="10ATextWithIndent"/>
        <w:rPr>
          <w:vertAlign w:val="superscript"/>
        </w:rPr>
      </w:pPr>
      <w:r w:rsidRPr="00AD2F44">
        <w:t xml:space="preserve">But courts will not always find proposed written discovery modifications sufficient to avoid causing an undue burden on the plaintiffs. For example, the court in </w:t>
      </w:r>
      <w:r w:rsidRPr="00AD2F44">
        <w:rPr>
          <w:i/>
          <w:iCs/>
        </w:rPr>
        <w:t>Roy v. FedEx Ground Package System</w:t>
      </w:r>
      <w:r>
        <w:rPr>
          <w:vertAlign w:val="superscript"/>
        </w:rPr>
        <w:footnoteReference w:id="655"/>
      </w:r>
      <w:r w:rsidRPr="00AD2F44">
        <w:t xml:space="preserve"> refused to allow a modified 11-question form to go to over 544 opt-in plaintiffs in lieu of interrogatories, requests for production of documents, and admissions.</w:t>
      </w:r>
      <w:r>
        <w:rPr>
          <w:vertAlign w:val="superscript"/>
        </w:rPr>
        <w:footnoteReference w:id="656"/>
      </w:r>
      <w:r w:rsidRPr="00AD2F44">
        <w:t xml:space="preserve"> Observing that “the scope of the proposed questionnaire was exceedingly broad” and would likely create an undue burden on plaintiffs and their counsel, the court instead found that 50 questionnaires would be sufficient to create a representative sample.</w:t>
      </w:r>
      <w:r>
        <w:rPr>
          <w:vertAlign w:val="superscript"/>
        </w:rPr>
        <w:footnoteReference w:id="657"/>
      </w:r>
    </w:p>
    <w:p w14:paraId="17C642EF" w14:textId="77777777" w:rsidR="004322B1" w:rsidRPr="00AD2F44" w:rsidRDefault="004322B1">
      <w:pPr>
        <w:pStyle w:val="10ATextWithIndent"/>
        <w:rPr>
          <w:vertAlign w:val="superscript"/>
        </w:rPr>
      </w:pPr>
      <w:r w:rsidRPr="00AD2F44">
        <w:t xml:space="preserve">There are consequences for plaintiffs who are not responsive to the discovery requests authorized by the court. Plaintiffs selected for discovery (either with individualized or representative discovery) may be subject to sanctions (including dismissal) under Rules 37 and 41 of the Federal Rules of Civil Procedure if they refuse to participate in discovery. For example, in </w:t>
      </w:r>
      <w:r w:rsidRPr="00AD2F44">
        <w:rPr>
          <w:i/>
          <w:iCs/>
        </w:rPr>
        <w:t>LaFleur v. Dollar Tree Stores, Inc</w:t>
      </w:r>
      <w:r w:rsidRPr="00AD2F44">
        <w:t>.,</w:t>
      </w:r>
      <w:r>
        <w:rPr>
          <w:vertAlign w:val="superscript"/>
        </w:rPr>
        <w:footnoteReference w:id="658"/>
      </w:r>
      <w:r w:rsidRPr="00AD2F44">
        <w:t xml:space="preserve"> a district court in Virginia dismissed with prejudice claims of more than 100 opt-ins who failed to appear for depositions and 1,100 opt-ins who failed to respond to interrogatories and requests for production of documents.</w:t>
      </w:r>
      <w:r>
        <w:rPr>
          <w:vertAlign w:val="superscript"/>
        </w:rPr>
        <w:footnoteReference w:id="659"/>
      </w:r>
      <w:r w:rsidRPr="00AD2F44">
        <w:t xml:space="preserve"> The court reasoned that the plaintiffs had acted in bad faith after being repeatedly reminded of their discovery obligations, that plaintiffs’ failure to participate in discovery significantly prejudiced the defendant, and that deterrence was necessary due to the plaintiffs’ history of noncompliance with court orders and rules of procedure.</w:t>
      </w:r>
      <w:r>
        <w:rPr>
          <w:vertAlign w:val="superscript"/>
        </w:rPr>
        <w:footnoteReference w:id="660"/>
      </w:r>
    </w:p>
    <w:p w14:paraId="2C0285DF" w14:textId="77777777" w:rsidR="004322B1" w:rsidRPr="00AD2F44" w:rsidRDefault="004322B1">
      <w:pPr>
        <w:pStyle w:val="05Second-LevelHeadABC"/>
      </w:pPr>
      <w:r w:rsidRPr="00AD2F44">
        <w:t>B.</w:t>
      </w:r>
      <w:r w:rsidRPr="00AD2F44">
        <w:tab/>
        <w:t>Bifurcation of Liability and Damages</w:t>
      </w:r>
    </w:p>
    <w:p w14:paraId="77D67494" w14:textId="77777777" w:rsidR="004322B1" w:rsidRPr="00AD2F44" w:rsidRDefault="004322B1">
      <w:pPr>
        <w:pStyle w:val="10ATextWithIndent"/>
      </w:pPr>
      <w:r w:rsidRPr="00AD2F44">
        <w:t>Frequently, parties in FLSA collective actions will seek to bifurcate the liability and damages phases of the trial, as well as discovery.</w:t>
      </w:r>
      <w:r>
        <w:rPr>
          <w:vertAlign w:val="superscript"/>
        </w:rPr>
        <w:footnoteReference w:id="661"/>
      </w:r>
      <w:r w:rsidRPr="00AD2F44">
        <w:t xml:space="preserve"> A request to bifurcate is governed by Federal Rule of Civil Procedure 42(b), which states:</w:t>
      </w:r>
    </w:p>
    <w:p w14:paraId="79435749" w14:textId="77777777" w:rsidR="004322B1" w:rsidRPr="00AD2F44" w:rsidRDefault="004322B1">
      <w:pPr>
        <w:pStyle w:val="09BBlockQuoteWithoutIndent"/>
        <w:rPr>
          <w:vertAlign w:val="superscript"/>
        </w:rPr>
      </w:pPr>
      <w:r w:rsidRPr="00AD2F44">
        <w:t>For convenience, to avoid prejudice, or to expedite and economize, the court may order a separate trial of one or more separate issues, claims, crossclaims, counterclaims, or third-party claims. When ordering a separate trial, the court must preserve any federal right to a jury trial.</w:t>
      </w:r>
      <w:r>
        <w:rPr>
          <w:vertAlign w:val="superscript"/>
        </w:rPr>
        <w:footnoteReference w:id="662"/>
      </w:r>
    </w:p>
    <w:p w14:paraId="27787FBC" w14:textId="77777777" w:rsidR="004322B1" w:rsidRPr="00AD2F44" w:rsidRDefault="004322B1">
      <w:pPr>
        <w:pStyle w:val="10BTextWithoutIndent"/>
        <w:rPr>
          <w:vertAlign w:val="superscript"/>
        </w:rPr>
      </w:pPr>
      <w:r w:rsidRPr="00AD2F44">
        <w:t>The decision to bifurcate is within the discretion of the district court.</w:t>
      </w:r>
      <w:r>
        <w:rPr>
          <w:vertAlign w:val="superscript"/>
        </w:rPr>
        <w:footnoteReference w:id="663"/>
      </w:r>
      <w:r w:rsidRPr="00AD2F44">
        <w:t xml:space="preserve"> In many instances, the parties will stipulate or otherwise agree to bifurcation.</w:t>
      </w:r>
      <w:r>
        <w:rPr>
          <w:vertAlign w:val="superscript"/>
        </w:rPr>
        <w:footnoteReference w:id="664"/>
      </w:r>
      <w:r w:rsidRPr="00AD2F44">
        <w:t xml:space="preserve"> Courts have also granted bifurcation on the motion of one or both of the parties to the action.</w:t>
      </w:r>
      <w:r>
        <w:rPr>
          <w:vertAlign w:val="superscript"/>
        </w:rPr>
        <w:footnoteReference w:id="665"/>
      </w:r>
      <w:r w:rsidRPr="00AD2F44">
        <w:t xml:space="preserve"> However, motions to bifurcate brought too early during the litigation, such as before the action is conditionally certified, may be denied by the court without prejudice as premature.</w:t>
      </w:r>
      <w:r>
        <w:rPr>
          <w:vertAlign w:val="superscript"/>
        </w:rPr>
        <w:footnoteReference w:id="666"/>
      </w:r>
    </w:p>
    <w:p w14:paraId="54C91EA5" w14:textId="77777777" w:rsidR="004322B1" w:rsidRPr="00AD2F44" w:rsidRDefault="004322B1">
      <w:pPr>
        <w:pStyle w:val="10ATextWithIndent"/>
        <w:rPr>
          <w:vertAlign w:val="superscript"/>
        </w:rPr>
      </w:pPr>
      <w:r w:rsidRPr="00AD2F44">
        <w:t>Bifurcation is frequently utilized as a case management tool by courts to address individualized damages issues that arise in collective actions.</w:t>
      </w:r>
      <w:r>
        <w:rPr>
          <w:vertAlign w:val="superscript"/>
        </w:rPr>
        <w:footnoteReference w:id="667"/>
      </w:r>
      <w:r w:rsidRPr="00AD2F44">
        <w:t xml:space="preserve"> In connection with motions brought by defendants to decertify collective actions, as well as in response to plaintiffs’ motions for conditional certification, many courts have identified bifurcation as a method to aid the manageability of the action by addressing individualized defenses raised by defendants concerning damages questions at a separate point in the litigation.</w:t>
      </w:r>
      <w:r>
        <w:rPr>
          <w:vertAlign w:val="superscript"/>
        </w:rPr>
        <w:footnoteReference w:id="668"/>
      </w:r>
      <w:r w:rsidRPr="00AD2F44">
        <w:t xml:space="preserve"> At least one court has found that bifurcation and similar procedural tools, like subclasses and representative testimony, were not sufficient to address the individualized inquiries inherent in the litigation.</w:t>
      </w:r>
      <w:r>
        <w:rPr>
          <w:vertAlign w:val="superscript"/>
        </w:rPr>
        <w:footnoteReference w:id="669"/>
      </w:r>
    </w:p>
    <w:p w14:paraId="42A9877E" w14:textId="77777777" w:rsidR="004322B1" w:rsidRPr="00AD2F44" w:rsidRDefault="004322B1">
      <w:pPr>
        <w:pStyle w:val="10ATextWithIndent"/>
        <w:rPr>
          <w:vertAlign w:val="superscript"/>
        </w:rPr>
      </w:pPr>
      <w:r w:rsidRPr="00AD2F44">
        <w:t>Courts that have granted motions to bifurcate have considered several general factors when determining the appropriateness of bifurcation. Courts have looked at the convenience that will result through the bifurcation of the liability and damages stages of the proceedings.</w:t>
      </w:r>
      <w:r>
        <w:rPr>
          <w:vertAlign w:val="superscript"/>
        </w:rPr>
        <w:footnoteReference w:id="670"/>
      </w:r>
      <w:r w:rsidRPr="00AD2F44">
        <w:t xml:space="preserve"> Courts have also found bifurcation to be appropriate where it promoted expedition and judicial economy with respect to that action.</w:t>
      </w:r>
      <w:r>
        <w:rPr>
          <w:vertAlign w:val="superscript"/>
        </w:rPr>
        <w:footnoteReference w:id="671"/>
      </w:r>
      <w:r w:rsidRPr="00AD2F44">
        <w:t xml:space="preserve"> For example, in support of bifurcation, some courts have noted that if a party is not found liable in first stage of the proceeding it would eliminate the need for evidence at trial concerning willfulness and damages.</w:t>
      </w:r>
      <w:r>
        <w:rPr>
          <w:vertAlign w:val="superscript"/>
        </w:rPr>
        <w:footnoteReference w:id="672"/>
      </w:r>
    </w:p>
    <w:p w14:paraId="7CBFC7A8" w14:textId="77777777" w:rsidR="004322B1" w:rsidRPr="00AD2F44" w:rsidRDefault="004322B1">
      <w:pPr>
        <w:pStyle w:val="10ATextWithIndent"/>
        <w:rPr>
          <w:vertAlign w:val="superscript"/>
        </w:rPr>
      </w:pPr>
      <w:r w:rsidRPr="00AD2F44">
        <w:t>Courts have also considered the complexity of the case, the discreteness of issues to be tried, and the likelihood of confusion to the jury if liability is not tried separately from damages.</w:t>
      </w:r>
      <w:r>
        <w:rPr>
          <w:vertAlign w:val="superscript"/>
        </w:rPr>
        <w:footnoteReference w:id="673"/>
      </w:r>
      <w:r w:rsidRPr="00AD2F44">
        <w:t xml:space="preserve"> In addition, courts will evaluate the potential prejudice bifurcation may cause for each party.</w:t>
      </w:r>
      <w:r>
        <w:rPr>
          <w:vertAlign w:val="superscript"/>
        </w:rPr>
        <w:footnoteReference w:id="674"/>
      </w:r>
    </w:p>
    <w:p w14:paraId="645B84E5" w14:textId="77777777" w:rsidR="004322B1" w:rsidRPr="00AD2F44" w:rsidRDefault="004322B1">
      <w:pPr>
        <w:pStyle w:val="10ATextWithIndent"/>
        <w:rPr>
          <w:vertAlign w:val="superscript"/>
        </w:rPr>
      </w:pPr>
      <w:r w:rsidRPr="00AD2F44">
        <w:t>Bifurcation of liability and damages phases of a trial does not necessarily mean that a court will bifurcate discovery on those issues as well.</w:t>
      </w:r>
      <w:r>
        <w:rPr>
          <w:vertAlign w:val="superscript"/>
        </w:rPr>
        <w:footnoteReference w:id="675"/>
      </w:r>
      <w:r w:rsidRPr="00AD2F44">
        <w:t xml:space="preserve"> Where proceedings have been bifurcated, the Fifth Circuit has found that evidence concerning damages, which is to be addressed in the second stage, should not be relied on to defeat claims during the liability stage, particularly when the parties have not yet conducted discovery on that issue.</w:t>
      </w:r>
      <w:r>
        <w:rPr>
          <w:vertAlign w:val="superscript"/>
        </w:rPr>
        <w:footnoteReference w:id="676"/>
      </w:r>
    </w:p>
    <w:p w14:paraId="2606319D" w14:textId="77777777" w:rsidR="004322B1" w:rsidRPr="00AD2F44" w:rsidRDefault="004322B1">
      <w:pPr>
        <w:pStyle w:val="05Second-LevelHeadABC"/>
      </w:pPr>
      <w:r w:rsidRPr="00AD2F44">
        <w:t>C.</w:t>
      </w:r>
      <w:r w:rsidRPr="00AD2F44">
        <w:tab/>
        <w:t>Test Plaintiffs</w:t>
      </w:r>
    </w:p>
    <w:p w14:paraId="56AA2781" w14:textId="77777777" w:rsidR="004322B1" w:rsidRPr="00AD2F44" w:rsidRDefault="004322B1">
      <w:pPr>
        <w:pStyle w:val="10ATextWithIndent"/>
        <w:rPr>
          <w:vertAlign w:val="superscript"/>
        </w:rPr>
      </w:pPr>
      <w:r w:rsidRPr="00AD2F44">
        <w:t>Another procedural device that is sometimes used by courts to manage collective actions is the use of a bellwether trial, or conducting a trial using test plaintiffs. Under this mechanism, the court or the parties identify some sampling of test plaintiffs and/or claims, where one or more claims are tested first, either through trial or dispositive motion, as a way of aiding the court and parties in handling the remaining claims and parties.</w:t>
      </w:r>
      <w:r>
        <w:rPr>
          <w:vertAlign w:val="superscript"/>
        </w:rPr>
        <w:footnoteReference w:id="677"/>
      </w:r>
    </w:p>
    <w:p w14:paraId="58BA670A" w14:textId="77777777" w:rsidR="004322B1" w:rsidRPr="00AD2F44" w:rsidRDefault="004322B1">
      <w:pPr>
        <w:pStyle w:val="10ATextWithIndent"/>
        <w:rPr>
          <w:vertAlign w:val="superscript"/>
        </w:rPr>
      </w:pPr>
      <w:r w:rsidRPr="00AD2F44">
        <w:t>Some courts have had parties select a certain number of opt-in plaintiffs as a microcosm of the entire class, and then limited discovery as to only those opt-ins.</w:t>
      </w:r>
      <w:r>
        <w:rPr>
          <w:vertAlign w:val="superscript"/>
        </w:rPr>
        <w:footnoteReference w:id="678"/>
      </w:r>
      <w:r w:rsidRPr="00AD2F44">
        <w:t xml:space="preserve"> Courts may also adjudicate the claims of the test plaintiffs first for the purpose of determining liability with respect to the remainder of the opt-in plaintiffs.</w:t>
      </w:r>
      <w:r>
        <w:rPr>
          <w:vertAlign w:val="superscript"/>
        </w:rPr>
        <w:footnoteReference w:id="679"/>
      </w:r>
      <w:r w:rsidRPr="00AD2F44">
        <w:t xml:space="preserve"> This is usually done by stipulation.</w:t>
      </w:r>
      <w:r>
        <w:rPr>
          <w:vertAlign w:val="superscript"/>
        </w:rPr>
        <w:footnoteReference w:id="680"/>
      </w:r>
    </w:p>
    <w:p w14:paraId="020FC90C" w14:textId="77777777" w:rsidR="004322B1" w:rsidRPr="00AD2F44" w:rsidRDefault="004322B1">
      <w:pPr>
        <w:pStyle w:val="10ATextWithIndent"/>
      </w:pPr>
      <w:r w:rsidRPr="00AD2F44">
        <w:t xml:space="preserve">For instance, in </w:t>
      </w:r>
      <w:r w:rsidRPr="00AD2F44">
        <w:rPr>
          <w:i/>
          <w:iCs/>
        </w:rPr>
        <w:t>Hogan v. Allstate Insurance Co</w:t>
      </w:r>
      <w:r w:rsidRPr="00AD2F44">
        <w:t>.,</w:t>
      </w:r>
      <w:r>
        <w:rPr>
          <w:vertAlign w:val="superscript"/>
        </w:rPr>
        <w:footnoteReference w:id="681"/>
      </w:r>
      <w:r w:rsidRPr="00AD2F44">
        <w:t xml:space="preserve"> the district court directed each side to choose three test plaintiffs for purposes of discovery and motions for summary judgment.</w:t>
      </w:r>
      <w:r>
        <w:rPr>
          <w:vertAlign w:val="superscript"/>
        </w:rPr>
        <w:footnoteReference w:id="682"/>
      </w:r>
      <w:r w:rsidRPr="00AD2F44">
        <w:t xml:space="preserve"> The parties filed cross-motions for summary judgment and the district court granted the defendant’s motion for summary judgment with respect to all six test plaintiffs and also against the remaining 2,300 opt-in class members.</w:t>
      </w:r>
      <w:r>
        <w:rPr>
          <w:vertAlign w:val="superscript"/>
        </w:rPr>
        <w:footnoteReference w:id="683"/>
      </w:r>
      <w:r w:rsidRPr="00AD2F44">
        <w:t xml:space="preserve"> The Eleventh Circuit affirmed summary judgment as to the six test plaintiffs, holding that they satisfied the administrative exemption to the overtime requirements of the FLSA.</w:t>
      </w:r>
      <w:r>
        <w:rPr>
          <w:vertAlign w:val="superscript"/>
        </w:rPr>
        <w:footnoteReference w:id="684"/>
      </w:r>
      <w:r w:rsidRPr="00AD2F44">
        <w:t xml:space="preserve"> However, the court vacated the grant of summary judgment as to the </w:t>
      </w:r>
      <w:proofErr w:type="spellStart"/>
      <w:r w:rsidRPr="00AD2F44">
        <w:t>nontest</w:t>
      </w:r>
      <w:proofErr w:type="spellEnd"/>
      <w:r w:rsidRPr="00AD2F44">
        <w:t xml:space="preserve"> plaintiffs because the district court had not given those individuals the required 10-day notice pursuant to Rule 56(c) of the Federal Rules of Civil Procedure.</w:t>
      </w:r>
      <w:r>
        <w:rPr>
          <w:vertAlign w:val="superscript"/>
        </w:rPr>
        <w:footnoteReference w:id="685"/>
      </w:r>
      <w:r w:rsidRPr="00AD2F44">
        <w:t xml:space="preserve"> The court noted that “[</w:t>
      </w:r>
      <w:proofErr w:type="spellStart"/>
      <w:r w:rsidRPr="00AD2F44">
        <w:t>i</w:t>
      </w:r>
      <w:proofErr w:type="spellEnd"/>
      <w:r w:rsidRPr="00AD2F44">
        <w:t>]f the district court had explicitly notified all plaintiffs that, should the test plaintiffs lose at the summary judgment stage, so would the remaining opt-in plaintiffs, that would have been sufficient notice.”</w:t>
      </w:r>
      <w:r>
        <w:rPr>
          <w:vertAlign w:val="superscript"/>
        </w:rPr>
        <w:footnoteReference w:id="686"/>
      </w:r>
      <w:r w:rsidRPr="00AD2F44">
        <w:t xml:space="preserve"> On remand, the district court then sent notice to the remaining opt-ins, informing them that the order granting summary judgment would apply to them unless they showed cause why it should not.</w:t>
      </w:r>
      <w:r>
        <w:rPr>
          <w:vertAlign w:val="superscript"/>
        </w:rPr>
        <w:footnoteReference w:id="687"/>
      </w:r>
      <w:r w:rsidRPr="00AD2F44">
        <w:t xml:space="preserve"> </w:t>
      </w:r>
    </w:p>
    <w:p w14:paraId="32A07FBE" w14:textId="77777777" w:rsidR="004322B1" w:rsidRPr="00AD2F44" w:rsidRDefault="004322B1">
      <w:pPr>
        <w:pStyle w:val="10ATextWithIndent"/>
        <w:rPr>
          <w:vertAlign w:val="superscript"/>
        </w:rPr>
      </w:pPr>
      <w:r w:rsidRPr="00AD2F44">
        <w:t>One court rejected this</w:t>
      </w:r>
      <w:r w:rsidRPr="00AD2F44">
        <w:rPr>
          <w:i/>
          <w:iCs/>
        </w:rPr>
        <w:t xml:space="preserve"> </w:t>
      </w:r>
      <w:r w:rsidRPr="00AD2F44">
        <w:t xml:space="preserve">approach in a case where a motion for decertification had already been denied and refused to allow the defendant to unilaterally select two test plaintiffs, noting that the court had not entered an order like the one in </w:t>
      </w:r>
      <w:r w:rsidRPr="00AD2F44">
        <w:rPr>
          <w:i/>
          <w:iCs/>
        </w:rPr>
        <w:t>Hogan</w:t>
      </w:r>
      <w:r w:rsidRPr="00AD2F44">
        <w:t xml:space="preserve"> permitting the selection of such plaintiffs.</w:t>
      </w:r>
      <w:r>
        <w:rPr>
          <w:vertAlign w:val="superscript"/>
        </w:rPr>
        <w:footnoteReference w:id="688"/>
      </w:r>
      <w:r w:rsidRPr="00AD2F44">
        <w:t xml:space="preserve"> However, another court distinguished this decision to allow the use of test plaintiffs where decertification had not yet been addressed and the action was still only conditionally certified.</w:t>
      </w:r>
      <w:r>
        <w:rPr>
          <w:vertAlign w:val="superscript"/>
        </w:rPr>
        <w:footnoteReference w:id="689"/>
      </w:r>
    </w:p>
    <w:p w14:paraId="52516036" w14:textId="77777777" w:rsidR="004322B1" w:rsidRPr="00AD2F44" w:rsidRDefault="004322B1">
      <w:pPr>
        <w:pStyle w:val="04First-LevelHeadIIIIII"/>
      </w:pPr>
      <w:r w:rsidRPr="00AD2F44">
        <w:t>VI.</w:t>
      </w:r>
      <w:r w:rsidRPr="00AD2F44">
        <w:t> </w:t>
      </w:r>
      <w:r w:rsidRPr="00AD2F44">
        <w:t>Management of Multiple Collective Actions</w:t>
      </w:r>
    </w:p>
    <w:p w14:paraId="16E4CD57" w14:textId="77777777" w:rsidR="004322B1" w:rsidRPr="00AD2F44" w:rsidRDefault="004322B1">
      <w:pPr>
        <w:pStyle w:val="10ATextWithIndent"/>
      </w:pPr>
      <w:r w:rsidRPr="00AD2F44">
        <w:t xml:space="preserve">When multiple FLSA collective actions that raise common factual questions are filed against the same defendant in multiple fora, plaintiffs, defendants, and the courts must sort through the best way to manage the actions. The </w:t>
      </w:r>
      <w:r w:rsidRPr="00AD2F44">
        <w:rPr>
          <w:i/>
          <w:iCs/>
        </w:rPr>
        <w:t>Manual for Complex Litigation</w:t>
      </w:r>
      <w:r>
        <w:rPr>
          <w:vertAlign w:val="superscript"/>
        </w:rPr>
        <w:footnoteReference w:id="690"/>
      </w:r>
      <w:r w:rsidRPr="00AD2F44">
        <w:t xml:space="preserve"> is a detailed resource for information regarding how to manage multi-jurisdictional litigation, and this section will not duplicate the information contained therein. Instead, this section will focus on how courts have managed multiple FLSA collective actions filed against the same defendant.</w:t>
      </w:r>
    </w:p>
    <w:p w14:paraId="62A62E49" w14:textId="77777777" w:rsidR="004322B1" w:rsidRPr="00AD2F44" w:rsidRDefault="004322B1">
      <w:pPr>
        <w:pStyle w:val="05Second-LevelHeadABC"/>
      </w:pPr>
      <w:r w:rsidRPr="00AD2F44">
        <w:t>A.</w:t>
      </w:r>
      <w:r w:rsidRPr="00AD2F44">
        <w:tab/>
        <w:t>Multidistrict Transfer Under Section 1407</w:t>
      </w:r>
    </w:p>
    <w:p w14:paraId="1C4AA2C1" w14:textId="77777777" w:rsidR="004322B1" w:rsidRPr="00AD2F44" w:rsidRDefault="004322B1">
      <w:pPr>
        <w:pStyle w:val="10ATextWithIndent"/>
      </w:pPr>
      <w:r w:rsidRPr="00AD2F44">
        <w:t xml:space="preserve">One common approach to managing multiple similar actions is to seek consolidation or coordination through a multidistrict transfer under 28 U.S.C. §1407. Section 1407(a) provides that </w:t>
      </w:r>
    </w:p>
    <w:p w14:paraId="76527FBB" w14:textId="77777777" w:rsidR="004322B1" w:rsidRPr="00AD2F44" w:rsidRDefault="004322B1">
      <w:pPr>
        <w:pStyle w:val="09BBlockQuoteWithoutIndent"/>
      </w:pPr>
      <w:r w:rsidRPr="00AD2F44">
        <w:t>[w]hen civil actions involving one or more common questions of fact are pending in different districts, such actions may be transferred to any district for coordinated or consolidated pretrial proceedings. Such transfers shall be made by the judicial panel on multidistrict litigation [JPML] authorized by this section upon its determination that transfers for such proceedings will be for the convenience of parties and witnesses and will promote the just and efficient conduct of such actions.</w:t>
      </w:r>
      <w:r>
        <w:rPr>
          <w:vertAlign w:val="superscript"/>
        </w:rPr>
        <w:footnoteReference w:id="691"/>
      </w:r>
      <w:r w:rsidRPr="00AD2F44">
        <w:t xml:space="preserve"> </w:t>
      </w:r>
    </w:p>
    <w:p w14:paraId="55FB1CEC" w14:textId="77777777" w:rsidR="004322B1" w:rsidRPr="00AD2F44" w:rsidRDefault="004322B1">
      <w:pPr>
        <w:pStyle w:val="10BTextWithoutIndent"/>
        <w:rPr>
          <w:vertAlign w:val="superscript"/>
        </w:rPr>
      </w:pPr>
      <w:r w:rsidRPr="00AD2F44">
        <w:t>A transfer may be initiated by motion of any party or by the JPML on its own initiative.</w:t>
      </w:r>
      <w:r>
        <w:rPr>
          <w:vertAlign w:val="superscript"/>
        </w:rPr>
        <w:footnoteReference w:id="692"/>
      </w:r>
      <w:r w:rsidRPr="00AD2F44">
        <w:t xml:space="preserve"> Section 1407 on its face only allows transfers for pretrial proceedings and directs that cases be remanded to the transferor court(s) after pretrial proceedings are complete;</w:t>
      </w:r>
      <w:r>
        <w:rPr>
          <w:vertAlign w:val="superscript"/>
        </w:rPr>
        <w:footnoteReference w:id="693"/>
      </w:r>
      <w:r w:rsidRPr="00AD2F44">
        <w:t xml:space="preserve"> “[</w:t>
      </w:r>
      <w:proofErr w:type="spellStart"/>
      <w:r w:rsidRPr="00AD2F44">
        <w:t>i</w:t>
      </w:r>
      <w:proofErr w:type="spellEnd"/>
      <w:r w:rsidRPr="00AD2F44">
        <w:t>]n practice, however, the vast majority of transferred cases are disposed of completely in the transferee court, either through pretrial dispositions such as summary judgment, or by trial.”</w:t>
      </w:r>
      <w:r>
        <w:rPr>
          <w:vertAlign w:val="superscript"/>
        </w:rPr>
        <w:footnoteReference w:id="694"/>
      </w:r>
      <w:r w:rsidRPr="00AD2F44">
        <w:t xml:space="preserve"> Further, decisions of the JPML “make clear that ‘centralization under Section 1407 should be the last solution after considered review of all other options.’”</w:t>
      </w:r>
      <w:r>
        <w:rPr>
          <w:vertAlign w:val="superscript"/>
        </w:rPr>
        <w:footnoteReference w:id="695"/>
      </w:r>
    </w:p>
    <w:p w14:paraId="1D916A78" w14:textId="77777777" w:rsidR="004322B1" w:rsidRPr="00AD2F44" w:rsidRDefault="004322B1">
      <w:pPr>
        <w:pStyle w:val="10ATextWithIndent"/>
        <w:rPr>
          <w:vertAlign w:val="superscript"/>
        </w:rPr>
      </w:pPr>
      <w:r w:rsidRPr="00AD2F44">
        <w:t xml:space="preserve">Because the overriding purpose of Section 1407 is to conserve judicial resources, multidistrict transfers are common in FLSA collective action cases where there are common factual issues raised. For example, in </w:t>
      </w:r>
      <w:r w:rsidRPr="00AD2F44">
        <w:rPr>
          <w:i/>
          <w:iCs/>
        </w:rPr>
        <w:t>In re Food Lion, Inc., Fair Labor Standards Act “Effective Scheduling” Litigation</w:t>
      </w:r>
      <w:r w:rsidRPr="00AD2F44">
        <w:t>,</w:t>
      </w:r>
      <w:r>
        <w:rPr>
          <w:vertAlign w:val="superscript"/>
        </w:rPr>
        <w:footnoteReference w:id="696"/>
      </w:r>
      <w:r w:rsidRPr="00AD2F44">
        <w:t xml:space="preserve"> after the multidistrict litigation (MDL) transferee court had granted summary judgment to the defendant on several of the transferred actions before it and remanded the remaining actions to the original courts, which were located within different appellate circuits, the Fourth Circuit determined that a consolidated appeal was the “best means of achieving the goals of efficient and uniform adjudication of numerous actions.”</w:t>
      </w:r>
      <w:r>
        <w:rPr>
          <w:vertAlign w:val="superscript"/>
        </w:rPr>
        <w:footnoteReference w:id="697"/>
      </w:r>
      <w:r w:rsidRPr="00AD2F44">
        <w:t xml:space="preserve"> Although the distinct facts of the remaining cases required the district court to identify six or seven categories of cases, the Fourth Circuit reasoned that the risk of each transferor court reconsidering the transferee court’s decisions, and as many as three appellate courts reviewing those decisions, undermined the purposes of Section 1407.</w:t>
      </w:r>
      <w:r>
        <w:rPr>
          <w:vertAlign w:val="superscript"/>
        </w:rPr>
        <w:footnoteReference w:id="698"/>
      </w:r>
      <w:r w:rsidRPr="00AD2F44">
        <w:t xml:space="preserve"> Thus, over a dissent that focused on the individual nature of the claims, the Fourth Circuit ordered the JPML to retransfer the dismissed claims to the transferee court to enter final judgment and allow any appeals of those claims to be heard by the Fourth Circuit.</w:t>
      </w:r>
      <w:r>
        <w:rPr>
          <w:vertAlign w:val="superscript"/>
        </w:rPr>
        <w:footnoteReference w:id="699"/>
      </w:r>
    </w:p>
    <w:p w14:paraId="6EAE442C" w14:textId="77777777" w:rsidR="004322B1" w:rsidRPr="00AD2F44" w:rsidRDefault="004322B1">
      <w:pPr>
        <w:pStyle w:val="10ATextWithIndent"/>
        <w:rPr>
          <w:vertAlign w:val="superscript"/>
        </w:rPr>
      </w:pPr>
      <w:r w:rsidRPr="00AD2F44">
        <w:t>Assuming sufficient common factual issues exist to warrant transfer, factors that the JPML considers in determining where to transfer an FLSA case include (1) where the earliest case was filed,</w:t>
      </w:r>
      <w:r>
        <w:rPr>
          <w:vertAlign w:val="superscript"/>
        </w:rPr>
        <w:footnoteReference w:id="700"/>
      </w:r>
      <w:r w:rsidRPr="00AD2F44">
        <w:t xml:space="preserve"> (2) where the most procedurally advanced case is,</w:t>
      </w:r>
      <w:r>
        <w:rPr>
          <w:vertAlign w:val="superscript"/>
        </w:rPr>
        <w:footnoteReference w:id="701"/>
      </w:r>
      <w:r w:rsidRPr="00AD2F44">
        <w:t xml:space="preserve"> (3) what is most convenient for the parties and witnesses,</w:t>
      </w:r>
      <w:r>
        <w:rPr>
          <w:vertAlign w:val="superscript"/>
        </w:rPr>
        <w:footnoteReference w:id="702"/>
      </w:r>
      <w:r w:rsidRPr="00AD2F44">
        <w:t xml:space="preserve"> and (4) which court has the resources to handle a transferred case.</w:t>
      </w:r>
      <w:r>
        <w:rPr>
          <w:vertAlign w:val="superscript"/>
        </w:rPr>
        <w:footnoteReference w:id="703"/>
      </w:r>
    </w:p>
    <w:p w14:paraId="2E7A503C" w14:textId="77777777" w:rsidR="004322B1" w:rsidRPr="00AD2F44" w:rsidRDefault="004322B1">
      <w:pPr>
        <w:pStyle w:val="10ATextWithIndent"/>
        <w:rPr>
          <w:vertAlign w:val="superscript"/>
        </w:rPr>
      </w:pPr>
      <w:r w:rsidRPr="00AD2F44">
        <w:t>Cases that do not have sufficient common factual issues,</w:t>
      </w:r>
      <w:r>
        <w:rPr>
          <w:vertAlign w:val="superscript"/>
        </w:rPr>
        <w:footnoteReference w:id="704"/>
      </w:r>
      <w:r w:rsidRPr="00AD2F44">
        <w:t xml:space="preserve"> are not sufficiently complicated,</w:t>
      </w:r>
      <w:r>
        <w:rPr>
          <w:vertAlign w:val="superscript"/>
        </w:rPr>
        <w:footnoteReference w:id="705"/>
      </w:r>
      <w:r w:rsidRPr="00AD2F44">
        <w:t xml:space="preserve"> or do not involve more than a few parties</w:t>
      </w:r>
      <w:r>
        <w:rPr>
          <w:vertAlign w:val="superscript"/>
        </w:rPr>
        <w:footnoteReference w:id="706"/>
      </w:r>
      <w:r w:rsidRPr="00AD2F44">
        <w:t xml:space="preserve"> will not be transferred under Section 1407. In addition, procedural disparities often weigh against centralization.</w:t>
      </w:r>
      <w:r>
        <w:rPr>
          <w:vertAlign w:val="superscript"/>
        </w:rPr>
        <w:footnoteReference w:id="707"/>
      </w:r>
    </w:p>
    <w:p w14:paraId="2564D834" w14:textId="77777777" w:rsidR="004322B1" w:rsidRPr="00AD2F44" w:rsidRDefault="004322B1">
      <w:pPr>
        <w:pStyle w:val="05Second-LevelHeadABC"/>
      </w:pPr>
      <w:r w:rsidRPr="00AD2F44">
        <w:t>B.</w:t>
      </w:r>
      <w:r w:rsidRPr="00AD2F44">
        <w:tab/>
        <w:t>Alternatives to Section 1407 Transfer</w:t>
      </w:r>
    </w:p>
    <w:p w14:paraId="28C70488" w14:textId="77777777" w:rsidR="004322B1" w:rsidRPr="00AD2F44" w:rsidRDefault="004322B1">
      <w:pPr>
        <w:pStyle w:val="10ATextWithIndent"/>
        <w:rPr>
          <w:vertAlign w:val="superscript"/>
        </w:rPr>
      </w:pPr>
      <w:r w:rsidRPr="00AD2F44">
        <w:t>Cases that do not warrant Section 1407 transfer can still be coordinated or consolidated using other procedural vehicles.</w:t>
      </w:r>
      <w:r>
        <w:rPr>
          <w:vertAlign w:val="superscript"/>
        </w:rPr>
        <w:footnoteReference w:id="708"/>
      </w:r>
      <w:r w:rsidRPr="00AD2F44">
        <w:t xml:space="preserve"> The parties may seek transfer,</w:t>
      </w:r>
      <w:r>
        <w:rPr>
          <w:vertAlign w:val="superscript"/>
        </w:rPr>
        <w:footnoteReference w:id="709"/>
      </w:r>
      <w:r w:rsidRPr="00AD2F44">
        <w:t xml:space="preserve"> consolidation for pretrial and/or trial,</w:t>
      </w:r>
      <w:r>
        <w:rPr>
          <w:vertAlign w:val="superscript"/>
        </w:rPr>
        <w:footnoteReference w:id="710"/>
      </w:r>
      <w:r w:rsidRPr="00AD2F44">
        <w:t xml:space="preserve"> or severance and transfer of some claims.</w:t>
      </w:r>
      <w:r>
        <w:rPr>
          <w:vertAlign w:val="superscript"/>
        </w:rPr>
        <w:footnoteReference w:id="711"/>
      </w:r>
      <w:r w:rsidRPr="00AD2F44">
        <w:t xml:space="preserve"> Informal cooperation among the parties and involved courts is also a common alternative to centralization.</w:t>
      </w:r>
      <w:r>
        <w:rPr>
          <w:vertAlign w:val="superscript"/>
        </w:rPr>
        <w:footnoteReference w:id="712"/>
      </w:r>
    </w:p>
    <w:p w14:paraId="76058D60" w14:textId="77777777" w:rsidR="004322B1" w:rsidRPr="00AD2F44" w:rsidRDefault="004322B1">
      <w:pPr>
        <w:pStyle w:val="05Second-LevelHeadABC"/>
      </w:pPr>
      <w:r w:rsidRPr="00AD2F44">
        <w:t>C.</w:t>
      </w:r>
      <w:r w:rsidRPr="00AD2F44">
        <w:tab/>
        <w:t>The Section 1407 “Common Issues” Standard Versus the “Similarly Situated” Standard</w:t>
      </w:r>
    </w:p>
    <w:p w14:paraId="4E0D9003" w14:textId="77777777" w:rsidR="004322B1" w:rsidRPr="00AD2F44" w:rsidRDefault="004322B1">
      <w:pPr>
        <w:pStyle w:val="10ATextWithIndent"/>
      </w:pPr>
      <w:r w:rsidRPr="00AD2F44">
        <w:t>Several courts have addressed the relationship between the common issues requirement for multidistrict transfer and the collective action requirement that plaintiffs be similarly situated.</w:t>
      </w:r>
    </w:p>
    <w:p w14:paraId="795AB1E8" w14:textId="77777777" w:rsidR="004322B1" w:rsidRPr="00AD2F44" w:rsidRDefault="004322B1">
      <w:pPr>
        <w:pStyle w:val="10ATextWithIndent"/>
      </w:pPr>
      <w:r w:rsidRPr="00AD2F44">
        <w:t>At least one court has opined that a defendant could claim, without being inconsistent, both that class certification is unwarranted and that consolidation is favored because there are still common questions of law to be resolved, as it is important to avoid inconsistent class certification determinations.</w:t>
      </w:r>
      <w:r>
        <w:rPr>
          <w:vertAlign w:val="superscript"/>
        </w:rPr>
        <w:footnoteReference w:id="713"/>
      </w:r>
      <w:r w:rsidRPr="00AD2F44">
        <w:t xml:space="preserve"> However, in consolidating 18 FLSA actions in </w:t>
      </w:r>
      <w:r w:rsidRPr="00AD2F44">
        <w:rPr>
          <w:i/>
          <w:iCs/>
        </w:rPr>
        <w:t>In re Tyson Foods, Inc</w:t>
      </w:r>
      <w:r w:rsidRPr="00AD2F44">
        <w:t>.,</w:t>
      </w:r>
      <w:r>
        <w:rPr>
          <w:vertAlign w:val="superscript"/>
        </w:rPr>
        <w:footnoteReference w:id="714"/>
      </w:r>
      <w:r w:rsidRPr="00AD2F44">
        <w:t xml:space="preserve"> the JPML used language suggesting that there are some similarities between the certification and consolidation inquiries:</w:t>
      </w:r>
    </w:p>
    <w:p w14:paraId="276803EC" w14:textId="77777777" w:rsidR="004322B1" w:rsidRPr="00AD2F44" w:rsidRDefault="004322B1">
      <w:pPr>
        <w:pStyle w:val="09BBlockQuoteWithoutIndent"/>
      </w:pPr>
      <w:r w:rsidRPr="00AD2F44">
        <w:t xml:space="preserve">Transfer under Section 1407 does not require a complete identity or even a majority of common factual or legal issues as a prerequisite to transfer. Regardless of any differences among the actions, they raise common factual questions regarding Tyson’s employment practices and compliance with the FLSA. Centralization under Section 1407 has the salutary effect of placing all actions in this docket before a single judge who can formulate a pretrial program that: (1) allows discovery with respect to any non-common issues to proceed concurrently with discovery on common issues, </w:t>
      </w:r>
      <w:r w:rsidRPr="00AD2F44">
        <w:rPr>
          <w:i/>
          <w:iCs/>
        </w:rPr>
        <w:t>In re Joseph F. Smith Patent Litigation</w:t>
      </w:r>
      <w:r w:rsidRPr="00AD2F44">
        <w:t>, 407 F. Supp. 1403, 1404 ([J.P.M.L.]1976); and (2) ensures that pretrial proceedings will be conducted in a streamlined manner leading to the just and expeditious resolution of all actions to the overall benefit of the parties and the judiciary.</w:t>
      </w:r>
      <w:r>
        <w:rPr>
          <w:vertAlign w:val="superscript"/>
        </w:rPr>
        <w:footnoteReference w:id="715"/>
      </w:r>
    </w:p>
    <w:p w14:paraId="5C6B4B46" w14:textId="77777777" w:rsidR="004322B1" w:rsidRPr="00AD2F44" w:rsidRDefault="004322B1">
      <w:pPr>
        <w:pStyle w:val="10ATextWithIndent"/>
        <w:rPr>
          <w:vertAlign w:val="superscript"/>
        </w:rPr>
      </w:pPr>
      <w:r w:rsidRPr="00AD2F44">
        <w:t>However, centralization of multiple collective actions filed after decertification of one main action will likely be denied where discovery on common factual issues has already occurred in the main action.</w:t>
      </w:r>
      <w:r>
        <w:rPr>
          <w:vertAlign w:val="superscript"/>
        </w:rPr>
        <w:footnoteReference w:id="716"/>
      </w:r>
    </w:p>
    <w:p w14:paraId="1B33B4C4" w14:textId="77777777" w:rsidR="004322B1" w:rsidRPr="00AD2F44" w:rsidRDefault="004322B1">
      <w:pPr>
        <w:pStyle w:val="05Second-LevelHeadABC"/>
      </w:pPr>
      <w:r w:rsidRPr="00AD2F44">
        <w:t>D.</w:t>
      </w:r>
      <w:r w:rsidRPr="00AD2F44">
        <w:tab/>
        <w:t>Notice and Opting In/Out of a Multidistrict Litigation Case</w:t>
      </w:r>
    </w:p>
    <w:p w14:paraId="29AA921B" w14:textId="77777777" w:rsidR="004322B1" w:rsidRPr="00AD2F44" w:rsidRDefault="004322B1">
      <w:pPr>
        <w:pStyle w:val="10ATextWithIndent"/>
        <w:rPr>
          <w:vertAlign w:val="superscript"/>
        </w:rPr>
      </w:pPr>
      <w:r w:rsidRPr="00AD2F44">
        <w:t>Transfer and consolidation under Section 1407 does not allow for material amendments that would supersede or combine the transferred complaints, but does allow for amendments such as adding new defendants, expanding the class definition, and adding new claims.</w:t>
      </w:r>
      <w:r>
        <w:rPr>
          <w:vertAlign w:val="superscript"/>
        </w:rPr>
        <w:footnoteReference w:id="717"/>
      </w:r>
      <w:r w:rsidRPr="00AD2F44">
        <w:t xml:space="preserve"> However, if the parties consent, the transferred complaints may be combined for trial.</w:t>
      </w:r>
      <w:r>
        <w:rPr>
          <w:vertAlign w:val="superscript"/>
        </w:rPr>
        <w:footnoteReference w:id="718"/>
      </w:r>
    </w:p>
    <w:p w14:paraId="0FB3D38E" w14:textId="77777777" w:rsidR="004322B1" w:rsidRPr="00AD2F44" w:rsidRDefault="004322B1">
      <w:pPr>
        <w:pStyle w:val="10ATextWithIndent"/>
        <w:rPr>
          <w:vertAlign w:val="superscript"/>
        </w:rPr>
      </w:pPr>
      <w:r w:rsidRPr="00AD2F44">
        <w:t>Courts have also addressed the process for opting in to or out of a multidistrict collective action. In one case, the court allowed a supplemental Section 216(b) notice in two consolidated cases, permitting the individuals to opt in to one case or the other, if any.</w:t>
      </w:r>
      <w:r>
        <w:rPr>
          <w:vertAlign w:val="superscript"/>
        </w:rPr>
        <w:footnoteReference w:id="719"/>
      </w:r>
      <w:r w:rsidRPr="00AD2F44">
        <w:t xml:space="preserve"> Some courts have also allowed equitable tolling to address the complexities of a multidistrict case,</w:t>
      </w:r>
      <w:r>
        <w:rPr>
          <w:vertAlign w:val="superscript"/>
        </w:rPr>
        <w:footnoteReference w:id="720"/>
      </w:r>
      <w:r w:rsidRPr="00AD2F44">
        <w:t xml:space="preserve"> while others have been less lenient in addressing equitable tolling and notice issues.</w:t>
      </w:r>
      <w:r>
        <w:rPr>
          <w:vertAlign w:val="superscript"/>
        </w:rPr>
        <w:footnoteReference w:id="721"/>
      </w:r>
      <w:r w:rsidRPr="00AD2F44">
        <w:t xml:space="preserve"> One court allowed opt-in plaintiffs to withdraw from a multidistrict case, but only on the condition that those individuals not join any other FLSA actions with similar claims against the same defendant.</w:t>
      </w:r>
      <w:r>
        <w:rPr>
          <w:vertAlign w:val="superscript"/>
        </w:rPr>
        <w:footnoteReference w:id="722"/>
      </w:r>
    </w:p>
    <w:p w14:paraId="00C7957A" w14:textId="77777777" w:rsidR="004322B1" w:rsidRPr="00AD2F44" w:rsidRDefault="004322B1">
      <w:pPr>
        <w:pStyle w:val="05Second-LevelHeadABC"/>
      </w:pPr>
      <w:r w:rsidRPr="00AD2F44">
        <w:t>E.</w:t>
      </w:r>
      <w:r w:rsidRPr="00AD2F44">
        <w:tab/>
        <w:t>The First-to-File Rule</w:t>
      </w:r>
    </w:p>
    <w:p w14:paraId="03BE2737" w14:textId="77777777" w:rsidR="004322B1" w:rsidRPr="00AD2F44" w:rsidRDefault="004322B1">
      <w:pPr>
        <w:pStyle w:val="10ATextWithIndent"/>
        <w:rPr>
          <w:vertAlign w:val="superscript"/>
        </w:rPr>
      </w:pPr>
      <w:r w:rsidRPr="00AD2F44">
        <w:t>The first-to-file rule is not a Federal Rule of Civil Procedure, but is instead a principle of federal comity that arises where there is more than one similar action filed in federal courts of equal rank.</w:t>
      </w:r>
      <w:r>
        <w:rPr>
          <w:vertAlign w:val="superscript"/>
        </w:rPr>
        <w:footnoteReference w:id="723"/>
      </w:r>
      <w:r w:rsidRPr="00AD2F44">
        <w:t xml:space="preserve"> According to this rule, “when actions involving nearly identical parties and issues have been filed in two different district courts, ‘the court in which the first suit was filed should generally proceed to judgment.’”</w:t>
      </w:r>
      <w:r>
        <w:rPr>
          <w:vertAlign w:val="superscript"/>
        </w:rPr>
        <w:footnoteReference w:id="724"/>
      </w:r>
    </w:p>
    <w:p w14:paraId="30F31DCF" w14:textId="77777777" w:rsidR="004322B1" w:rsidRPr="00AD2F44" w:rsidRDefault="004322B1">
      <w:pPr>
        <w:pStyle w:val="10ATextWithIndent"/>
        <w:rPr>
          <w:vertAlign w:val="superscript"/>
        </w:rPr>
      </w:pPr>
      <w:r w:rsidRPr="00AD2F44">
        <w:t>Pursuant to the first-to-file rule, district courts may dismiss,</w:t>
      </w:r>
      <w:r>
        <w:rPr>
          <w:vertAlign w:val="superscript"/>
        </w:rPr>
        <w:footnoteReference w:id="725"/>
      </w:r>
      <w:r w:rsidRPr="00AD2F44">
        <w:t xml:space="preserve"> stay, or transfer later-filed cases as a matter of comity in order to maximize judicial economy and minimize the risk of inconsistencies.</w:t>
      </w:r>
      <w:r>
        <w:rPr>
          <w:vertAlign w:val="superscript"/>
        </w:rPr>
        <w:footnoteReference w:id="726"/>
      </w:r>
      <w:r w:rsidRPr="00AD2F44">
        <w:t xml:space="preserve"> The first-to-file rule does not require complete identity of parties and issues, but inquires whether there is “substantial overlap” between the parties and issues in the two cases.</w:t>
      </w:r>
      <w:r>
        <w:rPr>
          <w:vertAlign w:val="superscript"/>
        </w:rPr>
        <w:footnoteReference w:id="727"/>
      </w:r>
      <w:r w:rsidRPr="00AD2F44">
        <w:t xml:space="preserve"> In class and collective actions, courts look to whether the members of the putative classes overlap as well as whether the issues raised in the cases overlap.</w:t>
      </w:r>
      <w:r>
        <w:rPr>
          <w:vertAlign w:val="superscript"/>
        </w:rPr>
        <w:footnoteReference w:id="728"/>
      </w:r>
      <w:r w:rsidRPr="00AD2F44">
        <w:t xml:space="preserve"> A court, however, may apply the first-to-file rule where the issues in the action are substantially the same but there is not a complete overlap of the parties.</w:t>
      </w:r>
      <w:r>
        <w:rPr>
          <w:vertAlign w:val="superscript"/>
        </w:rPr>
        <w:footnoteReference w:id="729"/>
      </w:r>
    </w:p>
    <w:p w14:paraId="79CB4F57" w14:textId="77777777" w:rsidR="004322B1" w:rsidRPr="00AD2F44" w:rsidRDefault="004322B1">
      <w:pPr>
        <w:pStyle w:val="10ATextWithIndent"/>
        <w:rPr>
          <w:vertAlign w:val="superscript"/>
        </w:rPr>
      </w:pPr>
      <w:r w:rsidRPr="00AD2F44">
        <w:t>A court may refuse to apply the first-to-file rule when sufficiently compelling circumstances exist to avoid the rule’s application.</w:t>
      </w:r>
      <w:r>
        <w:rPr>
          <w:vertAlign w:val="superscript"/>
        </w:rPr>
        <w:footnoteReference w:id="730"/>
      </w:r>
      <w:r w:rsidRPr="00AD2F44">
        <w:t xml:space="preserve"> The first-to-file rule also cannot be applied for the purpose of excluding certain plaintiffs from a class.</w:t>
      </w:r>
      <w:r>
        <w:rPr>
          <w:vertAlign w:val="superscript"/>
        </w:rPr>
        <w:footnoteReference w:id="731"/>
      </w:r>
      <w:r w:rsidRPr="00AD2F44">
        <w:t xml:space="preserve"> At least one court has refused to apply the first-to-file rule to a global settlement resolving the claims of an earlier-filed case.</w:t>
      </w:r>
      <w:r>
        <w:rPr>
          <w:vertAlign w:val="superscript"/>
        </w:rPr>
        <w:footnoteReference w:id="732"/>
      </w:r>
    </w:p>
    <w:p w14:paraId="07AFC5EA" w14:textId="77777777" w:rsidR="004322B1" w:rsidRPr="00AD2F44" w:rsidRDefault="004322B1">
      <w:pPr>
        <w:pStyle w:val="10ATextWithIndent"/>
        <w:rPr>
          <w:vertAlign w:val="superscript"/>
        </w:rPr>
      </w:pPr>
      <w:r w:rsidRPr="00AD2F44">
        <w:t>In one case, the first-to-file rule was used to transfer all of the cases the plaintiffs filed, after the plaintiffs failed to get their original case conditionally certified, back to the court that denied conditional certification.</w:t>
      </w:r>
      <w:r>
        <w:rPr>
          <w:vertAlign w:val="superscript"/>
        </w:rPr>
        <w:footnoteReference w:id="733"/>
      </w:r>
      <w:r w:rsidRPr="00AD2F44">
        <w:t xml:space="preserve"> In the original lawsuit, employees at five different facilities filed a single action in the Northern District of Alabama alleging violations of the FLSA and sought conditional certification of their claims.</w:t>
      </w:r>
      <w:r>
        <w:rPr>
          <w:vertAlign w:val="superscript"/>
        </w:rPr>
        <w:footnoteReference w:id="734"/>
      </w:r>
      <w:r w:rsidRPr="00AD2F44">
        <w:t xml:space="preserve"> After the court denied conditional certification, the opt-in plaintiffs were allowed to withdraw from the action, leaving only the named plaintiffs to pursue their claims in the original action.</w:t>
      </w:r>
      <w:r>
        <w:rPr>
          <w:vertAlign w:val="superscript"/>
        </w:rPr>
        <w:footnoteReference w:id="735"/>
      </w:r>
      <w:r w:rsidRPr="00AD2F44">
        <w:t xml:space="preserve"> The opt-in plaintiffs then filed four different actions in the Southern District of Mississippi, one for each facility.</w:t>
      </w:r>
      <w:r>
        <w:rPr>
          <w:vertAlign w:val="superscript"/>
        </w:rPr>
        <w:footnoteReference w:id="736"/>
      </w:r>
      <w:r w:rsidRPr="00AD2F44">
        <w:t xml:space="preserve"> The defendant asked the Southern District of Mississippi to transfer all four cases back to the Northern District of Alabama pursuant to the first-to-file rule.</w:t>
      </w:r>
      <w:r>
        <w:rPr>
          <w:vertAlign w:val="superscript"/>
        </w:rPr>
        <w:footnoteReference w:id="737"/>
      </w:r>
      <w:r w:rsidRPr="00AD2F44">
        <w:t xml:space="preserve"> The trial court agreed, finding substantial overlap of issues.</w:t>
      </w:r>
      <w:r>
        <w:rPr>
          <w:vertAlign w:val="superscript"/>
        </w:rPr>
        <w:footnoteReference w:id="738"/>
      </w:r>
      <w:r w:rsidRPr="00AD2F44">
        <w:t xml:space="preserve"> The trial court also found important the fact that employees in the first-filed action “risk obtaining different relief for identical injuries suffered by their coworkers who are joined to one of the four Mississippi actions.”</w:t>
      </w:r>
      <w:r>
        <w:rPr>
          <w:vertAlign w:val="superscript"/>
        </w:rPr>
        <w:footnoteReference w:id="739"/>
      </w:r>
      <w:r w:rsidRPr="00AD2F44">
        <w:t xml:space="preserve"> Finally, the court found that “unavoidable duplication of effort in having separate courts work to arrive at the same decision” was a factor </w:t>
      </w:r>
      <w:sdt>
        <w:sdtPr>
          <w:tag w:val="goog_rdk_5"/>
          <w:id w:val="1535229308"/>
        </w:sdtPr>
        <w:sdtEndPr/>
        <w:sdtContent/>
      </w:sdt>
      <w:r w:rsidRPr="00AD2F44">
        <w:t>favoring transfer.</w:t>
      </w:r>
      <w:r>
        <w:rPr>
          <w:vertAlign w:val="superscript"/>
        </w:rPr>
        <w:footnoteReference w:id="740"/>
      </w:r>
      <w:r w:rsidRPr="00AD2F44">
        <w:t xml:space="preserve"> The court made clear that its transfer decision was pursuant to the first-to-file rule, and was not dependent on the absence or presence of the factors in Section 1404(a).</w:t>
      </w:r>
      <w:r>
        <w:rPr>
          <w:vertAlign w:val="superscript"/>
        </w:rPr>
        <w:footnoteReference w:id="741"/>
      </w:r>
    </w:p>
    <w:p w14:paraId="7D486344" w14:textId="77777777" w:rsidR="004322B1" w:rsidRPr="00AD2F44" w:rsidRDefault="004322B1">
      <w:pPr>
        <w:pStyle w:val="10ATextWithIndent"/>
        <w:rPr>
          <w:vertAlign w:val="superscript"/>
        </w:rPr>
      </w:pPr>
      <w:r w:rsidRPr="00AD2F44">
        <w:t xml:space="preserve">However, in </w:t>
      </w:r>
      <w:r w:rsidRPr="00AD2F44">
        <w:rPr>
          <w:i/>
          <w:iCs/>
        </w:rPr>
        <w:t>Ross v. U.S. Bank National Association</w:t>
      </w:r>
      <w:r w:rsidRPr="00AD2F44">
        <w:t>,</w:t>
      </w:r>
      <w:r>
        <w:rPr>
          <w:vertAlign w:val="superscript"/>
        </w:rPr>
        <w:footnoteReference w:id="742"/>
      </w:r>
      <w:r w:rsidRPr="00AD2F44">
        <w:t xml:space="preserve"> where certification was denied in the first-filed case, the second court refused to transfer the second case pursuant to the first-to-file rule. There, the court found that the parties in the two actions were different, so the first-to-file rule did not apply. Specifically, the only plaintiffs in the first-filed action were the named plaintiffs because class certification had been denied, whereas the later filed action had different named plaintiffs and alleged a putative class.</w:t>
      </w:r>
      <w:r>
        <w:rPr>
          <w:vertAlign w:val="superscript"/>
        </w:rPr>
        <w:footnoteReference w:id="743"/>
      </w:r>
    </w:p>
    <w:p w14:paraId="5D152FEC" w14:textId="77777777" w:rsidR="004322B1" w:rsidRPr="00AD2F44" w:rsidRDefault="004322B1">
      <w:pPr>
        <w:pStyle w:val="05Second-LevelHeadABC"/>
      </w:pPr>
      <w:r w:rsidRPr="00AD2F44">
        <w:t>F.</w:t>
      </w:r>
      <w:r w:rsidRPr="00AD2F44">
        <w:tab/>
        <w:t>Stays and Injunctions</w:t>
      </w:r>
    </w:p>
    <w:p w14:paraId="10DC5345" w14:textId="77777777" w:rsidR="004322B1" w:rsidRPr="00AD2F44" w:rsidRDefault="004322B1">
      <w:pPr>
        <w:pStyle w:val="10ATextWithIndent"/>
        <w:rPr>
          <w:vertAlign w:val="superscript"/>
        </w:rPr>
      </w:pPr>
      <w:r w:rsidRPr="00AD2F44">
        <w:t>After a motion for multidistrict transfer has been filed, the courts in which the original actions were filed may be asked to stay proceedings pending a decision by the JPML. In considering such motions, courts typically apply a three-factor test, weighing (1) the interests in judicial economy, (2) the hardship and equity to a moving party if the action is not stayed, and (3) potential prejudice to the nonmoving party.</w:t>
      </w:r>
      <w:r>
        <w:rPr>
          <w:vertAlign w:val="superscript"/>
        </w:rPr>
        <w:footnoteReference w:id="744"/>
      </w:r>
      <w:r w:rsidRPr="00AD2F44">
        <w:t xml:space="preserve"> Although such stays may be granted,</w:t>
      </w:r>
      <w:r>
        <w:rPr>
          <w:vertAlign w:val="superscript"/>
        </w:rPr>
        <w:footnoteReference w:id="745"/>
      </w:r>
      <w:r w:rsidRPr="00AD2F44">
        <w:t xml:space="preserve"> they are not automatic</w:t>
      </w:r>
      <w:r>
        <w:rPr>
          <w:vertAlign w:val="superscript"/>
        </w:rPr>
        <w:footnoteReference w:id="746"/>
      </w:r>
      <w:r w:rsidRPr="00AD2F44">
        <w:t xml:space="preserve"> and may be rejected.</w:t>
      </w:r>
      <w:r>
        <w:rPr>
          <w:vertAlign w:val="superscript"/>
        </w:rPr>
        <w:footnoteReference w:id="747"/>
      </w:r>
      <w:r w:rsidRPr="00AD2F44">
        <w:t xml:space="preserve"> Additionally, courts may partially stay certain common discovery (such as corporate representative depositions applicable to the proposed cases to be transferred) but otherwise permit discovery to proceed as to facts specific to the case before the court.</w:t>
      </w:r>
      <w:r>
        <w:rPr>
          <w:vertAlign w:val="superscript"/>
        </w:rPr>
        <w:footnoteReference w:id="748"/>
      </w:r>
    </w:p>
    <w:p w14:paraId="6F732C12" w14:textId="77777777" w:rsidR="004322B1" w:rsidRPr="00AD2F44" w:rsidRDefault="004322B1">
      <w:pPr>
        <w:pStyle w:val="10ATextWithIndent"/>
        <w:rPr>
          <w:vertAlign w:val="superscript"/>
        </w:rPr>
      </w:pPr>
      <w:r w:rsidRPr="00AD2F44">
        <w:t>In one case, a stay pending a JPML decision was denied by one of the possible transferor courts in Minnesota.</w:t>
      </w:r>
      <w:r>
        <w:rPr>
          <w:vertAlign w:val="superscript"/>
        </w:rPr>
        <w:footnoteReference w:id="749"/>
      </w:r>
      <w:r w:rsidRPr="00AD2F44">
        <w:t xml:space="preserve"> Just days later, though, that same Minnesota court granted the defendant’s motion to stay the case pending resolution of one of the other possible transferor cases that was pending in California, where a settlement had already been preliminarily approved.</w:t>
      </w:r>
      <w:r>
        <w:rPr>
          <w:vertAlign w:val="superscript"/>
        </w:rPr>
        <w:footnoteReference w:id="750"/>
      </w:r>
      <w:r w:rsidRPr="00AD2F44">
        <w:t xml:space="preserve"> In granting the defendant’s motion, the Minnesota court found that the actions were “near duplicates” and there was a risk of the parties not knowing which court’s rulings would take precedence.</w:t>
      </w:r>
      <w:r>
        <w:rPr>
          <w:vertAlign w:val="superscript"/>
        </w:rPr>
        <w:footnoteReference w:id="751"/>
      </w:r>
    </w:p>
    <w:p w14:paraId="306E9C9C" w14:textId="77777777" w:rsidR="004322B1" w:rsidRPr="00AD2F44" w:rsidRDefault="004322B1">
      <w:pPr>
        <w:pStyle w:val="10ATextWithIndent"/>
        <w:rPr>
          <w:vertAlign w:val="superscript"/>
        </w:rPr>
      </w:pPr>
      <w:r w:rsidRPr="00AD2F44">
        <w:t>In another case, the transferee court denied the plaintiffs’ motion to stay a state court action, to which one of the multidistrict cases had been remanded, stating that “[a]</w:t>
      </w:r>
      <w:proofErr w:type="spellStart"/>
      <w:r w:rsidRPr="00AD2F44">
        <w:t>ny</w:t>
      </w:r>
      <w:proofErr w:type="spellEnd"/>
      <w:r w:rsidRPr="00AD2F44">
        <w:t xml:space="preserve"> doubts as to the propriety of a federal injunction against state court proceedings should be resolved in favor of permitting the state courts to proceed in an orderly fashion to finally determine the controversy.”</w:t>
      </w:r>
      <w:r>
        <w:rPr>
          <w:vertAlign w:val="superscript"/>
        </w:rPr>
        <w:footnoteReference w:id="752"/>
      </w:r>
    </w:p>
    <w:p w14:paraId="1E7AE012" w14:textId="77777777" w:rsidR="004322B1" w:rsidRPr="002055B0" w:rsidRDefault="004322B1">
      <w:pPr>
        <w:pStyle w:val="10ATextWithIndent"/>
        <w:rPr>
          <w:vertAlign w:val="superscript"/>
          <w:lang w:val="pt-PT"/>
        </w:rPr>
      </w:pPr>
      <w:r w:rsidRPr="00AD2F44">
        <w:t xml:space="preserve">In a different context from the multidistrict litigation transfer situation, the Seventh Circuit considered an appeal of an order enjoining three separate FLSA collective actions against the corporate defendant’s franchisees filed in other federal district courts (in which the corporate franchisor was not named as a defendant) while the underlying FLSA collective action against the corporate franchisor remained pending in the U.S. District Court for the Northern District of Illinois. In </w:t>
      </w:r>
      <w:r w:rsidRPr="00AD2F44">
        <w:rPr>
          <w:i/>
          <w:iCs/>
        </w:rPr>
        <w:t>In re Jimmy John’s Overtime Litigation</w:t>
      </w:r>
      <w:r w:rsidRPr="00AD2F44">
        <w:t>,</w:t>
      </w:r>
      <w:r>
        <w:rPr>
          <w:vertAlign w:val="superscript"/>
          <w:lang w:val="pt-PT"/>
        </w:rPr>
        <w:footnoteReference w:id="753"/>
      </w:r>
      <w:r w:rsidRPr="00AD2F44">
        <w:t xml:space="preserve"> the plaintiffs brought consolidated FLSA collective actions against the corporate Jimmy John’s franchisor and a number of franchisees under the theory that they were joint employers. Three of the opt-in plaintiffs in the action subsequently filed separate FLSA collective actions against other Jimmy John’s franchisees in different federal district courts (in which the Jimmy John’s corporate franchisor was not named as a defendant). The district court entered an order enjoining the three newly filed federal FLSA collective actions until the plaintiffs’ claims against the corporate franchisor were resolved. In a bench ruling, the district court explained that it “[had] the power” to enjoin the actions “in the interest of harmony and delaying expense and overlapping work for judges.”</w:t>
      </w:r>
      <w:r>
        <w:rPr>
          <w:vertAlign w:val="superscript"/>
          <w:lang w:val="pt-PT"/>
        </w:rPr>
        <w:footnoteReference w:id="754"/>
      </w:r>
    </w:p>
    <w:p w14:paraId="6AF2CC62" w14:textId="77777777" w:rsidR="004322B1" w:rsidRPr="002055B0" w:rsidRDefault="004322B1">
      <w:pPr>
        <w:pStyle w:val="10ATextWithIndent"/>
        <w:rPr>
          <w:vertAlign w:val="superscript"/>
          <w:lang w:val="pt-PT"/>
        </w:rPr>
      </w:pPr>
      <w:r w:rsidRPr="00AD2F44">
        <w:t>The Seventh Circuit disagreed, finding that the district court lacked the authority to enjoin the other pending federal district court actions under the All Writs Acts or its inherent equitable powers. Specifically, the Seventh Circuit rejected the corporate franchisor’s argument that the anti-suit injunction was necessary to prevent duplicative litigation and conflicting interpretations of written policies because (1) the parties were not identical (the Jimmy John’s franchisor was not named in the three new actions); and (2) “the potential effect of one suit on the other does not justify an injunction.”</w:t>
      </w:r>
      <w:r>
        <w:rPr>
          <w:vertAlign w:val="superscript"/>
          <w:lang w:val="pt-PT"/>
        </w:rPr>
        <w:footnoteReference w:id="755"/>
      </w:r>
      <w:r w:rsidRPr="00AD2F44">
        <w:t xml:space="preserve"> The Seventh Circuit also found that the district court lacked the authority to enjoin the plaintiffs from pursuing their claims against the franchisee defendants in other district courts because the “in aid of jurisdiction” exception to the Anti-Injunction Act</w:t>
      </w:r>
      <w:r>
        <w:rPr>
          <w:vertAlign w:val="superscript"/>
          <w:lang w:val="pt-PT"/>
        </w:rPr>
        <w:footnoteReference w:id="756"/>
      </w:r>
      <w:r w:rsidRPr="00AD2F44">
        <w:t xml:space="preserve"> has not been expanded beyond in rem actions, school desegregation cases, and multidistrict litigation cases.</w:t>
      </w:r>
      <w:r>
        <w:rPr>
          <w:vertAlign w:val="superscript"/>
          <w:lang w:val="pt-PT"/>
        </w:rPr>
        <w:footnoteReference w:id="757"/>
      </w:r>
      <w:r w:rsidRPr="00AD2F44">
        <w:t xml:space="preserve"> Additionally, the Seventh Circuit found that, even if the district court had the authority to enjoin the other actions under the All Writs Act,</w:t>
      </w:r>
      <w:r>
        <w:rPr>
          <w:vertAlign w:val="superscript"/>
          <w:lang w:val="pt-PT"/>
        </w:rPr>
        <w:footnoteReference w:id="758"/>
      </w:r>
      <w:r w:rsidRPr="00AD2F44">
        <w:t xml:space="preserve"> the injunction was improper because the district court failed to address the factors required by Rule 65 in entering the injunction.</w:t>
      </w:r>
      <w:r>
        <w:rPr>
          <w:vertAlign w:val="superscript"/>
          <w:lang w:val="pt-PT"/>
        </w:rPr>
        <w:footnoteReference w:id="759"/>
      </w:r>
    </w:p>
    <w:p w14:paraId="7F97AE21" w14:textId="77777777" w:rsidR="004322B1" w:rsidRPr="00AD2F44" w:rsidRDefault="004322B1">
      <w:pPr>
        <w:pStyle w:val="04First-LevelHeadIIIIII"/>
      </w:pPr>
      <w:r w:rsidRPr="00AD2F44">
        <w:t>VII.</w:t>
      </w:r>
      <w:r w:rsidRPr="00AD2F44">
        <w:t> </w:t>
      </w:r>
      <w:r w:rsidRPr="00AD2F44">
        <w:t>Pretrial Disposition of Cases</w:t>
      </w:r>
    </w:p>
    <w:p w14:paraId="790022CB" w14:textId="77777777" w:rsidR="004322B1" w:rsidRPr="00AD2F44" w:rsidRDefault="004322B1">
      <w:pPr>
        <w:pStyle w:val="05Second-LevelHeadABC"/>
      </w:pPr>
      <w:r w:rsidRPr="00AD2F44">
        <w:t>A.</w:t>
      </w:r>
      <w:r w:rsidRPr="00AD2F44">
        <w:tab/>
        <w:t>Offers of Judgment in Collective and Class Actions</w:t>
      </w:r>
    </w:p>
    <w:p w14:paraId="1543BADD" w14:textId="77777777" w:rsidR="004322B1" w:rsidRPr="00AD2F44" w:rsidRDefault="004322B1">
      <w:pPr>
        <w:pStyle w:val="10ATextWithIndent"/>
      </w:pPr>
      <w:r w:rsidRPr="00AD2F44">
        <w:t>“[W]hen the issues presented [in a case] are no longer ‘live’ or the parties lack a legally cognizable interest in the outcome,” the case is moot and may no longer be tried.</w:t>
      </w:r>
      <w:r>
        <w:rPr>
          <w:vertAlign w:val="superscript"/>
        </w:rPr>
        <w:footnoteReference w:id="760"/>
      </w:r>
      <w:r w:rsidRPr="00AD2F44">
        <w:t xml:space="preserve"> Rule 68 of the Federal Rules of Civil Procedure allows a defendant to make an offer for judgment to be taken against it in full satisfaction of the plaintiff’s claims,</w:t>
      </w:r>
      <w:r>
        <w:rPr>
          <w:vertAlign w:val="superscript"/>
        </w:rPr>
        <w:footnoteReference w:id="761"/>
      </w:r>
      <w:r w:rsidRPr="00AD2F44">
        <w:t xml:space="preserve"> thus raising the issue of whether the plaintiff’s claims have been mooted, even if the plaintiff refuses the offer.</w:t>
      </w:r>
      <w:r>
        <w:rPr>
          <w:vertAlign w:val="superscript"/>
        </w:rPr>
        <w:footnoteReference w:id="762"/>
      </w:r>
      <w:r w:rsidRPr="00AD2F44">
        <w:t xml:space="preserve"> Some employers use the Rule 68 offer of judgment procedure to seek dismissal of an FLSA Section 216(b) collective action prior to the conditional certification and notice stage, on the basis that an offer of judgment has mooted the lead plaintiff’s claims.</w:t>
      </w:r>
      <w:r>
        <w:rPr>
          <w:rStyle w:val="FootnoteReference"/>
        </w:rPr>
        <w:footnoteReference w:id="763"/>
      </w:r>
      <w:r w:rsidRPr="00AD2F44">
        <w:t xml:space="preserve"> </w:t>
      </w:r>
    </w:p>
    <w:p w14:paraId="6264602A" w14:textId="77777777" w:rsidR="004322B1" w:rsidRPr="00AD2F44" w:rsidRDefault="004322B1">
      <w:pPr>
        <w:pStyle w:val="06Third-LevelHead123"/>
      </w:pPr>
      <w:r w:rsidRPr="00AD2F44">
        <w:t>1.</w:t>
      </w:r>
      <w:r w:rsidRPr="00AD2F44">
        <w:tab/>
      </w:r>
      <w:r w:rsidRPr="00AD2F44">
        <w:rPr>
          <w:i w:val="0"/>
          <w:iCs/>
        </w:rPr>
        <w:t xml:space="preserve">Genesis Healthcare Corp. v. </w:t>
      </w:r>
      <w:proofErr w:type="spellStart"/>
      <w:r w:rsidRPr="00AD2F44">
        <w:rPr>
          <w:i w:val="0"/>
          <w:iCs/>
        </w:rPr>
        <w:t>Symczyk</w:t>
      </w:r>
      <w:proofErr w:type="spellEnd"/>
    </w:p>
    <w:p w14:paraId="3FCA07B8" w14:textId="77777777" w:rsidR="004322B1" w:rsidRPr="00AD2F44" w:rsidRDefault="004322B1">
      <w:pPr>
        <w:pStyle w:val="10ATextWithIndent"/>
      </w:pPr>
      <w:r w:rsidRPr="00AD2F44">
        <w:t xml:space="preserve">This tactic—i.e., the use of a Rule 68 offer of judgment as a means to moot the lead plaintiff’s claim in a Section 216(b) FLSA collective action—was addressed by the Supreme Court in </w:t>
      </w:r>
      <w:r w:rsidRPr="00AD2F44">
        <w:rPr>
          <w:i/>
          <w:iCs/>
        </w:rPr>
        <w:t>Genesis Healthcare Corp</w:t>
      </w:r>
      <w:r w:rsidRPr="00AD2F44">
        <w:t>.</w:t>
      </w:r>
      <w:r w:rsidRPr="00AD2F44">
        <w:rPr>
          <w:i/>
          <w:iCs/>
        </w:rPr>
        <w:t xml:space="preserve"> v</w:t>
      </w:r>
      <w:r w:rsidRPr="00AD2F44">
        <w:t>.</w:t>
      </w:r>
      <w:r w:rsidRPr="00AD2F44">
        <w:rPr>
          <w:i/>
          <w:iCs/>
        </w:rPr>
        <w:t xml:space="preserve"> </w:t>
      </w:r>
      <w:proofErr w:type="spellStart"/>
      <w:r w:rsidRPr="00AD2F44">
        <w:rPr>
          <w:i/>
          <w:iCs/>
        </w:rPr>
        <w:t>Symczyk</w:t>
      </w:r>
      <w:proofErr w:type="spellEnd"/>
      <w:r w:rsidRPr="00AD2F44">
        <w:t>.</w:t>
      </w:r>
      <w:r>
        <w:rPr>
          <w:vertAlign w:val="superscript"/>
        </w:rPr>
        <w:footnoteReference w:id="764"/>
      </w:r>
      <w:r w:rsidRPr="00AD2F44">
        <w:t xml:space="preserve"> In </w:t>
      </w:r>
      <w:proofErr w:type="spellStart"/>
      <w:r w:rsidRPr="00AD2F44">
        <w:rPr>
          <w:i/>
          <w:iCs/>
        </w:rPr>
        <w:t>Symczyk</w:t>
      </w:r>
      <w:proofErr w:type="spellEnd"/>
      <w:r w:rsidRPr="00AD2F44">
        <w:t xml:space="preserve">, the Court held that, where the lone plaintiff’s individual claim in an FLSA collective action becomes moot, the entire collective action must be dismissed for lack of subject matter jurisdiction. The plaintiff, a registered nurse, brought a collective action against her former employer on behalf of herself and other similarly situated employees. She alleged that the employer violated the FLSA by automatically deducting 30-minute meal breaks from the employees’ time worked each shift, even when the employees performed compensable work during those breaks. Upon answering the complaint, and before any other plaintiffs opted in to the lawsuit, the employers served </w:t>
      </w:r>
      <w:proofErr w:type="spellStart"/>
      <w:r w:rsidRPr="00AD2F44">
        <w:t>Symczyk</w:t>
      </w:r>
      <w:proofErr w:type="spellEnd"/>
      <w:r w:rsidRPr="00AD2F44">
        <w:t xml:space="preserve"> with an offer of judgment under Rule 68, providing for full relief on her individual claim. She was given 10 days to consider the offer, after which time the offer would be deemed withdrawn.</w:t>
      </w:r>
    </w:p>
    <w:p w14:paraId="4496FD3A" w14:textId="77777777" w:rsidR="004322B1" w:rsidRPr="00AD2F44" w:rsidRDefault="004322B1">
      <w:pPr>
        <w:pStyle w:val="10ATextWithIndent"/>
      </w:pPr>
      <w:r w:rsidRPr="00AD2F44">
        <w:t xml:space="preserve">When </w:t>
      </w:r>
      <w:proofErr w:type="spellStart"/>
      <w:r w:rsidRPr="00AD2F44">
        <w:t>Symczyk</w:t>
      </w:r>
      <w:proofErr w:type="spellEnd"/>
      <w:r w:rsidRPr="00AD2F44">
        <w:t xml:space="preserve"> failed to respond to the offer within the 10-day period, the employers filed a motion to dismiss for lack of subject matter jurisdiction, arguing that, having rejected the offer for full relief, </w:t>
      </w:r>
      <w:proofErr w:type="spellStart"/>
      <w:r w:rsidRPr="00AD2F44">
        <w:t>Symczyk</w:t>
      </w:r>
      <w:proofErr w:type="spellEnd"/>
      <w:r w:rsidRPr="00AD2F44">
        <w:t xml:space="preserve"> no longer had a personal stake in the outcome of the suit and, therefore, the action was moot. </w:t>
      </w:r>
      <w:proofErr w:type="spellStart"/>
      <w:r w:rsidRPr="00AD2F44">
        <w:t>Symczyk</w:t>
      </w:r>
      <w:proofErr w:type="spellEnd"/>
      <w:r w:rsidRPr="00AD2F44">
        <w:t xml:space="preserve"> countered that the employers were inappropriately attempting to “pick off” the named plaintiff before the collective action could get off the ground, and that such strategic offers of judgment frustrate the goals of collective actions. Agreeing with the employers, the district court dismissed the action for lack of subject matter jurisdiction,</w:t>
      </w:r>
      <w:r>
        <w:rPr>
          <w:vertAlign w:val="superscript"/>
        </w:rPr>
        <w:footnoteReference w:id="765"/>
      </w:r>
      <w:r w:rsidRPr="00AD2F44">
        <w:t xml:space="preserve"> but on appeal the Third Circuit reversed, albeit only after </w:t>
      </w:r>
      <w:proofErr w:type="spellStart"/>
      <w:r w:rsidRPr="00AD2F44">
        <w:t>Symczyk</w:t>
      </w:r>
      <w:proofErr w:type="spellEnd"/>
      <w:r w:rsidRPr="00AD2F44">
        <w:t xml:space="preserve"> acknowledged that no other potential plaintiff had opted in to the suit, that the employers’ offer fully satisfied her individual claim, and that such an offer generally moots a plaintiff’s claim under Third Circuit precedent.</w:t>
      </w:r>
      <w:r>
        <w:rPr>
          <w:vertAlign w:val="superscript"/>
        </w:rPr>
        <w:footnoteReference w:id="766"/>
      </w:r>
    </w:p>
    <w:p w14:paraId="6F7D7CAC" w14:textId="77777777" w:rsidR="004322B1" w:rsidRPr="00AD2F44" w:rsidRDefault="004322B1">
      <w:pPr>
        <w:pStyle w:val="10ATextWithIndent"/>
      </w:pPr>
      <w:r w:rsidRPr="00AD2F44">
        <w:t>The Supreme Court reversed the Third Circuit’s ruling, holding that the collective action should have been dismissed. The Court explained that, “[</w:t>
      </w:r>
      <w:proofErr w:type="spellStart"/>
      <w:r w:rsidRPr="00AD2F44">
        <w:t>i</w:t>
      </w:r>
      <w:proofErr w:type="spellEnd"/>
      <w:r w:rsidRPr="00AD2F44">
        <w:t>]f an intervening circumstance deprives the plaintiff of a ‘personal stake in the outcome of the lawsuit,’ at any point during litigation, the action can no longer proceed and must be dismissed as moot.”</w:t>
      </w:r>
      <w:r>
        <w:rPr>
          <w:vertAlign w:val="superscript"/>
        </w:rPr>
        <w:footnoteReference w:id="767"/>
      </w:r>
      <w:r w:rsidRPr="00AD2F44">
        <w:t xml:space="preserve"> While the Court acknowledged a federal circuit split as to whether an unaccepted offer that fully satisfies a plaintiff’s claim is sufficient to render the claim moot, the Court declined to decide that issue for two reasons. First, both the district court and the Third Circuit concluded that </w:t>
      </w:r>
      <w:proofErr w:type="spellStart"/>
      <w:r w:rsidRPr="00AD2F44">
        <w:t>Symczyk’s</w:t>
      </w:r>
      <w:proofErr w:type="spellEnd"/>
      <w:r w:rsidRPr="00AD2F44">
        <w:t xml:space="preserve"> individual claim was moot. Second, </w:t>
      </w:r>
      <w:proofErr w:type="spellStart"/>
      <w:r w:rsidRPr="00AD2F44">
        <w:t>Symczyk</w:t>
      </w:r>
      <w:proofErr w:type="spellEnd"/>
      <w:r w:rsidRPr="00AD2F44">
        <w:t xml:space="preserve"> conceded before both lower courts that an offer of complete relief generally renders a claim moot, and she failed to raise an argument to the contrary in her brief in opposition to the petition for certiorari. The Court, therefore, “assume[d], without deciding, that petitioners’ Rule 68 offer mooted respondent’s individual claim.”</w:t>
      </w:r>
      <w:r>
        <w:rPr>
          <w:vertAlign w:val="superscript"/>
        </w:rPr>
        <w:footnoteReference w:id="768"/>
      </w:r>
    </w:p>
    <w:p w14:paraId="3C24D430" w14:textId="77777777" w:rsidR="004322B1" w:rsidRPr="00AD2F44" w:rsidRDefault="004322B1">
      <w:pPr>
        <w:pStyle w:val="10ATextWithIndent"/>
      </w:pPr>
      <w:r w:rsidRPr="00AD2F44">
        <w:t xml:space="preserve">From there, the Court went on to apply “well-settled mootness principles” in finding that </w:t>
      </w:r>
      <w:proofErr w:type="spellStart"/>
      <w:r w:rsidRPr="00AD2F44">
        <w:t>Symczyk’s</w:t>
      </w:r>
      <w:proofErr w:type="spellEnd"/>
      <w:r w:rsidRPr="00AD2F44">
        <w:t xml:space="preserve"> action could not survive based on the collective action allegations in her complaint.</w:t>
      </w:r>
      <w:r>
        <w:rPr>
          <w:vertAlign w:val="superscript"/>
        </w:rPr>
        <w:footnoteReference w:id="769"/>
      </w:r>
      <w:r w:rsidRPr="00AD2F44">
        <w:t xml:space="preserve"> As stated by the Court, “[</w:t>
      </w:r>
      <w:proofErr w:type="spellStart"/>
      <w:r w:rsidRPr="00AD2F44">
        <w:t>i</w:t>
      </w:r>
      <w:proofErr w:type="spellEnd"/>
      <w:r w:rsidRPr="00AD2F44">
        <w:t>]n the absence of any claimant’s opting in, respondent’s suit became moot when her individual claim became moot, because she lacked any personal interest in representing others in this action.”</w:t>
      </w:r>
      <w:r>
        <w:rPr>
          <w:vertAlign w:val="superscript"/>
        </w:rPr>
        <w:footnoteReference w:id="770"/>
      </w:r>
      <w:r w:rsidRPr="00AD2F44">
        <w:t xml:space="preserve"> The Court distinguished precedent evaluating mootness principles in Rule 23 class actions on the ground that “Rule 23 actions are fundamentally different from collective actions under the FLSA.”</w:t>
      </w:r>
      <w:r>
        <w:rPr>
          <w:vertAlign w:val="superscript"/>
        </w:rPr>
        <w:footnoteReference w:id="771"/>
      </w:r>
      <w:r w:rsidRPr="00AD2F44">
        <w:t xml:space="preserve"> The Court explained that, unlike a Rule 23 certification, “conditional certification” of FLSA collective actions does not give rise to independent legal status for a class because “conditional certification” merely authorizes notice to potential collective action members, who must still file consents to join the case in order to become parties.</w:t>
      </w:r>
      <w:r>
        <w:rPr>
          <w:vertAlign w:val="superscript"/>
        </w:rPr>
        <w:footnoteReference w:id="772"/>
      </w:r>
      <w:r w:rsidRPr="00AD2F44">
        <w:t xml:space="preserve"> Thus, even a conditionally certified collective action would not prevent mooting a sole plaintiff’s claim. The Court also rejected application of the theory that mooting a named plaintiff’s claim does not necessarily moot the action if the class claim is “inherently transitory,” reasoning that this theory was developed to apply to claims that were unreviewable because the conduct at issue was “fleeting” (like temporary pretrial detention), not because of defendants’ litigation strategy, such as using Rule 68 offers to moot individual claims.</w:t>
      </w:r>
      <w:r>
        <w:rPr>
          <w:vertAlign w:val="superscript"/>
        </w:rPr>
        <w:footnoteReference w:id="773"/>
      </w:r>
    </w:p>
    <w:p w14:paraId="6BECF918" w14:textId="77777777" w:rsidR="004322B1" w:rsidRPr="00AD2F44" w:rsidRDefault="004322B1">
      <w:pPr>
        <w:pStyle w:val="06Third-LevelHead123"/>
      </w:pPr>
      <w:r w:rsidRPr="00AD2F44">
        <w:t>2.</w:t>
      </w:r>
      <w:r w:rsidRPr="00AD2F44">
        <w:tab/>
      </w:r>
      <w:r w:rsidRPr="00AD2F44">
        <w:rPr>
          <w:i w:val="0"/>
          <w:iCs/>
        </w:rPr>
        <w:t>Campbell-Ewald v. Gomez</w:t>
      </w:r>
    </w:p>
    <w:p w14:paraId="7D1D0EBE" w14:textId="77777777" w:rsidR="004322B1" w:rsidRPr="00AD2F44" w:rsidRDefault="004322B1">
      <w:pPr>
        <w:pStyle w:val="10ATextWithIndent"/>
      </w:pPr>
      <w:r w:rsidRPr="00AD2F44">
        <w:t xml:space="preserve">After </w:t>
      </w:r>
      <w:proofErr w:type="spellStart"/>
      <w:r w:rsidRPr="00AD2F44">
        <w:rPr>
          <w:i/>
          <w:iCs/>
        </w:rPr>
        <w:t>Symczyk</w:t>
      </w:r>
      <w:proofErr w:type="spellEnd"/>
      <w:r w:rsidRPr="00AD2F44">
        <w:t>, numerous district courts dismissed FLSA collective actions where rejected or unaccepted offers of judgment for full relief were served on the named plaintiffs prior to any other opt-ins joining the action and prior to a motion for conditional certification being filed.</w:t>
      </w:r>
      <w:r>
        <w:rPr>
          <w:vertAlign w:val="superscript"/>
        </w:rPr>
        <w:footnoteReference w:id="774"/>
      </w:r>
      <w:r w:rsidRPr="00AD2F44">
        <w:t xml:space="preserve"> These cases, however, have been largely overruled by the U.S. Supreme Court’s decision in </w:t>
      </w:r>
      <w:r w:rsidRPr="00AD2F44">
        <w:rPr>
          <w:i/>
          <w:iCs/>
        </w:rPr>
        <w:t>Campbell-Ewald Co. v. Gomez</w:t>
      </w:r>
      <w:r w:rsidRPr="00AD2F44">
        <w:t>.</w:t>
      </w:r>
      <w:r>
        <w:rPr>
          <w:vertAlign w:val="superscript"/>
        </w:rPr>
        <w:footnoteReference w:id="775"/>
      </w:r>
      <w:r w:rsidRPr="00AD2F44">
        <w:t xml:space="preserve"> In </w:t>
      </w:r>
      <w:r w:rsidRPr="00AD2F44">
        <w:rPr>
          <w:i/>
          <w:iCs/>
        </w:rPr>
        <w:t>Campbell-Ewald</w:t>
      </w:r>
      <w:r w:rsidRPr="00AD2F44">
        <w:t>, the Supreme Court held that an unaccepted offer of judgment does not operate to “moot” a plaintiff’s claim and, thus, cannot constitute the basis for dismissing a class action.</w:t>
      </w:r>
      <w:r>
        <w:rPr>
          <w:vertAlign w:val="superscript"/>
        </w:rPr>
        <w:footnoteReference w:id="776"/>
      </w:r>
      <w:r w:rsidRPr="00AD2F44">
        <w:t xml:space="preserve"> </w:t>
      </w:r>
    </w:p>
    <w:p w14:paraId="5ECB8722" w14:textId="77777777" w:rsidR="004322B1" w:rsidRPr="00AD2F44" w:rsidRDefault="004322B1">
      <w:pPr>
        <w:pStyle w:val="10ATextWithIndent"/>
        <w:rPr>
          <w:vertAlign w:val="superscript"/>
        </w:rPr>
      </w:pPr>
      <w:r w:rsidRPr="00AD2F44">
        <w:rPr>
          <w:i/>
          <w:iCs/>
        </w:rPr>
        <w:t>Campbell-Ewald</w:t>
      </w:r>
      <w:r w:rsidRPr="00AD2F44">
        <w:t xml:space="preserve"> involved a Rule 23 class action under the Telephone Consumer Protection Act (TCPA).</w:t>
      </w:r>
      <w:r>
        <w:rPr>
          <w:vertAlign w:val="superscript"/>
        </w:rPr>
        <w:footnoteReference w:id="777"/>
      </w:r>
      <w:r w:rsidRPr="00AD2F44">
        <w:t xml:space="preserve"> Prior to the class certification motion deadline, Campbell-Ewald Co. filed an offer of judgment in which it offered to pay the plaintiff full relief for his individual claim in the case.</w:t>
      </w:r>
      <w:r>
        <w:rPr>
          <w:vertAlign w:val="superscript"/>
        </w:rPr>
        <w:footnoteReference w:id="778"/>
      </w:r>
      <w:r w:rsidRPr="00AD2F44">
        <w:t xml:space="preserve"> After the offer expired, Campbell-Ewald moved to dismiss the case under Rule 12(b)(1) for lack of subject matter jurisdiction.</w:t>
      </w:r>
      <w:r>
        <w:rPr>
          <w:vertAlign w:val="superscript"/>
        </w:rPr>
        <w:footnoteReference w:id="779"/>
      </w:r>
      <w:r w:rsidRPr="00AD2F44">
        <w:t xml:space="preserve"> The district court denied the motion to dismiss.</w:t>
      </w:r>
      <w:r>
        <w:rPr>
          <w:vertAlign w:val="superscript"/>
        </w:rPr>
        <w:footnoteReference w:id="780"/>
      </w:r>
      <w:r w:rsidRPr="00AD2F44">
        <w:t xml:space="preserve"> After summary judgment was entered in favor of Campbell-Ewald on sovereign immunity grounds and was appealed by the plaintiff, the Ninth Circuit reversed the summary judgment motion on the sovereign immunity issue and found that the case remained live and was not mooted by the unaccepted offer of judgment for full relief.</w:t>
      </w:r>
      <w:r>
        <w:rPr>
          <w:vertAlign w:val="superscript"/>
        </w:rPr>
        <w:footnoteReference w:id="781"/>
      </w:r>
    </w:p>
    <w:p w14:paraId="410C03C9" w14:textId="77777777" w:rsidR="004322B1" w:rsidRPr="00AD2F44" w:rsidRDefault="004322B1">
      <w:pPr>
        <w:pStyle w:val="10ATextWithIndent"/>
        <w:rPr>
          <w:vertAlign w:val="superscript"/>
        </w:rPr>
      </w:pPr>
      <w:r w:rsidRPr="00AD2F44">
        <w:t xml:space="preserve">On appeal from the Ninth Circuit, the Supreme Court considered the “threshold question” that was left open in </w:t>
      </w:r>
      <w:proofErr w:type="spellStart"/>
      <w:r w:rsidRPr="00AD2F44">
        <w:rPr>
          <w:i/>
          <w:iCs/>
        </w:rPr>
        <w:t>Symczyk</w:t>
      </w:r>
      <w:proofErr w:type="spellEnd"/>
      <w:r w:rsidRPr="00AD2F44">
        <w:t>: whether an unaccepted offer of judgment can moot a case.</w:t>
      </w:r>
      <w:r>
        <w:rPr>
          <w:vertAlign w:val="superscript"/>
        </w:rPr>
        <w:footnoteReference w:id="782"/>
      </w:r>
      <w:r w:rsidRPr="00AD2F44">
        <w:t xml:space="preserve"> The Court adopted the reasoning in Justice Kagan’s dissent in </w:t>
      </w:r>
      <w:proofErr w:type="spellStart"/>
      <w:r w:rsidRPr="00AD2F44">
        <w:rPr>
          <w:i/>
          <w:iCs/>
        </w:rPr>
        <w:t>Symczyk</w:t>
      </w:r>
      <w:proofErr w:type="spellEnd"/>
      <w:r w:rsidRPr="00AD2F44">
        <w:t xml:space="preserve"> in holding that Gomez’s complaint was not effaced by Campbell-Ewald’s unaccepted offer of judgment.</w:t>
      </w:r>
      <w:r>
        <w:rPr>
          <w:vertAlign w:val="superscript"/>
        </w:rPr>
        <w:footnoteReference w:id="783"/>
      </w:r>
      <w:r w:rsidRPr="00AD2F44">
        <w:t xml:space="preserve"> The Court reasoned that, under settled principles of contract law, Campbell-Ewald’s unaccepted offer of judgment, once rejected, had “no continuing efficacy.”</w:t>
      </w:r>
      <w:r>
        <w:rPr>
          <w:vertAlign w:val="superscript"/>
        </w:rPr>
        <w:footnoteReference w:id="784"/>
      </w:r>
      <w:r w:rsidRPr="00AD2F44">
        <w:t xml:space="preserve"> Once Gomez rejected the settlement bid, and given Campbell-Ewald’s continuing denial of liability, Gomez gained no entitlement to the relief previously offered.</w:t>
      </w:r>
      <w:r>
        <w:rPr>
          <w:vertAlign w:val="superscript"/>
        </w:rPr>
        <w:footnoteReference w:id="785"/>
      </w:r>
      <w:r w:rsidRPr="00AD2F44">
        <w:t xml:space="preserve"> The Court explained that, with no settlement offer still operative, “the parties remained adverse; both retained the same stake in the litigation they had at the outset.”</w:t>
      </w:r>
      <w:r>
        <w:rPr>
          <w:vertAlign w:val="superscript"/>
        </w:rPr>
        <w:footnoteReference w:id="786"/>
      </w:r>
    </w:p>
    <w:p w14:paraId="04FA0719" w14:textId="77777777" w:rsidR="004322B1" w:rsidRPr="00AD2F44" w:rsidRDefault="004322B1">
      <w:pPr>
        <w:pStyle w:val="10ATextWithIndent"/>
      </w:pPr>
      <w:r w:rsidRPr="00AD2F44">
        <w:t>The Court also reasoned that the text of Rule 68 does not support the notion that an unaccepted offer of judgment can moot a claim.</w:t>
      </w:r>
      <w:r>
        <w:rPr>
          <w:vertAlign w:val="superscript"/>
        </w:rPr>
        <w:footnoteReference w:id="787"/>
      </w:r>
      <w:r w:rsidRPr="00AD2F44">
        <w:t xml:space="preserve"> To the contrary, Rule 68 provides that an offer of judgment “is considered withdrawn” if not accepted within 14 days of its service.</w:t>
      </w:r>
      <w:r>
        <w:rPr>
          <w:vertAlign w:val="superscript"/>
        </w:rPr>
        <w:footnoteReference w:id="788"/>
      </w:r>
      <w:r w:rsidRPr="00AD2F44">
        <w:t xml:space="preserve"> Rule 68’s sole built-in sanction is that the offeree must pay the costs incurred after the offer was made if the ultimate judgment is not more favorable than the unaccepted offer.</w:t>
      </w:r>
      <w:r>
        <w:rPr>
          <w:vertAlign w:val="superscript"/>
        </w:rPr>
        <w:footnoteReference w:id="789"/>
      </w:r>
      <w:r w:rsidRPr="00AD2F44">
        <w:t xml:space="preserve"> The Court confined its ruling to settlement offers and offers of judgment. It expressly left open the question of whether a claim can be mooted when a plaintiff is paid full relief:</w:t>
      </w:r>
    </w:p>
    <w:p w14:paraId="06EEEBBB" w14:textId="77777777" w:rsidR="004322B1" w:rsidRPr="00AD2F44" w:rsidRDefault="004322B1">
      <w:pPr>
        <w:pStyle w:val="09BBlockQuoteWithoutIndent"/>
      </w:pPr>
      <w:r w:rsidRPr="00AD2F44">
        <w:t>We need not, and do not, now decide whether the result would be different if a defendant deposits the full amount of a plaintiff’s individual claim in an account payable to the plaintiff, and the court then enters judgment for the plaintiff in that amount. That question is appropriately reserved for a case in which it is not a hypothetical.</w:t>
      </w:r>
      <w:r>
        <w:rPr>
          <w:vertAlign w:val="superscript"/>
        </w:rPr>
        <w:footnoteReference w:id="790"/>
      </w:r>
      <w:r w:rsidRPr="00AD2F44">
        <w:t xml:space="preserve"> </w:t>
      </w:r>
    </w:p>
    <w:p w14:paraId="16D60767" w14:textId="77777777" w:rsidR="004322B1" w:rsidRPr="00AD2F44" w:rsidRDefault="004322B1">
      <w:pPr>
        <w:pStyle w:val="06Third-LevelHead123"/>
      </w:pPr>
      <w:r w:rsidRPr="00AD2F44">
        <w:t>3.</w:t>
      </w:r>
      <w:r w:rsidRPr="00AD2F44">
        <w:tab/>
        <w:t xml:space="preserve">Rule 68 Offers in Hybrid Class/Collective Actions </w:t>
      </w:r>
    </w:p>
    <w:p w14:paraId="2BE6C32D" w14:textId="77777777" w:rsidR="004322B1" w:rsidRPr="00AD2F44" w:rsidRDefault="004322B1">
      <w:pPr>
        <w:pStyle w:val="10ATextWithIndent"/>
      </w:pPr>
      <w:r w:rsidRPr="00AD2F44">
        <w:t>The above analysis reflects Rule 68 issues in FLSA collective actions. The analysis is less clear when the case also entails class action claims under Rule 23. The differences between Rule 23 class actions and Section 216(b) collective actions have resulted in Rule 68 offers of judgment meeting varying degrees of success. As noted earlier in this chapter, in a collective action, employees are not joined or bound by the action until they have opted into the litigation. This distinction creates a different analysis of the impact of full relief under Rule 68 for Rule 23 versus Section 216(b) plaintiffs, though it does not eliminate the consideration of related policy issues.</w:t>
      </w:r>
    </w:p>
    <w:p w14:paraId="4EDA5722" w14:textId="77777777" w:rsidR="004322B1" w:rsidRPr="00AD2F44" w:rsidRDefault="004322B1">
      <w:pPr>
        <w:pStyle w:val="10ATextWithIndent"/>
      </w:pPr>
      <w:r w:rsidRPr="00AD2F44">
        <w:t>In the Rule 23 class action context, the effect of a Rule 68 offer of judgment on an action’s justiciability is not settled in all respects. It is clear that once certified, a Rule 23 class has an interest in litigation distinct from that of class representatives; thus, a Rule 23 action with a certified class will survive mooting of the named plaintiff’s individual claims.</w:t>
      </w:r>
      <w:r>
        <w:rPr>
          <w:vertAlign w:val="superscript"/>
        </w:rPr>
        <w:footnoteReference w:id="791"/>
      </w:r>
      <w:r w:rsidRPr="00AD2F44">
        <w:t xml:space="preserve"> However, some courts have permitted an offer of judgment to a Rule 23 named plaintiff, if made prior to the filing of a certification motion, to moot both the individual claim and the case.</w:t>
      </w:r>
      <w:r>
        <w:rPr>
          <w:vertAlign w:val="superscript"/>
        </w:rPr>
        <w:footnoteReference w:id="792"/>
      </w:r>
      <w:r w:rsidRPr="00AD2F44">
        <w:t xml:space="preserve"> The Third Circuit took a different view, however, deciding in </w:t>
      </w:r>
      <w:r w:rsidRPr="00AD2F44">
        <w:rPr>
          <w:i/>
          <w:iCs/>
        </w:rPr>
        <w:t>Weiss v. Regal Collections</w:t>
      </w:r>
      <w:r>
        <w:rPr>
          <w:vertAlign w:val="superscript"/>
        </w:rPr>
        <w:footnoteReference w:id="793"/>
      </w:r>
      <w:r w:rsidRPr="00AD2F44">
        <w:t xml:space="preserve"> that a court may retain jurisdiction even when the named representative’s individual claim has been mooted by a Rule 68 offer and no motion to certify the class has been filed yet. Relying in part on Supreme Court precedent</w:t>
      </w:r>
      <w:r>
        <w:rPr>
          <w:vertAlign w:val="superscript"/>
        </w:rPr>
        <w:footnoteReference w:id="794"/>
      </w:r>
      <w:r w:rsidRPr="00AD2F44">
        <w:t xml:space="preserve"> and concerned that allowing a defendant to “pick off” lead plaintiffs via offers of judgment contravenes the purposes of the Rule 23 class action mechanism, the </w:t>
      </w:r>
      <w:r w:rsidRPr="00AD2F44">
        <w:rPr>
          <w:i/>
          <w:iCs/>
        </w:rPr>
        <w:t>Weiss</w:t>
      </w:r>
      <w:r w:rsidRPr="00AD2F44">
        <w:t xml:space="preserve"> court created a broad exception to traditional principles in such cases by applying the “relation back” doctrine to a situation where a plaintiff had not yet had a reasonable opportunity to file a certification motion.</w:t>
      </w:r>
      <w:r>
        <w:rPr>
          <w:vertAlign w:val="superscript"/>
        </w:rPr>
        <w:footnoteReference w:id="795"/>
      </w:r>
      <w:r w:rsidRPr="00AD2F44">
        <w:t xml:space="preserve"> Under this doctrine, class certification relates back to the filing of the class complaint and the class retains standing and leave to amend to appoint a new named plaintiff, although the named plaintiff’s individual claim may be moot.</w:t>
      </w:r>
      <w:r>
        <w:rPr>
          <w:vertAlign w:val="superscript"/>
        </w:rPr>
        <w:footnoteReference w:id="796"/>
      </w:r>
    </w:p>
    <w:p w14:paraId="294D9FA0" w14:textId="77777777" w:rsidR="004322B1" w:rsidRPr="00AD2F44" w:rsidRDefault="004322B1">
      <w:pPr>
        <w:pStyle w:val="05Second-LevelHeadABC"/>
      </w:pPr>
      <w:r w:rsidRPr="00AD2F44">
        <w:t>B.</w:t>
      </w:r>
      <w:r w:rsidRPr="00AD2F44">
        <w:tab/>
        <w:t>Issue Preclusion in Multiple Collective Actions</w:t>
      </w:r>
    </w:p>
    <w:p w14:paraId="21F182A9" w14:textId="77777777" w:rsidR="004322B1" w:rsidRPr="00AD2F44" w:rsidRDefault="004322B1">
      <w:pPr>
        <w:pStyle w:val="10ATextWithIndent"/>
      </w:pPr>
      <w:r w:rsidRPr="00AD2F44">
        <w:t>As discussed in Section VI [Management of Multiple Collective Actions] of this chapter, multiple actions may be filed against the same defendant in multiple jurisdictions to recover wages under either the FLSA or state wage and hour laws, or both. Once a decision has been rendered in one of these actions regarding collective action treatment under Section 216(b) of the FLSA, the question of issue preclusion (or collateral estoppel) can arise in other concurrent suits or subsequent actions. Issue preclusion can be raised in subsequent suits asserting either Rule 23 class certification or a Section 216(b) collective action under the FLSA, assuming the generally applicable rules for applying issue preclusion are satisfied.</w:t>
      </w:r>
      <w:r>
        <w:rPr>
          <w:vertAlign w:val="superscript"/>
        </w:rPr>
        <w:footnoteReference w:id="797"/>
      </w:r>
    </w:p>
    <w:p w14:paraId="492E5673" w14:textId="77777777" w:rsidR="004322B1" w:rsidRPr="00AD2F44" w:rsidRDefault="004322B1">
      <w:pPr>
        <w:pStyle w:val="10ATextWithIndent"/>
        <w:rPr>
          <w:vertAlign w:val="superscript"/>
        </w:rPr>
      </w:pPr>
      <w:r w:rsidRPr="00AD2F44">
        <w:t>A defendant may seek to bar subsequent class allegations based on the denial of conditional certification or decertification of a collective action in a prior action against that defendant.</w:t>
      </w:r>
      <w:r>
        <w:rPr>
          <w:vertAlign w:val="superscript"/>
        </w:rPr>
        <w:footnoteReference w:id="798"/>
      </w:r>
      <w:r w:rsidRPr="00AD2F44">
        <w:t xml:space="preserve"> One court held that a ruling on certification, although technically an interlocutory order, could constitute a final judgment for purposes of applying the doctrine of collateral estoppel.</w:t>
      </w:r>
      <w:r>
        <w:rPr>
          <w:vertAlign w:val="superscript"/>
        </w:rPr>
        <w:footnoteReference w:id="799"/>
      </w:r>
      <w:r w:rsidRPr="00AD2F44">
        <w:t xml:space="preserve"> Another court, however, found that the interlocutory nature of the decision prevents satisfying the “final judgment” aspect of issue preclusion and rejected such claims on that ground.</w:t>
      </w:r>
      <w:r>
        <w:rPr>
          <w:vertAlign w:val="superscript"/>
        </w:rPr>
        <w:footnoteReference w:id="800"/>
      </w:r>
      <w:r w:rsidRPr="00AD2F44">
        <w:t xml:space="preserve"> Even where courts determine that a decision on certification, such as conditional certification, constitutes a final judgment, courts will closely scrutinize whether the issues were the same before the first court,</w:t>
      </w:r>
      <w:r>
        <w:rPr>
          <w:vertAlign w:val="superscript"/>
        </w:rPr>
        <w:footnoteReference w:id="801"/>
      </w:r>
      <w:r w:rsidRPr="00AD2F44">
        <w:t xml:space="preserve"> whether the parties were the same before the first court,</w:t>
      </w:r>
      <w:r>
        <w:rPr>
          <w:vertAlign w:val="superscript"/>
        </w:rPr>
        <w:footnoteReference w:id="802"/>
      </w:r>
      <w:r w:rsidRPr="00AD2F44">
        <w:t xml:space="preserve"> and whether the putative class is defined differently (such as by position or geographic area)</w:t>
      </w:r>
      <w:r>
        <w:rPr>
          <w:vertAlign w:val="superscript"/>
        </w:rPr>
        <w:footnoteReference w:id="803"/>
      </w:r>
      <w:r w:rsidRPr="00AD2F44">
        <w:t xml:space="preserve"> to determine if the issues in the prior litigation were a critical and necessary part of the judgment in that action, thereby precluding </w:t>
      </w:r>
      <w:proofErr w:type="spellStart"/>
      <w:r w:rsidRPr="00AD2F44">
        <w:t>relitigation</w:t>
      </w:r>
      <w:proofErr w:type="spellEnd"/>
      <w:r w:rsidRPr="00AD2F44">
        <w:t xml:space="preserve"> in a subsequent case.</w:t>
      </w:r>
      <w:r>
        <w:rPr>
          <w:vertAlign w:val="superscript"/>
        </w:rPr>
        <w:footnoteReference w:id="804"/>
      </w:r>
    </w:p>
    <w:p w14:paraId="11B75771" w14:textId="77777777" w:rsidR="004322B1" w:rsidRPr="00AD2F44" w:rsidRDefault="004322B1">
      <w:pPr>
        <w:pStyle w:val="10ATextWithIndent"/>
      </w:pPr>
      <w:r w:rsidRPr="00AD2F44">
        <w:t>Because these issues often arise in cases brought in different states, whether a nationwide company policy exists may be pivotal. In this regard, failure to find a nationwide policy sufficient to permit a particular collective action may not bar a smaller, more focused action that does not rely on such a broad policy.</w:t>
      </w:r>
      <w:r>
        <w:rPr>
          <w:vertAlign w:val="superscript"/>
        </w:rPr>
        <w:footnoteReference w:id="805"/>
      </w:r>
      <w:r w:rsidRPr="00AD2F44">
        <w:t xml:space="preserve"> Additionally, a finding that no nationwide policy existed sufficient for collective treatment may not necessarily have meant that a more limited collective action would have been inappropriate based on statewide policies or practices.</w:t>
      </w:r>
      <w:r>
        <w:rPr>
          <w:vertAlign w:val="superscript"/>
        </w:rPr>
        <w:footnoteReference w:id="806"/>
      </w:r>
      <w:r w:rsidRPr="00AD2F44">
        <w:t xml:space="preserve"> Because a court’s previous factual finding must be “necessary” to its decision, a collateral factor or an issue not raised before the first court will not bar a subsequent request for a collective action or state law class action.</w:t>
      </w:r>
      <w:r>
        <w:rPr>
          <w:vertAlign w:val="superscript"/>
        </w:rPr>
        <w:footnoteReference w:id="807"/>
      </w:r>
    </w:p>
    <w:p w14:paraId="41A23F7A" w14:textId="77777777" w:rsidR="004322B1" w:rsidRPr="00AD2F44" w:rsidRDefault="004322B1">
      <w:pPr>
        <w:pStyle w:val="04First-LevelHeadIIIIII"/>
      </w:pPr>
      <w:r w:rsidRPr="00AD2F44">
        <w:t>VIII.</w:t>
      </w:r>
      <w:r w:rsidRPr="00AD2F44">
        <w:t> </w:t>
      </w:r>
      <w:r w:rsidRPr="00AD2F44">
        <w:t>Trial</w:t>
      </w:r>
    </w:p>
    <w:p w14:paraId="0869F25B" w14:textId="77777777" w:rsidR="004322B1" w:rsidRPr="00AD2F44" w:rsidRDefault="004322B1">
      <w:pPr>
        <w:pStyle w:val="10ATextWithIndent"/>
      </w:pPr>
      <w:r w:rsidRPr="00AD2F44">
        <w:t>Because collective actions seek relief on behalf of groups of employees, they present distinct issues concerning how to efficiently and effectively try such actions. These issues impact the amount and nature of evidence that parties must present in order to meet their respective burdens, the manner in which they use expert evidence, and the procedural mechanisms that courts may use to promote more efficient adjudication of these collective actions.</w:t>
      </w:r>
    </w:p>
    <w:p w14:paraId="63834806" w14:textId="77777777" w:rsidR="004322B1" w:rsidRPr="00AD2F44" w:rsidRDefault="004322B1">
      <w:pPr>
        <w:pStyle w:val="05Second-LevelHeadABC"/>
      </w:pPr>
      <w:r w:rsidRPr="00AD2F44">
        <w:t>A.</w:t>
      </w:r>
      <w:r w:rsidRPr="00AD2F44">
        <w:tab/>
        <w:t>Representative Testimony and Evidence</w:t>
      </w:r>
    </w:p>
    <w:p w14:paraId="3E6F0C82" w14:textId="77777777" w:rsidR="004322B1" w:rsidRPr="00AD2F44" w:rsidRDefault="004322B1">
      <w:pPr>
        <w:pStyle w:val="10ATextWithIndent"/>
      </w:pPr>
      <w:r w:rsidRPr="00AD2F44">
        <w:t>The collective action provides a judicial mechanism for the efficient resolution of claims that involve common factual issues on the basis of common proof. Rather than separately trying many individual employees’ claims that present common factual and legal questions, a court may resolve them collectively on the basis of evidence that is representative of the whole group.</w:t>
      </w:r>
      <w:r>
        <w:rPr>
          <w:vertAlign w:val="superscript"/>
        </w:rPr>
        <w:footnoteReference w:id="808"/>
      </w:r>
    </w:p>
    <w:p w14:paraId="453FBA82" w14:textId="77777777" w:rsidR="004322B1" w:rsidRPr="00AD2F44" w:rsidRDefault="004322B1">
      <w:pPr>
        <w:pStyle w:val="10ATextWithIndent"/>
      </w:pPr>
      <w:r w:rsidRPr="00AD2F44">
        <w:t xml:space="preserve">The ability to resolve claims in FLSA collective actions using representative evidence developed based on the Supreme Court’s decision in </w:t>
      </w:r>
      <w:r w:rsidRPr="00AD2F44">
        <w:rPr>
          <w:i/>
          <w:iCs/>
        </w:rPr>
        <w:t>Anderson v. Mt. Clemens Pottery Co</w:t>
      </w:r>
      <w:r w:rsidRPr="00AD2F44">
        <w:t>.</w:t>
      </w:r>
      <w:r>
        <w:rPr>
          <w:vertAlign w:val="superscript"/>
        </w:rPr>
        <w:footnoteReference w:id="809"/>
      </w:r>
      <w:r w:rsidRPr="00AD2F44">
        <w:t xml:space="preserve"> There, the Court confirmed that employees who bring actions under Section 216(b) have the burden of proving that they performed work for which they were not properly compensated.</w:t>
      </w:r>
      <w:r>
        <w:rPr>
          <w:vertAlign w:val="superscript"/>
        </w:rPr>
        <w:footnoteReference w:id="810"/>
      </w:r>
      <w:r w:rsidRPr="00AD2F44">
        <w:t xml:space="preserve"> However, where an employer has failed to maintain proper and accurate records, as required by the FLSA, an employee can meet this burden by presenting evidence proving “that he has in fact performed work for which he was improperly compensated and if he produces sufficient evidence to show the amount and extent of that work as a matter of just and reasonable inference.”</w:t>
      </w:r>
      <w:r>
        <w:rPr>
          <w:vertAlign w:val="superscript"/>
        </w:rPr>
        <w:footnoteReference w:id="811"/>
      </w:r>
      <w:r w:rsidRPr="00AD2F44">
        <w:t xml:space="preserve"> If an employee makes this showing, establishing his or her prima facie case, then the burden shifts to the employer to come forward with evidence of the precise amount of work performed or with evidence to negate the reasonableness of the inference to be drawn from the employee’s evidence.</w:t>
      </w:r>
      <w:r>
        <w:rPr>
          <w:vertAlign w:val="superscript"/>
        </w:rPr>
        <w:footnoteReference w:id="812"/>
      </w:r>
    </w:p>
    <w:p w14:paraId="38E2DA8E" w14:textId="77777777" w:rsidR="004322B1" w:rsidRPr="00AD2F44" w:rsidRDefault="004322B1">
      <w:pPr>
        <w:pStyle w:val="10ATextWithIndent"/>
      </w:pPr>
      <w:r w:rsidRPr="00AD2F44">
        <w:t xml:space="preserve">Based on the Court’s holding in </w:t>
      </w:r>
      <w:r w:rsidRPr="00AD2F44">
        <w:rPr>
          <w:i/>
          <w:iCs/>
        </w:rPr>
        <w:t>Mt. Clemens</w:t>
      </w:r>
      <w:r w:rsidRPr="00AD2F44">
        <w:t xml:space="preserve"> that employees can meet their prima facie burden by producing sufficient evidence showing liability “as a matter of just and reasonable inference,”</w:t>
      </w:r>
      <w:r>
        <w:rPr>
          <w:vertAlign w:val="superscript"/>
        </w:rPr>
        <w:footnoteReference w:id="813"/>
      </w:r>
      <w:r w:rsidRPr="00AD2F44">
        <w:t xml:space="preserve"> courts have concluded that </w:t>
      </w:r>
      <w:r w:rsidRPr="00AD2F44">
        <w:rPr>
          <w:i/>
          <w:iCs/>
        </w:rPr>
        <w:t xml:space="preserve">Mt. Clemens </w:t>
      </w:r>
      <w:r w:rsidRPr="00AD2F44">
        <w:t>contemplated the use of representative evidence.</w:t>
      </w:r>
      <w:r>
        <w:rPr>
          <w:vertAlign w:val="superscript"/>
        </w:rPr>
        <w:footnoteReference w:id="814"/>
      </w:r>
      <w:r w:rsidRPr="00AD2F44">
        <w:t xml:space="preserve"> Through the use of such representative testimony, it is generally recognized that plaintiffs can establish a prima facie right to recovery on behalf of </w:t>
      </w:r>
      <w:proofErr w:type="spellStart"/>
      <w:r w:rsidRPr="00AD2F44">
        <w:t>nontestifying</w:t>
      </w:r>
      <w:proofErr w:type="spellEnd"/>
      <w:r w:rsidRPr="00AD2F44">
        <w:t xml:space="preserve"> individuals who were subject to the same questionable pattern or practice.</w:t>
      </w:r>
      <w:r>
        <w:rPr>
          <w:vertAlign w:val="superscript"/>
        </w:rPr>
        <w:footnoteReference w:id="815"/>
      </w:r>
      <w:r w:rsidRPr="00AD2F44">
        <w:t xml:space="preserve"> Although most of the decisions reaching this conclusion arise in the context of representative actions brought by the Secretary of Labor pursuant to Section 216(c),</w:t>
      </w:r>
      <w:r>
        <w:rPr>
          <w:vertAlign w:val="superscript"/>
        </w:rPr>
        <w:footnoteReference w:id="816"/>
      </w:r>
      <w:r w:rsidRPr="00AD2F44">
        <w:t xml:space="preserve"> many courts have recognized the applicability of this principle in private collective actions pursuant to Section 216(b).</w:t>
      </w:r>
      <w:r>
        <w:rPr>
          <w:vertAlign w:val="superscript"/>
        </w:rPr>
        <w:footnoteReference w:id="817"/>
      </w:r>
    </w:p>
    <w:p w14:paraId="71E73E71" w14:textId="77777777" w:rsidR="004322B1" w:rsidRPr="00AD2F44" w:rsidRDefault="004322B1">
      <w:pPr>
        <w:pStyle w:val="10ATextWithIndent"/>
      </w:pPr>
      <w:r w:rsidRPr="00AD2F44">
        <w:t xml:space="preserve">The appropriateness of representative evidence to prove violations of the FLSA and state wage and hour law class claims was considered by the Supreme Court in </w:t>
      </w:r>
      <w:r w:rsidRPr="00AD2F44">
        <w:rPr>
          <w:i/>
          <w:iCs/>
        </w:rPr>
        <w:t xml:space="preserve">Tyson Foods, Inc. v. </w:t>
      </w:r>
      <w:proofErr w:type="spellStart"/>
      <w:r w:rsidRPr="00AD2F44">
        <w:rPr>
          <w:i/>
          <w:iCs/>
        </w:rPr>
        <w:t>Bouaphakeo</w:t>
      </w:r>
      <w:proofErr w:type="spellEnd"/>
      <w:r w:rsidRPr="00AD2F44">
        <w:t>.</w:t>
      </w:r>
      <w:r>
        <w:rPr>
          <w:vertAlign w:val="superscript"/>
        </w:rPr>
        <w:footnoteReference w:id="818"/>
      </w:r>
      <w:r w:rsidRPr="00AD2F44">
        <w:t xml:space="preserve"> In </w:t>
      </w:r>
      <w:r w:rsidRPr="00AD2F44">
        <w:rPr>
          <w:i/>
          <w:iCs/>
        </w:rPr>
        <w:t>Tyson Foods</w:t>
      </w:r>
      <w:r w:rsidRPr="00AD2F44">
        <w:t xml:space="preserve">, the Court, relying on </w:t>
      </w:r>
      <w:r w:rsidRPr="00AD2F44">
        <w:rPr>
          <w:i/>
          <w:iCs/>
        </w:rPr>
        <w:t>Mt. Clemens</w:t>
      </w:r>
      <w:r w:rsidRPr="00AD2F44">
        <w:t>, held that where the employer does not have accurate records of time worked, representative proof from a sample based on expert witnesses’ estimation of average time that employees spent on donning and doffing off the clock could be used to maintain collective action status.</w:t>
      </w:r>
      <w:r>
        <w:rPr>
          <w:vertAlign w:val="superscript"/>
        </w:rPr>
        <w:footnoteReference w:id="819"/>
      </w:r>
      <w:r w:rsidRPr="00AD2F44">
        <w:t xml:space="preserve"> In so holding, the Court stated:</w:t>
      </w:r>
    </w:p>
    <w:p w14:paraId="4F53727B" w14:textId="77777777" w:rsidR="004322B1" w:rsidRPr="00AD2F44" w:rsidRDefault="004322B1">
      <w:pPr>
        <w:pStyle w:val="09BBlockQuoteWithoutIndent"/>
        <w:rPr>
          <w:vertAlign w:val="superscript"/>
        </w:rPr>
      </w:pPr>
      <w:r w:rsidRPr="00AD2F44">
        <w:t xml:space="preserve">The Court reiterates that, while petitioner, respondents, or their respective </w:t>
      </w:r>
      <w:r w:rsidRPr="00AD2F44">
        <w:rPr>
          <w:i/>
          <w:iCs/>
        </w:rPr>
        <w:t>amici</w:t>
      </w:r>
      <w:r w:rsidRPr="00AD2F44">
        <w:t xml:space="preserve"> may urge adoption of broad and categorical rules governing the use of representative and statistical evidence in class actions, this case provides no occasion to do so. Whether a representative sample may be used to establish </w:t>
      </w:r>
      <w:proofErr w:type="spellStart"/>
      <w:r w:rsidRPr="00AD2F44">
        <w:t>classwide</w:t>
      </w:r>
      <w:proofErr w:type="spellEnd"/>
      <w:r w:rsidRPr="00AD2F44">
        <w:t xml:space="preserve"> liability will depend on the purpose for which the sample is being introduced and on the underlying cause of action. In FLSA actions, inferring the hours an employee has worked from a study such as [the expert’s report] has been permitted so long as the study is otherwise admissible. The fairness and utility of statistical methods in contexts other than those presented here will depend on the facts and circumstances of those cases.</w:t>
      </w:r>
      <w:r>
        <w:rPr>
          <w:vertAlign w:val="superscript"/>
        </w:rPr>
        <w:footnoteReference w:id="820"/>
      </w:r>
    </w:p>
    <w:p w14:paraId="4F5BB538" w14:textId="77777777" w:rsidR="004322B1" w:rsidRPr="00AD2F44" w:rsidRDefault="004322B1">
      <w:pPr>
        <w:pStyle w:val="10ATextWithIndent"/>
        <w:rPr>
          <w:vertAlign w:val="superscript"/>
        </w:rPr>
      </w:pPr>
      <w:r w:rsidRPr="00AD2F44">
        <w:t>Where representative testimony from a sample of the class is used to establish the plaintiffs’ prima facie case with respect to the entire group, the testimony presented by those plaintiffs who do testify must be fairly representative of the whole group.</w:t>
      </w:r>
      <w:r>
        <w:rPr>
          <w:vertAlign w:val="superscript"/>
        </w:rPr>
        <w:footnoteReference w:id="821"/>
      </w:r>
      <w:r w:rsidRPr="00AD2F44">
        <w:t xml:space="preserve"> In other words, “[t]he use of representational testimony is justified only where it is reasonable to believe that the testifying witnesses’ experiences are sufficiently similar to those of the rest of the non-testifying plaintiffs.”</w:t>
      </w:r>
      <w:r>
        <w:rPr>
          <w:vertAlign w:val="superscript"/>
        </w:rPr>
        <w:footnoteReference w:id="822"/>
      </w:r>
      <w:r w:rsidRPr="00AD2F44">
        <w:t xml:space="preserve"> One appellate court suggested, in dicta, that, “[t]o extrapolate from the experience of the 42 [representative plaintiffs] to that of the 2341 [in the class] would require that all 2341 have done roughly the same amount of work, including the same amount of overtime work, and had been paid the same wage.”</w:t>
      </w:r>
      <w:r>
        <w:rPr>
          <w:vertAlign w:val="superscript"/>
        </w:rPr>
        <w:footnoteReference w:id="823"/>
      </w:r>
    </w:p>
    <w:p w14:paraId="0C440BB3" w14:textId="77777777" w:rsidR="004322B1" w:rsidRPr="00AD2F44" w:rsidRDefault="004322B1">
      <w:pPr>
        <w:pStyle w:val="10ATextWithIndent"/>
      </w:pPr>
      <w:r w:rsidRPr="00AD2F44">
        <w:t>Also, where employees fall into several different job categories with differences that impact the material issues being tried, at a minimum testimony of a representative employee from, or a person with first-hand knowledge of, each of those categories is essential to support a back pay award.</w:t>
      </w:r>
      <w:r>
        <w:rPr>
          <w:vertAlign w:val="superscript"/>
        </w:rPr>
        <w:footnoteReference w:id="824"/>
      </w:r>
      <w:r w:rsidRPr="00AD2F44">
        <w:t xml:space="preserve"> For this reason, in some instances courts have found that plaintiffs could not establish a claim for all of the individuals that the plaintiffs sought to represent as part of the collective action.</w:t>
      </w:r>
      <w:r>
        <w:rPr>
          <w:vertAlign w:val="superscript"/>
        </w:rPr>
        <w:footnoteReference w:id="825"/>
      </w:r>
    </w:p>
    <w:p w14:paraId="29818A26" w14:textId="77777777" w:rsidR="004322B1" w:rsidRPr="00AD2F44" w:rsidRDefault="004322B1">
      <w:pPr>
        <w:pStyle w:val="10ATextWithIndent"/>
      </w:pPr>
      <w:r w:rsidRPr="00AD2F44">
        <w:t>There is no bright-line rule concerning the ratio or percentage of employees from a class that must testify in order to establish sufficient representative evidence to establish a prima facie case with respect to the entire group.</w:t>
      </w:r>
      <w:r>
        <w:rPr>
          <w:vertAlign w:val="superscript"/>
        </w:rPr>
        <w:footnoteReference w:id="826"/>
      </w:r>
      <w:r w:rsidRPr="00AD2F44">
        <w:t xml:space="preserve"> Some courts allow a small percentage of the total class to serve as testifying witnesses.</w:t>
      </w:r>
      <w:r>
        <w:rPr>
          <w:vertAlign w:val="superscript"/>
        </w:rPr>
        <w:footnoteReference w:id="827"/>
      </w:r>
      <w:r w:rsidRPr="00AD2F44">
        <w:t xml:space="preserve"> However, some courts have questioned the ability of a small number of testifying witnesses to adequately represent a large class of </w:t>
      </w:r>
      <w:proofErr w:type="spellStart"/>
      <w:r w:rsidRPr="00AD2F44">
        <w:t>nontestifying</w:t>
      </w:r>
      <w:proofErr w:type="spellEnd"/>
      <w:r w:rsidRPr="00AD2F44">
        <w:t xml:space="preserve"> employees.</w:t>
      </w:r>
      <w:r>
        <w:rPr>
          <w:vertAlign w:val="superscript"/>
        </w:rPr>
        <w:footnoteReference w:id="828"/>
      </w:r>
    </w:p>
    <w:p w14:paraId="699DAF84" w14:textId="77777777" w:rsidR="004322B1" w:rsidRPr="00AD2F44" w:rsidRDefault="004322B1">
      <w:pPr>
        <w:pStyle w:val="10ATextWithIndent"/>
      </w:pPr>
      <w:r w:rsidRPr="00AD2F44">
        <w:t xml:space="preserve">Further, although plaintiffs may establish their prima facie case by representative evidence, such a showing does not automatically establish liability. Under the burden-shifting regime established by </w:t>
      </w:r>
      <w:r w:rsidRPr="00AD2F44">
        <w:rPr>
          <w:i/>
          <w:iCs/>
        </w:rPr>
        <w:t>Mt. Clemens</w:t>
      </w:r>
      <w:r w:rsidRPr="00AD2F44">
        <w:t>, once plaintiffs have made out their prima facie case, defendants have the opportunity to present evidence showing the precise amount of work performed or negating the inferences that plaintiffs are asking to be drawn from their representative evidence.</w:t>
      </w:r>
      <w:r>
        <w:rPr>
          <w:vertAlign w:val="superscript"/>
        </w:rPr>
        <w:footnoteReference w:id="829"/>
      </w:r>
      <w:r w:rsidRPr="00AD2F44">
        <w:t xml:space="preserve"> In making such a showing, defendants may not be limited to the type of representative evidence relied on by plaintiffs. Defendants may present individualized evidence to establish their defenses—including evidence with respect to employees who did not testify.</w:t>
      </w:r>
      <w:r>
        <w:rPr>
          <w:vertAlign w:val="superscript"/>
        </w:rPr>
        <w:footnoteReference w:id="830"/>
      </w:r>
    </w:p>
    <w:p w14:paraId="61634161" w14:textId="77777777" w:rsidR="004322B1" w:rsidRPr="00AD2F44" w:rsidRDefault="004322B1">
      <w:pPr>
        <w:pStyle w:val="05Second-LevelHeadABC"/>
      </w:pPr>
      <w:r w:rsidRPr="00AD2F44">
        <w:t>B.</w:t>
      </w:r>
      <w:r w:rsidRPr="00AD2F44">
        <w:tab/>
        <w:t>Use of Expert Witnesses</w:t>
      </w:r>
    </w:p>
    <w:p w14:paraId="37D00BB1" w14:textId="77777777" w:rsidR="004322B1" w:rsidRPr="00AD2F44" w:rsidRDefault="004322B1">
      <w:pPr>
        <w:pStyle w:val="10ATextWithIndent"/>
      </w:pPr>
      <w:r w:rsidRPr="00AD2F44">
        <w:t>Rule 702 of the Federal Rules of Evidence sets forth the standard governing the admissibility of expert testimony in collective action trials.</w:t>
      </w:r>
      <w:r>
        <w:rPr>
          <w:vertAlign w:val="superscript"/>
        </w:rPr>
        <w:footnoteReference w:id="831"/>
      </w:r>
      <w:r w:rsidRPr="00AD2F44">
        <w:t xml:space="preserve"> Rule 702 provides that</w:t>
      </w:r>
    </w:p>
    <w:p w14:paraId="435D5CE4" w14:textId="77777777" w:rsidR="004322B1" w:rsidRPr="00AD2F44" w:rsidRDefault="004322B1">
      <w:pPr>
        <w:pStyle w:val="09BBlockQuoteWithoutIndent"/>
      </w:pPr>
      <w:r w:rsidRPr="00AD2F44">
        <w:t>[a] witness who is qualified as an expert by knowledge, skill, experience, training, or education may testify in the form of an opinion or otherwise if: (a) the expert’s scientific, technical, or other specialized knowledge will help the trier of fact to understand the ­evidence or to determine a fact in issue; (b) the testimony is based on sufficient facts or data, (c) the testimony is the product of reliable principles and methods; and (d) the expert has reliably applied the principles and methods to the facts of the case.</w:t>
      </w:r>
      <w:r>
        <w:rPr>
          <w:vertAlign w:val="superscript"/>
        </w:rPr>
        <w:footnoteReference w:id="832"/>
      </w:r>
    </w:p>
    <w:p w14:paraId="6FC17DA1" w14:textId="77777777" w:rsidR="004322B1" w:rsidRPr="00AD2F44" w:rsidRDefault="004322B1">
      <w:pPr>
        <w:pStyle w:val="10ATextWithIndent"/>
      </w:pPr>
      <w:r w:rsidRPr="00AD2F44">
        <w:t xml:space="preserve">In </w:t>
      </w:r>
      <w:r w:rsidRPr="00AD2F44">
        <w:rPr>
          <w:i/>
          <w:iCs/>
        </w:rPr>
        <w:t>Daubert v. Merrell Dow Pharmaceuticals</w:t>
      </w:r>
      <w:r w:rsidRPr="00AD2F44">
        <w:t>,</w:t>
      </w:r>
      <w:r>
        <w:rPr>
          <w:vertAlign w:val="superscript"/>
        </w:rPr>
        <w:footnoteReference w:id="833"/>
      </w:r>
      <w:r w:rsidRPr="00AD2F44">
        <w:t xml:space="preserve"> the Supreme Court held that a trial court “must ensure that any and all scientific testimony or evidence admitted is not only relevant, but reliable.”</w:t>
      </w:r>
      <w:r>
        <w:rPr>
          <w:vertAlign w:val="superscript"/>
        </w:rPr>
        <w:footnoteReference w:id="834"/>
      </w:r>
      <w:r w:rsidRPr="00AD2F44">
        <w:t xml:space="preserve"> A court must determine at the outset “whether the reasoning or methodology underlying the testimony is scientifically valid and … whether that reasoning or methodology properly can be applied to the facts in issue.”</w:t>
      </w:r>
      <w:r>
        <w:rPr>
          <w:vertAlign w:val="superscript"/>
        </w:rPr>
        <w:footnoteReference w:id="835"/>
      </w:r>
      <w:r w:rsidRPr="00AD2F44">
        <w:t xml:space="preserve"> The party offering expert testimony bears the burden of establishing its reliability by a preponderance of the evidence.</w:t>
      </w:r>
      <w:r>
        <w:rPr>
          <w:vertAlign w:val="superscript"/>
        </w:rPr>
        <w:footnoteReference w:id="836"/>
      </w:r>
    </w:p>
    <w:p w14:paraId="6CFD6B6B" w14:textId="77777777" w:rsidR="004322B1" w:rsidRPr="00AD2F44" w:rsidRDefault="004322B1">
      <w:pPr>
        <w:pStyle w:val="10ATextWithIndent"/>
      </w:pPr>
      <w:r w:rsidRPr="00AD2F44">
        <w:t>A trial court has broad latitude in deciding how to determine reliability under this “gatekeeper” function.</w:t>
      </w:r>
      <w:r>
        <w:rPr>
          <w:vertAlign w:val="superscript"/>
        </w:rPr>
        <w:footnoteReference w:id="837"/>
      </w:r>
      <w:r w:rsidRPr="00AD2F44">
        <w:t xml:space="preserve"> Several courts have recognized that in the context of a bench trial, the </w:t>
      </w:r>
      <w:r w:rsidRPr="00AD2F44">
        <w:rPr>
          <w:i/>
          <w:iCs/>
        </w:rPr>
        <w:t>Daubert</w:t>
      </w:r>
      <w:r w:rsidRPr="00AD2F44">
        <w:t xml:space="preserve"> gatekeeping obligation is less pressing than in the context of a jury trial because the gatekeeper and trier of fact are the same.</w:t>
      </w:r>
      <w:r>
        <w:rPr>
          <w:vertAlign w:val="superscript"/>
        </w:rPr>
        <w:footnoteReference w:id="838"/>
      </w:r>
      <w:r w:rsidRPr="00AD2F44">
        <w:t xml:space="preserve"> Regardless, the “gatekeeper” role does not vary depending on the nature of the expert testimony.</w:t>
      </w:r>
      <w:r>
        <w:rPr>
          <w:vertAlign w:val="superscript"/>
        </w:rPr>
        <w:footnoteReference w:id="839"/>
      </w:r>
    </w:p>
    <w:p w14:paraId="510ED14B" w14:textId="77777777" w:rsidR="004322B1" w:rsidRPr="00AD2F44" w:rsidRDefault="004322B1">
      <w:pPr>
        <w:pStyle w:val="10ATextWithIndent"/>
      </w:pPr>
      <w:r w:rsidRPr="00AD2F44">
        <w:t>Experts relied on in FLSA collective actions commonly address nonscientific subjects or base their testimony largely on their personal experiences.</w:t>
      </w:r>
      <w:r>
        <w:rPr>
          <w:vertAlign w:val="superscript"/>
        </w:rPr>
        <w:footnoteReference w:id="840"/>
      </w:r>
      <w:r w:rsidRPr="00AD2F44">
        <w:t xml:space="preserve"> Such evidence remains ­subject to the same level of scrutiny as opinions from scientific experts.</w:t>
      </w:r>
      <w:r>
        <w:rPr>
          <w:vertAlign w:val="superscript"/>
        </w:rPr>
        <w:footnoteReference w:id="841"/>
      </w:r>
      <w:r w:rsidRPr="00AD2F44">
        <w:t xml:space="preserve"> When FLSA matters do involve scientific evidence, courts examine under what circumstances such scientific evidence is helpful to the trier of fact while recognizing that scientific evidence is not required as a matter of law to prove elements of an FLSA cause of action.</w:t>
      </w:r>
      <w:r>
        <w:rPr>
          <w:rStyle w:val="FootnoteReference"/>
        </w:rPr>
        <w:footnoteReference w:id="842"/>
      </w:r>
      <w:r w:rsidRPr="00AD2F44">
        <w:t xml:space="preserve"> Where an expert seeks to offer an opinion developed specifically for the facts of a particular collective action, courts consider the </w:t>
      </w:r>
      <w:r w:rsidRPr="00AD2F44">
        <w:rPr>
          <w:i/>
          <w:iCs/>
        </w:rPr>
        <w:t>Daubert</w:t>
      </w:r>
      <w:r w:rsidRPr="00AD2F44">
        <w:t xml:space="preserve"> factors to ensure such conclusions have been derived from reliable methodologies.</w:t>
      </w:r>
    </w:p>
    <w:p w14:paraId="408019F7" w14:textId="77777777" w:rsidR="004322B1" w:rsidRPr="00AD2F44" w:rsidRDefault="004322B1">
      <w:pPr>
        <w:pStyle w:val="06Third-LevelHead123"/>
      </w:pPr>
      <w:r w:rsidRPr="00AD2F44">
        <w:t>1.</w:t>
      </w:r>
      <w:r w:rsidRPr="00AD2F44">
        <w:tab/>
        <w:t>Damages</w:t>
      </w:r>
    </w:p>
    <w:p w14:paraId="0D70EBE7" w14:textId="77777777" w:rsidR="004322B1" w:rsidRPr="00AD2F44" w:rsidRDefault="004322B1">
      <w:pPr>
        <w:pStyle w:val="10ATextWithIndent"/>
      </w:pPr>
      <w:r w:rsidRPr="00AD2F44">
        <w:t>Parties in FLSA collective actions often utilize experts, such as certified public accountants (CPAs) and economists, to offer testimony regarding damages calculations. Such testimony has generally been permitted either as expert or lay witness testimony.</w:t>
      </w:r>
      <w:r>
        <w:rPr>
          <w:vertAlign w:val="superscript"/>
        </w:rPr>
        <w:footnoteReference w:id="843"/>
      </w:r>
      <w:r w:rsidRPr="00AD2F44">
        <w:t xml:space="preserve"> </w:t>
      </w:r>
    </w:p>
    <w:p w14:paraId="4016C839" w14:textId="77777777" w:rsidR="004322B1" w:rsidRPr="00AD2F44" w:rsidRDefault="004322B1">
      <w:pPr>
        <w:pStyle w:val="06Third-LevelHead123"/>
      </w:pPr>
      <w:r w:rsidRPr="00AD2F44">
        <w:t>2.</w:t>
      </w:r>
      <w:r w:rsidRPr="00AD2F44">
        <w:tab/>
        <w:t>Former Department of Labor Officials</w:t>
      </w:r>
    </w:p>
    <w:p w14:paraId="450BFB3D" w14:textId="77777777" w:rsidR="004322B1" w:rsidRPr="00AD2F44" w:rsidRDefault="004322B1">
      <w:pPr>
        <w:pStyle w:val="10ATextWithIndent"/>
        <w:rPr>
          <w:vertAlign w:val="superscript"/>
        </w:rPr>
      </w:pPr>
      <w:r w:rsidRPr="00AD2F44">
        <w:t>Courts have reached differing conclusions regarding the admissibility of opinions of former DOL officials. For instance, a district court in California excluded an expert report and testimony of a former DOL official in a donning and doffing case on the grounds that her opinions were on the ultimate issue of law.</w:t>
      </w:r>
      <w:r>
        <w:rPr>
          <w:vertAlign w:val="superscript"/>
        </w:rPr>
        <w:footnoteReference w:id="844"/>
      </w:r>
      <w:r w:rsidRPr="00AD2F44">
        <w:t xml:space="preserve"> In striking the expert report, the court noted that the expert report read like a “legal brief” and reasoned that “[r]</w:t>
      </w:r>
      <w:proofErr w:type="spellStart"/>
      <w:r w:rsidRPr="00AD2F44">
        <w:t>esolving</w:t>
      </w:r>
      <w:proofErr w:type="spellEnd"/>
      <w:r w:rsidRPr="00AD2F44">
        <w:t xml:space="preserve"> doubtful questions of law is the distinct and exclusive province of the trial judge.”</w:t>
      </w:r>
      <w:r>
        <w:rPr>
          <w:vertAlign w:val="superscript"/>
        </w:rPr>
        <w:footnoteReference w:id="845"/>
      </w:r>
    </w:p>
    <w:p w14:paraId="77B22667" w14:textId="77777777" w:rsidR="004322B1" w:rsidRPr="00AD2F44" w:rsidRDefault="004322B1">
      <w:pPr>
        <w:pStyle w:val="10ATextWithIndent"/>
      </w:pPr>
      <w:r w:rsidRPr="00AD2F44">
        <w:t>On the other hand, another court found the methodology of a former long-serving DOL compliance officer sufficiently reliable to opine on the employer’s alleged overtime violation where his opinion was based on the same type of work that he did investigating overtime violations at the DOL.</w:t>
      </w:r>
      <w:r>
        <w:rPr>
          <w:vertAlign w:val="superscript"/>
        </w:rPr>
        <w:footnoteReference w:id="846"/>
      </w:r>
      <w:r w:rsidRPr="00AD2F44">
        <w:t xml:space="preserve"> However, the court excluded the expert’s opinion as to amounts of compensation owed these employees because his conclusion was not readily apparent from the regulations, ignored a widely accepted rule of law, and failed to acknowledge that his opinion had a questionable basis in the FLSA.</w:t>
      </w:r>
      <w:r>
        <w:rPr>
          <w:vertAlign w:val="superscript"/>
        </w:rPr>
        <w:footnoteReference w:id="847"/>
      </w:r>
      <w:r w:rsidRPr="00AD2F44">
        <w:t xml:space="preserve"> </w:t>
      </w:r>
    </w:p>
    <w:p w14:paraId="0878360E" w14:textId="77777777" w:rsidR="004322B1" w:rsidRPr="00AD2F44" w:rsidRDefault="004322B1">
      <w:pPr>
        <w:pStyle w:val="10ATextWithIndent"/>
        <w:rPr>
          <w:vertAlign w:val="superscript"/>
        </w:rPr>
      </w:pPr>
      <w:r w:rsidRPr="00AD2F44">
        <w:t>Courts may permit expert testimony regarding “DOL’s standards and practices” in assessing whether an employee satisfies the requirements for an exemption, but not testimony concluding that the employee does or does not satisfy the exemption.</w:t>
      </w:r>
      <w:r>
        <w:rPr>
          <w:vertAlign w:val="superscript"/>
        </w:rPr>
        <w:footnoteReference w:id="848"/>
      </w:r>
      <w:r w:rsidRPr="00AD2F44">
        <w:t xml:space="preserve"> In</w:t>
      </w:r>
      <w:r w:rsidRPr="00AD2F44">
        <w:rPr>
          <w:i/>
          <w:iCs/>
        </w:rPr>
        <w:t xml:space="preserve"> Perez v. RadioShack Corp</w:t>
      </w:r>
      <w:r w:rsidRPr="00AD2F44">
        <w:t>.,</w:t>
      </w:r>
      <w:r>
        <w:rPr>
          <w:vertAlign w:val="superscript"/>
        </w:rPr>
        <w:footnoteReference w:id="849"/>
      </w:r>
      <w:r w:rsidRPr="00AD2F44">
        <w:t xml:space="preserve"> the plaintiffs presented the testimony of a district director from DOL’s Wage and Hour Division, where he analyzed the factors of the executive exemption’s “primary duty” requirement and opined on whether RadioShack’s managers in the case met the requirement.</w:t>
      </w:r>
      <w:r>
        <w:rPr>
          <w:vertAlign w:val="superscript"/>
        </w:rPr>
        <w:footnoteReference w:id="850"/>
      </w:r>
      <w:r w:rsidRPr="00AD2F44">
        <w:t xml:space="preserve"> The court rejected much of his report as constituting improper legal conclusions, but permitted his testimony on DOL’s standards and practices.</w:t>
      </w:r>
      <w:r>
        <w:rPr>
          <w:vertAlign w:val="superscript"/>
        </w:rPr>
        <w:footnoteReference w:id="851"/>
      </w:r>
      <w:r w:rsidRPr="00AD2F44">
        <w:t xml:space="preserve"> Likewise, courts have also permitted professors to testify regarding historical industry practices or the occupations at issue in the particular case.</w:t>
      </w:r>
      <w:r>
        <w:rPr>
          <w:vertAlign w:val="superscript"/>
        </w:rPr>
        <w:footnoteReference w:id="852"/>
      </w:r>
    </w:p>
    <w:p w14:paraId="06BE7BA6" w14:textId="77777777" w:rsidR="004322B1" w:rsidRPr="00AD2F44" w:rsidRDefault="004322B1">
      <w:pPr>
        <w:pStyle w:val="10ATextWithIndent"/>
        <w:rPr>
          <w:vertAlign w:val="superscript"/>
        </w:rPr>
      </w:pPr>
      <w:r w:rsidRPr="00AD2F44">
        <w:t>Courts will also consider nonscientific expert testimony bearing on whether an employer willfully violated the FLSA,</w:t>
      </w:r>
      <w:r>
        <w:rPr>
          <w:vertAlign w:val="superscript"/>
        </w:rPr>
        <w:footnoteReference w:id="853"/>
      </w:r>
      <w:r w:rsidRPr="00AD2F44">
        <w:t xml:space="preserve"> although such testimony has not been found dispositive.</w:t>
      </w:r>
      <w:r>
        <w:rPr>
          <w:vertAlign w:val="superscript"/>
        </w:rPr>
        <w:footnoteReference w:id="854"/>
      </w:r>
      <w:r w:rsidRPr="00AD2F44">
        <w:t xml:space="preserve"> Again, any such testimony will be evaluated with the same rigor as other expert testimony.</w:t>
      </w:r>
      <w:r>
        <w:rPr>
          <w:vertAlign w:val="superscript"/>
        </w:rPr>
        <w:footnoteReference w:id="855"/>
      </w:r>
    </w:p>
    <w:p w14:paraId="549A4A7F" w14:textId="77777777" w:rsidR="004322B1" w:rsidRPr="00AD2F44" w:rsidRDefault="004322B1">
      <w:pPr>
        <w:pStyle w:val="06Third-LevelHead123"/>
      </w:pPr>
      <w:r w:rsidRPr="00AD2F44">
        <w:t>3.</w:t>
      </w:r>
      <w:r w:rsidRPr="00AD2F44">
        <w:tab/>
        <w:t>Surveys</w:t>
      </w:r>
    </w:p>
    <w:p w14:paraId="3E28D702" w14:textId="77777777" w:rsidR="004322B1" w:rsidRPr="00AD2F44" w:rsidRDefault="004322B1">
      <w:pPr>
        <w:pStyle w:val="10ATextWithIndent"/>
      </w:pPr>
      <w:r w:rsidRPr="00AD2F44">
        <w:t xml:space="preserve">Expert testimony based on survey evidence has also been admitted in an FLSA collective action trial by at least one district court. In </w:t>
      </w:r>
      <w:r w:rsidRPr="00AD2F44">
        <w:rPr>
          <w:i/>
          <w:iCs/>
        </w:rPr>
        <w:t>Johnson v. Big Lots Stores, Inc.</w:t>
      </w:r>
      <w:r w:rsidRPr="00AD2F44">
        <w:t>,</w:t>
      </w:r>
      <w:r>
        <w:rPr>
          <w:vertAlign w:val="superscript"/>
        </w:rPr>
        <w:footnoteReference w:id="856"/>
      </w:r>
      <w:r w:rsidRPr="00AD2F44">
        <w:t xml:space="preserve"> the plaintiffs claimed that they had been misclassified as exempt “executive” employees and sought to admit the opinion of an economics and statistics expert and his supporting survey data, which concluded that the employees’ reported job duties did not include the types of activities that FLSA regulations require in order for an employee to qualify as a bona fide executive.</w:t>
      </w:r>
      <w:r>
        <w:rPr>
          <w:vertAlign w:val="superscript"/>
        </w:rPr>
        <w:footnoteReference w:id="857"/>
      </w:r>
      <w:r w:rsidRPr="00AD2F44">
        <w:t xml:space="preserve"> The plaintiffs also sought to introduce the report of a former DOL compliance officer that relied on the survey data to opine that survey respondents were misclassified as exempt executive employees. Shortly before the bench trial on the plaintiffs’ claims, the employer moved to exclude such testimony, arguing that the economics expert’s conclusions were invalid and his methodology was unreliable given that the survey responses were hearsay and the survey format was flawed. The defendant also argued that the expert testimony was irrelevant as it reflected only opt-ins’ statements and not the broader group of employees.</w:t>
      </w:r>
    </w:p>
    <w:p w14:paraId="3FCD3EA5" w14:textId="77777777" w:rsidR="004322B1" w:rsidRPr="00AD2F44" w:rsidRDefault="004322B1">
      <w:pPr>
        <w:pStyle w:val="10ATextWithIndent"/>
        <w:rPr>
          <w:vertAlign w:val="superscript"/>
        </w:rPr>
      </w:pPr>
      <w:r w:rsidRPr="00AD2F44">
        <w:t xml:space="preserve">The court rejected the defendant’s arguments. First, the court noted that the </w:t>
      </w:r>
      <w:r w:rsidRPr="00AD2F44">
        <w:rPr>
          <w:i/>
          <w:iCs/>
        </w:rPr>
        <w:t>Daubert</w:t>
      </w:r>
      <w:r>
        <w:rPr>
          <w:vertAlign w:val="superscript"/>
        </w:rPr>
        <w:footnoteReference w:id="858"/>
      </w:r>
      <w:r w:rsidRPr="00AD2F44">
        <w:t xml:space="preserve"> standard applies to survey evidence such that it is admissible at trial when there is a showing of reliability.</w:t>
      </w:r>
      <w:r>
        <w:rPr>
          <w:vertAlign w:val="superscript"/>
        </w:rPr>
        <w:footnoteReference w:id="859"/>
      </w:r>
      <w:r w:rsidRPr="00AD2F44">
        <w:t xml:space="preserve"> Moreover, the rules of evidence permit opinion testimony based on hearsay survey data.</w:t>
      </w:r>
      <w:r>
        <w:rPr>
          <w:vertAlign w:val="superscript"/>
        </w:rPr>
        <w:footnoteReference w:id="860"/>
      </w:r>
      <w:r w:rsidRPr="00AD2F44">
        <w:t xml:space="preserve"> Thus, because the survey methodology did not contain flaws that rendered the expert’s opinion inadmissible under </w:t>
      </w:r>
      <w:r w:rsidRPr="00AD2F44">
        <w:rPr>
          <w:i/>
          <w:iCs/>
        </w:rPr>
        <w:t>Daubert</w:t>
      </w:r>
      <w:r w:rsidRPr="00AD2F44">
        <w:t>, the survey data was admissible for the purpose of allowing the court to evaluate the expert’s opinion.</w:t>
      </w:r>
      <w:r>
        <w:rPr>
          <w:vertAlign w:val="superscript"/>
        </w:rPr>
        <w:footnoteReference w:id="861"/>
      </w:r>
      <w:r w:rsidRPr="00AD2F44">
        <w:t xml:space="preserve"> Second, the employer failed to offer any reason that the opt-ins surveyed were systematically different from or unrepresentative of individuals employed in the position at issue, and the court reasoned that any bias by the survey respondents would affect the weight of the expert’s opinion, but did not render his study unreliable. Finally, the court found the survey questions sufficiently “clear, precise, and unbiased” for the survey and report to be admitted.</w:t>
      </w:r>
      <w:r>
        <w:rPr>
          <w:vertAlign w:val="superscript"/>
        </w:rPr>
        <w:footnoteReference w:id="862"/>
      </w:r>
      <w:r w:rsidRPr="00AD2F44">
        <w:t xml:space="preserve"> Courts have excluded survey evidence where the surveys were designed and conducted by the plaintiffs’ counsel instead of an independent expert.</w:t>
      </w:r>
      <w:r>
        <w:rPr>
          <w:vertAlign w:val="superscript"/>
        </w:rPr>
        <w:footnoteReference w:id="863"/>
      </w:r>
    </w:p>
    <w:p w14:paraId="3FE90E64" w14:textId="77777777" w:rsidR="004322B1" w:rsidRPr="00AD2F44" w:rsidRDefault="004322B1">
      <w:pPr>
        <w:pStyle w:val="06Third-LevelHead123"/>
      </w:pPr>
      <w:r w:rsidRPr="00AD2F44">
        <w:t>4.</w:t>
      </w:r>
      <w:r w:rsidRPr="00AD2F44">
        <w:tab/>
        <w:t>Time Studies</w:t>
      </w:r>
    </w:p>
    <w:p w14:paraId="6AD9F2FC" w14:textId="77777777" w:rsidR="004322B1" w:rsidRPr="00AD2F44" w:rsidRDefault="004322B1">
      <w:pPr>
        <w:pStyle w:val="10ATextWithIndent"/>
      </w:pPr>
      <w:r w:rsidRPr="00AD2F44">
        <w:t>Courts also frequently consider the expert testimony of time-study experts relied on to establish the amount of time worked in collective actions where the employer has failed to record such time.</w:t>
      </w:r>
      <w:r>
        <w:rPr>
          <w:vertAlign w:val="superscript"/>
        </w:rPr>
        <w:footnoteReference w:id="864"/>
      </w:r>
      <w:r w:rsidRPr="00AD2F44">
        <w:t xml:space="preserve"> As discussed in Section VIII.A [Trial; Representative Testimony and Evidence] of this chapter, under these circumstances employees need only produce evidence of the amount and extent of that work “as a matter of just and reasonable inference.”</w:t>
      </w:r>
      <w:r>
        <w:rPr>
          <w:vertAlign w:val="superscript"/>
        </w:rPr>
        <w:footnoteReference w:id="865"/>
      </w:r>
      <w:r w:rsidRPr="00AD2F44">
        <w:t xml:space="preserve"> Expert testimony, when combined with documentary evidence and employee testimony, provides an appropriate method of meeting this burden.</w:t>
      </w:r>
    </w:p>
    <w:p w14:paraId="464B9386" w14:textId="77777777" w:rsidR="004322B1" w:rsidRPr="00AD2F44" w:rsidRDefault="004322B1">
      <w:pPr>
        <w:pStyle w:val="10ATextWithIndent"/>
      </w:pPr>
      <w:r w:rsidRPr="00AD2F44">
        <w:t xml:space="preserve"> In </w:t>
      </w:r>
      <w:r w:rsidRPr="00AD2F44">
        <w:rPr>
          <w:i/>
          <w:iCs/>
        </w:rPr>
        <w:t xml:space="preserve">Tyson Foods, Inc. v. </w:t>
      </w:r>
      <w:proofErr w:type="spellStart"/>
      <w:r w:rsidRPr="00AD2F44">
        <w:rPr>
          <w:i/>
          <w:iCs/>
        </w:rPr>
        <w:t>Bouaphakeo</w:t>
      </w:r>
      <w:proofErr w:type="spellEnd"/>
      <w:r w:rsidRPr="00AD2F44">
        <w:t>,</w:t>
      </w:r>
      <w:r>
        <w:rPr>
          <w:vertAlign w:val="superscript"/>
        </w:rPr>
        <w:footnoteReference w:id="866"/>
      </w:r>
      <w:r w:rsidRPr="00AD2F44">
        <w:t xml:space="preserve"> a case in which no </w:t>
      </w:r>
      <w:r w:rsidRPr="00AD2F44">
        <w:rPr>
          <w:i/>
          <w:iCs/>
        </w:rPr>
        <w:t>Daubert</w:t>
      </w:r>
      <w:r w:rsidRPr="00AD2F44">
        <w:t xml:space="preserve"> motion was filed, the Supreme Court held that an industrial relations expert’s time-study report estimating the average time that a sample of plaintiffs spent donning and doffing protective gear could support liability as to the entire class of 3,300 plaintiffs. The plaintiffs’ industrial relations expert conducted 744 videotaped observations and analyzed how long various donning and doffing activities took in two departments.</w:t>
      </w:r>
      <w:r>
        <w:rPr>
          <w:vertAlign w:val="superscript"/>
        </w:rPr>
        <w:footnoteReference w:id="867"/>
      </w:r>
      <w:r w:rsidRPr="00AD2F44">
        <w:t xml:space="preserve"> He averaged the time by department and estimated that employees in the “cut and retrim” department spent 18 minutes a day on donning and doffing activities and the employees in the “kill” department spent 21.25 minutes a day on donning and doffing activities.</w:t>
      </w:r>
      <w:r>
        <w:rPr>
          <w:vertAlign w:val="superscript"/>
        </w:rPr>
        <w:footnoteReference w:id="868"/>
      </w:r>
      <w:r w:rsidRPr="00AD2F44">
        <w:t xml:space="preserve"> Another expert for the plaintiffs then calculated the estimated uncompensated overtime time based on the time estimates provided by the time-study expert and reached a damage calculation of $6.7 million for the class.</w:t>
      </w:r>
      <w:r>
        <w:rPr>
          <w:vertAlign w:val="superscript"/>
        </w:rPr>
        <w:footnoteReference w:id="869"/>
      </w:r>
      <w:r w:rsidRPr="00AD2F44">
        <w:t xml:space="preserve"> The Court affirmed a jury verdict of $2.9 million and held that the representative evidence offered by the plaintiffs was permissible to prove liability and damages as to the entire class.</w:t>
      </w:r>
      <w:r>
        <w:rPr>
          <w:vertAlign w:val="superscript"/>
        </w:rPr>
        <w:footnoteReference w:id="870"/>
      </w:r>
      <w:r w:rsidRPr="00AD2F44">
        <w:t xml:space="preserve"> It reasoned that one way to show that the sample is reliable is to show that each class member could have relied on the sample to establish liability if the class member had brought an individual action.</w:t>
      </w:r>
      <w:r>
        <w:rPr>
          <w:vertAlign w:val="superscript"/>
        </w:rPr>
        <w:footnoteReference w:id="871"/>
      </w:r>
      <w:r w:rsidRPr="00AD2F44">
        <w:t xml:space="preserve"> In distinguishing the case from </w:t>
      </w:r>
      <w:r w:rsidRPr="00AD2F44">
        <w:rPr>
          <w:i/>
          <w:iCs/>
        </w:rPr>
        <w:t>Wal-Mart Stores, Inc. v. Dukes</w:t>
      </w:r>
      <w:r w:rsidRPr="00AD2F44">
        <w:t>,</w:t>
      </w:r>
      <w:r>
        <w:rPr>
          <w:vertAlign w:val="superscript"/>
        </w:rPr>
        <w:footnoteReference w:id="872"/>
      </w:r>
      <w:r w:rsidRPr="00AD2F44">
        <w:t xml:space="preserve"> the Court explained:</w:t>
      </w:r>
    </w:p>
    <w:p w14:paraId="5C675DC2" w14:textId="77777777" w:rsidR="004322B1" w:rsidRPr="00AD2F44" w:rsidRDefault="004322B1">
      <w:pPr>
        <w:pStyle w:val="09BBlockQuoteWithoutIndent"/>
        <w:rPr>
          <w:vertAlign w:val="superscript"/>
        </w:rPr>
      </w:pPr>
      <w:r w:rsidRPr="00AD2F44">
        <w:t xml:space="preserve">[T]he study here could have been sufficient to sustain a jury finding as to hours worked if it were introduced in each employee’s individual action. While the experiences of the employees in </w:t>
      </w:r>
      <w:r w:rsidRPr="00AD2F44">
        <w:rPr>
          <w:i/>
          <w:iCs/>
        </w:rPr>
        <w:t>Wal-Mart</w:t>
      </w:r>
      <w:r w:rsidRPr="00AD2F44">
        <w:t xml:space="preserve"> bore little relationship to one another, in this case each employee worked in the same facility, did similar work, and was paid under the same policy. As </w:t>
      </w:r>
      <w:r w:rsidRPr="00AD2F44">
        <w:rPr>
          <w:i/>
          <w:iCs/>
        </w:rPr>
        <w:t>Mt</w:t>
      </w:r>
      <w:r w:rsidRPr="00AD2F44">
        <w:t>.</w:t>
      </w:r>
      <w:r w:rsidRPr="00AD2F44">
        <w:rPr>
          <w:i/>
          <w:iCs/>
        </w:rPr>
        <w:t xml:space="preserve"> Clemens</w:t>
      </w:r>
      <w:r w:rsidRPr="00AD2F44">
        <w:t xml:space="preserve"> confirms, under these circumstances the experiences of a subset of employees can be probative as to the experiences of all of them.</w:t>
      </w:r>
      <w:r>
        <w:rPr>
          <w:vertAlign w:val="superscript"/>
        </w:rPr>
        <w:footnoteReference w:id="873"/>
      </w:r>
    </w:p>
    <w:p w14:paraId="0484D2C4" w14:textId="77777777" w:rsidR="004322B1" w:rsidRPr="00AD2F44" w:rsidRDefault="004322B1">
      <w:pPr>
        <w:pStyle w:val="10ATextWithIndent"/>
        <w:rPr>
          <w:vertAlign w:val="superscript"/>
        </w:rPr>
      </w:pPr>
      <w:r w:rsidRPr="00AD2F44">
        <w:t>Time-study expert testimony has also been considered to evaluate whether the time at issue qualifies as de minimis.</w:t>
      </w:r>
      <w:r>
        <w:rPr>
          <w:vertAlign w:val="superscript"/>
        </w:rPr>
        <w:footnoteReference w:id="874"/>
      </w:r>
      <w:r w:rsidRPr="00AD2F44">
        <w:t xml:space="preserve"> However, courts have excluded such evidence where it was based on unreliable methodologies.</w:t>
      </w:r>
      <w:r>
        <w:rPr>
          <w:vertAlign w:val="superscript"/>
        </w:rPr>
        <w:footnoteReference w:id="875"/>
      </w:r>
      <w:r w:rsidRPr="00AD2F44">
        <w:t xml:space="preserve"> Even in those cases where the court allows expert time-study evidence bearing on representative testimony, however, such evidence has been held to have limited application in calculating damages.</w:t>
      </w:r>
      <w:r>
        <w:rPr>
          <w:vertAlign w:val="superscript"/>
        </w:rPr>
        <w:footnoteReference w:id="876"/>
      </w:r>
    </w:p>
    <w:p w14:paraId="76966345" w14:textId="77777777" w:rsidR="004322B1" w:rsidRPr="00AD2F44" w:rsidRDefault="004322B1">
      <w:pPr>
        <w:pStyle w:val="05Second-LevelHeadABC"/>
      </w:pPr>
      <w:r w:rsidRPr="00AD2F44">
        <w:t>C.</w:t>
      </w:r>
      <w:r w:rsidRPr="00AD2F44">
        <w:tab/>
        <w:t>Order and Presentation of Proof</w:t>
      </w:r>
    </w:p>
    <w:p w14:paraId="026B4582" w14:textId="77777777" w:rsidR="004322B1" w:rsidRPr="00AD2F44" w:rsidRDefault="004322B1">
      <w:pPr>
        <w:pStyle w:val="10ATextWithIndent"/>
      </w:pPr>
      <w:r w:rsidRPr="00AD2F44">
        <w:t>To promote greater efficiency and judicial economy in collective actions, in light of the often large number of plaintiffs and the complexity caused by the burden-shifting schemes of FLSA jurisprudence, courts managing collective action trials often employ a variety of procedural mechanisms that impact the order and presentation of proof.</w:t>
      </w:r>
    </w:p>
    <w:p w14:paraId="68562E04" w14:textId="77777777" w:rsidR="004322B1" w:rsidRPr="00AD2F44" w:rsidRDefault="004322B1">
      <w:pPr>
        <w:pStyle w:val="10ATextWithIndent"/>
      </w:pPr>
      <w:r w:rsidRPr="00AD2F44">
        <w:t>Rule 403 of the Federal Rules of Evidence enables trial judges to exclude needlessly cumulative evidence.</w:t>
      </w:r>
      <w:r>
        <w:rPr>
          <w:vertAlign w:val="superscript"/>
        </w:rPr>
        <w:footnoteReference w:id="877"/>
      </w:r>
      <w:r w:rsidRPr="00AD2F44">
        <w:t xml:space="preserve"> Relying on this rule, courts may limit the number of witnesses that each side may call at trial or limit the length of collective action trials.</w:t>
      </w:r>
      <w:r>
        <w:rPr>
          <w:vertAlign w:val="superscript"/>
        </w:rPr>
        <w:footnoteReference w:id="878"/>
      </w:r>
      <w:r w:rsidRPr="00AD2F44">
        <w:t xml:space="preserve"> In determining whether to limit the number of witnesses that each side may call, courts often rely on representations by counsel, or by stipulations between the parties, that establish that additional witnesses would testify similarly to other witnesses that are actually presented at trial.</w:t>
      </w:r>
      <w:r>
        <w:rPr>
          <w:vertAlign w:val="superscript"/>
        </w:rPr>
        <w:footnoteReference w:id="879"/>
      </w:r>
    </w:p>
    <w:p w14:paraId="4D304C96" w14:textId="77777777" w:rsidR="004322B1" w:rsidRPr="00AD2F44" w:rsidRDefault="004322B1">
      <w:pPr>
        <w:pStyle w:val="10ATextWithIndent"/>
      </w:pPr>
      <w:r w:rsidRPr="00AD2F44">
        <w:t>Although placing limits on numbers of witnesses is an important method to manage collective action trials, there are, of course, limits to courts’ ability to use this tool. Rule 403 requires courts to balance the probative value of evidence against the negative consequences of using that evidence. Thus, Rule 403 does not permit judges to exclude evidence with probative value just because it will cause delay.</w:t>
      </w:r>
      <w:r>
        <w:rPr>
          <w:vertAlign w:val="superscript"/>
        </w:rPr>
        <w:footnoteReference w:id="880"/>
      </w:r>
      <w:r w:rsidRPr="00AD2F44">
        <w:t xml:space="preserve"> This is particularly significant given the number of collective action trials that involve proof based on representative evidence.</w:t>
      </w:r>
      <w:r>
        <w:rPr>
          <w:vertAlign w:val="superscript"/>
        </w:rPr>
        <w:footnoteReference w:id="881"/>
      </w:r>
      <w:r w:rsidRPr="00AD2F44">
        <w:t xml:space="preserve"> Imposing a witness limit that is too strict might inappropriately preclude the parties from presenting sufficient evidence to sustain their burdens of proof.</w:t>
      </w:r>
      <w:r>
        <w:rPr>
          <w:vertAlign w:val="superscript"/>
        </w:rPr>
        <w:footnoteReference w:id="882"/>
      </w:r>
      <w:r w:rsidRPr="00AD2F44">
        <w:t xml:space="preserve"> Further, because such limitations may impact the ability to present sufficient evidence, courts may preclude defendants from arguing that plaintiffs have failed to present enough representative evidence in situations where defendants agree to, or advocate for, limits on the evidence that the parties can present at trial.</w:t>
      </w:r>
      <w:r>
        <w:rPr>
          <w:vertAlign w:val="superscript"/>
        </w:rPr>
        <w:footnoteReference w:id="883"/>
      </w:r>
    </w:p>
    <w:p w14:paraId="50F6EE02" w14:textId="77777777" w:rsidR="004322B1" w:rsidRPr="00AD2F44" w:rsidRDefault="004322B1">
      <w:pPr>
        <w:pStyle w:val="10ATextWithIndent"/>
      </w:pPr>
      <w:r w:rsidRPr="00AD2F44">
        <w:t>In addition to limiting the number of witnesses that each side may call at trial, courts sometimes attempt to make FLSA collective action trials more manageable by bifurcating the liability and damages phases of such trials.</w:t>
      </w:r>
      <w:r>
        <w:rPr>
          <w:vertAlign w:val="superscript"/>
        </w:rPr>
        <w:footnoteReference w:id="884"/>
      </w:r>
      <w:r w:rsidRPr="00AD2F44">
        <w:t xml:space="preserve"> Pursuant to Rule 42(b) of the Federal Rules of Civil Procedure, courts have the discretion to order a separate trial of any claim or issue.</w:t>
      </w:r>
      <w:r>
        <w:rPr>
          <w:vertAlign w:val="superscript"/>
        </w:rPr>
        <w:footnoteReference w:id="885"/>
      </w:r>
      <w:r w:rsidRPr="00AD2F44">
        <w:t xml:space="preserve"> Given the burden-shifting mechanisms established by </w:t>
      </w:r>
      <w:r w:rsidRPr="00AD2F44">
        <w:rPr>
          <w:i/>
        </w:rPr>
        <w:t>Mt. Clemens</w:t>
      </w:r>
      <w:r w:rsidRPr="00AD2F44">
        <w:t>,</w:t>
      </w:r>
      <w:r>
        <w:rPr>
          <w:vertAlign w:val="superscript"/>
        </w:rPr>
        <w:footnoteReference w:id="886"/>
      </w:r>
      <w:r w:rsidRPr="00AD2F44">
        <w:t xml:space="preserve"> liability determinations in FLSA collective actions often focus on the establishment of a pattern or practice of FLSA violations that can be proved by representative evidence.</w:t>
      </w:r>
      <w:r>
        <w:rPr>
          <w:vertAlign w:val="superscript"/>
        </w:rPr>
        <w:footnoteReference w:id="887"/>
      </w:r>
    </w:p>
    <w:p w14:paraId="2C15A290" w14:textId="77777777" w:rsidR="004322B1" w:rsidRPr="00AD2F44" w:rsidRDefault="004322B1">
      <w:pPr>
        <w:pStyle w:val="10ATextWithIndent"/>
      </w:pPr>
      <w:r w:rsidRPr="00AD2F44">
        <w:t>Once such a pattern or practice is established, and the defendant fails to rebut that prima facie showing or prove its affirmative defenses, the issue becomes what damages should be awarded to remedy that violation. Such a damages showing often involves particularized determinations with respect to each employee, or class of employees, represented in the action.</w:t>
      </w:r>
      <w:r>
        <w:rPr>
          <w:vertAlign w:val="superscript"/>
        </w:rPr>
        <w:footnoteReference w:id="888"/>
      </w:r>
      <w:r w:rsidRPr="00AD2F44">
        <w:t xml:space="preserve"> Thus, by bifurcating damages from liability, courts may avoid expending unnecessary resources on the issue of damages in the event that liability is not established, as well as avoid the possibility of confusion and prejudice by presenting damages and liability evidence at the same time.</w:t>
      </w:r>
      <w:r>
        <w:rPr>
          <w:vertAlign w:val="superscript"/>
        </w:rPr>
        <w:footnoteReference w:id="889"/>
      </w:r>
    </w:p>
    <w:p w14:paraId="550A2E00" w14:textId="77777777" w:rsidR="004322B1" w:rsidRPr="00AD2F44" w:rsidRDefault="004322B1">
      <w:pPr>
        <w:pStyle w:val="10ATextWithIndent"/>
      </w:pPr>
      <w:r w:rsidRPr="00AD2F44">
        <w:t>In addition to these two main methods of promoting the efficient trial of FLSA collective action claims, in some instances courts have attempted to create more streamlined trials by ordering the parties to present their cases in a particular order. Under normal circumstances plaintiffs present their case-in-chief, defendants present a rebuttal to that case and their own affirmative defenses, and then the plaintiffs present a rebuttal to the defendant’s defenses. In at least one FLSA collective action trial, however, the court ruled that the plaintiffs had to present their rebuttal evidence to the defendant’s affirmative defense as part of their case-in-chief.</w:t>
      </w:r>
      <w:r>
        <w:rPr>
          <w:vertAlign w:val="superscript"/>
        </w:rPr>
        <w:footnoteReference w:id="890"/>
      </w:r>
      <w:r w:rsidRPr="00AD2F44">
        <w:t xml:space="preserve"> Further, in cases where defendants have the burden of proof on the affirmative defense, some courts have permitted defendants to present their case-in-chief before plaintiffs.</w:t>
      </w:r>
      <w:r>
        <w:rPr>
          <w:vertAlign w:val="superscript"/>
        </w:rPr>
        <w:footnoteReference w:id="891"/>
      </w:r>
    </w:p>
    <w:p w14:paraId="02939EFB" w14:textId="77777777" w:rsidR="004322B1" w:rsidRPr="00AD2F44" w:rsidRDefault="004322B1">
      <w:pPr>
        <w:pStyle w:val="04First-LevelHeadIIIIII"/>
      </w:pPr>
      <w:r w:rsidRPr="00AD2F44">
        <w:t>IX.</w:t>
      </w:r>
      <w:r w:rsidRPr="00AD2F44">
        <w:t> </w:t>
      </w:r>
      <w:r w:rsidRPr="00AD2F44">
        <w:t>Appellate Issues for Collective Actions</w:t>
      </w:r>
    </w:p>
    <w:p w14:paraId="7446A2A7" w14:textId="77777777" w:rsidR="004322B1" w:rsidRPr="00AD2F44" w:rsidRDefault="004322B1">
      <w:pPr>
        <w:pStyle w:val="10ATextWithIndent"/>
      </w:pPr>
      <w:r w:rsidRPr="00AD2F44">
        <w:t>The primary appellate issue unique to collective actions is whether decisions granting or denying collective action treatment are subject to appellate review before a final judgment after trial on the merits.</w:t>
      </w:r>
    </w:p>
    <w:p w14:paraId="54DAC599" w14:textId="77777777" w:rsidR="004322B1" w:rsidRPr="00AD2F44" w:rsidRDefault="004322B1">
      <w:pPr>
        <w:pStyle w:val="10ATextWithIndent"/>
      </w:pPr>
      <w:r w:rsidRPr="00AD2F44">
        <w:t>Orders granting or denying motions to issue notice to a conditional collective action class are not final judgments appealable under 28 U.S.C. §1291.</w:t>
      </w:r>
      <w:r>
        <w:rPr>
          <w:vertAlign w:val="superscript"/>
        </w:rPr>
        <w:footnoteReference w:id="892"/>
      </w:r>
      <w:r w:rsidRPr="00AD2F44">
        <w:t xml:space="preserve"> Further, unlike class certification decisions under Rule 23(f), there is no explicit mechanism under Section 216(b) for seeking review of conditional certification decisions.</w:t>
      </w:r>
      <w:r>
        <w:rPr>
          <w:vertAlign w:val="superscript"/>
        </w:rPr>
        <w:footnoteReference w:id="893"/>
      </w:r>
      <w:r w:rsidRPr="00AD2F44">
        <w:t xml:space="preserve"> </w:t>
      </w:r>
    </w:p>
    <w:p w14:paraId="67DB62C2" w14:textId="77777777" w:rsidR="004322B1" w:rsidRPr="00AD2F44" w:rsidRDefault="004322B1">
      <w:pPr>
        <w:pStyle w:val="10ATextWithIndent"/>
        <w:rPr>
          <w:vertAlign w:val="superscript"/>
        </w:rPr>
      </w:pPr>
      <w:r w:rsidRPr="00AD2F44">
        <w:t xml:space="preserve">Parties who have sought appellate review of collective action certification decisions have done so under the Supreme Court’s “collateral order” exception to Section 1291 from </w:t>
      </w:r>
      <w:r w:rsidRPr="00AD2F44">
        <w:rPr>
          <w:i/>
          <w:iCs/>
        </w:rPr>
        <w:t>Cohen v. Beneficial Industrial Loan Corp</w:t>
      </w:r>
      <w:r w:rsidRPr="00AD2F44">
        <w:t>.</w:t>
      </w:r>
      <w:r>
        <w:rPr>
          <w:vertAlign w:val="superscript"/>
        </w:rPr>
        <w:footnoteReference w:id="894"/>
      </w:r>
      <w:r w:rsidRPr="00AD2F44">
        <w:t xml:space="preserve"> None has been successful.</w:t>
      </w:r>
      <w:r>
        <w:rPr>
          <w:vertAlign w:val="superscript"/>
        </w:rPr>
        <w:footnoteReference w:id="895"/>
      </w:r>
      <w:r w:rsidRPr="00AD2F44">
        <w:t xml:space="preserve"> Courts have rejected interlocutory appeals both by defendants after a motion to issue notice was granted</w:t>
      </w:r>
      <w:r>
        <w:rPr>
          <w:vertAlign w:val="superscript"/>
        </w:rPr>
        <w:footnoteReference w:id="896"/>
      </w:r>
      <w:r w:rsidRPr="00AD2F44">
        <w:t xml:space="preserve"> and by plaintiffs when such a motion was denied.</w:t>
      </w:r>
      <w:r>
        <w:rPr>
          <w:vertAlign w:val="superscript"/>
        </w:rPr>
        <w:footnoteReference w:id="897"/>
      </w:r>
      <w:r w:rsidRPr="00AD2F44">
        <w:t xml:space="preserve"> Courts have also concluded that orders on decertification motions are not subject to interlocutory review.</w:t>
      </w:r>
      <w:r>
        <w:rPr>
          <w:vertAlign w:val="superscript"/>
        </w:rPr>
        <w:footnoteReference w:id="898"/>
      </w:r>
      <w:r w:rsidRPr="00AD2F44">
        <w:t xml:space="preserve"> As the Third Circuit explained, to obtain appellate review of a decertification decision, “the plaintiff must either proceed to a final judgment on the merits of his or her individual claims or seek the District Court’s permission to pursue an immediate appeal.”</w:t>
      </w:r>
      <w:r>
        <w:rPr>
          <w:vertAlign w:val="superscript"/>
        </w:rPr>
        <w:footnoteReference w:id="899"/>
      </w:r>
    </w:p>
    <w:p w14:paraId="6668A70F" w14:textId="77777777" w:rsidR="004322B1" w:rsidRPr="00AD2F44" w:rsidRDefault="004322B1">
      <w:pPr>
        <w:pStyle w:val="10ATextWithIndent"/>
        <w:rPr>
          <w:vertAlign w:val="superscript"/>
        </w:rPr>
      </w:pPr>
      <w:r w:rsidRPr="00AD2F44">
        <w:t>Where decertification is granted, the Ninth Circuit has held that opt-ins’ argument that being “</w:t>
      </w:r>
      <w:proofErr w:type="spellStart"/>
      <w:r w:rsidRPr="00AD2F44">
        <w:t>ouste</w:t>
      </w:r>
      <w:proofErr w:type="spellEnd"/>
      <w:r w:rsidRPr="00AD2F44">
        <w:t>[d]” from the suit “violated their right under the FLSA to pursue their claims collectively” allows them to appeal that order because “the dismissal order then merged into the final judgment. Nothing more is needed for appellate jurisdiction or for standing.”</w:t>
      </w:r>
      <w:r>
        <w:rPr>
          <w:vertAlign w:val="superscript"/>
        </w:rPr>
        <w:footnoteReference w:id="900"/>
      </w:r>
      <w:r w:rsidRPr="00AD2F44">
        <w:t xml:space="preserve"> Similarly, the Eleventh Circuit has opined that opt-ins are party plaintiffs and have standing to appeal once there is an entry of judgment (in this case, the final settlement approval decision).</w:t>
      </w:r>
      <w:r>
        <w:rPr>
          <w:vertAlign w:val="superscript"/>
        </w:rPr>
        <w:footnoteReference w:id="901"/>
      </w:r>
    </w:p>
    <w:p w14:paraId="57DDCA95" w14:textId="77777777" w:rsidR="004322B1" w:rsidRPr="00AD2F44" w:rsidRDefault="004322B1">
      <w:pPr>
        <w:pStyle w:val="10ATextWithIndent"/>
      </w:pPr>
      <w:r w:rsidRPr="00AD2F44">
        <w:t xml:space="preserve">The courts considering the application of </w:t>
      </w:r>
      <w:r w:rsidRPr="00AD2F44">
        <w:rPr>
          <w:i/>
          <w:iCs/>
        </w:rPr>
        <w:t>Cohen</w:t>
      </w:r>
      <w:r w:rsidRPr="00AD2F44">
        <w:t xml:space="preserve">’s collateral order exception have relied on the reasoning of the Supreme Court in </w:t>
      </w:r>
      <w:r w:rsidRPr="00AD2F44">
        <w:rPr>
          <w:i/>
          <w:iCs/>
        </w:rPr>
        <w:t>Coopers &amp; Lybrand v. Livesay</w:t>
      </w:r>
      <w:r w:rsidRPr="00AD2F44">
        <w:t>.</w:t>
      </w:r>
      <w:r>
        <w:rPr>
          <w:vertAlign w:val="superscript"/>
        </w:rPr>
        <w:footnoteReference w:id="902"/>
      </w:r>
      <w:r w:rsidRPr="00AD2F44">
        <w:t xml:space="preserve"> The Court in </w:t>
      </w:r>
      <w:r w:rsidRPr="00AD2F44">
        <w:rPr>
          <w:i/>
          <w:iCs/>
        </w:rPr>
        <w:t xml:space="preserve">Coopers &amp; Lybrand </w:t>
      </w:r>
      <w:r w:rsidRPr="00AD2F44">
        <w:t>held that class certification decisions under Rule 23 are not subject to the exception, because (1) the order is subject to review and modification by the district court, (2) the certification decision is not separate but rather involves issues that are intertwined with the merits of the plaintiff’s claims, and (3) the certification decision is subject to effective review after final judgment.</w:t>
      </w:r>
      <w:r>
        <w:rPr>
          <w:vertAlign w:val="superscript"/>
        </w:rPr>
        <w:footnoteReference w:id="903"/>
      </w:r>
      <w:r w:rsidRPr="00AD2F44">
        <w:t xml:space="preserve"> Although later decisions have acknowledged Rule 23(f)’s abrogation of </w:t>
      </w:r>
      <w:r w:rsidRPr="00AD2F44">
        <w:rPr>
          <w:i/>
          <w:iCs/>
        </w:rPr>
        <w:t>Coopers &amp; Lybrand</w:t>
      </w:r>
      <w:r w:rsidRPr="00AD2F44">
        <w:t xml:space="preserve"> with respect to Rule 23 certification decisions, they have held that the reasoning of the case continues to support rejection of interlocutory appeals in Section 216(b) certification decisions,</w:t>
      </w:r>
      <w:r>
        <w:rPr>
          <w:vertAlign w:val="superscript"/>
        </w:rPr>
        <w:footnoteReference w:id="904"/>
      </w:r>
      <w:r w:rsidRPr="00AD2F44">
        <w:t xml:space="preserve"> and one court has held that the existence of Rule 23(f) without a parallel provision under Section 216(b) only strengthened its reliance on </w:t>
      </w:r>
      <w:r w:rsidRPr="00AD2F44">
        <w:rPr>
          <w:i/>
          <w:iCs/>
        </w:rPr>
        <w:t>Coopers &amp; Lybrand</w:t>
      </w:r>
      <w:r w:rsidRPr="00AD2F44">
        <w:t>.</w:t>
      </w:r>
      <w:r>
        <w:rPr>
          <w:vertAlign w:val="superscript"/>
        </w:rPr>
        <w:footnoteReference w:id="905"/>
      </w:r>
    </w:p>
    <w:p w14:paraId="72B191B0" w14:textId="77777777" w:rsidR="004322B1" w:rsidRPr="00AD2F44" w:rsidRDefault="004322B1">
      <w:pPr>
        <w:pStyle w:val="10ATextWithIndent"/>
      </w:pPr>
      <w:r w:rsidRPr="00AD2F44">
        <w:t>Another argument raised by litigants seeking interlocutory appeal of a district court order on conditional certification is that it can be reviewed along with a decision under Rule 23 on the basis of pendent appellate jurisdiction.</w:t>
      </w:r>
      <w:r>
        <w:rPr>
          <w:vertAlign w:val="superscript"/>
        </w:rPr>
        <w:footnoteReference w:id="906"/>
      </w:r>
      <w:r w:rsidRPr="00AD2F44">
        <w:t xml:space="preserve"> This argument has been rejected because the pendent appellate jurisdiction rule is narrowly construed, and the standard for conditional certification and the Rule 23 certification standard—particularly predominance—are distinct and do not require evaluation of the evidence under the same standard.</w:t>
      </w:r>
      <w:r>
        <w:rPr>
          <w:vertAlign w:val="superscript"/>
        </w:rPr>
        <w:footnoteReference w:id="907"/>
      </w:r>
      <w:r w:rsidRPr="00AD2F44">
        <w:t xml:space="preserve"> However, the Third Circuit in </w:t>
      </w:r>
      <w:r w:rsidRPr="00AD2F44">
        <w:rPr>
          <w:i/>
          <w:iCs/>
        </w:rPr>
        <w:t>Reinig v. RBS Citizens</w:t>
      </w:r>
      <w:r>
        <w:rPr>
          <w:vertAlign w:val="superscript"/>
        </w:rPr>
        <w:footnoteReference w:id="908"/>
      </w:r>
      <w:r w:rsidRPr="00AD2F44">
        <w:rPr>
          <w:i/>
          <w:iCs/>
        </w:rPr>
        <w:t xml:space="preserve"> </w:t>
      </w:r>
      <w:r w:rsidRPr="00AD2F44">
        <w:t>identified a narrow exception that allows the “exercise [of] pendent appellate jurisdiction ‘over issues that are not independently appealable,’” but held that the exception had not been satisfied in that particular appeal regarding a district court order granting the certification of a collective.</w:t>
      </w:r>
      <w:r>
        <w:rPr>
          <w:vertAlign w:val="superscript"/>
        </w:rPr>
        <w:footnoteReference w:id="909"/>
      </w:r>
    </w:p>
    <w:p w14:paraId="212F0BCB" w14:textId="77777777" w:rsidR="004322B1" w:rsidRPr="00AD2F44" w:rsidRDefault="004322B1">
      <w:pPr>
        <w:pStyle w:val="10ATextWithIndent"/>
      </w:pPr>
      <w:r w:rsidRPr="00AD2F44">
        <w:t>Another appellate issue that may arise is the extent to which a named plaintiff maintains standing to pursue an appeal after accepting an offer of judgment.</w:t>
      </w:r>
      <w:r>
        <w:rPr>
          <w:vertAlign w:val="superscript"/>
        </w:rPr>
        <w:footnoteReference w:id="910"/>
      </w:r>
      <w:r w:rsidRPr="00AD2F44">
        <w:t xml:space="preserve"> In </w:t>
      </w:r>
      <w:r w:rsidRPr="00AD2F44">
        <w:rPr>
          <w:i/>
          <w:iCs/>
        </w:rPr>
        <w:t>Smith v</w:t>
      </w:r>
      <w:r w:rsidRPr="00AD2F44">
        <w:t>.</w:t>
      </w:r>
      <w:r w:rsidRPr="00AD2F44">
        <w:rPr>
          <w:i/>
          <w:iCs/>
        </w:rPr>
        <w:t xml:space="preserve"> T-Mobile USA Inc</w:t>
      </w:r>
      <w:r w:rsidRPr="00AD2F44">
        <w:t>.,</w:t>
      </w:r>
      <w:r>
        <w:rPr>
          <w:vertAlign w:val="superscript"/>
        </w:rPr>
        <w:footnoteReference w:id="911"/>
      </w:r>
      <w:r w:rsidRPr="00AD2F44">
        <w:t xml:space="preserve"> the Ninth Circuit joined the Fifth and Eleventh Circuits in holding that “a[n] FLSA plaintiff who voluntarily settles his individual claims prior to being joined by opt-in plaintiffs and after the district court’s certification denial does not retain a personal stake in the appeal so as to preserve [appellate] jurisdiction.”</w:t>
      </w:r>
      <w:r>
        <w:rPr>
          <w:vertAlign w:val="superscript"/>
        </w:rPr>
        <w:footnoteReference w:id="912"/>
      </w:r>
      <w:r w:rsidRPr="00AD2F44">
        <w:t xml:space="preserve"> The plaintiffs in </w:t>
      </w:r>
      <w:r w:rsidRPr="00AD2F44">
        <w:rPr>
          <w:i/>
          <w:iCs/>
        </w:rPr>
        <w:t>Smith</w:t>
      </w:r>
      <w:r w:rsidRPr="00AD2F44">
        <w:t>, after being denied certification, agreed to accept an offer of judgment in full satisfaction of their individual claims, and a separate amount in full satisfaction for attorneys’ fees and costs.</w:t>
      </w:r>
      <w:r>
        <w:rPr>
          <w:vertAlign w:val="superscript"/>
        </w:rPr>
        <w:footnoteReference w:id="913"/>
      </w:r>
      <w:r w:rsidRPr="00AD2F44">
        <w:t xml:space="preserve"> The plaintiffs attempted to preserve their right to appeal via a stipulation with the defendant, but the court held that “structural distinctions between a[n] FLSA collective action and a Rule 23 class action foreclose appellants’ claims of a continuing personal stake.”</w:t>
      </w:r>
      <w:r>
        <w:rPr>
          <w:vertAlign w:val="superscript"/>
        </w:rPr>
        <w:footnoteReference w:id="914"/>
      </w:r>
      <w:r w:rsidRPr="00AD2F44">
        <w:t xml:space="preserve"> Because an FLSA collective action, unlike a Rule 23 class action, depends for its existence on other plaintiffs opting in, if no other plaintiffs have opted in, an FLSA plaintiff is representing no one’s interest but his own; if he settles that interest, there are no claims remaining to assert, nor are there remaining stakes in attorneys’ fees, costs, or any possible plaintiffs’ enhancement that could accompany a collective action.</w:t>
      </w:r>
      <w:r>
        <w:rPr>
          <w:vertAlign w:val="superscript"/>
        </w:rPr>
        <w:footnoteReference w:id="915"/>
      </w:r>
    </w:p>
    <w:p w14:paraId="24E43228" w14:textId="77777777" w:rsidR="004322B1" w:rsidRPr="00AD2F44" w:rsidRDefault="004322B1">
      <w:pPr>
        <w:pStyle w:val="10ATextWithIndent"/>
      </w:pPr>
      <w:r w:rsidRPr="00AD2F44">
        <w:t xml:space="preserve">On the other hand, the Seventh Circuit held, in </w:t>
      </w:r>
      <w:r w:rsidRPr="00AD2F44">
        <w:rPr>
          <w:i/>
          <w:iCs/>
        </w:rPr>
        <w:t xml:space="preserve">Espenscheid v. </w:t>
      </w:r>
      <w:proofErr w:type="spellStart"/>
      <w:r w:rsidRPr="00AD2F44">
        <w:rPr>
          <w:i/>
          <w:iCs/>
        </w:rPr>
        <w:t>DirectSAT</w:t>
      </w:r>
      <w:proofErr w:type="spellEnd"/>
      <w:r w:rsidRPr="00AD2F44">
        <w:rPr>
          <w:i/>
          <w:iCs/>
        </w:rPr>
        <w:t xml:space="preserve"> USA, LLC</w:t>
      </w:r>
      <w:r w:rsidRPr="00AD2F44">
        <w:t>,</w:t>
      </w:r>
      <w:r>
        <w:rPr>
          <w:vertAlign w:val="superscript"/>
        </w:rPr>
        <w:footnoteReference w:id="916"/>
      </w:r>
      <w:r w:rsidRPr="00AD2F44">
        <w:t xml:space="preserve"> that, where plaintiffs were denied the ability to obtain incentive awards that were conditional on certification of a collective action, their settlement and dismissal following decertification did not divest the court of jurisdiction to hear the appeal.</w:t>
      </w:r>
      <w:r>
        <w:rPr>
          <w:vertAlign w:val="superscript"/>
        </w:rPr>
        <w:footnoteReference w:id="917"/>
      </w:r>
      <w:r w:rsidRPr="00AD2F44">
        <w:t xml:space="preserve"> The court reasoned that the prospect of a financial incentive award, which was denied by the decertification order, gave the plaintiffs a financial stake in any award that might be given to a class, similar to financial assignees, meaning that they had a continuing stake.</w:t>
      </w:r>
      <w:r>
        <w:rPr>
          <w:vertAlign w:val="superscript"/>
        </w:rPr>
        <w:footnoteReference w:id="918"/>
      </w:r>
    </w:p>
    <w:p w14:paraId="6164DFFA" w14:textId="77777777" w:rsidR="004322B1" w:rsidRPr="00AD2F44" w:rsidRDefault="004322B1" w:rsidP="00377A90">
      <w:pPr>
        <w:pStyle w:val="10ATextWithIndent"/>
        <w:ind w:firstLine="0"/>
      </w:pPr>
      <w:r w:rsidRPr="00AD2F44">
        <w:tab/>
        <w:t>A similar issue arises when a named plaintiff in a decertified case succeeds on the merits yet wishes to appeal the decertification order. In considering whether that plaintiff maintains a cognizable interest in the appeal, the Second Circuit held that the plaintiff retains a “private attorney general interest [that] suffices for jurisdiction.”</w:t>
      </w:r>
      <w:r>
        <w:rPr>
          <w:rStyle w:val="FootnoteReference"/>
        </w:rPr>
        <w:footnoteReference w:id="919"/>
      </w:r>
      <w:r w:rsidRPr="00AD2F44">
        <w:t xml:space="preserve"> </w:t>
      </w:r>
    </w:p>
    <w:p w14:paraId="75F1638B" w14:textId="77777777" w:rsidR="004322B1" w:rsidRPr="00AD2F44" w:rsidRDefault="004322B1" w:rsidP="008D4DF3">
      <w:pPr>
        <w:pStyle w:val="10ATextWithIndent"/>
      </w:pPr>
      <w:r w:rsidRPr="00AD2F44">
        <w:t>In some cases, appellants have also sought review of certification decisions via a petition for writ of mandamus.</w:t>
      </w:r>
      <w:r>
        <w:rPr>
          <w:vertAlign w:val="superscript"/>
        </w:rPr>
        <w:footnoteReference w:id="920"/>
      </w:r>
      <w:r w:rsidRPr="00AD2F44">
        <w:t xml:space="preserve"> For reasons similar to the rejection of the collateral order exception to the final judgment rule, these efforts have also been rejected.</w:t>
      </w:r>
      <w:r>
        <w:rPr>
          <w:vertAlign w:val="superscript"/>
        </w:rPr>
        <w:footnoteReference w:id="921"/>
      </w:r>
      <w:r>
        <w:t xml:space="preserve"> At least one court has held that a party cannot move for interlocutory appeal of a lower court’s decision on the number and type of certification stages.</w:t>
      </w:r>
      <w:r>
        <w:rPr>
          <w:rStyle w:val="FootnoteReference"/>
        </w:rPr>
        <w:footnoteReference w:id="922"/>
      </w:r>
      <w:r>
        <w:t xml:space="preserve"> </w:t>
      </w:r>
      <w:r w:rsidRPr="00AD2F44">
        <w:t>A notable exception is a case from the Fifth Circuit that granted a writ of mandamus after a district court allowed judicial notice to issue to potential opt-ins with arbitration agreements, in violation of circuit precedent.</w:t>
      </w:r>
      <w:r>
        <w:rPr>
          <w:rStyle w:val="FootnoteReference"/>
        </w:rPr>
        <w:footnoteReference w:id="923"/>
      </w:r>
    </w:p>
    <w:p w14:paraId="4884B0A6" w14:textId="77777777" w:rsidR="004322B1" w:rsidRPr="00AD2F44" w:rsidRDefault="004322B1">
      <w:pPr>
        <w:pStyle w:val="10ATextWithIndent"/>
      </w:pPr>
      <w:r w:rsidRPr="00AD2F44">
        <w:t>Further, pending appeal of an order granting or denying a motion to compel arbitration, district courts may not have jurisdiction to decide a motion for equitable tolling of the FLSA limitations period.</w:t>
      </w:r>
      <w:r>
        <w:rPr>
          <w:vertAlign w:val="superscript"/>
        </w:rPr>
        <w:footnoteReference w:id="924"/>
      </w:r>
      <w:r w:rsidRPr="00AD2F44">
        <w:t xml:space="preserve"> Moreover, where a motion to compel is not made but the defendant seeks to prevent opt-ins with arbitration agreements from receiving notice through the court’s conditional certification order, the Sixth Circuit held that such an order is not reviewable on appeal, including under 9 U.S.C. §16(a)(1)(B) of the Federal Arbitration Act (FAA).</w:t>
      </w:r>
      <w:r>
        <w:rPr>
          <w:vertAlign w:val="superscript"/>
        </w:rPr>
        <w:footnoteReference w:id="925"/>
      </w:r>
      <w:r w:rsidRPr="00AD2F44">
        <w:t xml:space="preserve"> When a district court either grants or denies a motion to compel arbitration, the standard of review is de novo.</w:t>
      </w:r>
      <w:r>
        <w:rPr>
          <w:vertAlign w:val="superscript"/>
        </w:rPr>
        <w:footnoteReference w:id="926"/>
      </w:r>
      <w:r w:rsidRPr="00AD2F44">
        <w:t xml:space="preserve"> </w:t>
      </w:r>
    </w:p>
    <w:p w14:paraId="2579B28A" w14:textId="77777777" w:rsidR="004322B1" w:rsidRPr="00AD2F44" w:rsidRDefault="004322B1">
      <w:pPr>
        <w:pStyle w:val="10ATextWithIndent"/>
        <w:rPr>
          <w:vertAlign w:val="superscript"/>
        </w:rPr>
      </w:pPr>
      <w:r w:rsidRPr="00AD2F44">
        <w:t>Another appellate review issue pertains to the exercise of pendent appellate review in suits involving both FLSA collective actions and Rule 23 state wage and hour class actions. When an appellate court is reviewing the propriety of a lower court’s Rule 23 ruling, the issue arises as to whether the FLSA certification decision is “inextricably intertwined” as to warrant pendent appellate review. The Third Circuit, relying on reasoning from the Second Circuit, has held that a Rule 23 class certification and FLSA final collective action certification are not “inextricably intertwined.”</w:t>
      </w:r>
      <w:r>
        <w:rPr>
          <w:vertAlign w:val="superscript"/>
        </w:rPr>
        <w:footnoteReference w:id="927"/>
      </w:r>
      <w:r w:rsidRPr="00AD2F44">
        <w:t xml:space="preserve"> Accordingly, the court declined to exercise pendent appellate jurisdiction over the FLSA collective action certification order, as urged by the defendant.</w:t>
      </w:r>
      <w:r>
        <w:rPr>
          <w:vertAlign w:val="superscript"/>
        </w:rPr>
        <w:footnoteReference w:id="928"/>
      </w:r>
    </w:p>
    <w:p w14:paraId="48C310A1" w14:textId="77777777" w:rsidR="004322B1" w:rsidRPr="00AD2F44" w:rsidRDefault="004322B1">
      <w:pPr>
        <w:pStyle w:val="04First-LevelHeadIIIIII"/>
      </w:pPr>
      <w:r w:rsidRPr="00AD2F44">
        <w:t>X.</w:t>
      </w:r>
      <w:r w:rsidRPr="00AD2F44">
        <w:t> </w:t>
      </w:r>
      <w:r w:rsidRPr="00AD2F44">
        <w:t>The Collective Action Mechanism in Arbitration</w:t>
      </w:r>
    </w:p>
    <w:p w14:paraId="7E61C8AD" w14:textId="77777777" w:rsidR="004322B1" w:rsidRPr="00AD2F44" w:rsidRDefault="004322B1">
      <w:pPr>
        <w:pStyle w:val="10ATextWithIndent"/>
      </w:pPr>
      <w:r w:rsidRPr="00AD2F44">
        <w:t>As discussed in Chapter 16, Litigation Issues, Section III.A [FLSA Claims in Arbitration; Arbitrability of FLSA Claims], FLSA claims are arbitrable under the Federal Arbitration Act (FAA).</w:t>
      </w:r>
      <w:r>
        <w:rPr>
          <w:vertAlign w:val="superscript"/>
        </w:rPr>
        <w:footnoteReference w:id="929"/>
      </w:r>
      <w:r w:rsidRPr="00AD2F44">
        <w:t xml:space="preserve"> However, disputes often arise over whether such claims may be subject to arbitration when they are brought pursuant to the collective action provision in Section 216(b) of the FLSA.</w:t>
      </w:r>
    </w:p>
    <w:p w14:paraId="085C8D09" w14:textId="77777777" w:rsidR="004322B1" w:rsidRPr="00AD2F44" w:rsidRDefault="004322B1">
      <w:pPr>
        <w:pStyle w:val="10ATextWithIndent"/>
      </w:pPr>
      <w:r w:rsidRPr="00AD2F44">
        <w:t>This section discusses a number of issues that have arisen regarding arbitration of FLSA claims in the collective action context, including the enforceability of arbitration provisions that either purport to waive or do not expressly prohibit the employee’s right to pursue a collective action; whether FLSA collective arbitrations proceed on an “opt in” or “opt out” basis; and the impact on conditional certification when putative collective action members may be subject to an arbitration agreement.</w:t>
      </w:r>
      <w:r>
        <w:rPr>
          <w:vertAlign w:val="superscript"/>
        </w:rPr>
        <w:footnoteReference w:id="930"/>
      </w:r>
    </w:p>
    <w:p w14:paraId="619B533B" w14:textId="77777777" w:rsidR="004322B1" w:rsidRPr="00AD2F44" w:rsidRDefault="004322B1">
      <w:pPr>
        <w:pStyle w:val="05Second-LevelHeadABC"/>
      </w:pPr>
      <w:r w:rsidRPr="00AD2F44">
        <w:t>A.</w:t>
      </w:r>
      <w:r w:rsidRPr="00AD2F44">
        <w:tab/>
        <w:t>Arbitration Agreements Expressly Prohibiting Class and Collective Arbitration</w:t>
      </w:r>
    </w:p>
    <w:p w14:paraId="1ED4EAC8" w14:textId="77777777" w:rsidR="004322B1" w:rsidRPr="00AD2F44" w:rsidRDefault="004322B1">
      <w:pPr>
        <w:pStyle w:val="10ATextWithIndent"/>
      </w:pPr>
      <w:r w:rsidRPr="00AD2F44">
        <w:t>Agreements to arbitrate employment disputes commonly contain a provision that expressly prohibits employees from bringing or participating in class or collective actions.</w:t>
      </w:r>
      <w:r>
        <w:rPr>
          <w:vertAlign w:val="superscript"/>
        </w:rPr>
        <w:footnoteReference w:id="931"/>
      </w:r>
      <w:r w:rsidRPr="00AD2F44">
        <w:t xml:space="preserve"> These agreements raise the issue of whether plaintiffs can waive the ability to proceed under the FLSA’s collective action mechanism in Section 216(b).</w:t>
      </w:r>
    </w:p>
    <w:p w14:paraId="693FC728" w14:textId="77777777" w:rsidR="004322B1" w:rsidRPr="00AD2F44" w:rsidRDefault="004322B1">
      <w:pPr>
        <w:pStyle w:val="10ATextWithIndent"/>
      </w:pPr>
      <w:r w:rsidRPr="00AD2F44">
        <w:t>Courts addressing collective action waivers have focused on whether the Section 216(b) collective mechanism is substantive or procedural, and whether the FLSA’s statutory text or legislative history evinces congressional intent to provide employees a nonwaivable right to pursue FLSA claims on a collective basis.</w:t>
      </w:r>
      <w:r>
        <w:rPr>
          <w:vertAlign w:val="superscript"/>
        </w:rPr>
        <w:footnoteReference w:id="932"/>
      </w:r>
      <w:r w:rsidRPr="00AD2F44">
        <w:t xml:space="preserve"> Some courts have expressed policy concerns to question whether Section 216(b) is waivable,</w:t>
      </w:r>
      <w:r>
        <w:rPr>
          <w:vertAlign w:val="superscript"/>
        </w:rPr>
        <w:footnoteReference w:id="933"/>
      </w:r>
      <w:r w:rsidRPr="00AD2F44">
        <w:t xml:space="preserve"> but almost all federal appellate courts to directly address the issue have concluded that the FLSA’s collective action mechanism can be waived in arbitration agreements. In 2004, for example, the Fifth Circuit in </w:t>
      </w:r>
      <w:r w:rsidRPr="00AD2F44">
        <w:rPr>
          <w:i/>
          <w:iCs/>
        </w:rPr>
        <w:t>Carter v. Countrywide Credit Industries, Inc</w:t>
      </w:r>
      <w:r w:rsidRPr="00AD2F44">
        <w:t>.</w:t>
      </w:r>
      <w:r>
        <w:rPr>
          <w:vertAlign w:val="superscript"/>
        </w:rPr>
        <w:footnoteReference w:id="934"/>
      </w:r>
      <w:r w:rsidRPr="00AD2F44">
        <w:t xml:space="preserve"> rejected employees’ claim that their inability to bring a collective action in arbitration deprived them of their substantive rights under the FLSA.</w:t>
      </w:r>
      <w:r>
        <w:rPr>
          <w:vertAlign w:val="superscript"/>
        </w:rPr>
        <w:footnoteReference w:id="935"/>
      </w:r>
      <w:r w:rsidRPr="00AD2F44">
        <w:t xml:space="preserve"> Similarly, in 2005, the Eleventh Circuit in </w:t>
      </w:r>
      <w:r w:rsidRPr="00AD2F44">
        <w:rPr>
          <w:i/>
          <w:iCs/>
        </w:rPr>
        <w:t>Caley v. Gulfstream Aerospace Corp</w:t>
      </w:r>
      <w:r w:rsidRPr="00AD2F44">
        <w:t>.</w:t>
      </w:r>
      <w:r>
        <w:rPr>
          <w:vertAlign w:val="superscript"/>
        </w:rPr>
        <w:footnoteReference w:id="936"/>
      </w:r>
      <w:r w:rsidRPr="00AD2F44">
        <w:t xml:space="preserve"> held that arbitration agreements that prohibit collective actions are “consistent with the goals of ‘simplicity, informality, and expedition’ touted by the Supreme Court in </w:t>
      </w:r>
      <w:r w:rsidRPr="00AD2F44">
        <w:rPr>
          <w:i/>
          <w:iCs/>
        </w:rPr>
        <w:t xml:space="preserve">Gilmer </w:t>
      </w:r>
      <w:r w:rsidRPr="00AD2F44">
        <w:t>[</w:t>
      </w:r>
      <w:r w:rsidRPr="00AD2F44">
        <w:rPr>
          <w:i/>
          <w:iCs/>
        </w:rPr>
        <w:t>v. Interstate/Johnson Lane Corp</w:t>
      </w:r>
      <w:r w:rsidRPr="00AD2F44">
        <w:t>].”</w:t>
      </w:r>
      <w:r>
        <w:rPr>
          <w:vertAlign w:val="superscript"/>
        </w:rPr>
        <w:footnoteReference w:id="937"/>
      </w:r>
      <w:r w:rsidRPr="00AD2F44">
        <w:t xml:space="preserve"> Decisions by the Fourth</w:t>
      </w:r>
      <w:r>
        <w:rPr>
          <w:vertAlign w:val="superscript"/>
        </w:rPr>
        <w:footnoteReference w:id="938"/>
      </w:r>
      <w:r w:rsidRPr="00AD2F44">
        <w:t xml:space="preserve"> and Ninth</w:t>
      </w:r>
      <w:r>
        <w:rPr>
          <w:vertAlign w:val="superscript"/>
        </w:rPr>
        <w:footnoteReference w:id="939"/>
      </w:r>
      <w:r w:rsidRPr="00AD2F44">
        <w:t xml:space="preserve"> Circuits reached similar conclusions.</w:t>
      </w:r>
    </w:p>
    <w:p w14:paraId="4EC834D4" w14:textId="77777777" w:rsidR="004322B1" w:rsidRPr="00AD2F44" w:rsidRDefault="004322B1">
      <w:pPr>
        <w:pStyle w:val="10ATextWithIndent"/>
      </w:pPr>
      <w:r w:rsidRPr="00AD2F44">
        <w:t xml:space="preserve">In 2011, in </w:t>
      </w:r>
      <w:r w:rsidRPr="00AD2F44">
        <w:rPr>
          <w:i/>
        </w:rPr>
        <w:t>AT&amp;T Mobility, LLC v. Concepcion</w:t>
      </w:r>
      <w:r w:rsidRPr="00AD2F44">
        <w:t>,</w:t>
      </w:r>
      <w:r>
        <w:rPr>
          <w:vertAlign w:val="superscript"/>
        </w:rPr>
        <w:footnoteReference w:id="940"/>
      </w:r>
      <w:r w:rsidRPr="00AD2F44">
        <w:t xml:space="preserve"> the Supreme Court for the first time addressed the enforceability of class action waivers in arbitration agreements. Although arising in the consumer—not employment—context, </w:t>
      </w:r>
      <w:r w:rsidRPr="00AD2F44">
        <w:rPr>
          <w:i/>
        </w:rPr>
        <w:t>Concepcion</w:t>
      </w:r>
      <w:r w:rsidRPr="00AD2F44">
        <w:t xml:space="preserve"> has influenced how some courts treat collective action waivers in cases brought under the FLSA. In </w:t>
      </w:r>
      <w:r w:rsidRPr="00AD2F44">
        <w:rPr>
          <w:i/>
        </w:rPr>
        <w:t>Concepcion</w:t>
      </w:r>
      <w:r w:rsidRPr="00AD2F44">
        <w:t>, a divided Supreme Court upheld a class action waiver in a consumer contract, holding that the FAA preempted California’s judicially created rule that generally treated class action waivers in arbitration agreements as unconscionable.</w:t>
      </w:r>
      <w:r>
        <w:rPr>
          <w:vertAlign w:val="superscript"/>
        </w:rPr>
        <w:footnoteReference w:id="941"/>
      </w:r>
      <w:r w:rsidRPr="00AD2F44">
        <w:t xml:space="preserve"> The Court reasoned that “[t]he ‘principal purpose’ of the FAA is to ‘</w:t>
      </w:r>
      <w:proofErr w:type="spellStart"/>
      <w:r w:rsidRPr="00AD2F44">
        <w:t>ensur</w:t>
      </w:r>
      <w:proofErr w:type="spellEnd"/>
      <w:r w:rsidRPr="00AD2F44">
        <w:t>[e] that private arbitration agreements are enforced according to their terms,’” including enforcing limitations on “</w:t>
      </w:r>
      <w:r w:rsidRPr="00AD2F44">
        <w:rPr>
          <w:i/>
        </w:rPr>
        <w:t>with</w:t>
      </w:r>
      <w:r w:rsidRPr="00AD2F44">
        <w:t xml:space="preserve"> </w:t>
      </w:r>
      <w:r w:rsidRPr="00AD2F44">
        <w:rPr>
          <w:i/>
        </w:rPr>
        <w:t>whom</w:t>
      </w:r>
      <w:r w:rsidRPr="00AD2F44">
        <w:t xml:space="preserve"> a party will arbitrate its disputes”</w:t>
      </w:r>
      <w:r>
        <w:rPr>
          <w:vertAlign w:val="superscript"/>
        </w:rPr>
        <w:footnoteReference w:id="942"/>
      </w:r>
      <w:r w:rsidRPr="00AD2F44">
        <w:t xml:space="preserve"> so as to promote “streamlined proceedings” and “expeditious results.”</w:t>
      </w:r>
      <w:r>
        <w:rPr>
          <w:vertAlign w:val="superscript"/>
        </w:rPr>
        <w:footnoteReference w:id="943"/>
      </w:r>
      <w:r w:rsidRPr="00AD2F44">
        <w:t xml:space="preserve"> The Court found that class arbitration was inconsistent with the FAA for several reasons: (1) class arbitration sacrifices the informality and speed achieved by bilateral arbitration, “</w:t>
      </w:r>
      <w:proofErr w:type="spellStart"/>
      <w:r w:rsidRPr="00AD2F44">
        <w:t>mak</w:t>
      </w:r>
      <w:proofErr w:type="spellEnd"/>
      <w:r w:rsidRPr="00AD2F44">
        <w:t>[</w:t>
      </w:r>
      <w:proofErr w:type="spellStart"/>
      <w:r w:rsidRPr="00AD2F44">
        <w:t>ing</w:t>
      </w:r>
      <w:proofErr w:type="spellEnd"/>
      <w:r w:rsidRPr="00AD2F44">
        <w:t>] the process slower, more costly, and more likely to generate procedural morass rather than final judgment”;</w:t>
      </w:r>
      <w:r>
        <w:rPr>
          <w:vertAlign w:val="superscript"/>
        </w:rPr>
        <w:footnoteReference w:id="944"/>
      </w:r>
      <w:r w:rsidRPr="00AD2F44">
        <w:t xml:space="preserve"> (2) “</w:t>
      </w:r>
      <w:proofErr w:type="spellStart"/>
      <w:r w:rsidRPr="00AD2F44">
        <w:t>classwide</w:t>
      </w:r>
      <w:proofErr w:type="spellEnd"/>
      <w:r w:rsidRPr="00AD2F44">
        <w:t xml:space="preserve"> arbitration </w:t>
      </w:r>
      <w:r w:rsidRPr="00AD2F44">
        <w:rPr>
          <w:i/>
        </w:rPr>
        <w:t>requires</w:t>
      </w:r>
      <w:r w:rsidRPr="00AD2F44">
        <w:t xml:space="preserve"> procedural formality,” including protection of absent class members’ due process rights, something Congress did not envision would be entrusted to an arbitrator;</w:t>
      </w:r>
      <w:r>
        <w:rPr>
          <w:vertAlign w:val="superscript"/>
        </w:rPr>
        <w:footnoteReference w:id="945"/>
      </w:r>
      <w:r w:rsidRPr="00AD2F44">
        <w:t xml:space="preserve"> and (3) “class arbitration greatly increases risks to defendants,” and given limited judicial review, “is poorly suited to the higher stakes of class litigation.”</w:t>
      </w:r>
      <w:r>
        <w:rPr>
          <w:vertAlign w:val="superscript"/>
        </w:rPr>
        <w:footnoteReference w:id="946"/>
      </w:r>
    </w:p>
    <w:p w14:paraId="719F870C" w14:textId="77777777" w:rsidR="004322B1" w:rsidRPr="00AD2F44" w:rsidRDefault="004322B1">
      <w:pPr>
        <w:pStyle w:val="10ATextWithIndent"/>
      </w:pPr>
      <w:r w:rsidRPr="00AD2F44">
        <w:t xml:space="preserve">Since </w:t>
      </w:r>
      <w:r w:rsidRPr="00AD2F44">
        <w:rPr>
          <w:i/>
          <w:iCs/>
        </w:rPr>
        <w:t>Concepcion</w:t>
      </w:r>
      <w:r w:rsidRPr="00AD2F44">
        <w:t xml:space="preserve">, courts in FLSA cases (some expressly relying on </w:t>
      </w:r>
      <w:r w:rsidRPr="00AD2F44">
        <w:rPr>
          <w:i/>
          <w:iCs/>
        </w:rPr>
        <w:t>Concepcion</w:t>
      </w:r>
      <w:r w:rsidRPr="00AD2F44">
        <w:t xml:space="preserve">, others not) generally continue to uphold the validity of arbitration agreements that contain class and collective action waivers. In 2013, the Eighth Circuit in </w:t>
      </w:r>
      <w:r w:rsidRPr="00AD2F44">
        <w:rPr>
          <w:i/>
          <w:iCs/>
        </w:rPr>
        <w:t>Owen v. Bristol Care, Inc.</w:t>
      </w:r>
      <w:r>
        <w:rPr>
          <w:vertAlign w:val="superscript"/>
        </w:rPr>
        <w:footnoteReference w:id="947"/>
      </w:r>
      <w:r w:rsidRPr="00AD2F44">
        <w:t xml:space="preserve"> joined other circuits in “</w:t>
      </w:r>
      <w:proofErr w:type="spellStart"/>
      <w:r w:rsidRPr="00AD2F44">
        <w:t>conclud</w:t>
      </w:r>
      <w:proofErr w:type="spellEnd"/>
      <w:r w:rsidRPr="00AD2F44">
        <w:t>[</w:t>
      </w:r>
      <w:proofErr w:type="spellStart"/>
      <w:r w:rsidRPr="00AD2F44">
        <w:t>ing</w:t>
      </w:r>
      <w:proofErr w:type="spellEnd"/>
      <w:r w:rsidRPr="00AD2F44">
        <w:t>] that arbitration agreements containing class waivers are enforceable in FLSA cases.”</w:t>
      </w:r>
      <w:r>
        <w:rPr>
          <w:vertAlign w:val="superscript"/>
        </w:rPr>
        <w:footnoteReference w:id="948"/>
      </w:r>
      <w:r w:rsidRPr="00AD2F44">
        <w:t xml:space="preserve"> Also in 2013, first in </w:t>
      </w:r>
      <w:r w:rsidRPr="00AD2F44">
        <w:rPr>
          <w:i/>
          <w:iCs/>
        </w:rPr>
        <w:t>Sutherland v. Ernst &amp; Young LLP </w:t>
      </w:r>
      <w:r>
        <w:rPr>
          <w:vertAlign w:val="superscript"/>
        </w:rPr>
        <w:footnoteReference w:id="949"/>
      </w:r>
      <w:r w:rsidRPr="00AD2F44">
        <w:t xml:space="preserve"> and again in </w:t>
      </w:r>
      <w:r w:rsidRPr="00AD2F44">
        <w:rPr>
          <w:i/>
          <w:iCs/>
        </w:rPr>
        <w:t>Raniere v. Citigroup</w:t>
      </w:r>
      <w:r w:rsidRPr="00AD2F44">
        <w:t>,</w:t>
      </w:r>
      <w:r>
        <w:rPr>
          <w:vertAlign w:val="superscript"/>
        </w:rPr>
        <w:footnoteReference w:id="950"/>
      </w:r>
      <w:r w:rsidRPr="00AD2F44">
        <w:t xml:space="preserve"> the Second Circuit held that the FLSA does not contain a “contrary congressional command” that prevents an employee from waiving his or her ability to proceed collectively and that the FLSA collective action right is thus a waivable procedural mechanism.</w:t>
      </w:r>
      <w:r>
        <w:rPr>
          <w:vertAlign w:val="superscript"/>
        </w:rPr>
        <w:footnoteReference w:id="951"/>
      </w:r>
      <w:r w:rsidRPr="00AD2F44">
        <w:t xml:space="preserve"> Following these cases, the Eleventh Circuit in </w:t>
      </w:r>
      <w:r w:rsidRPr="00AD2F44">
        <w:rPr>
          <w:i/>
          <w:iCs/>
        </w:rPr>
        <w:t xml:space="preserve">Walthour v. </w:t>
      </w:r>
      <w:proofErr w:type="spellStart"/>
      <w:r w:rsidRPr="00AD2F44">
        <w:rPr>
          <w:i/>
          <w:iCs/>
        </w:rPr>
        <w:t>Chipio</w:t>
      </w:r>
      <w:proofErr w:type="spellEnd"/>
      <w:r w:rsidRPr="00AD2F44">
        <w:rPr>
          <w:i/>
          <w:iCs/>
        </w:rPr>
        <w:t xml:space="preserve"> Windshield Repair, LLC</w:t>
      </w:r>
      <w:r>
        <w:rPr>
          <w:vertAlign w:val="superscript"/>
        </w:rPr>
        <w:footnoteReference w:id="952"/>
      </w:r>
      <w:r w:rsidRPr="00AD2F44">
        <w:t xml:space="preserve"> concluded, among other things, that Section 216(b) does not provide for a nonwaivable, substantive right to bring a collective action.</w:t>
      </w:r>
      <w:r>
        <w:rPr>
          <w:vertAlign w:val="superscript"/>
        </w:rPr>
        <w:footnoteReference w:id="953"/>
      </w:r>
    </w:p>
    <w:p w14:paraId="100CD5FE" w14:textId="77777777" w:rsidR="004322B1" w:rsidRPr="00AD2F44" w:rsidRDefault="004322B1">
      <w:pPr>
        <w:pStyle w:val="10ATextWithIndent"/>
      </w:pPr>
      <w:r w:rsidRPr="00AD2F44">
        <w:t xml:space="preserve">Although not an employment case, the Supreme Court’s 2013 decision in </w:t>
      </w:r>
      <w:r w:rsidRPr="00AD2F44">
        <w:rPr>
          <w:i/>
          <w:iCs/>
        </w:rPr>
        <w:t>American Express v. Italian Colors Restaurant </w:t>
      </w:r>
      <w:r>
        <w:rPr>
          <w:vertAlign w:val="superscript"/>
        </w:rPr>
        <w:footnoteReference w:id="954"/>
      </w:r>
      <w:r w:rsidRPr="00AD2F44">
        <w:rPr>
          <w:i/>
          <w:iCs/>
        </w:rPr>
        <w:t xml:space="preserve"> </w:t>
      </w:r>
      <w:r w:rsidRPr="00AD2F44">
        <w:t>also has been cited by courts in considering whether class and collective action waivers are enforceable in FLSA cases.</w:t>
      </w:r>
      <w:r>
        <w:rPr>
          <w:vertAlign w:val="superscript"/>
        </w:rPr>
        <w:footnoteReference w:id="955"/>
      </w:r>
      <w:r w:rsidRPr="00AD2F44">
        <w:t xml:space="preserve"> In </w:t>
      </w:r>
      <w:r w:rsidRPr="00AD2F44">
        <w:rPr>
          <w:i/>
          <w:iCs/>
        </w:rPr>
        <w:t>Italian Colors</w:t>
      </w:r>
      <w:r w:rsidRPr="00AD2F44">
        <w:t>,</w:t>
      </w:r>
      <w:r w:rsidRPr="00AD2F44">
        <w:rPr>
          <w:i/>
          <w:iCs/>
        </w:rPr>
        <w:t xml:space="preserve"> </w:t>
      </w:r>
      <w:r w:rsidRPr="00AD2F44">
        <w:t>the plaintiffs—merchants who accept American Express cards—attempted to sue the defendant credit card company for violating federal antitrust laws. An arbitration agreement, however, provided that “[t]here shall be no right or authority for any Claims to be arbitrated on a class action basis.”</w:t>
      </w:r>
      <w:r>
        <w:rPr>
          <w:vertAlign w:val="superscript"/>
        </w:rPr>
        <w:footnoteReference w:id="956"/>
      </w:r>
      <w:r w:rsidRPr="00AD2F44">
        <w:t xml:space="preserve"> The Supreme Court rejected the notion that there should be a case-by-case analysis of whether a class action waiver renders it impossible to vindicate federal rights. “[T]he antitrust laws,” wrote the Court, “do not guarantee an affordable procedural path to the vindication of every claim.”</w:t>
      </w:r>
      <w:r>
        <w:rPr>
          <w:vertAlign w:val="superscript"/>
        </w:rPr>
        <w:footnoteReference w:id="957"/>
      </w:r>
      <w:r w:rsidRPr="00AD2F44">
        <w:t xml:space="preserve"> The Court rejected the attempt to distinguish </w:t>
      </w:r>
      <w:r w:rsidRPr="00AD2F44">
        <w:rPr>
          <w:i/>
          <w:iCs/>
        </w:rPr>
        <w:t>Concepcion</w:t>
      </w:r>
      <w:r w:rsidRPr="00AD2F44">
        <w:t xml:space="preserve">, finding that </w:t>
      </w:r>
      <w:r w:rsidRPr="00AD2F44">
        <w:rPr>
          <w:i/>
          <w:iCs/>
        </w:rPr>
        <w:t>Concepcion</w:t>
      </w:r>
      <w:r w:rsidRPr="00AD2F44">
        <w:t xml:space="preserve"> “all but resolve[d] this case.”</w:t>
      </w:r>
      <w:r>
        <w:rPr>
          <w:vertAlign w:val="superscript"/>
        </w:rPr>
        <w:footnoteReference w:id="958"/>
      </w:r>
      <w:r w:rsidRPr="00AD2F44">
        <w:t xml:space="preserve"> Notably, the </w:t>
      </w:r>
      <w:r w:rsidRPr="00AD2F44">
        <w:rPr>
          <w:i/>
          <w:iCs/>
        </w:rPr>
        <w:t>Italian Colors</w:t>
      </w:r>
      <w:r w:rsidRPr="00AD2F44">
        <w:t xml:space="preserve"> Court described </w:t>
      </w:r>
      <w:r w:rsidRPr="00AD2F44">
        <w:rPr>
          <w:i/>
          <w:iCs/>
        </w:rPr>
        <w:t>Concepcion</w:t>
      </w:r>
      <w:r w:rsidRPr="00AD2F44">
        <w:t xml:space="preserve"> as having established “that the FAA’s command to enforce arbitration agreements trumps any interest in ensuring the prosecution of low-value claims.”</w:t>
      </w:r>
      <w:r>
        <w:rPr>
          <w:vertAlign w:val="superscript"/>
        </w:rPr>
        <w:footnoteReference w:id="959"/>
      </w:r>
    </w:p>
    <w:p w14:paraId="577A23D9" w14:textId="77777777" w:rsidR="004322B1" w:rsidRPr="00AD2F44" w:rsidRDefault="004322B1">
      <w:pPr>
        <w:pStyle w:val="10ATextWithIndent"/>
      </w:pPr>
      <w:r w:rsidRPr="00AD2F44">
        <w:t>Courts in FLSA cases have reached mixed results when asked to invalidate arbitration agreements on the basis that the costs of proceeding in arbitration effectively preclude vindication of rights.</w:t>
      </w:r>
      <w:r>
        <w:rPr>
          <w:vertAlign w:val="superscript"/>
        </w:rPr>
        <w:footnoteReference w:id="960"/>
      </w:r>
      <w:r w:rsidRPr="00AD2F44">
        <w:t xml:space="preserve"> Courts have also cited </w:t>
      </w:r>
      <w:r w:rsidRPr="00AD2F44">
        <w:rPr>
          <w:i/>
          <w:iCs/>
        </w:rPr>
        <w:t>Italian Colors</w:t>
      </w:r>
      <w:r w:rsidRPr="00AD2F44">
        <w:t xml:space="preserve"> in conjunction with the Supreme Court’s decision in </w:t>
      </w:r>
      <w:r w:rsidRPr="00AD2F44">
        <w:rPr>
          <w:i/>
          <w:iCs/>
        </w:rPr>
        <w:t>Gilmer</w:t>
      </w:r>
      <w:r>
        <w:rPr>
          <w:vertAlign w:val="superscript"/>
        </w:rPr>
        <w:footnoteReference w:id="961"/>
      </w:r>
      <w:r w:rsidRPr="00AD2F44">
        <w:t xml:space="preserve"> to conclude that “the text of §16(b) does not set forth a nonwaivable substantive right to a collective action.”</w:t>
      </w:r>
      <w:r>
        <w:rPr>
          <w:vertAlign w:val="superscript"/>
        </w:rPr>
        <w:footnoteReference w:id="962"/>
      </w:r>
    </w:p>
    <w:p w14:paraId="03BE2CFA" w14:textId="77777777" w:rsidR="004322B1" w:rsidRPr="00AD2F44" w:rsidRDefault="004322B1">
      <w:pPr>
        <w:pStyle w:val="10ATextWithIndent"/>
      </w:pPr>
      <w:r w:rsidRPr="00AD2F44">
        <w:t>Employees have also challenged class and collective action waiver provisions in arbitration agreements as violating the National Labor Relations Act (NLRA).</w:t>
      </w:r>
      <w:r>
        <w:rPr>
          <w:vertAlign w:val="superscript"/>
        </w:rPr>
        <w:footnoteReference w:id="963"/>
      </w:r>
      <w:r w:rsidRPr="00AD2F44">
        <w:t xml:space="preserve"> In </w:t>
      </w:r>
      <w:r w:rsidRPr="00AD2F44">
        <w:rPr>
          <w:i/>
          <w:iCs/>
        </w:rPr>
        <w:t>D</w:t>
      </w:r>
      <w:r w:rsidRPr="00AD2F44">
        <w:t>.</w:t>
      </w:r>
      <w:r w:rsidRPr="00AD2F44">
        <w:rPr>
          <w:i/>
          <w:iCs/>
        </w:rPr>
        <w:t>R</w:t>
      </w:r>
      <w:r w:rsidRPr="00AD2F44">
        <w:t>.</w:t>
      </w:r>
      <w:r w:rsidRPr="00AD2F44">
        <w:rPr>
          <w:i/>
          <w:iCs/>
        </w:rPr>
        <w:t xml:space="preserve"> Horton, Inc</w:t>
      </w:r>
      <w:r w:rsidRPr="00AD2F44">
        <w:t>.,</w:t>
      </w:r>
      <w:r>
        <w:rPr>
          <w:vertAlign w:val="superscript"/>
        </w:rPr>
        <w:footnoteReference w:id="964"/>
      </w:r>
      <w:r w:rsidRPr="00AD2F44">
        <w:t xml:space="preserve"> the National Labor Relations Board (NLRB) held that a class/collective action waiver in an arbitration agreement violated employees’ right to engage in protected concerted activity. The Fifth Circuit later denied enforcement of the NLRB’s ruling,</w:t>
      </w:r>
      <w:r>
        <w:rPr>
          <w:vertAlign w:val="superscript"/>
        </w:rPr>
        <w:footnoteReference w:id="965"/>
      </w:r>
      <w:r w:rsidRPr="00AD2F44">
        <w:t xml:space="preserve"> but a divided NLRB subsequently reaffirmed its position that requiring employees to sign arbitration agreements containing class or collective action waivers constitutes an unfair labor practice and is unenforceable under the NLRA.</w:t>
      </w:r>
      <w:r>
        <w:rPr>
          <w:vertAlign w:val="superscript"/>
        </w:rPr>
        <w:footnoteReference w:id="966"/>
      </w:r>
      <w:r w:rsidRPr="00AD2F44">
        <w:t xml:space="preserve"> The federal circuit courts thereafter split regarding the NLRB’s position.</w:t>
      </w:r>
      <w:r>
        <w:rPr>
          <w:vertAlign w:val="superscript"/>
        </w:rPr>
        <w:footnoteReference w:id="967"/>
      </w:r>
      <w:r w:rsidRPr="00AD2F44">
        <w:t xml:space="preserve"> </w:t>
      </w:r>
    </w:p>
    <w:p w14:paraId="31D030F0" w14:textId="77777777" w:rsidR="004322B1" w:rsidRPr="00AD2F44" w:rsidRDefault="004322B1">
      <w:pPr>
        <w:pStyle w:val="10ATextWithIndent"/>
      </w:pPr>
      <w:r w:rsidRPr="00AD2F44">
        <w:t xml:space="preserve">The Supreme Court resolved this circuit split in </w:t>
      </w:r>
      <w:r w:rsidRPr="00AD2F44">
        <w:rPr>
          <w:i/>
          <w:iCs/>
        </w:rPr>
        <w:t>Epic Systems Corp</w:t>
      </w:r>
      <w:r w:rsidRPr="00AD2F44">
        <w:t>.</w:t>
      </w:r>
      <w:r w:rsidRPr="00AD2F44">
        <w:rPr>
          <w:i/>
          <w:iCs/>
        </w:rPr>
        <w:t xml:space="preserve"> v</w:t>
      </w:r>
      <w:r w:rsidRPr="00AD2F44">
        <w:t>.</w:t>
      </w:r>
      <w:r w:rsidRPr="00AD2F44">
        <w:rPr>
          <w:i/>
          <w:iCs/>
        </w:rPr>
        <w:t xml:space="preserve"> Lewis</w:t>
      </w:r>
      <w:r w:rsidRPr="00AD2F44">
        <w:t>.</w:t>
      </w:r>
      <w:r>
        <w:rPr>
          <w:vertAlign w:val="superscript"/>
        </w:rPr>
        <w:footnoteReference w:id="968"/>
      </w:r>
      <w:r w:rsidRPr="00AD2F44">
        <w:t xml:space="preserve"> Writing for the majority, Justice Gorsuch concluded that the provisions of the FAA requiring courts to enforce arbitration agreements with class waivers did not conflict with the provisions of the NLRA protecting employees’ rights to “engage in concerted activities for the purpose of collective bargaining or other mutual aid and protection.”</w:t>
      </w:r>
      <w:r>
        <w:rPr>
          <w:vertAlign w:val="superscript"/>
        </w:rPr>
        <w:footnoteReference w:id="969"/>
      </w:r>
      <w:r w:rsidRPr="00AD2F44">
        <w:t xml:space="preserve"> Relying on the principle that courts must “strive to give effect” to both statutory provisions when they purportedly conflict, the Court held that nothing in the text or structure of the NLRA suggested it was intended to regulate the “procedures judges or arbitrators must apply in disputes that leave the workplace and enter the courtroom or arbitral forum.”</w:t>
      </w:r>
      <w:r>
        <w:rPr>
          <w:vertAlign w:val="superscript"/>
        </w:rPr>
        <w:footnoteReference w:id="970"/>
      </w:r>
      <w:r w:rsidRPr="00AD2F44">
        <w:t xml:space="preserve"> It found this conclusion supported by the fact that Congress had shown it knew how to expressly override the FAA and regulate the procedures for bringing claims under specific statutory schemes, but had done neither when passing the NLRA.</w:t>
      </w:r>
      <w:r>
        <w:rPr>
          <w:vertAlign w:val="superscript"/>
        </w:rPr>
        <w:footnoteReference w:id="971"/>
      </w:r>
      <w:r w:rsidRPr="00AD2F44">
        <w:t xml:space="preserve"> The Court rejected arguments that it should defer to the NLRB’s view that class waivers in arbitration agreements violate the NLRA, noting that the NLRB was not delegated authority to interpret the FAA and that, in any event, there was no ambiguity in the statutory text once the Court applied “traditional tool[s] of statutory construction.”</w:t>
      </w:r>
      <w:r>
        <w:rPr>
          <w:vertAlign w:val="superscript"/>
        </w:rPr>
        <w:footnoteReference w:id="972"/>
      </w:r>
      <w:r w:rsidRPr="00AD2F44">
        <w:t xml:space="preserve"> </w:t>
      </w:r>
    </w:p>
    <w:p w14:paraId="1AF230EB" w14:textId="77777777" w:rsidR="004322B1" w:rsidRPr="00AD2F44" w:rsidRDefault="004322B1">
      <w:pPr>
        <w:pStyle w:val="10ATextWithIndent"/>
      </w:pPr>
      <w:r w:rsidRPr="00AD2F44">
        <w:t>Justice Ginsburg dissented.</w:t>
      </w:r>
      <w:r>
        <w:rPr>
          <w:vertAlign w:val="superscript"/>
        </w:rPr>
        <w:footnoteReference w:id="973"/>
      </w:r>
      <w:r w:rsidRPr="00AD2F44">
        <w:t xml:space="preserve"> She opined that the history of federal labor statutes, including the NLRA, demonstrated Congress’ recognition that “[f]or workers striving to gain from their employers decent terms and conditions in employment, there is strength in numbers.”</w:t>
      </w:r>
      <w:r>
        <w:rPr>
          <w:vertAlign w:val="superscript"/>
        </w:rPr>
        <w:footnoteReference w:id="974"/>
      </w:r>
      <w:r w:rsidRPr="00AD2F44">
        <w:t xml:space="preserve"> Based on the NLRA’s history, her reading of the plain meaning of its text, and prior court decisions holding that employees could engage in protected concerted activity when bringing litigation, she would have held that employees had a right under the statute to bring collective claims in arbitration.</w:t>
      </w:r>
      <w:r>
        <w:rPr>
          <w:vertAlign w:val="superscript"/>
        </w:rPr>
        <w:footnoteReference w:id="975"/>
      </w:r>
      <w:r w:rsidRPr="00AD2F44">
        <w:t xml:space="preserve"> Justice Ginsburg argued that the FAA’s provisions could accommodate the NLRA’s because the FAA does not require enforcement of “illegal” contracts.</w:t>
      </w:r>
      <w:r>
        <w:rPr>
          <w:vertAlign w:val="superscript"/>
        </w:rPr>
        <w:footnoteReference w:id="976"/>
      </w:r>
      <w:r w:rsidRPr="00AD2F44">
        <w:t xml:space="preserve"> Moreover, even if a conflict existed between the two statutes, she believed the NLRA impliedly repealed the FAA “as the more pinpointed, subject-matter specific legislation, in that it speaks directly to group action by employees to improve the terms and conditions of their employment.”</w:t>
      </w:r>
      <w:r>
        <w:rPr>
          <w:vertAlign w:val="superscript"/>
        </w:rPr>
        <w:footnoteReference w:id="977"/>
      </w:r>
      <w:r w:rsidRPr="00AD2F44">
        <w:t xml:space="preserve"> Since </w:t>
      </w:r>
      <w:r w:rsidRPr="00AD2F44">
        <w:rPr>
          <w:i/>
          <w:iCs/>
        </w:rPr>
        <w:t>Epic Systems</w:t>
      </w:r>
      <w:r w:rsidRPr="00AD2F44">
        <w:t>, courts have dismissed cases where the arbitration agreements specifically state that claims under the FLSA are covered and class actions are prohibited, barring other contractual defenses.</w:t>
      </w:r>
      <w:r>
        <w:rPr>
          <w:rStyle w:val="FootnoteReference"/>
        </w:rPr>
        <w:footnoteReference w:id="978"/>
      </w:r>
      <w:r w:rsidRPr="00AD2F44">
        <w:t xml:space="preserve"> </w:t>
      </w:r>
    </w:p>
    <w:p w14:paraId="584B7705" w14:textId="77777777" w:rsidR="004322B1" w:rsidRPr="00AD2F44" w:rsidRDefault="004322B1">
      <w:pPr>
        <w:pStyle w:val="10ATextWithIndent"/>
      </w:pPr>
      <w:r w:rsidRPr="00AD2F44">
        <w:t>Even if an employee is subject to an enforceable arbitration agreement with a class or collective action waiver, the defendant may waive its right to compel arbitration on an individual basis through its litigation conduct.</w:t>
      </w:r>
      <w:r>
        <w:rPr>
          <w:vertAlign w:val="superscript"/>
        </w:rPr>
        <w:footnoteReference w:id="979"/>
      </w:r>
      <w:r w:rsidRPr="00AD2F44">
        <w:t xml:space="preserve"> </w:t>
      </w:r>
    </w:p>
    <w:p w14:paraId="6221D7E0" w14:textId="77777777" w:rsidR="004322B1" w:rsidRPr="00AD2F44" w:rsidRDefault="004322B1">
      <w:pPr>
        <w:pStyle w:val="05Second-LevelHeadABC"/>
      </w:pPr>
      <w:r w:rsidRPr="00AD2F44">
        <w:t>B.</w:t>
      </w:r>
      <w:r w:rsidRPr="00AD2F44">
        <w:tab/>
        <w:t>Arbitration Agreements Without an Express Class/Collective Waiver</w:t>
      </w:r>
    </w:p>
    <w:p w14:paraId="47639D24" w14:textId="77777777" w:rsidR="004322B1" w:rsidRPr="00AD2F44" w:rsidRDefault="004322B1">
      <w:pPr>
        <w:pStyle w:val="10ATextWithIndent"/>
      </w:pPr>
      <w:r w:rsidRPr="00AD2F44">
        <w:t>Some arbitration agreements contain no express prohibition of class or collective actions. The issue of whether class or collective actions are permitted turns on how courts or arbitrators construe the intent of the contracting parties.</w:t>
      </w:r>
    </w:p>
    <w:p w14:paraId="53905614" w14:textId="77777777" w:rsidR="004322B1" w:rsidRPr="00AD2F44" w:rsidRDefault="004322B1">
      <w:pPr>
        <w:pStyle w:val="10ATextWithIndent"/>
      </w:pPr>
      <w:r w:rsidRPr="00AD2F44">
        <w:t xml:space="preserve">In 2010, the Court in </w:t>
      </w:r>
      <w:r w:rsidRPr="00AD2F44">
        <w:rPr>
          <w:i/>
          <w:iCs/>
        </w:rPr>
        <w:t xml:space="preserve">Stolt-Nielsen S.A. v. </w:t>
      </w:r>
      <w:proofErr w:type="spellStart"/>
      <w:r w:rsidRPr="00AD2F44">
        <w:rPr>
          <w:i/>
          <w:iCs/>
        </w:rPr>
        <w:t>AnimalFeeds</w:t>
      </w:r>
      <w:proofErr w:type="spellEnd"/>
      <w:r w:rsidRPr="00AD2F44">
        <w:rPr>
          <w:i/>
          <w:iCs/>
        </w:rPr>
        <w:t xml:space="preserve"> International Corp.</w:t>
      </w:r>
      <w:r>
        <w:rPr>
          <w:vertAlign w:val="superscript"/>
        </w:rPr>
        <w:footnoteReference w:id="980"/>
      </w:r>
      <w:r w:rsidRPr="00AD2F44">
        <w:t xml:space="preserve">considered whether permitting class arbitration when the arbitration clause is silent on that issue is consistent with the FAA. In </w:t>
      </w:r>
      <w:r w:rsidRPr="00AD2F44">
        <w:rPr>
          <w:i/>
          <w:iCs/>
        </w:rPr>
        <w:t>Stolt-Nielsen</w:t>
      </w:r>
      <w:r w:rsidRPr="00AD2F44">
        <w:t>, “neither the language of the contract nor any other evidence established that the parties had reached any agreement on the question of class arbitration.”</w:t>
      </w:r>
      <w:r>
        <w:rPr>
          <w:vertAlign w:val="superscript"/>
        </w:rPr>
        <w:footnoteReference w:id="981"/>
      </w:r>
      <w:r w:rsidRPr="00AD2F44">
        <w:t xml:space="preserve"> A panel of arbitrators found that, despite the silent agreement, class arbitration was permitted. The Supreme Court vacated the panel’s decision and held that “a party may not be compelled under the FAA to submit to class arbitration unless there is a contractual basis for concluding that the party </w:t>
      </w:r>
      <w:r w:rsidRPr="00AD2F44">
        <w:rPr>
          <w:i/>
          <w:iCs/>
        </w:rPr>
        <w:t xml:space="preserve">agreed </w:t>
      </w:r>
      <w:r w:rsidRPr="00AD2F44">
        <w:t>to do so.”</w:t>
      </w:r>
      <w:r>
        <w:rPr>
          <w:vertAlign w:val="superscript"/>
        </w:rPr>
        <w:footnoteReference w:id="982"/>
      </w:r>
    </w:p>
    <w:p w14:paraId="63431B99" w14:textId="77777777" w:rsidR="004322B1" w:rsidRPr="00AD2F44" w:rsidRDefault="004322B1">
      <w:pPr>
        <w:pStyle w:val="10ATextWithIndent"/>
      </w:pPr>
      <w:r w:rsidRPr="00AD2F44">
        <w:t xml:space="preserve">Following </w:t>
      </w:r>
      <w:r w:rsidRPr="00AD2F44">
        <w:rPr>
          <w:i/>
          <w:iCs/>
        </w:rPr>
        <w:t>Stolt-Nielsen</w:t>
      </w:r>
      <w:r w:rsidRPr="00AD2F44">
        <w:t>, courts (and arbitrators) focused their analysis on determining the parties’ intent, in the absence of an express provision, to permit or preclude class or collective arbitrations.</w:t>
      </w:r>
      <w:r>
        <w:rPr>
          <w:vertAlign w:val="superscript"/>
        </w:rPr>
        <w:footnoteReference w:id="983"/>
      </w:r>
      <w:r w:rsidRPr="00AD2F44">
        <w:t xml:space="preserve"> However, the Supreme Court narrowed the scope of such review in </w:t>
      </w:r>
      <w:r w:rsidRPr="00AD2F44">
        <w:rPr>
          <w:i/>
          <w:iCs/>
        </w:rPr>
        <w:t>Lamps Plus v. Varela</w:t>
      </w:r>
      <w:r w:rsidRPr="00AD2F44">
        <w:t>,</w:t>
      </w:r>
      <w:r>
        <w:rPr>
          <w:vertAlign w:val="superscript"/>
        </w:rPr>
        <w:footnoteReference w:id="984"/>
      </w:r>
      <w:r w:rsidRPr="00AD2F44">
        <w:t xml:space="preserve"> holding that “[c]</w:t>
      </w:r>
      <w:proofErr w:type="spellStart"/>
      <w:r w:rsidRPr="00AD2F44">
        <w:t>ourts</w:t>
      </w:r>
      <w:proofErr w:type="spellEnd"/>
      <w:r w:rsidRPr="00AD2F44">
        <w:t xml:space="preserve"> may not infer from an ambiguous agreement that parties have consented to arbitrate on a </w:t>
      </w:r>
      <w:proofErr w:type="spellStart"/>
      <w:r w:rsidRPr="00AD2F44">
        <w:t>classwide</w:t>
      </w:r>
      <w:proofErr w:type="spellEnd"/>
      <w:r w:rsidRPr="00AD2F44">
        <w:t xml:space="preserve"> basis.”</w:t>
      </w:r>
      <w:r>
        <w:rPr>
          <w:vertAlign w:val="superscript"/>
        </w:rPr>
        <w:footnoteReference w:id="985"/>
      </w:r>
      <w:r w:rsidRPr="00AD2F44">
        <w:t xml:space="preserve"> Instead, courts or arbitrators must find an “affirmative contractual basis” to conclude that the parties agreed to class arbitration.</w:t>
      </w:r>
      <w:r>
        <w:rPr>
          <w:vertAlign w:val="superscript"/>
        </w:rPr>
        <w:footnoteReference w:id="986"/>
      </w:r>
    </w:p>
    <w:p w14:paraId="2086B0B9" w14:textId="77777777" w:rsidR="004322B1" w:rsidRPr="00AD2F44" w:rsidRDefault="004322B1">
      <w:pPr>
        <w:pStyle w:val="05Second-LevelHeadABC"/>
      </w:pPr>
      <w:r w:rsidRPr="00AD2F44">
        <w:t xml:space="preserve"> C.</w:t>
      </w:r>
      <w:r w:rsidRPr="00AD2F44">
        <w:tab/>
        <w:t>Procedural Rules for Arbitrating FLSA Class and Collective Actions</w:t>
      </w:r>
    </w:p>
    <w:p w14:paraId="6A367183" w14:textId="77777777" w:rsidR="004322B1" w:rsidRPr="00AD2F44" w:rsidRDefault="004322B1">
      <w:pPr>
        <w:pStyle w:val="10ATextWithIndent"/>
      </w:pPr>
      <w:r w:rsidRPr="00AD2F44">
        <w:t>Arbitration agreements often incorporate the specific procedural rules of private providers of dispute resolution services, such as the AAA or JAMS.</w:t>
      </w:r>
      <w:r>
        <w:rPr>
          <w:vertAlign w:val="superscript"/>
        </w:rPr>
        <w:footnoteReference w:id="987"/>
      </w:r>
      <w:r w:rsidRPr="00AD2F44">
        <w:t xml:space="preserve"> The issue becomes whether an FLSA action brought in arbitration under the AAA or JAMS rules may proceed on an “opt out” (rather than “opt in”) basis. Some arbitrators have held that an FLSA collective action can proceed as an opt-out class based on the parties’ selection of AAA and JAMS procedural rules. In </w:t>
      </w:r>
      <w:r w:rsidRPr="00AD2F44">
        <w:rPr>
          <w:i/>
          <w:iCs/>
        </w:rPr>
        <w:t>Long John Silver’s Restaurants, Inc. v. Cole</w:t>
      </w:r>
      <w:r w:rsidRPr="00AD2F44">
        <w:t>,</w:t>
      </w:r>
      <w:r>
        <w:rPr>
          <w:vertAlign w:val="superscript"/>
        </w:rPr>
        <w:footnoteReference w:id="988"/>
      </w:r>
      <w:r w:rsidRPr="00AD2F44">
        <w:t xml:space="preserve"> decided before </w:t>
      </w:r>
      <w:r w:rsidRPr="00AD2F44">
        <w:rPr>
          <w:i/>
          <w:iCs/>
        </w:rPr>
        <w:t>Stolt-Nielsen</w:t>
      </w:r>
      <w:r w:rsidRPr="00AD2F44">
        <w:t>,</w:t>
      </w:r>
      <w:r>
        <w:rPr>
          <w:vertAlign w:val="superscript"/>
        </w:rPr>
        <w:footnoteReference w:id="989"/>
      </w:r>
      <w:r w:rsidRPr="00AD2F44">
        <w:t xml:space="preserve"> employees initiated a collective arbitration; the arbitrator determined that the agreement did not preclude class arbitration; and, although the “opt-in” mechanism of Section 216(b) did not apply, the arbitration agreement permitted the claims to proceed—via the AAA’s Supplementary Rules for Class Arbitrations (Class Rules)—as an “opt-out” class. On interlocutory review, the district court declined to vacate the arbitrator’s award, ruling that the FLSA did not provide employees a nonwaivable substantive right to “opt in” proceedings and that the arbitrator did not exceed his authority in determining that the claimants could serve as representatives of an “opt out” class.</w:t>
      </w:r>
      <w:r>
        <w:rPr>
          <w:vertAlign w:val="superscript"/>
        </w:rPr>
        <w:footnoteReference w:id="990"/>
      </w:r>
      <w:r w:rsidRPr="00AD2F44">
        <w:t xml:space="preserve"> On appeal, the Fourth Circuit affirmed the arbitrator’s decision to apply the opt-out provisions contained in the AAA’s Class Rules to collective claims pursued under Section 216(b) of the FLSA.</w:t>
      </w:r>
      <w:r>
        <w:rPr>
          <w:vertAlign w:val="superscript"/>
        </w:rPr>
        <w:footnoteReference w:id="991"/>
      </w:r>
      <w:r w:rsidRPr="00AD2F44">
        <w:t xml:space="preserve"> The court reasoned that it is “far from clear” that Section 216(b)’s opt-in provision creates a substantive nonwaivable right, and thus the arbitrator’s decision—that the opt-in provision was waivable—was not contrary to any clear principle of law.</w:t>
      </w:r>
      <w:r>
        <w:rPr>
          <w:vertAlign w:val="superscript"/>
        </w:rPr>
        <w:footnoteReference w:id="992"/>
      </w:r>
      <w:r w:rsidRPr="00AD2F44">
        <w:t xml:space="preserve"> The Fourth Circuit concluded that the arbitrator “did his job” by analyzing the agreement and the issues,</w:t>
      </w:r>
      <w:r>
        <w:rPr>
          <w:vertAlign w:val="superscript"/>
        </w:rPr>
        <w:footnoteReference w:id="993"/>
      </w:r>
      <w:r w:rsidRPr="00AD2F44">
        <w:t xml:space="preserve"> and the appellate court was thus “obliged” to affirm the district court and uphold the arbitrator’s decision to allow for a Rule 23-type opt-out FLSA class under the AAA’s class rules.</w:t>
      </w:r>
      <w:r>
        <w:rPr>
          <w:vertAlign w:val="superscript"/>
        </w:rPr>
        <w:footnoteReference w:id="994"/>
      </w:r>
    </w:p>
    <w:p w14:paraId="45AD934B" w14:textId="77777777" w:rsidR="004322B1" w:rsidRPr="00AD2F44" w:rsidRDefault="004322B1">
      <w:pPr>
        <w:pStyle w:val="10ATextWithIndent"/>
      </w:pPr>
      <w:r w:rsidRPr="00AD2F44">
        <w:t xml:space="preserve">Under the same rationale used by the arbitrator in </w:t>
      </w:r>
      <w:r w:rsidRPr="00AD2F44">
        <w:rPr>
          <w:i/>
          <w:iCs/>
        </w:rPr>
        <w:t>Long John Silver’s</w:t>
      </w:r>
      <w:r w:rsidRPr="00AD2F44">
        <w:t>, some arbitrators have permitted FLSA claims to proceed as opt-out classes under AAA and JAMS class rules,</w:t>
      </w:r>
      <w:r>
        <w:rPr>
          <w:vertAlign w:val="superscript"/>
        </w:rPr>
        <w:footnoteReference w:id="995"/>
      </w:r>
      <w:r w:rsidRPr="00AD2F44">
        <w:t xml:space="preserve"> and the Fifth Circuit deferred to this approach.</w:t>
      </w:r>
      <w:r>
        <w:rPr>
          <w:rStyle w:val="FootnoteReference"/>
        </w:rPr>
        <w:footnoteReference w:id="996"/>
      </w:r>
      <w:r w:rsidRPr="00AD2F44">
        <w:t xml:space="preserve"> Other arbitrators have declined and instead found that the FLSA’s opt-in procedures under Section 216(b) should govern FLSA actions brought in arbitration.</w:t>
      </w:r>
      <w:r>
        <w:rPr>
          <w:vertAlign w:val="superscript"/>
        </w:rPr>
        <w:footnoteReference w:id="997"/>
      </w:r>
      <w:r w:rsidRPr="00AD2F44">
        <w:t xml:space="preserve"> </w:t>
      </w:r>
    </w:p>
    <w:p w14:paraId="2EF882E2" w14:textId="77777777" w:rsidR="004322B1" w:rsidRPr="00AD2F44" w:rsidRDefault="004322B1">
      <w:pPr>
        <w:pStyle w:val="05Second-LevelHeadABC"/>
      </w:pPr>
      <w:r w:rsidRPr="00AD2F44">
        <w:t>D.</w:t>
      </w:r>
      <w:r w:rsidRPr="00AD2F44">
        <w:tab/>
        <w:t>Conditional Certification When Putative Class Members May Be Subject to Arbitration Agreements</w:t>
      </w:r>
    </w:p>
    <w:p w14:paraId="0EC1DB64" w14:textId="77777777" w:rsidR="004322B1" w:rsidRPr="00AD2F44" w:rsidRDefault="004322B1">
      <w:pPr>
        <w:pStyle w:val="10ATextWithIndent"/>
      </w:pPr>
      <w:r w:rsidRPr="00AD2F44">
        <w:t>In opposing motions to conditionally certify FLSA cases as collective actions, employers have argued that certification should not be granted where some, if not all, of the putative members of the collective are subject to arbitration agreements. In the Fifth and Seventh Circuits, resolution of this issue requires some level of proof that the employees in question signed enforceable arbitration agreements. The Fifth Circuit held that “district courts may not send notice to an employee with a valid arbitration agreement unless the record shows that nothing in the agreement would prohibit that employee from participating in the collective action.”</w:t>
      </w:r>
      <w:r>
        <w:rPr>
          <w:vertAlign w:val="superscript"/>
        </w:rPr>
        <w:footnoteReference w:id="998"/>
      </w:r>
      <w:r w:rsidRPr="00AD2F44">
        <w:t xml:space="preserve"> However, under such circumstances, the employer bears the burden of proving the existence of a valid arbitration agreement “by a preponderance of the evidence,” which may require evidentiary findings before notice can be issued.</w:t>
      </w:r>
      <w:r>
        <w:rPr>
          <w:vertAlign w:val="superscript"/>
        </w:rPr>
        <w:footnoteReference w:id="999"/>
      </w:r>
      <w:r w:rsidRPr="00AD2F44">
        <w:t xml:space="preserve"> The Seventh Circuit held that courts may authorize distribution of notices to potential plaintiffs who allegedly signed arbitration agreements</w:t>
      </w:r>
    </w:p>
    <w:p w14:paraId="3E0A4326" w14:textId="77777777" w:rsidR="004322B1" w:rsidRPr="00AD2F44" w:rsidRDefault="004322B1">
      <w:pPr>
        <w:pStyle w:val="09BBlockQuoteWithoutIndent"/>
      </w:pPr>
      <w:r w:rsidRPr="00AD2F44">
        <w:t>unless (1) no plaintiff contests the existence or validity of the alleged arbitration agreements, or (2) after the court allows discovery on the alleged agreements’ existence and validity, the defendant establishes by a preponderance of the evidence the existence of a valid arbitration agreement for each employee it seeks to exclude from receiving notice.</w:t>
      </w:r>
      <w:r>
        <w:rPr>
          <w:vertAlign w:val="superscript"/>
        </w:rPr>
        <w:footnoteReference w:id="1000"/>
      </w:r>
    </w:p>
    <w:p w14:paraId="2ABEEF02" w14:textId="77777777" w:rsidR="004322B1" w:rsidRPr="00AD2F44" w:rsidRDefault="004322B1">
      <w:pPr>
        <w:pStyle w:val="10ATextWithIndent"/>
      </w:pPr>
      <w:r w:rsidRPr="00AD2F44">
        <w:t>District courts outside the Fifth and Seventh Circuits have treated this issue in different ways. Many district courts grant at least partial conditional certification despite the fact that members of the putative collective may be subject to arbitration agreements.</w:t>
      </w:r>
      <w:r>
        <w:rPr>
          <w:vertAlign w:val="superscript"/>
        </w:rPr>
        <w:footnoteReference w:id="1001"/>
      </w:r>
      <w:r w:rsidRPr="00AD2F44">
        <w:t xml:space="preserve"> In allowing notice to issue, district courts have deferred the issue of whether the FLSA claims of some or all plaintiffs may be compelled to arbitration until after putative class members have determined whether to opt in under the procedures set forth in the court’s order.</w:t>
      </w:r>
      <w:r>
        <w:rPr>
          <w:vertAlign w:val="superscript"/>
        </w:rPr>
        <w:footnoteReference w:id="1002"/>
      </w:r>
      <w:r w:rsidRPr="00AD2F44">
        <w:t xml:space="preserve"> However, other district courts have refused to authorize the issuance of notice to putative class members subject to an arbitration agreement where the court had already found the arbitration agreement valid.</w:t>
      </w:r>
      <w:r>
        <w:rPr>
          <w:vertAlign w:val="superscript"/>
        </w:rPr>
        <w:footnoteReference w:id="1003"/>
      </w:r>
      <w:r w:rsidRPr="00AD2F44">
        <w:t xml:space="preserve"> </w:t>
      </w:r>
    </w:p>
    <w:p w14:paraId="79E3F045" w14:textId="77777777" w:rsidR="004322B1" w:rsidRPr="00AD2F44" w:rsidRDefault="004322B1">
      <w:pPr>
        <w:pStyle w:val="10ATextWithIndent"/>
        <w:rPr>
          <w:vertAlign w:val="superscript"/>
        </w:rPr>
      </w:pPr>
      <w:r w:rsidRPr="00AD2F44">
        <w:t>In other situations, plaintiffs have argued that a district court may exercise its authority to manage the collective action process to restrict the ability of employers to obtain new post-suit arbitration agreements pending the issuance of notice.</w:t>
      </w:r>
      <w:r>
        <w:rPr>
          <w:vertAlign w:val="superscript"/>
        </w:rPr>
        <w:footnoteReference w:id="1004"/>
      </w:r>
      <w:r w:rsidRPr="00AD2F44">
        <w:t xml:space="preserve"> The Fourth Circuit affirmed a lower court’s refusal to compel arbitration pursuant to arbitration agreements executed by putative class members more than a year after the collective action lawsuit was filed.</w:t>
      </w:r>
      <w:r>
        <w:rPr>
          <w:vertAlign w:val="superscript"/>
        </w:rPr>
        <w:footnoteReference w:id="1005"/>
      </w:r>
      <w:r w:rsidRPr="00AD2F44">
        <w:t xml:space="preserve"> However, this authority may be constrained where none of the current plaintiffs in the lawsuit are subject to the new arbitration agreements.</w:t>
      </w:r>
      <w:r>
        <w:rPr>
          <w:vertAlign w:val="superscript"/>
        </w:rPr>
        <w:footnoteReference w:id="1006"/>
      </w:r>
    </w:p>
    <w:p w14:paraId="38859163" w14:textId="77777777" w:rsidR="004322B1" w:rsidRPr="00AD2F44" w:rsidRDefault="004322B1">
      <w:pPr>
        <w:pStyle w:val="04First-LevelHeadIIIIII"/>
      </w:pPr>
      <w:r w:rsidRPr="00AD2F44">
        <w:t>XI.</w:t>
      </w:r>
      <w:r w:rsidRPr="00AD2F44">
        <w:t> </w:t>
      </w:r>
      <w:r w:rsidRPr="00AD2F44">
        <w:t>Hybrid FLSA/State Law Class Actions</w:t>
      </w:r>
    </w:p>
    <w:p w14:paraId="7727426D" w14:textId="77777777" w:rsidR="004322B1" w:rsidRPr="00AD2F44" w:rsidRDefault="004322B1">
      <w:pPr>
        <w:pStyle w:val="05Second-LevelHeadABC"/>
      </w:pPr>
      <w:r w:rsidRPr="00AD2F44">
        <w:t>A.</w:t>
      </w:r>
      <w:r w:rsidRPr="00AD2F44">
        <w:tab/>
        <w:t>Introduction</w:t>
      </w:r>
    </w:p>
    <w:p w14:paraId="382C4A08" w14:textId="77777777" w:rsidR="004322B1" w:rsidRPr="00AD2F44" w:rsidRDefault="004322B1">
      <w:pPr>
        <w:pStyle w:val="10ATextWithIndent"/>
      </w:pPr>
      <w:r w:rsidRPr="00AD2F44">
        <w:t>In some federal court actions, plaintiffs combine FLSA collective action claims with state law class action claims for damages under Rule 23 of the Federal Rules of Civil Procedure. Membership in the FLSA collective action is governed by the “opt-in” procedure set forth in the FLSA itself. Membership in the state law class action, in contrast, is governed by the “opt-out” procedure set forth in Rule 23. Actions combining FLSA collective actions and Rule 23 class actions in this fashion have often been referred to as “hybrid actions.”</w:t>
      </w:r>
      <w:r>
        <w:rPr>
          <w:vertAlign w:val="superscript"/>
        </w:rPr>
        <w:footnoteReference w:id="1007"/>
      </w:r>
      <w:r w:rsidRPr="00AD2F44">
        <w:t xml:space="preserve"> This section discusses hybrid actions and, more particularly, the jurisdictional and procedural challenges that have been brought against their maintenance.</w:t>
      </w:r>
      <w:r>
        <w:rPr>
          <w:vertAlign w:val="superscript"/>
        </w:rPr>
        <w:footnoteReference w:id="1008"/>
      </w:r>
    </w:p>
    <w:p w14:paraId="1620E741" w14:textId="77777777" w:rsidR="004322B1" w:rsidRPr="00AD2F44" w:rsidRDefault="004322B1">
      <w:pPr>
        <w:pStyle w:val="10ATextWithIndent"/>
      </w:pPr>
      <w:r w:rsidRPr="00AD2F44">
        <w:t xml:space="preserve">The impetus for most litigation challenging hybrid actions is that the FLSA collective action uses the opt-in procedure and Rule 23 uses the opt-out procedure. The chief significance of this procedural difference is that, in any given action, many individuals who do not opt </w:t>
      </w:r>
      <w:r w:rsidRPr="00AD2F44">
        <w:rPr>
          <w:i/>
          <w:iCs/>
        </w:rPr>
        <w:t>in to</w:t>
      </w:r>
      <w:r w:rsidRPr="00AD2F44">
        <w:t xml:space="preserve"> the FLSA action will also not opt </w:t>
      </w:r>
      <w:r w:rsidRPr="00AD2F44">
        <w:rPr>
          <w:i/>
          <w:iCs/>
        </w:rPr>
        <w:t>out</w:t>
      </w:r>
      <w:r w:rsidRPr="00AD2F44">
        <w:t xml:space="preserve"> </w:t>
      </w:r>
      <w:r w:rsidRPr="00AD2F44">
        <w:rPr>
          <w:i/>
          <w:iCs/>
        </w:rPr>
        <w:t>of</w:t>
      </w:r>
      <w:r w:rsidRPr="00AD2F44">
        <w:t xml:space="preserve"> the Rule 23 class. The result is that the Rule 23 class will generally be larger than the FLSA class and the employer will be facing greater potential liability than it would from an FLSA collective action alone. In addition, to the extent the state law claims mirror the FLSA claims, the employer may find itself, in substance, litigating the FLSA issues as to the entire Rule 23 class, even though only a relatively small percentage of those class members will be pursuing any FLSA claims in the action (and Rule 23 class members may similarly find that their FLSA claims are being effectively adjudicated even though they did not join the FLSA action). Prior to the advent of federal court jurisdiction over many state law class actions under the Class Action Fairness Act of 2005 (CAFA),</w:t>
      </w:r>
      <w:r>
        <w:rPr>
          <w:vertAlign w:val="superscript"/>
        </w:rPr>
        <w:footnoteReference w:id="1009"/>
      </w:r>
      <w:r w:rsidRPr="00AD2F44">
        <w:t xml:space="preserve"> employers and some courts had noted that the only basis for federal jurisdiction over the state law claims was supplemental jurisdiction, that many Rule 23 class members would be in federal court who did not have any federal claims, and that the vessel that would have carried them there would be the FLSA, a statute intended, in pertinent part, to limit the scope of FLSA collective actions through use of the opt-in procedure.</w:t>
      </w:r>
    </w:p>
    <w:p w14:paraId="075473FF" w14:textId="77777777" w:rsidR="004322B1" w:rsidRPr="00AD2F44" w:rsidRDefault="004322B1">
      <w:pPr>
        <w:pStyle w:val="10ATextWithIndent"/>
      </w:pPr>
      <w:r w:rsidRPr="00AD2F44">
        <w:t>Hybrid actions have been allowed to proceed in the federal courts,</w:t>
      </w:r>
      <w:r>
        <w:rPr>
          <w:vertAlign w:val="superscript"/>
        </w:rPr>
        <w:footnoteReference w:id="1010"/>
      </w:r>
      <w:r w:rsidRPr="00AD2F44">
        <w:t xml:space="preserve"> but many have been successfully challenged or have had the scope of their state law classes limited. The following sections examine the challenges that have been litigated: objections that FLSA opt-in actions and Rule 23 opt-out actions are legally “incompatible”; motions to dismiss or strike on the ground that Rule 23, as applied in hybrid actions, is invalidated by the federal Rules Enabling Act;</w:t>
      </w:r>
      <w:r>
        <w:rPr>
          <w:vertAlign w:val="superscript"/>
        </w:rPr>
        <w:footnoteReference w:id="1011"/>
      </w:r>
      <w:r w:rsidRPr="00AD2F44">
        <w:t xml:space="preserve"> challenges to the existence, scope, and exercise of supplemental jurisdiction over state law claims in a hybrid action; questions about the standing of plaintiffs to pursue Rule 23 claims under the laws of states where they did not work; and arguments that state law claims cannot satisfy the Rule 23 criteria for class certification in hybrid actions.</w:t>
      </w:r>
    </w:p>
    <w:p w14:paraId="4DF2A6C6" w14:textId="77777777" w:rsidR="004322B1" w:rsidRPr="00AD2F44" w:rsidRDefault="004322B1">
      <w:pPr>
        <w:pStyle w:val="05Second-LevelHeadABC"/>
      </w:pPr>
      <w:r w:rsidRPr="00AD2F44">
        <w:t>B.</w:t>
      </w:r>
      <w:r w:rsidRPr="00AD2F44">
        <w:tab/>
        <w:t>Why Hybrid Actions?</w:t>
      </w:r>
    </w:p>
    <w:p w14:paraId="70F4C90D" w14:textId="77777777" w:rsidR="004322B1" w:rsidRPr="00AD2F44" w:rsidRDefault="004322B1">
      <w:pPr>
        <w:pStyle w:val="10ATextWithIndent"/>
      </w:pPr>
      <w:r w:rsidRPr="00AD2F44">
        <w:t>There are a range of potential reasons why plaintiffs may choose to proceed with a hybrid action.</w:t>
      </w:r>
      <w:r>
        <w:rPr>
          <w:vertAlign w:val="superscript"/>
        </w:rPr>
        <w:footnoteReference w:id="1012"/>
      </w:r>
      <w:r w:rsidRPr="00AD2F44">
        <w:t xml:space="preserve"> First, many states have their own wage and hour laws, including statutes, regulations, and common law, which may be more protective of or generous to employees than the FLSA in the substantive rights they create. Examples include the following:</w:t>
      </w:r>
    </w:p>
    <w:p w14:paraId="79D1F0BB" w14:textId="77777777" w:rsidR="004322B1" w:rsidRPr="00AD2F44" w:rsidRDefault="004322B1">
      <w:pPr>
        <w:pStyle w:val="13AFirst-LevelBulletedList"/>
      </w:pPr>
      <w:r w:rsidRPr="00AD2F44">
        <w:t>higher minimum wages;</w:t>
      </w:r>
    </w:p>
    <w:p w14:paraId="060D1D43" w14:textId="77777777" w:rsidR="004322B1" w:rsidRPr="00AD2F44" w:rsidRDefault="004322B1">
      <w:pPr>
        <w:pStyle w:val="13AFirst-LevelBulletedList"/>
      </w:pPr>
      <w:r w:rsidRPr="00AD2F44">
        <w:t>broader standards for what constitutes compensable time;</w:t>
      </w:r>
    </w:p>
    <w:p w14:paraId="40285966" w14:textId="77777777" w:rsidR="004322B1" w:rsidRPr="00AD2F44" w:rsidRDefault="004322B1">
      <w:pPr>
        <w:pStyle w:val="13AFirst-LevelBulletedList"/>
      </w:pPr>
      <w:r w:rsidRPr="00AD2F44">
        <w:t>daily or double overtime, or other premiums for certain hours or types of shifts;</w:t>
      </w:r>
    </w:p>
    <w:p w14:paraId="66FA7186" w14:textId="77777777" w:rsidR="004322B1" w:rsidRPr="00AD2F44" w:rsidRDefault="004322B1">
      <w:pPr>
        <w:pStyle w:val="13AFirst-LevelBulletedList"/>
      </w:pPr>
      <w:r w:rsidRPr="00AD2F44">
        <w:t>stricter standards regarding overtime pay computation, meal periods, rest breaks, wage statements, and expense reimbursement;</w:t>
      </w:r>
    </w:p>
    <w:p w14:paraId="30E208DB" w14:textId="77777777" w:rsidR="004322B1" w:rsidRPr="00AD2F44" w:rsidRDefault="004322B1">
      <w:pPr>
        <w:pStyle w:val="13AFirst-LevelBulletedList"/>
      </w:pPr>
      <w:r w:rsidRPr="00AD2F44">
        <w:t>narrower or non-existent overtime exemptions; and</w:t>
      </w:r>
    </w:p>
    <w:p w14:paraId="6A7A97F7" w14:textId="77777777" w:rsidR="004322B1" w:rsidRPr="00AD2F44" w:rsidRDefault="004322B1">
      <w:pPr>
        <w:pStyle w:val="13AFirst-LevelBulletedList"/>
      </w:pPr>
      <w:r w:rsidRPr="00AD2F44">
        <w:t>provisions governing when wages must be paid.</w:t>
      </w:r>
      <w:r>
        <w:rPr>
          <w:vertAlign w:val="superscript"/>
        </w:rPr>
        <w:footnoteReference w:id="1013"/>
      </w:r>
    </w:p>
    <w:p w14:paraId="7C24D9D6" w14:textId="77777777" w:rsidR="004322B1" w:rsidRPr="00AD2F44" w:rsidRDefault="004322B1">
      <w:pPr>
        <w:pStyle w:val="10ATextWithIndent"/>
      </w:pPr>
      <w:r w:rsidRPr="00AD2F44">
        <w:t>Second, state laws may be more protective of employees than the FLSA in their remedial schemes. For example, state law claims may have longer limitations periods than the FLSA. State law remedies may also provide for more substantial awards or penalties, liquidated damages, punitive damages, or prejudgment interest. Unlike the FLSA, state laws generally do not provide employers with a potential good faith defense to liability.</w:t>
      </w:r>
      <w:r>
        <w:rPr>
          <w:vertAlign w:val="superscript"/>
        </w:rPr>
        <w:footnoteReference w:id="1014"/>
      </w:r>
      <w:r w:rsidRPr="00AD2F44">
        <w:t xml:space="preserve"> Some states that provide for liquidated damages do not provide employers with a potential good faith defense to such damages, whereas the FLSA does.</w:t>
      </w:r>
      <w:r>
        <w:rPr>
          <w:vertAlign w:val="superscript"/>
        </w:rPr>
        <w:footnoteReference w:id="1015"/>
      </w:r>
      <w:r w:rsidRPr="00AD2F44">
        <w:t xml:space="preserve"> Further, private plaintiffs may be able to seek equitable relief such as an injunction under state law,</w:t>
      </w:r>
      <w:r>
        <w:rPr>
          <w:vertAlign w:val="superscript"/>
        </w:rPr>
        <w:footnoteReference w:id="1016"/>
      </w:r>
      <w:r w:rsidRPr="00AD2F44">
        <w:t xml:space="preserve"> whereas private plaintiffs cannot obtain such relief under the FLSA (except in retaliation cases).</w:t>
      </w:r>
      <w:r>
        <w:rPr>
          <w:vertAlign w:val="superscript"/>
        </w:rPr>
        <w:footnoteReference w:id="1017"/>
      </w:r>
    </w:p>
    <w:p w14:paraId="2CC5D14B" w14:textId="77777777" w:rsidR="004322B1" w:rsidRPr="00AD2F44" w:rsidRDefault="004322B1">
      <w:pPr>
        <w:pStyle w:val="10ATextWithIndent"/>
      </w:pPr>
      <w:r w:rsidRPr="00AD2F44">
        <w:t>Third, the use of Rule 23 procedures may confer certain advantages on employees. For example, the statute of limitations will typically be tolled for absent class members upon the filing of a proposed Rule 23 class action complaint, whereas the statute of limitations on FLSA claims will typically not be tolled until each employee files a written consent with the court to join the FLSA collective action.</w:t>
      </w:r>
      <w:r>
        <w:rPr>
          <w:vertAlign w:val="superscript"/>
        </w:rPr>
        <w:footnoteReference w:id="1018"/>
      </w:r>
      <w:r w:rsidRPr="00AD2F44">
        <w:t xml:space="preserve"> Also, Rule 23 class actions are opt-out actions, whereas FLSA collective actions are opt-in actions, requiring affirmative action by employees who desire to participate. For this reason, opt-out state law actions can reasonably be expected to have a higher number of potential class members than opt-in FLSA actions.</w:t>
      </w:r>
      <w:r>
        <w:rPr>
          <w:vertAlign w:val="superscript"/>
        </w:rPr>
        <w:footnoteReference w:id="1019"/>
      </w:r>
    </w:p>
    <w:p w14:paraId="3BFAE91D" w14:textId="77777777" w:rsidR="004322B1" w:rsidRPr="00AD2F44" w:rsidRDefault="004322B1">
      <w:pPr>
        <w:pStyle w:val="10ATextWithIndent"/>
      </w:pPr>
      <w:r w:rsidRPr="00AD2F44">
        <w:t>Fourth, employees may include state law claims in their complaint because of issues that might arise if they do not.</w:t>
      </w:r>
      <w:r>
        <w:rPr>
          <w:vertAlign w:val="superscript"/>
        </w:rPr>
        <w:footnoteReference w:id="1020"/>
      </w:r>
      <w:r w:rsidRPr="00AD2F44">
        <w:t xml:space="preserve"> For example, depending on how claim preclusion doctrines are applied in a particular action, employees may later find that they are unable to prosecute state law claims in a separate action if they could have prosecuted them in the same action as their FLSA claims.</w:t>
      </w:r>
      <w:r>
        <w:rPr>
          <w:vertAlign w:val="superscript"/>
        </w:rPr>
        <w:footnoteReference w:id="1021"/>
      </w:r>
      <w:r w:rsidRPr="00AD2F44">
        <w:t xml:space="preserve"> Of course, on the other hand, including state law claims may preclude members of the state law class from later pursuing claims under the FLSA.</w:t>
      </w:r>
      <w:r>
        <w:rPr>
          <w:vertAlign w:val="superscript"/>
        </w:rPr>
        <w:footnoteReference w:id="1022"/>
      </w:r>
    </w:p>
    <w:p w14:paraId="23CDC039" w14:textId="77777777" w:rsidR="004322B1" w:rsidRPr="00AD2F44" w:rsidRDefault="004322B1">
      <w:pPr>
        <w:pStyle w:val="10ATextWithIndent"/>
      </w:pPr>
      <w:r w:rsidRPr="00AD2F44">
        <w:t>Fifth, employees may seek to bring state law claims that are predicated on alleged FLSA violations, but that provide their own state law remedies. For example, where a state statute provides for damages or penalties for the late payment of wages, an employee might seek to recover penalties under the state law for the late payment of overtime wages that were due under the FLSA, even if the employee might not have been independently entitled to be paid overtime wages under state law.</w:t>
      </w:r>
      <w:r>
        <w:rPr>
          <w:vertAlign w:val="superscript"/>
        </w:rPr>
        <w:footnoteReference w:id="1023"/>
      </w:r>
      <w:r w:rsidRPr="00AD2F44">
        <w:t xml:space="preserve"> Similarly, where a state statute—such as an unfair business practices statute—makes it a violation of state law not to pay overtime wages that are due under the FLSA, employees might seek to pursue claims under that state statute, even though they might not have been independently entitled to receive overtime pay under any other state law.</w:t>
      </w:r>
      <w:r>
        <w:rPr>
          <w:vertAlign w:val="superscript"/>
        </w:rPr>
        <w:footnoteReference w:id="1024"/>
      </w:r>
    </w:p>
    <w:p w14:paraId="27541783" w14:textId="77777777" w:rsidR="004322B1" w:rsidRPr="00AD2F44" w:rsidRDefault="004322B1">
      <w:pPr>
        <w:pStyle w:val="10ATextWithIndent"/>
      </w:pPr>
      <w:r w:rsidRPr="00AD2F44">
        <w:t>The FLSA may also provide employees with additional benefits beyond those available under the relevant state law such as a longer statute of limitations, liquidated damages, mandatory attorneys’ fees, coverage during a period of time when the employee did not work in a state with its own minimum wage or overtime law, a narrower overtime exemption, or a wider range of persons or entities who may be held liable. For this reason, employees may want to pursue hybrid claims rather than state law claims alone.</w:t>
      </w:r>
    </w:p>
    <w:p w14:paraId="6016B708" w14:textId="77777777" w:rsidR="004322B1" w:rsidRPr="00AD2F44" w:rsidRDefault="004322B1">
      <w:pPr>
        <w:pStyle w:val="05Second-LevelHeadABC"/>
      </w:pPr>
      <w:r w:rsidRPr="00AD2F44">
        <w:t>C.</w:t>
      </w:r>
      <w:r w:rsidRPr="00AD2F44">
        <w:tab/>
        <w:t>Legal Challenges to Hybrid Actions</w:t>
      </w:r>
    </w:p>
    <w:p w14:paraId="6278A1D2" w14:textId="77777777" w:rsidR="004322B1" w:rsidRPr="00AD2F44" w:rsidRDefault="004322B1">
      <w:pPr>
        <w:pStyle w:val="06Third-LevelHead123"/>
      </w:pPr>
      <w:r w:rsidRPr="00AD2F44">
        <w:t>1.</w:t>
      </w:r>
      <w:r w:rsidRPr="00AD2F44">
        <w:tab/>
        <w:t>“Incompatibility”</w:t>
      </w:r>
    </w:p>
    <w:p w14:paraId="48E4CF0E" w14:textId="77777777" w:rsidR="004322B1" w:rsidRPr="00AD2F44" w:rsidRDefault="004322B1">
      <w:pPr>
        <w:pStyle w:val="10ATextWithIndent"/>
      </w:pPr>
      <w:r w:rsidRPr="00AD2F44">
        <w:t>Many courts have considered a theory that FLSA collective actions and Rule 23 state law class actions are “incompatible” when filed in the same action. The incompatibility theory arises from the fact that FLSA and state law actions are governed by different procedures for determining who is included in the action—i.e., the FLSA uses an opt-</w:t>
      </w:r>
      <w:r w:rsidRPr="00AD2F44">
        <w:rPr>
          <w:i/>
          <w:iCs/>
        </w:rPr>
        <w:t>in</w:t>
      </w:r>
      <w:r w:rsidRPr="00AD2F44">
        <w:t xml:space="preserve"> procedure to determine membership in the FLSA class while Rule 23 uses an opt-</w:t>
      </w:r>
      <w:r w:rsidRPr="00AD2F44">
        <w:rPr>
          <w:i/>
          <w:iCs/>
        </w:rPr>
        <w:t>out</w:t>
      </w:r>
      <w:r w:rsidRPr="00AD2F44">
        <w:t xml:space="preserve"> procedure to determine membership in the state law class.</w:t>
      </w:r>
      <w:r>
        <w:rPr>
          <w:vertAlign w:val="superscript"/>
        </w:rPr>
        <w:footnoteReference w:id="1025"/>
      </w:r>
      <w:r w:rsidRPr="00AD2F44">
        <w:t xml:space="preserve"> Proponents of the incompatibility theory</w:t>
      </w:r>
      <w:r>
        <w:rPr>
          <w:vertAlign w:val="superscript"/>
        </w:rPr>
        <w:footnoteReference w:id="1026"/>
      </w:r>
      <w:r w:rsidRPr="00AD2F44">
        <w:t xml:space="preserve"> generally argue that Congress’ purpose in adopting the FLSA’s opt-in requirement was to limit employers’ exposure to class actions for FLSA violations and to prevent FLSA claims from being adjudicated without express consent, and that these purposes would be frustrated where employees who elected not to join the FLSA action were nonetheless mandatory members of the proposed Rule 23 state law class because they did not opt out.</w:t>
      </w:r>
    </w:p>
    <w:p w14:paraId="0CE816CB" w14:textId="77777777" w:rsidR="004322B1" w:rsidRPr="00AD2F44" w:rsidRDefault="004322B1">
      <w:pPr>
        <w:pStyle w:val="10ATextWithIndent"/>
      </w:pPr>
      <w:r w:rsidRPr="00AD2F44">
        <w:t>In its purest form, the incompatibility theory is a claim that hybrid actions are categorically impermissible as a matter of law regardless of the basis for federal jurisdiction over the state law claims. Where the basis for federal court jurisdiction over the state law claims is supplemental jurisdiction, proponents of the incompatibility theory have presented one or more of the following arguments: (1) supplemental jurisdiction is not authorized over Rule 23 state law claims in a hybrid action; (2) supplemental jurisdiction is not authorized over members of the proposed Rule 23 state law class who do not opt in to the FLSA action; or (3) it would be an abuse of the court’s discretion to exercise supplemental jurisdiction over the Rule 23 state law claims in a hybrid action. The incompatibility theory has also been raised as a basis for declining to certify a Rule 23 class action for the state law claims in a hybrid action.</w:t>
      </w:r>
    </w:p>
    <w:p w14:paraId="3EBF20E5" w14:textId="77777777" w:rsidR="004322B1" w:rsidRPr="00AD2F44" w:rsidRDefault="004322B1">
      <w:pPr>
        <w:pStyle w:val="10ATextWithIndent"/>
      </w:pPr>
      <w:r w:rsidRPr="00AD2F44">
        <w:t>All circuit courts and the majority of district courts to consider the issue have rejected the argument that hybrid actions are categorically impermissible as a matter of law because of a perceived incompatibility (or “inconsistency,” “irreconcilability,” or “conflict”) between Rule 23 state law claims and FLSA collective action claims in the same suit.</w:t>
      </w:r>
      <w:r>
        <w:rPr>
          <w:vertAlign w:val="superscript"/>
        </w:rPr>
        <w:footnoteReference w:id="1027"/>
      </w:r>
      <w:r w:rsidRPr="00AD2F44">
        <w:t xml:space="preserve"> For example, the District of Columbia Circuit rejected the argument that a “conflict” between the FLSA and Rule 23 limits the district courts’ supplemental jurisdiction or provides a compelling reason for declining to exercise supplemental jurisdiction.</w:t>
      </w:r>
      <w:r>
        <w:rPr>
          <w:vertAlign w:val="superscript"/>
        </w:rPr>
        <w:footnoteReference w:id="1028"/>
      </w:r>
      <w:r w:rsidRPr="00AD2F44">
        <w:t xml:space="preserve"> The Ninth Circuit has agreed with this analysis.</w:t>
      </w:r>
      <w:r>
        <w:rPr>
          <w:vertAlign w:val="superscript"/>
        </w:rPr>
        <w:footnoteReference w:id="1029"/>
      </w:r>
    </w:p>
    <w:p w14:paraId="455DBF0B" w14:textId="77777777" w:rsidR="004322B1" w:rsidRPr="00AD2F44" w:rsidRDefault="004322B1">
      <w:pPr>
        <w:pStyle w:val="10ATextWithIndent"/>
      </w:pPr>
      <w:r w:rsidRPr="00AD2F44">
        <w:t>The Seventh Circuit rejected the position that there is a “clear incompatibility between the ‘opt out’ nature of a Rule 23 action and the ‘opt in’ nature of a Section 216 action” such that the Rule 23 class action device is “automatically” not the superior mechanism for resolving the state law claims, with the result that a Rule 23 action can never be prosecuted in the same action with an FLSA collective action.</w:t>
      </w:r>
      <w:r>
        <w:rPr>
          <w:vertAlign w:val="superscript"/>
        </w:rPr>
        <w:footnoteReference w:id="1030"/>
      </w:r>
      <w:r w:rsidRPr="00AD2F44">
        <w:t xml:space="preserve"> The court explained that “[n]</w:t>
      </w:r>
      <w:proofErr w:type="spellStart"/>
      <w:r w:rsidRPr="00AD2F44">
        <w:t>othing</w:t>
      </w:r>
      <w:proofErr w:type="spellEnd"/>
      <w:r w:rsidRPr="00AD2F44">
        <w:t xml:space="preserve"> we find suggests that the FLSA is not amenable to state law claims for related relief in the same federal proceeding. … There is ample evidence that a combined action is consistent with the regime Congress has established in the FLSA.”</w:t>
      </w:r>
      <w:r>
        <w:rPr>
          <w:vertAlign w:val="superscript"/>
        </w:rPr>
        <w:footnoteReference w:id="1031"/>
      </w:r>
      <w:r w:rsidRPr="00AD2F44">
        <w:t xml:space="preserve"> The court considered and rejected the argument that</w:t>
      </w:r>
    </w:p>
    <w:p w14:paraId="3876D845" w14:textId="77777777" w:rsidR="004322B1" w:rsidRPr="00AD2F44" w:rsidRDefault="004322B1">
      <w:pPr>
        <w:pStyle w:val="09BBlockQuoteWithoutIndent"/>
      </w:pPr>
      <w:r w:rsidRPr="00AD2F44">
        <w:t>permitting a plaintiff who ends up in only the Rule 23(b)(3) class (because she neither opted out of that class nor opted in to the FLSA collective action) to proceed as part of the state law class is in tension with the idea that disinterested parties were not supposed to take advantage of the FLSA.</w:t>
      </w:r>
      <w:r>
        <w:rPr>
          <w:vertAlign w:val="superscript"/>
        </w:rPr>
        <w:footnoteReference w:id="1032"/>
      </w:r>
    </w:p>
    <w:p w14:paraId="4253AFA6" w14:textId="77777777" w:rsidR="004322B1" w:rsidRPr="00AD2F44" w:rsidRDefault="004322B1">
      <w:pPr>
        <w:pStyle w:val="10ATextWithIndent"/>
      </w:pPr>
      <w:r w:rsidRPr="00AD2F44">
        <w:t>The court observed that such a plaintiff would not be entitled to any FLSA remedy, and “[t]he most that one can say is that her state claim has found its way into federal court under the court’s supplemental jurisdiction. But that is a complaint that could be brought in almost every claim that rests on Section 1367 jurisdiction.</w:t>
      </w:r>
      <w:r>
        <w:rPr>
          <w:vertAlign w:val="superscript"/>
        </w:rPr>
        <w:footnoteReference w:id="1033"/>
      </w:r>
      <w:r w:rsidRPr="00AD2F44">
        <w:t xml:space="preserve"> The court recognized that “[s]</w:t>
      </w:r>
      <w:proofErr w:type="spellStart"/>
      <w:r w:rsidRPr="00AD2F44">
        <w:t>ome</w:t>
      </w:r>
      <w:proofErr w:type="spellEnd"/>
      <w:r w:rsidRPr="00AD2F44">
        <w:t xml:space="preserve"> [plaintiffs] may be part of both the FLSA group and the Rule 23 class; some may be in one but not the other. We conclude that there is nothing in the FLSA that forecloses these possibilities.”</w:t>
      </w:r>
      <w:r>
        <w:rPr>
          <w:vertAlign w:val="superscript"/>
        </w:rPr>
        <w:footnoteReference w:id="1034"/>
      </w:r>
      <w:r w:rsidRPr="00AD2F44">
        <w:t xml:space="preserve"> The Second and Third Circuits joined the Seventh, Ninth, and District of Columbia Circuits in rejecting that there is an inherent incompatibility in permitting FLSA actions requiring opt in and Rule 23 state law claims requiring opt out to proceed in the same action.</w:t>
      </w:r>
      <w:r>
        <w:rPr>
          <w:vertAlign w:val="superscript"/>
        </w:rPr>
        <w:footnoteReference w:id="1035"/>
      </w:r>
    </w:p>
    <w:p w14:paraId="1F865251" w14:textId="77777777" w:rsidR="004322B1" w:rsidRPr="00AD2F44" w:rsidRDefault="004322B1">
      <w:pPr>
        <w:pStyle w:val="10ATextWithIndent"/>
      </w:pPr>
      <w:r w:rsidRPr="00AD2F44">
        <w:t>Some courts, however, have held that in some circumstances the FLSA preempts related state law claims</w:t>
      </w:r>
      <w:r>
        <w:rPr>
          <w:vertAlign w:val="superscript"/>
        </w:rPr>
        <w:footnoteReference w:id="1036"/>
      </w:r>
      <w:r w:rsidRPr="00AD2F44">
        <w:t xml:space="preserve"> or have adopted incompatibility as a basis for limiting the scope of supplemental jurisdiction, declining to exercise such jurisdiction, or refusing to certify a state law class action under Rule 23. Some of the decisions seem to suggest that at least some types of hybrid actions are essentially barred by law. These decisions are reviewed in Sections XI.D.2 [Hybrid FLSA/State Law Class Actions; Federal Jurisdiction Over State Law Claims in Hybrid Actions; Supplemental Jurisdiction Under 28 U.S.C. §1367] and XI.F [Hybrid FLSA/State Law Class Actions; Rule 23 Class Certification in Hybrid Actions] of this chapter, addressing supplemental jurisdiction and class certification issues.</w:t>
      </w:r>
    </w:p>
    <w:p w14:paraId="7F10AD30" w14:textId="77777777" w:rsidR="004322B1" w:rsidRPr="00AD2F44" w:rsidRDefault="004322B1">
      <w:pPr>
        <w:pStyle w:val="06Third-LevelHead123"/>
      </w:pPr>
      <w:r w:rsidRPr="00AD2F44">
        <w:t>2.</w:t>
      </w:r>
      <w:r w:rsidRPr="00AD2F44">
        <w:tab/>
        <w:t>Rules Enabling Act</w:t>
      </w:r>
    </w:p>
    <w:p w14:paraId="3DD0FA61" w14:textId="77777777" w:rsidR="004322B1" w:rsidRPr="00AD2F44" w:rsidRDefault="004322B1">
      <w:pPr>
        <w:pStyle w:val="10ATextWithIndent"/>
      </w:pPr>
      <w:r w:rsidRPr="00AD2F44">
        <w:t>Some employers have argued that the use of Rule 23 to certify an opt-out class for state law claims in the same action with an FLSA opt-in class is a violation of the federal Rules Enabling Act,</w:t>
      </w:r>
      <w:r>
        <w:rPr>
          <w:vertAlign w:val="superscript"/>
        </w:rPr>
        <w:footnoteReference w:id="1037"/>
      </w:r>
      <w:r w:rsidRPr="00AD2F44">
        <w:t xml:space="preserve"> which provides in pertinent part:</w:t>
      </w:r>
    </w:p>
    <w:p w14:paraId="15224377" w14:textId="77777777" w:rsidR="004322B1" w:rsidRPr="00AD2F44" w:rsidRDefault="004322B1">
      <w:pPr>
        <w:pStyle w:val="09BBlockQuoteWithoutIndent"/>
      </w:pPr>
      <w:r w:rsidRPr="00AD2F44">
        <w:t>(a) The Supreme Court shall have the power to prescribe general rules of practice and procedure and rules of evidence for cases in the United States district courts (including proceedings before magistrate judges thereof) and courts of appeals.</w:t>
      </w:r>
    </w:p>
    <w:p w14:paraId="5E82F91B" w14:textId="77777777" w:rsidR="004322B1" w:rsidRPr="00AD2F44" w:rsidRDefault="004322B1">
      <w:pPr>
        <w:pStyle w:val="09BBlockQuoteWithoutIndent"/>
      </w:pPr>
      <w:r w:rsidRPr="00AD2F44">
        <w:t>(b) Such rules shall not abridge, enlarge or modify any substantive right. All laws in conflict with such rules shall be of no further force or effect after such rules have taken effect.</w:t>
      </w:r>
      <w:r>
        <w:rPr>
          <w:vertAlign w:val="superscript"/>
        </w:rPr>
        <w:footnoteReference w:id="1038"/>
      </w:r>
    </w:p>
    <w:p w14:paraId="619B6895" w14:textId="77777777" w:rsidR="004322B1" w:rsidRPr="00AD2F44" w:rsidRDefault="004322B1">
      <w:pPr>
        <w:pStyle w:val="10ATextWithIndent"/>
      </w:pPr>
      <w:r w:rsidRPr="00AD2F44">
        <w:t>The issue is whether the use of Rule 23 to certify an opt-out state law class abridges a substantive right of employees not to have their FLSA claims adjudicated in a collective action unless they opt in, or a substantive right of employers to limit the FLSA litigation to those who have opted in. Usually a Rules Enabling Act challenge is based on the assumption that litigation of the state law claims of employees who do not join the FLSA collective action will nevertheless be determinative of their rights under the FLSA (due to some form of issue or claim preclusion).</w:t>
      </w:r>
    </w:p>
    <w:p w14:paraId="22080BED" w14:textId="77777777" w:rsidR="004322B1" w:rsidRPr="00AD2F44" w:rsidRDefault="004322B1">
      <w:pPr>
        <w:pStyle w:val="10ATextWithIndent"/>
      </w:pPr>
      <w:r w:rsidRPr="00AD2F44">
        <w:t>Most courts have rejected the Rules Enabling Act challenge to hybrid actions.</w:t>
      </w:r>
      <w:r>
        <w:rPr>
          <w:vertAlign w:val="superscript"/>
        </w:rPr>
        <w:footnoteReference w:id="1039"/>
      </w:r>
      <w:r w:rsidRPr="00AD2F44">
        <w:t xml:space="preserve"> For example, one district court rejected the argument that adjudication of the state law claims of employees who did not opt in to the FLSA class might operate as “res judicata” with respect to their FLSA claims, thereby abridging their right to have their FLSA claims litigated only with their express written consent.</w:t>
      </w:r>
      <w:r>
        <w:rPr>
          <w:vertAlign w:val="superscript"/>
        </w:rPr>
        <w:footnoteReference w:id="1040"/>
      </w:r>
      <w:r w:rsidRPr="00AD2F44">
        <w:t xml:space="preserve"> The court similarly rejected the argument that such a result might abridge the right of employers “to be free … of the burden of representative actions.”</w:t>
      </w:r>
      <w:r>
        <w:rPr>
          <w:vertAlign w:val="superscript"/>
        </w:rPr>
        <w:footnoteReference w:id="1041"/>
      </w:r>
      <w:r w:rsidRPr="00AD2F44">
        <w:t xml:space="preserve"> The court reasoned that the FLSA’s opt-in provision is best viewed as a procedural mechanism for vindicating the substantive rights provided by the FLSA.</w:t>
      </w:r>
      <w:r>
        <w:rPr>
          <w:vertAlign w:val="superscript"/>
        </w:rPr>
        <w:footnoteReference w:id="1042"/>
      </w:r>
      <w:r w:rsidRPr="00AD2F44">
        <w:t xml:space="preserve"> Even if the opt-in provision were substantive, the relative right would be the right not to be a party to an FLSA action without written consent, and not a right to have FLSA claims litigated only with written consent.</w:t>
      </w:r>
      <w:r>
        <w:rPr>
          <w:vertAlign w:val="superscript"/>
        </w:rPr>
        <w:footnoteReference w:id="1043"/>
      </w:r>
      <w:r w:rsidRPr="00AD2F44">
        <w:t xml:space="preserve"> “Since the certification of a [state law] class does not affect an employee’s ability to opt in or not to an FLSA collective action, such certification does not ‘abridge, enlarge or modify’ the rights conferred by the FLSA, whether those rights are substantive or procedural.”</w:t>
      </w:r>
      <w:r>
        <w:rPr>
          <w:vertAlign w:val="superscript"/>
        </w:rPr>
        <w:footnoteReference w:id="1044"/>
      </w:r>
      <w:r w:rsidRPr="00AD2F44">
        <w:t xml:space="preserve"> Additionally, </w:t>
      </w:r>
    </w:p>
    <w:p w14:paraId="29BE36E0" w14:textId="77777777" w:rsidR="004322B1" w:rsidRPr="00AD2F44" w:rsidRDefault="004322B1">
      <w:pPr>
        <w:pStyle w:val="09BBlockQuoteWithoutIndent"/>
      </w:pPr>
      <w:r w:rsidRPr="00AD2F44">
        <w:t>the right conferred on an employer by the opt-in requirement is not the expansive right to be “free … of the burden of representative actions” generally, but rather the right to be free of the burden of representative actions specifically for violations of the FLSA. Since plaintiffs seek certification of a class for violations of the [New York Labor Law] and not the FLSA, such certification also does not “abridge, enlarge or modify” that right.</w:t>
      </w:r>
      <w:r>
        <w:rPr>
          <w:vertAlign w:val="superscript"/>
        </w:rPr>
        <w:footnoteReference w:id="1045"/>
      </w:r>
    </w:p>
    <w:p w14:paraId="014BF690" w14:textId="77777777" w:rsidR="004322B1" w:rsidRPr="00AD2F44" w:rsidRDefault="004322B1">
      <w:pPr>
        <w:pStyle w:val="05Second-LevelHeadABC"/>
      </w:pPr>
      <w:r w:rsidRPr="00AD2F44">
        <w:t>D.</w:t>
      </w:r>
      <w:r w:rsidRPr="00AD2F44">
        <w:tab/>
        <w:t>Federal Jurisdiction Over State Law Claims in Hybrid Actions</w:t>
      </w:r>
    </w:p>
    <w:p w14:paraId="5A3E94DA" w14:textId="77777777" w:rsidR="004322B1" w:rsidRPr="00AD2F44" w:rsidRDefault="004322B1">
      <w:pPr>
        <w:pStyle w:val="06Third-LevelHead123"/>
      </w:pPr>
      <w:r w:rsidRPr="00AD2F44">
        <w:t>1.</w:t>
      </w:r>
      <w:r w:rsidRPr="00AD2F44">
        <w:tab/>
        <w:t>Diversity Jurisdiction Under the Class Action Fairness Act</w:t>
      </w:r>
    </w:p>
    <w:p w14:paraId="2DE16549" w14:textId="77777777" w:rsidR="004322B1" w:rsidRPr="00AD2F44" w:rsidRDefault="004322B1">
      <w:pPr>
        <w:pStyle w:val="10ATextWithIndent"/>
      </w:pPr>
      <w:r w:rsidRPr="00AD2F44">
        <w:t>The Class Action Fairness Act of 2005 (CAFA)</w:t>
      </w:r>
      <w:r>
        <w:rPr>
          <w:vertAlign w:val="superscript"/>
        </w:rPr>
        <w:footnoteReference w:id="1046"/>
      </w:r>
      <w:r w:rsidRPr="00AD2F44">
        <w:t xml:space="preserve"> established federal court diversity jurisdiction over certain state law class actions filed under Rule 23 of the Federal Rules of Civil Procedure or a “similar State statute.”</w:t>
      </w:r>
      <w:r>
        <w:rPr>
          <w:vertAlign w:val="superscript"/>
        </w:rPr>
        <w:footnoteReference w:id="1047"/>
      </w:r>
      <w:r w:rsidRPr="00AD2F44">
        <w:t xml:space="preserve"> Generally, and subject to certain exceptions under which the district court may, or must, decline to exercise jurisdiction, CAFA jurisdiction exists where the amount in controversy exceeds $5 million exclusive of interest and costs, any member of a class of plaintiffs is a citizen of a state different from any defendant, and the number of members of all proposed classes in the aggregate is 100 or greater.</w:t>
      </w:r>
      <w:r>
        <w:rPr>
          <w:vertAlign w:val="superscript"/>
        </w:rPr>
        <w:footnoteReference w:id="1048"/>
      </w:r>
    </w:p>
    <w:p w14:paraId="3AF76AA6" w14:textId="77777777" w:rsidR="004322B1" w:rsidRPr="00AD2F44" w:rsidRDefault="004322B1">
      <w:pPr>
        <w:pStyle w:val="10ATextWithIndent"/>
      </w:pPr>
      <w:r w:rsidRPr="00AD2F44">
        <w:t>On its face, CAFA jurisdiction extends to state law class actions in hybrid actions no less than any other type of state law class action. Thus, assuming the statutory criteria are satisfied, CAFA jurisdiction allows a plaintiff to file a hybrid action in federal court and also allows a defendant to remove to federal court a hybrid action that the plaintiff filed in state court.</w:t>
      </w:r>
    </w:p>
    <w:p w14:paraId="40C346EF" w14:textId="77777777" w:rsidR="004322B1" w:rsidRPr="00AD2F44" w:rsidRDefault="004322B1">
      <w:pPr>
        <w:pStyle w:val="10ATextWithIndent"/>
      </w:pPr>
      <w:r w:rsidRPr="00AD2F44">
        <w:t>To date, challenges to the maintenance of hybrid actions where one of the jurisdictional bases is CAFA have been unsuccessful and essentially limited to the incompatibility and Rules Enabling Act arguments discussed above.</w:t>
      </w:r>
      <w:r>
        <w:rPr>
          <w:vertAlign w:val="superscript"/>
        </w:rPr>
        <w:footnoteReference w:id="1049"/>
      </w:r>
      <w:r w:rsidRPr="00AD2F44">
        <w:t xml:space="preserve"> Even when FLSA claims are dismissed, leaving only state law claims, district courts may retain jurisdiction if the CAFA requirements are met.</w:t>
      </w:r>
      <w:r>
        <w:rPr>
          <w:vertAlign w:val="superscript"/>
        </w:rPr>
        <w:footnoteReference w:id="1050"/>
      </w:r>
    </w:p>
    <w:p w14:paraId="1E85167E" w14:textId="77777777" w:rsidR="004322B1" w:rsidRPr="00AD2F44" w:rsidRDefault="004322B1">
      <w:pPr>
        <w:pStyle w:val="06Third-LevelHead123"/>
      </w:pPr>
      <w:r w:rsidRPr="00AD2F44">
        <w:t>2.</w:t>
      </w:r>
      <w:r w:rsidRPr="00AD2F44">
        <w:tab/>
        <w:t>Supplemental Jurisdiction Under 28 U.S.C. §1367</w:t>
      </w:r>
    </w:p>
    <w:p w14:paraId="72BCA72D" w14:textId="77777777" w:rsidR="004322B1" w:rsidRPr="00AD2F44" w:rsidRDefault="004322B1">
      <w:pPr>
        <w:pStyle w:val="10ATextWithIndent"/>
      </w:pPr>
      <w:r w:rsidRPr="00AD2F44">
        <w:t>In many hybrid actions, the asserted basis for jurisdiction over the state law claims has been supplemental jurisdiction under 28 U.S.C. §1367. Issues that have been repeatedly litigated in such actions are whether supplemental jurisdiction is authorized over the state law claims, and, if it is, whether the court should decline to exercise it. The advent of CAFA establishing independent federal diversity jurisdiction for many state law class actions has reduced the number of actions in which these issues are pertinent. But issues pertaining to supplemental jurisdiction will continue to arise where CAFA jurisdiction is not present—e.g., where the amount in controversy does not exceed $5 million or the requisite diversity is lacking.</w:t>
      </w:r>
    </w:p>
    <w:p w14:paraId="4A666D85" w14:textId="77777777" w:rsidR="004322B1" w:rsidRPr="00AD2F44" w:rsidRDefault="004322B1">
      <w:pPr>
        <w:pStyle w:val="10ATextWithIndent"/>
      </w:pPr>
      <w:r w:rsidRPr="00AD2F44">
        <w:t xml:space="preserve">This section reviews the issues that have confronted courts in hybrid actions where the basis for federal jurisdiction over the state law claims is supplemental jurisdiction. These issues include </w:t>
      </w:r>
    </w:p>
    <w:p w14:paraId="5684710A" w14:textId="77777777" w:rsidR="004322B1" w:rsidRPr="00AD2F44" w:rsidRDefault="004322B1" w:rsidP="00F1752E">
      <w:pPr>
        <w:pStyle w:val="13AFirst-LevelBulletedList"/>
      </w:pPr>
      <w:r w:rsidRPr="00AD2F44">
        <w:t xml:space="preserve">whether any federal statute “expressly provides” that the federal courts will not have supplemental jurisdiction over the state law claims in hybrid actions; </w:t>
      </w:r>
    </w:p>
    <w:p w14:paraId="31F171CA" w14:textId="77777777" w:rsidR="004322B1" w:rsidRPr="00AD2F44" w:rsidRDefault="004322B1" w:rsidP="00F1752E">
      <w:pPr>
        <w:pStyle w:val="13AFirst-LevelBulletedList"/>
      </w:pPr>
      <w:r w:rsidRPr="00AD2F44">
        <w:t xml:space="preserve">whether there is supplemental jurisdiction over the state law claims of class members who, because they do not opt in to the FLSA litigation, do not have federal claims in the hybrid action; </w:t>
      </w:r>
    </w:p>
    <w:p w14:paraId="16A70E1A" w14:textId="77777777" w:rsidR="004322B1" w:rsidRPr="00AD2F44" w:rsidRDefault="004322B1" w:rsidP="00F1752E">
      <w:pPr>
        <w:pStyle w:val="13AFirst-LevelBulletedList"/>
      </w:pPr>
      <w:r w:rsidRPr="00AD2F44">
        <w:t xml:space="preserve">whether the FLSA and state law claims are sufficiently related that they form part of the same Article III case or controversy; </w:t>
      </w:r>
    </w:p>
    <w:p w14:paraId="21D4CC5F" w14:textId="77777777" w:rsidR="004322B1" w:rsidRPr="00AD2F44" w:rsidRDefault="004322B1" w:rsidP="00F1752E">
      <w:pPr>
        <w:pStyle w:val="13AFirst-LevelBulletedList"/>
      </w:pPr>
      <w:r w:rsidRPr="00AD2F44">
        <w:t xml:space="preserve">whether the court should decline to exercise supplemental jurisdiction over the state law claims because they raise a novel or complex issue of state law; </w:t>
      </w:r>
    </w:p>
    <w:p w14:paraId="7BB11294" w14:textId="77777777" w:rsidR="004322B1" w:rsidRPr="00AD2F44" w:rsidRDefault="004322B1" w:rsidP="00F1752E">
      <w:pPr>
        <w:pStyle w:val="13AFirst-LevelBulletedList"/>
      </w:pPr>
      <w:r w:rsidRPr="00AD2F44">
        <w:t xml:space="preserve">whether the court should decline to exercise supplemental jurisdiction over the state law claims because they substantially predominate over the FLSA claims; </w:t>
      </w:r>
    </w:p>
    <w:p w14:paraId="5322AF33" w14:textId="77777777" w:rsidR="004322B1" w:rsidRPr="00AD2F44" w:rsidRDefault="004322B1" w:rsidP="00F1752E">
      <w:pPr>
        <w:pStyle w:val="13AFirst-LevelBulletedList"/>
      </w:pPr>
      <w:r w:rsidRPr="00AD2F44">
        <w:t xml:space="preserve">whether the court should decline to exercise supplemental jurisdiction over the state law claims because the court has dismissed the FLSA claims that provided the basis for the court’s original jurisdiction; and </w:t>
      </w:r>
    </w:p>
    <w:p w14:paraId="74A8260B" w14:textId="77777777" w:rsidR="004322B1" w:rsidRPr="00AD2F44" w:rsidRDefault="004322B1" w:rsidP="00F1752E">
      <w:pPr>
        <w:pStyle w:val="13AFirst-LevelBulletedList"/>
      </w:pPr>
      <w:r w:rsidRPr="00AD2F44">
        <w:t>whether the court should decline to exercise supplemental jurisdiction because the action presents the court with exceptional circumstances in which there are compelling reasons for declining jurisdiction.</w:t>
      </w:r>
    </w:p>
    <w:p w14:paraId="71C87120" w14:textId="77777777" w:rsidR="004322B1" w:rsidRPr="00AD2F44" w:rsidRDefault="004322B1">
      <w:pPr>
        <w:pStyle w:val="07Fourth-LevelHeadabc"/>
      </w:pPr>
      <w:r w:rsidRPr="00AD2F44">
        <w:t>a.</w:t>
      </w:r>
      <w:r w:rsidRPr="00AD2F44">
        <w:tab/>
        <w:t>The Supplemental Jurisdiction Statute</w:t>
      </w:r>
    </w:p>
    <w:p w14:paraId="31A8BFA7" w14:textId="77777777" w:rsidR="004322B1" w:rsidRPr="00AD2F44" w:rsidRDefault="004322B1">
      <w:pPr>
        <w:pStyle w:val="10ATextWithIndent"/>
      </w:pPr>
      <w:r w:rsidRPr="00AD2F44">
        <w:t>The supplemental jurisdiction statute, 28 U.S.C. §1367, provides in pertinent part that</w:t>
      </w:r>
    </w:p>
    <w:p w14:paraId="31CD3A38" w14:textId="77777777" w:rsidR="004322B1" w:rsidRPr="00AD2F44" w:rsidRDefault="004322B1">
      <w:pPr>
        <w:pStyle w:val="09BBlockQuoteWithoutIndent"/>
      </w:pPr>
      <w:r w:rsidRPr="00AD2F44">
        <w:t>(a) 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p>
    <w:p w14:paraId="293F33F0" w14:textId="77777777" w:rsidR="004322B1" w:rsidRPr="00AD2F44" w:rsidRDefault="004322B1">
      <w:pPr>
        <w:pStyle w:val="09BBlockQuoteWithoutIndent"/>
      </w:pPr>
      <w:r w:rsidRPr="00AD2F44">
        <w:t>(b) …</w:t>
      </w:r>
    </w:p>
    <w:p w14:paraId="78B83D80" w14:textId="77777777" w:rsidR="004322B1" w:rsidRPr="00AD2F44" w:rsidRDefault="004322B1">
      <w:pPr>
        <w:pStyle w:val="09BBlockQuoteWithoutIndent"/>
        <w:rPr>
          <w:spacing w:val="-1"/>
        </w:rPr>
      </w:pPr>
      <w:r w:rsidRPr="00AD2F44">
        <w:rPr>
          <w:spacing w:val="-1"/>
        </w:rPr>
        <w:t>(c) The district courts may decline to exercise supplemental jurisdiction under subsection (a) if—(1) the claim raises a novel or complex issue of State law, (2) the claim substantially predominates over the claim or claims over which the district court has original jurisdiction, (3) the district court has dismissed all claims over which it has original jurisdiction, or (4) in exceptional circumstances, there are other compelling reasons for declining jurisdiction.</w:t>
      </w:r>
      <w:r>
        <w:rPr>
          <w:spacing w:val="-1"/>
          <w:vertAlign w:val="superscript"/>
        </w:rPr>
        <w:footnoteReference w:id="1051"/>
      </w:r>
    </w:p>
    <w:p w14:paraId="4F1C43FF" w14:textId="77777777" w:rsidR="004322B1" w:rsidRPr="00AD2F44" w:rsidRDefault="004322B1">
      <w:pPr>
        <w:pStyle w:val="07Fourth-LevelHeadabc"/>
      </w:pPr>
      <w:r w:rsidRPr="00AD2F44">
        <w:t>b.</w:t>
      </w:r>
      <w:r w:rsidRPr="00AD2F44">
        <w:tab/>
        <w:t>Whether Supplemental Jurisdiction Is Authorized</w:t>
      </w:r>
    </w:p>
    <w:p w14:paraId="0A696814" w14:textId="77777777" w:rsidR="004322B1" w:rsidRPr="00AD2F44" w:rsidRDefault="004322B1">
      <w:pPr>
        <w:pStyle w:val="08Fifth-LevelHeadi"/>
      </w:pPr>
      <w:r w:rsidRPr="00AD2F44">
        <w:t>(</w:t>
      </w:r>
      <w:proofErr w:type="spellStart"/>
      <w:r w:rsidRPr="00AD2F44">
        <w:t>i</w:t>
      </w:r>
      <w:proofErr w:type="spellEnd"/>
      <w:r w:rsidRPr="00AD2F44">
        <w:t>.)</w:t>
      </w:r>
      <w:r w:rsidRPr="00AD2F44">
        <w:tab/>
        <w:t>No Federal Statute “Expressly” Precludes Jurisdiction</w:t>
      </w:r>
    </w:p>
    <w:p w14:paraId="08CA83F6" w14:textId="77777777" w:rsidR="004322B1" w:rsidRPr="00AD2F44" w:rsidRDefault="004322B1">
      <w:pPr>
        <w:pStyle w:val="10ATextWithIndent"/>
      </w:pPr>
      <w:r w:rsidRPr="00AD2F44">
        <w:t>The federal supplemental jurisdiction statute provides district courts with supplemental jurisdiction over state law claims unless a federal statute “expressly provide[s]” that there is no jurisdiction.</w:t>
      </w:r>
      <w:r>
        <w:rPr>
          <w:vertAlign w:val="superscript"/>
        </w:rPr>
        <w:footnoteReference w:id="1052"/>
      </w:r>
      <w:r w:rsidRPr="00AD2F44">
        <w:t xml:space="preserve"> There is no statute that “expressly” provides that federal courts may not exercise supplemental jurisdiction over state law wage and hour claims.</w:t>
      </w:r>
    </w:p>
    <w:p w14:paraId="5C352CC9" w14:textId="77777777" w:rsidR="004322B1" w:rsidRPr="00AD2F44" w:rsidRDefault="004322B1">
      <w:pPr>
        <w:pStyle w:val="10ATextWithIndent"/>
      </w:pPr>
      <w:r w:rsidRPr="00AD2F44">
        <w:t>Three circuit courts and various district courts have held that neither the FLSA nor any other federal statute prohibits supplemental jurisdiction over state wage and hour or related claims.</w:t>
      </w:r>
      <w:r>
        <w:rPr>
          <w:vertAlign w:val="superscript"/>
        </w:rPr>
        <w:footnoteReference w:id="1053"/>
      </w:r>
      <w:r w:rsidRPr="00AD2F44">
        <w:t xml:space="preserve"> The District of Columbia Circuit ruled that the language of Section 216(b) “does not meet section 1367(a)’s requirement of an ‘express[]’ prohibition.”</w:t>
      </w:r>
      <w:r>
        <w:rPr>
          <w:vertAlign w:val="superscript"/>
        </w:rPr>
        <w:footnoteReference w:id="1054"/>
      </w:r>
      <w:r w:rsidRPr="00AD2F44">
        <w:t xml:space="preserve"> The FLSA does not expressly prohibit the exercise of supplemental jurisdiction over the state law claims of opt-out class members and does not even mention supplemental jurisdiction at all.</w:t>
      </w:r>
      <w:r>
        <w:rPr>
          <w:vertAlign w:val="superscript"/>
        </w:rPr>
        <w:footnoteReference w:id="1055"/>
      </w:r>
      <w:r w:rsidRPr="00AD2F44">
        <w:t xml:space="preserve"> The court contrasted the FLSA with other legislation in which Congress has by express terms prohibited federal courts from exercising supplemental jurisdiction over certain state law claims.</w:t>
      </w:r>
      <w:r>
        <w:rPr>
          <w:vertAlign w:val="superscript"/>
        </w:rPr>
        <w:footnoteReference w:id="1056"/>
      </w:r>
      <w:r w:rsidRPr="00AD2F44">
        <w:t xml:space="preserve"> The court also invoked Supreme Court precedent relating to an analogous provision in the federal removal statute, 28 U.S.C. §1441(a), in which the Supreme Court admonished courts not to read the term “expressly” out of the phrase “[e]</w:t>
      </w:r>
      <w:proofErr w:type="spellStart"/>
      <w:r w:rsidRPr="00AD2F44">
        <w:t>xcept</w:t>
      </w:r>
      <w:proofErr w:type="spellEnd"/>
      <w:r w:rsidRPr="00AD2F44">
        <w:t xml:space="preserve"> as otherwise expressly provided by Act of Congress.”</w:t>
      </w:r>
      <w:r>
        <w:rPr>
          <w:vertAlign w:val="superscript"/>
        </w:rPr>
        <w:footnoteReference w:id="1057"/>
      </w:r>
    </w:p>
    <w:p w14:paraId="7F04129A" w14:textId="77777777" w:rsidR="004322B1" w:rsidRPr="00AD2F44" w:rsidRDefault="004322B1">
      <w:pPr>
        <w:pStyle w:val="10ATextWithIndent"/>
      </w:pPr>
      <w:r w:rsidRPr="00AD2F44">
        <w:t>District courts have reached similar conclusions.</w:t>
      </w:r>
      <w:r>
        <w:rPr>
          <w:vertAlign w:val="superscript"/>
        </w:rPr>
        <w:footnoteReference w:id="1058"/>
      </w:r>
    </w:p>
    <w:p w14:paraId="5A4A9A40" w14:textId="77777777" w:rsidR="004322B1" w:rsidRPr="00AD2F44" w:rsidRDefault="004322B1">
      <w:pPr>
        <w:pStyle w:val="08Fifth-LevelHeadi"/>
        <w:ind w:left="2160" w:hanging="720"/>
      </w:pPr>
      <w:r w:rsidRPr="00AD2F44">
        <w:t>(ii.)</w:t>
      </w:r>
      <w:r w:rsidRPr="00AD2F44">
        <w:tab/>
        <w:t>Whether the State Law Claims Are So Related to the FLSA Claims That They Form Part of the “Same Case or Controversy”</w:t>
      </w:r>
    </w:p>
    <w:p w14:paraId="7B0C7046" w14:textId="77777777" w:rsidR="004322B1" w:rsidRPr="00AD2F44" w:rsidRDefault="004322B1">
      <w:pPr>
        <w:pStyle w:val="10ATextWithIndent"/>
      </w:pPr>
      <w:r w:rsidRPr="00AD2F44">
        <w:t>In order for the district court to have supplemental jurisdiction over the state law claims in a hybrid action, the state law claims must be “so related to” the FLSA claims “that they form part of the same case or controversy under Article III of the United States Constitution.”</w:t>
      </w:r>
      <w:r>
        <w:rPr>
          <w:vertAlign w:val="superscript"/>
        </w:rPr>
        <w:footnoteReference w:id="1059"/>
      </w:r>
      <w:r w:rsidRPr="00AD2F44">
        <w:t xml:space="preserve"> This is generally a case-specific determination.</w:t>
      </w:r>
    </w:p>
    <w:p w14:paraId="273C2445" w14:textId="77777777" w:rsidR="004322B1" w:rsidRPr="00AD2F44" w:rsidRDefault="004322B1">
      <w:pPr>
        <w:pStyle w:val="10ATextWithIndent"/>
      </w:pPr>
      <w:r w:rsidRPr="00AD2F44">
        <w:t xml:space="preserve">In </w:t>
      </w:r>
      <w:r w:rsidRPr="00AD2F44">
        <w:rPr>
          <w:i/>
          <w:iCs/>
        </w:rPr>
        <w:t>De Asencio v. Tyson Foods, Inc.</w:t>
      </w:r>
      <w:r w:rsidRPr="00AD2F44">
        <w:t>,</w:t>
      </w:r>
      <w:r>
        <w:rPr>
          <w:vertAlign w:val="superscript"/>
        </w:rPr>
        <w:footnoteReference w:id="1060"/>
      </w:r>
      <w:r w:rsidRPr="00AD2F44">
        <w:t xml:space="preserve"> the Third Circuit upheld the district court’s finding that the state and federal claims in a hybrid action were so related as to form part of the same case or controversy.</w:t>
      </w:r>
      <w:r>
        <w:rPr>
          <w:vertAlign w:val="superscript"/>
        </w:rPr>
        <w:footnoteReference w:id="1061"/>
      </w:r>
      <w:r w:rsidRPr="00AD2F44">
        <w:t xml:space="preserve"> The employees complained that they were not paid for time spent performing donning, doffing, and sanitizing activities, alleging that the time was compensable under both the FLSA and the Pennsylvania Wage Payment and Collection Law (PWPCL). The Third Circuit applied the established rule that federal and state claims are sufficiently related for purposes of the supplemental jurisdiction statute where the claims derive from a “‘common nucleus of operative fact.’”</w:t>
      </w:r>
      <w:r>
        <w:rPr>
          <w:vertAlign w:val="superscript"/>
        </w:rPr>
        <w:footnoteReference w:id="1062"/>
      </w:r>
      <w:r w:rsidRPr="00AD2F44">
        <w:t xml:space="preserve"> Since the same work activities were alleged to be compensable work time under parallel federal and state laws, the court concluded that the standard was met: “The FLSA and PWPCL are parallel federal and state laws and the independent actions both address whether Tyson’s employees should be paid for donning and doffing time, sufficiently demonstrating a common nucleus of operative fact.”</w:t>
      </w:r>
      <w:r>
        <w:rPr>
          <w:vertAlign w:val="superscript"/>
        </w:rPr>
        <w:footnoteReference w:id="1063"/>
      </w:r>
    </w:p>
    <w:p w14:paraId="494821D7" w14:textId="77777777" w:rsidR="004322B1" w:rsidRPr="00AD2F44" w:rsidRDefault="004322B1">
      <w:pPr>
        <w:pStyle w:val="10ATextWithIndent"/>
      </w:pPr>
      <w:r w:rsidRPr="00AD2F44">
        <w:t xml:space="preserve">In </w:t>
      </w:r>
      <w:r w:rsidRPr="00AD2F44">
        <w:rPr>
          <w:i/>
          <w:iCs/>
        </w:rPr>
        <w:t>Lindsay v. Government Employees Insurance Co.</w:t>
      </w:r>
      <w:r w:rsidRPr="00AD2F44">
        <w:t>,</w:t>
      </w:r>
      <w:r>
        <w:rPr>
          <w:vertAlign w:val="superscript"/>
        </w:rPr>
        <w:footnoteReference w:id="1064"/>
      </w:r>
      <w:r w:rsidRPr="00AD2F44">
        <w:t xml:space="preserve"> the District of Columbia Circuit addressed whether employees were exempt from overtime under either the FLSA or the New York Minimum Wage Act or both and held that state law claims satisfied the “common nucleus of operative fact” requirement, explaining:</w:t>
      </w:r>
    </w:p>
    <w:p w14:paraId="6F47067A" w14:textId="77777777" w:rsidR="004322B1" w:rsidRPr="00AD2F44" w:rsidRDefault="004322B1">
      <w:pPr>
        <w:pStyle w:val="09BBlockQuoteWithoutIndent"/>
      </w:pPr>
      <w:r w:rsidRPr="00AD2F44">
        <w:t>Here, the complaint alleged that members of both classes performed the same type of work for the same employer and were deprived of overtime compensation as a result of the same action taken by their employer. It is clear to us that the two claims derive from a common nucleus of operative fact and thus form part of the same Article III case or controversy.</w:t>
      </w:r>
      <w:r>
        <w:rPr>
          <w:vertAlign w:val="superscript"/>
        </w:rPr>
        <w:footnoteReference w:id="1065"/>
      </w:r>
    </w:p>
    <w:p w14:paraId="12D05A34" w14:textId="77777777" w:rsidR="004322B1" w:rsidRPr="00AD2F44" w:rsidRDefault="004322B1">
      <w:pPr>
        <w:pStyle w:val="10ATextWithIndent"/>
      </w:pPr>
      <w:r w:rsidRPr="00AD2F44">
        <w:t>District courts have found the “same case or controversy” requirement to be satisfied in a variety of hybrid actions.</w:t>
      </w:r>
      <w:r>
        <w:rPr>
          <w:vertAlign w:val="superscript"/>
        </w:rPr>
        <w:footnoteReference w:id="1066"/>
      </w:r>
      <w:r w:rsidRPr="00AD2F44">
        <w:t xml:space="preserve"> </w:t>
      </w:r>
    </w:p>
    <w:p w14:paraId="5E21354F" w14:textId="77777777" w:rsidR="004322B1" w:rsidRPr="00AD2F44" w:rsidRDefault="004322B1">
      <w:pPr>
        <w:pStyle w:val="08Fifth-LevelHeadi"/>
        <w:ind w:left="2160" w:hanging="720"/>
      </w:pPr>
      <w:r w:rsidRPr="00AD2F44">
        <w:t>(iii.)</w:t>
      </w:r>
      <w:r w:rsidRPr="00AD2F44">
        <w:tab/>
        <w:t xml:space="preserve">Whether Supplemental Jurisdiction Extends to Individuals Who Do Not </w:t>
      </w:r>
      <w:proofErr w:type="spellStart"/>
      <w:r w:rsidRPr="00AD2F44">
        <w:t>Opt</w:t>
      </w:r>
      <w:proofErr w:type="spellEnd"/>
      <w:r w:rsidRPr="00AD2F44">
        <w:t xml:space="preserve"> In to the FLSA Action</w:t>
      </w:r>
    </w:p>
    <w:p w14:paraId="3B070F49" w14:textId="77777777" w:rsidR="004322B1" w:rsidRPr="00AD2F44" w:rsidRDefault="004322B1">
      <w:pPr>
        <w:pStyle w:val="10ATextWithIndent"/>
      </w:pPr>
      <w:r w:rsidRPr="00AD2F44">
        <w:t>Three circuits courts have agreed that supplemental jurisdiction extends to state law claims of individuals who do not opt in to the FLSA action.</w:t>
      </w:r>
      <w:r>
        <w:rPr>
          <w:vertAlign w:val="superscript"/>
        </w:rPr>
        <w:footnoteReference w:id="1067"/>
      </w:r>
      <w:r w:rsidRPr="00AD2F44">
        <w:t xml:space="preserve"> In </w:t>
      </w:r>
      <w:r w:rsidRPr="00AD2F44">
        <w:rPr>
          <w:i/>
          <w:iCs/>
        </w:rPr>
        <w:t>Lindsay v. Government Employees Insurance Co.</w:t>
      </w:r>
      <w:r w:rsidRPr="00AD2F44">
        <w:t>,</w:t>
      </w:r>
      <w:r>
        <w:rPr>
          <w:vertAlign w:val="superscript"/>
        </w:rPr>
        <w:footnoteReference w:id="1068"/>
      </w:r>
      <w:r w:rsidRPr="00AD2F44">
        <w:t xml:space="preserve"> the issue arose when the employer argued that the state law claims of class members who did not opt in to the FLSA action could not be considered part of the same case or controversy as the FLSA claims and that supplemental jurisdiction was therefore not authorized over those claims. The District of Columbia Circuit ruled that the supplemental jurisdiction statute </w:t>
      </w:r>
      <w:r w:rsidRPr="00AD2F44">
        <w:rPr>
          <w:i/>
          <w:iCs/>
        </w:rPr>
        <w:t>does</w:t>
      </w:r>
      <w:r w:rsidRPr="00AD2F44">
        <w:t xml:space="preserve"> authorize jurisdiction over the state law claims of employees who do not opt in to the FLSA action.</w:t>
      </w:r>
      <w:r>
        <w:rPr>
          <w:vertAlign w:val="superscript"/>
        </w:rPr>
        <w:footnoteReference w:id="1069"/>
      </w:r>
      <w:r w:rsidRPr="00AD2F44">
        <w:t xml:space="preserve"> The court relied heavily on the Supreme Court’s decision in </w:t>
      </w:r>
      <w:r w:rsidRPr="00AD2F44">
        <w:rPr>
          <w:i/>
          <w:iCs/>
        </w:rPr>
        <w:t>Exxon Mobil Corp. v. Allapattah Services, Inc.</w:t>
      </w:r>
      <w:r>
        <w:rPr>
          <w:vertAlign w:val="superscript"/>
        </w:rPr>
        <w:footnoteReference w:id="1070"/>
      </w:r>
      <w:r w:rsidRPr="00AD2F44">
        <w:t xml:space="preserve"> In </w:t>
      </w:r>
      <w:r w:rsidRPr="00AD2F44">
        <w:rPr>
          <w:i/>
          <w:iCs/>
        </w:rPr>
        <w:t>Exxon Mobil</w:t>
      </w:r>
      <w:r w:rsidRPr="00AD2F44">
        <w:t>, the basis for original federal jurisdiction was diversity jurisdiction, and the question was whether 28 U.S.C. §1367(a) permits a court to exercise supplemental jurisdiction over plaintiffs whose own individual claims do not satisfy the minimum amount-in-controversy requirement for diversity jurisdiction.</w:t>
      </w:r>
      <w:r>
        <w:rPr>
          <w:vertAlign w:val="superscript"/>
        </w:rPr>
        <w:footnoteReference w:id="1071"/>
      </w:r>
      <w:r w:rsidRPr="00AD2F44">
        <w:t xml:space="preserve"> The Supreme Court held that, provided that the other jurisdictional elements are satisfied and at least one named plaintiff in the action satisfies the amount-in-controversy requirement, Section 1367 authorizes supplemental jurisdiction over other plaintiffs, even if their claims are for less than the amount required for diversity jurisdiction.</w:t>
      </w:r>
      <w:r>
        <w:rPr>
          <w:vertAlign w:val="superscript"/>
        </w:rPr>
        <w:footnoteReference w:id="1072"/>
      </w:r>
      <w:r w:rsidRPr="00AD2F44">
        <w:t xml:space="preserve"> The Supreme Court reasoned, in part, that Section 1367 draws no distinction between pendent-claim and pendent-party actions.</w:t>
      </w:r>
      <w:r>
        <w:rPr>
          <w:vertAlign w:val="superscript"/>
        </w:rPr>
        <w:footnoteReference w:id="1073"/>
      </w:r>
      <w:r w:rsidRPr="00AD2F44">
        <w:t xml:space="preserve"> Thus, once a court determines that it has original jurisdiction over the action, it can turn to the question of whether it has a constitutional and statutory basis for exercising supplemental jurisdiction over the other claims asserted in the complaint.</w:t>
      </w:r>
      <w:r>
        <w:rPr>
          <w:vertAlign w:val="superscript"/>
        </w:rPr>
        <w:footnoteReference w:id="1074"/>
      </w:r>
      <w:r w:rsidRPr="00AD2F44">
        <w:t xml:space="preserve"> Referring to this reasoning, the District of Columbia Circuit explained, “[w]e interpret this language to mean that so long as the district court has original jurisdiction over a single claim, it may exercise supplemental jurisdiction over any additional claim that forms part of the same Article III case or controversy.”</w:t>
      </w:r>
      <w:r>
        <w:rPr>
          <w:vertAlign w:val="superscript"/>
        </w:rPr>
        <w:footnoteReference w:id="1075"/>
      </w:r>
      <w:r w:rsidRPr="00AD2F44">
        <w:t xml:space="preserve"> Because the FLSA claim and the state law claims of all potential state law class members derived from a common nucleus of operative fact, the District of Columbia Circuit concluded that all of the claims were part of the same case or controversy and that supplemental jurisdiction was therefore authorized as to the state law claims of individuals who did not opt in to the FLSA action.</w:t>
      </w:r>
      <w:r>
        <w:rPr>
          <w:vertAlign w:val="superscript"/>
        </w:rPr>
        <w:footnoteReference w:id="1076"/>
      </w:r>
    </w:p>
    <w:p w14:paraId="18E23977" w14:textId="77777777" w:rsidR="004322B1" w:rsidRPr="00AD2F44" w:rsidRDefault="004322B1">
      <w:pPr>
        <w:pStyle w:val="10ATextWithIndent"/>
      </w:pPr>
      <w:r w:rsidRPr="00AD2F44">
        <w:t xml:space="preserve">Similarly, in </w:t>
      </w:r>
      <w:r w:rsidRPr="00AD2F44">
        <w:rPr>
          <w:i/>
          <w:iCs/>
        </w:rPr>
        <w:t>De Asencio v. Tyson Foods, Inc.,</w:t>
      </w:r>
      <w:r>
        <w:rPr>
          <w:vertAlign w:val="superscript"/>
        </w:rPr>
        <w:footnoteReference w:id="1077"/>
      </w:r>
      <w:r w:rsidRPr="00AD2F44">
        <w:t xml:space="preserve"> the Third Circuit affirmed a district court’s ruling that the FLSA and state law claims—including the state law claims of individuals who did not opt in to the FLSA action—were part of the same case or controversy.</w:t>
      </w:r>
      <w:r>
        <w:rPr>
          <w:vertAlign w:val="superscript"/>
        </w:rPr>
        <w:footnoteReference w:id="1078"/>
      </w:r>
      <w:r w:rsidRPr="00AD2F44">
        <w:t xml:space="preserve"> Because the claims arose from a common nucleus of operative fact,</w:t>
      </w:r>
      <w:r>
        <w:rPr>
          <w:vertAlign w:val="superscript"/>
        </w:rPr>
        <w:footnoteReference w:id="1079"/>
      </w:r>
      <w:r w:rsidRPr="00AD2F44">
        <w:t xml:space="preserve"> there was a basis for supplemental jurisdiction over the state law claims of the non-opt-in plaintiffs.</w:t>
      </w:r>
      <w:r>
        <w:rPr>
          <w:vertAlign w:val="superscript"/>
        </w:rPr>
        <w:footnoteReference w:id="1080"/>
      </w:r>
      <w:r w:rsidRPr="00AD2F44">
        <w:t xml:space="preserve"> In </w:t>
      </w:r>
      <w:r w:rsidRPr="00AD2F44">
        <w:rPr>
          <w:i/>
          <w:iCs/>
        </w:rPr>
        <w:t>Ervin v. OS Restaurant Services, Inc.</w:t>
      </w:r>
      <w:r w:rsidRPr="00AD2F44">
        <w:t>,</w:t>
      </w:r>
      <w:r>
        <w:rPr>
          <w:vertAlign w:val="superscript"/>
        </w:rPr>
        <w:footnoteReference w:id="1081"/>
      </w:r>
      <w:r w:rsidRPr="00AD2F44">
        <w:t xml:space="preserve"> the Seventh Circuit held that “the opt-in procedures in the FLSA do not operate to limit—expressly or impliedly—a district court’s supplemental jurisdiction to only those state law claims that also involve opt-in procedures” and acknowledged that there would be many more members related to state claims than to the FLSA claims.</w:t>
      </w:r>
      <w:r>
        <w:rPr>
          <w:vertAlign w:val="superscript"/>
        </w:rPr>
        <w:footnoteReference w:id="1082"/>
      </w:r>
    </w:p>
    <w:p w14:paraId="39C34AD2" w14:textId="77777777" w:rsidR="004322B1" w:rsidRPr="00AD2F44" w:rsidRDefault="004322B1">
      <w:pPr>
        <w:pStyle w:val="10ATextWithIndent"/>
      </w:pPr>
      <w:r w:rsidRPr="00AD2F44">
        <w:t>A number of district courts outside of the Third and Seventh Circuits have addressed whether the supplemental jurisdiction statute authorizes jurisdiction over the state law claims of proposed class members who do not opt in to the FLSA action. Most of these courts have concluded that supplemental jurisdiction is authorized.</w:t>
      </w:r>
      <w:r>
        <w:rPr>
          <w:vertAlign w:val="superscript"/>
        </w:rPr>
        <w:footnoteReference w:id="1083"/>
      </w:r>
      <w:r w:rsidRPr="00AD2F44">
        <w:t xml:space="preserve"> A few district courts have held, or have seemed inclined to hold, that supplemental jurisdiction does not extend to the claims of individuals who do not opt in to the FLSA action.</w:t>
      </w:r>
      <w:r>
        <w:rPr>
          <w:vertAlign w:val="superscript"/>
        </w:rPr>
        <w:footnoteReference w:id="1084"/>
      </w:r>
      <w:r w:rsidRPr="00AD2F44">
        <w:t xml:space="preserve"> However, with one exception, all these decisions were issued before the Supreme Court’s decision in </w:t>
      </w:r>
      <w:r w:rsidRPr="00AD2F44">
        <w:rPr>
          <w:i/>
          <w:iCs/>
        </w:rPr>
        <w:t>Exxon Mobil</w:t>
      </w:r>
      <w:r w:rsidRPr="00AD2F44">
        <w:t xml:space="preserve"> and the District of Columbia Circuit’s decision in </w:t>
      </w:r>
      <w:r w:rsidRPr="00AD2F44">
        <w:rPr>
          <w:i/>
          <w:iCs/>
        </w:rPr>
        <w:t>Lindsay</w:t>
      </w:r>
      <w:r w:rsidRPr="00AD2F44">
        <w:t xml:space="preserve">, and several were also decided before the Third Circuit’s </w:t>
      </w:r>
      <w:r w:rsidRPr="00AD2F44">
        <w:rPr>
          <w:i/>
          <w:iCs/>
        </w:rPr>
        <w:t xml:space="preserve">De Asencio </w:t>
      </w:r>
      <w:r w:rsidRPr="00AD2F44">
        <w:t>decision.</w:t>
      </w:r>
      <w:r>
        <w:rPr>
          <w:vertAlign w:val="superscript"/>
        </w:rPr>
        <w:footnoteReference w:id="1085"/>
      </w:r>
    </w:p>
    <w:p w14:paraId="141A23CC" w14:textId="77777777" w:rsidR="004322B1" w:rsidRPr="00AD2F44" w:rsidRDefault="004322B1">
      <w:pPr>
        <w:pStyle w:val="07Fourth-LevelHeadabc"/>
      </w:pPr>
      <w:r w:rsidRPr="00AD2F44">
        <w:t>c.</w:t>
      </w:r>
      <w:r w:rsidRPr="00AD2F44">
        <w:tab/>
        <w:t>Whether the Court Should Decline to Exercise Supplemental Jurisdiction</w:t>
      </w:r>
    </w:p>
    <w:p w14:paraId="49DC03DA" w14:textId="77777777" w:rsidR="004322B1" w:rsidRPr="00AD2F44" w:rsidRDefault="004322B1">
      <w:pPr>
        <w:pStyle w:val="10ATextWithIndent"/>
      </w:pPr>
      <w:r w:rsidRPr="00AD2F44">
        <w:t>Once it has been determined that supplemental jurisdiction is authorized in a hybrid action, the court still has discretion to decline to exercise supplemental jurisdiction where (1) a state law claim raises a “novel or complex issue of State law”;</w:t>
      </w:r>
      <w:r>
        <w:rPr>
          <w:vertAlign w:val="superscript"/>
        </w:rPr>
        <w:footnoteReference w:id="1086"/>
      </w:r>
      <w:r w:rsidRPr="00AD2F44">
        <w:t xml:space="preserve"> (2) the state law claim substantially predominates over the claim or claims over which the court has original jurisdiction;</w:t>
      </w:r>
      <w:r>
        <w:rPr>
          <w:vertAlign w:val="superscript"/>
        </w:rPr>
        <w:footnoteReference w:id="1087"/>
      </w:r>
      <w:r w:rsidRPr="00AD2F44">
        <w:t xml:space="preserve"> (3) the court has dismissed all claims over which it has original jurisdiction;</w:t>
      </w:r>
      <w:r>
        <w:rPr>
          <w:vertAlign w:val="superscript"/>
        </w:rPr>
        <w:footnoteReference w:id="1088"/>
      </w:r>
      <w:r w:rsidRPr="00AD2F44">
        <w:t xml:space="preserve"> or (4) “in exceptional circumstances, there are other compelling reasons for declining jurisdiction.”</w:t>
      </w:r>
      <w:r>
        <w:rPr>
          <w:vertAlign w:val="superscript"/>
        </w:rPr>
        <w:footnoteReference w:id="1089"/>
      </w:r>
    </w:p>
    <w:p w14:paraId="188CAB9F" w14:textId="77777777" w:rsidR="004322B1" w:rsidRPr="00AD2F44" w:rsidRDefault="004322B1">
      <w:pPr>
        <w:pStyle w:val="10ATextWithIndent"/>
      </w:pPr>
      <w:r w:rsidRPr="00AD2F44">
        <w:t>Where one or more of these circumstances are present, the court’s decision whether to decline supplemental jurisdiction remains discretionary.</w:t>
      </w:r>
      <w:r>
        <w:rPr>
          <w:vertAlign w:val="superscript"/>
        </w:rPr>
        <w:footnoteReference w:id="1090"/>
      </w:r>
      <w:r w:rsidRPr="00AD2F44">
        <w:t xml:space="preserve"> In deciding whether to decline or retain jurisdiction, the district court is required to consider the values of judicial economy, convenience, fairness, and comity.</w:t>
      </w:r>
      <w:r>
        <w:rPr>
          <w:vertAlign w:val="superscript"/>
        </w:rPr>
        <w:footnoteReference w:id="1091"/>
      </w:r>
      <w:r w:rsidRPr="00AD2F44">
        <w:t xml:space="preserve"> The court’s decision must encompass “the circumstances of the particular case, the nature of the state law claims, the character of the governing state law, and the relationship between the state and federal claims.”</w:t>
      </w:r>
      <w:r>
        <w:rPr>
          <w:vertAlign w:val="superscript"/>
        </w:rPr>
        <w:footnoteReference w:id="1092"/>
      </w:r>
    </w:p>
    <w:p w14:paraId="67A0BC0A" w14:textId="77777777" w:rsidR="004322B1" w:rsidRPr="00AD2F44" w:rsidRDefault="004322B1">
      <w:pPr>
        <w:pStyle w:val="10ATextWithIndent"/>
      </w:pPr>
      <w:r w:rsidRPr="00AD2F44">
        <w:t>There is some doctrinal disagreement among courts that have applied Section 1367(c) in hybrid actions. Some courts have been chiefly concerned about a “conflict” with congressional intent (or “incompatibility”) that they perceive to arise when a Rule 23 opt-out state law class action is joined in the same action with an FLSA opt-in action, particularly where having a Rule 23 action would result in a significant number of absent class members coming into federal court who have only state law claims because they did not opt in to the FLSA action. In contrast, other courts have been more focused on the interests of economy, efficiency, convenience, or fairness that may be advanced by hybrid actions and have not had the same concerns about congressional intent, or at least have not viewed such concerns as being entitled to significant weight. As one court has summarized:</w:t>
      </w:r>
    </w:p>
    <w:p w14:paraId="1C5ABE33" w14:textId="77777777" w:rsidR="004322B1" w:rsidRPr="00AD2F44" w:rsidRDefault="004322B1">
      <w:pPr>
        <w:pStyle w:val="09BBlockQuoteWithoutIndent"/>
      </w:pPr>
      <w:r w:rsidRPr="00AD2F44">
        <w:t>Some FLSA cases have declined supplemental jurisdiction over Rule 23 class actions involving exclusively state-law claims on the view that the exercise of such jurisdiction would subvert congressional intent with respect to 29 U.S.C. §216(b) by utilizing the very provision that Congress created to preclude opt-out class actions under the FLSA as the original jurisdictional predicate to supplemental jurisdiction over an opt-out class action. … Cases that exercise supplemental jurisdiction, by contrast, downplay the issue of congressional intent and emphasize that factors such as judicial economy and efficiency strongly favor the exercise of jurisdiction over Rule 23 class actions that involve identical facts and highly similar legal theories.</w:t>
      </w:r>
      <w:r>
        <w:rPr>
          <w:vertAlign w:val="superscript"/>
        </w:rPr>
        <w:footnoteReference w:id="1093"/>
      </w:r>
    </w:p>
    <w:p w14:paraId="603F79F3" w14:textId="77777777" w:rsidR="004322B1" w:rsidRPr="00AD2F44" w:rsidRDefault="004322B1" w:rsidP="00EA6174">
      <w:pPr>
        <w:pStyle w:val="10BTextWithoutIndent"/>
      </w:pPr>
      <w:r w:rsidRPr="00AD2F44">
        <w:t>This difference in approach can be seen in many of the decisions discussed below.</w:t>
      </w:r>
    </w:p>
    <w:p w14:paraId="7E364DCB" w14:textId="77777777" w:rsidR="004322B1" w:rsidRPr="00AD2F44" w:rsidRDefault="004322B1">
      <w:pPr>
        <w:pStyle w:val="08Fifth-LevelHeadi"/>
      </w:pPr>
      <w:r w:rsidRPr="00AD2F44">
        <w:t>(</w:t>
      </w:r>
      <w:proofErr w:type="spellStart"/>
      <w:r w:rsidRPr="00AD2F44">
        <w:t>i</w:t>
      </w:r>
      <w:proofErr w:type="spellEnd"/>
      <w:r w:rsidRPr="00AD2F44">
        <w:t>.)</w:t>
      </w:r>
      <w:r w:rsidRPr="00AD2F44">
        <w:tab/>
        <w:t>Novel or Complex Issues of State Law</w:t>
      </w:r>
    </w:p>
    <w:p w14:paraId="045361E1" w14:textId="77777777" w:rsidR="004322B1" w:rsidRPr="00AD2F44" w:rsidRDefault="004322B1">
      <w:pPr>
        <w:pStyle w:val="10ATextWithIndent"/>
      </w:pPr>
      <w:r w:rsidRPr="00AD2F44">
        <w:t>One circumstance in which the district court may decline to exercise supplemental jurisdiction is where a state law claim raises a “novel or complex issue of State law.”</w:t>
      </w:r>
      <w:r>
        <w:rPr>
          <w:vertAlign w:val="superscript"/>
        </w:rPr>
        <w:footnoteReference w:id="1094"/>
      </w:r>
      <w:r w:rsidRPr="00AD2F44">
        <w:t xml:space="preserve"> Normally one of the other justifications for declining jurisdiction—e.g., substantial predominance of the state law claims—must be present before the court will decline jurisdiction because of the presence of a novel or complex state law issue.</w:t>
      </w:r>
    </w:p>
    <w:p w14:paraId="0DDEB568" w14:textId="77777777" w:rsidR="004322B1" w:rsidRPr="00AD2F44" w:rsidRDefault="004322B1">
      <w:pPr>
        <w:pStyle w:val="10ATextWithIndent"/>
      </w:pPr>
      <w:r w:rsidRPr="00AD2F44">
        <w:t>Some courts have found that the state law claim in a hybrid action raises a novel or complex issue of state law where the plaintiff seeks to have a state law applied in a way that raises potentially complicated issues that have not been addressed by the state courts.</w:t>
      </w:r>
      <w:r>
        <w:rPr>
          <w:vertAlign w:val="superscript"/>
        </w:rPr>
        <w:footnoteReference w:id="1095"/>
      </w:r>
      <w:r w:rsidRPr="00AD2F44">
        <w:t xml:space="preserve"> Some courts have also found that a state law claim raises a novel or complex issue of state law where the state statute at issue has not yet been construed and its interpretation by the district court could have an impact on how other state laws operate and also on a large number of employers and employees.</w:t>
      </w:r>
      <w:r>
        <w:rPr>
          <w:vertAlign w:val="superscript"/>
        </w:rPr>
        <w:footnoteReference w:id="1096"/>
      </w:r>
      <w:r w:rsidRPr="00AD2F44">
        <w:t xml:space="preserve"> Some courts have concluded that the issue of whether or not the state would allow plaintiffs to obtain an injunction to enforce the state law at issue is a novel or complex issue of state law.</w:t>
      </w:r>
      <w:r>
        <w:rPr>
          <w:vertAlign w:val="superscript"/>
        </w:rPr>
        <w:footnoteReference w:id="1097"/>
      </w:r>
    </w:p>
    <w:p w14:paraId="33E200E4" w14:textId="77777777" w:rsidR="004322B1" w:rsidRPr="00AD2F44" w:rsidRDefault="004322B1">
      <w:pPr>
        <w:pStyle w:val="10ATextWithIndent"/>
      </w:pPr>
      <w:r w:rsidRPr="00AD2F44">
        <w:t>In hybrid actions where plaintiffs plead claims under a large number of different states’ laws, courts have relied on a prediction that there will be novel or complex issues of state law without actually analyzing the statutes and claims at issue.</w:t>
      </w:r>
      <w:r>
        <w:rPr>
          <w:vertAlign w:val="superscript"/>
        </w:rPr>
        <w:footnoteReference w:id="1098"/>
      </w:r>
    </w:p>
    <w:p w14:paraId="004907D1" w14:textId="77777777" w:rsidR="004322B1" w:rsidRPr="00AD2F44" w:rsidRDefault="004322B1">
      <w:pPr>
        <w:pStyle w:val="10ATextWithIndent"/>
      </w:pPr>
      <w:r w:rsidRPr="00AD2F44">
        <w:t>On the other hand, courts have found that there are no novel or complex issues of state law that would justify declining jurisdiction where the issues that will have to be resolved under both the state law and the FLSA are substantially similar, including where the state law statute is patterned after the FLSA to a substantial degree.</w:t>
      </w:r>
      <w:r>
        <w:rPr>
          <w:vertAlign w:val="superscript"/>
        </w:rPr>
        <w:footnoteReference w:id="1099"/>
      </w:r>
    </w:p>
    <w:p w14:paraId="0CBDA05D" w14:textId="77777777" w:rsidR="004322B1" w:rsidRPr="00AD2F44" w:rsidRDefault="004322B1">
      <w:pPr>
        <w:pStyle w:val="10ATextWithIndent"/>
      </w:pPr>
      <w:r w:rsidRPr="00AD2F44">
        <w:t>In hybrid actions seeking to recover for unpaid minimum wages and overtime under both state law and the FLSA, including actions that raise the question of whether or not certain activities are compensable (e.g., donning and doffing), numerous decisions have concluded that the state law claims do not raise any novel or complex issues of state law.</w:t>
      </w:r>
      <w:r>
        <w:rPr>
          <w:vertAlign w:val="superscript"/>
        </w:rPr>
        <w:footnoteReference w:id="1100"/>
      </w:r>
    </w:p>
    <w:p w14:paraId="61BDD58B" w14:textId="77777777" w:rsidR="004322B1" w:rsidRPr="00AD2F44" w:rsidRDefault="004322B1">
      <w:pPr>
        <w:pStyle w:val="08Fifth-LevelHeadi"/>
      </w:pPr>
      <w:r w:rsidRPr="00AD2F44">
        <w:t>(ii.)</w:t>
      </w:r>
      <w:r w:rsidRPr="00AD2F44">
        <w:tab/>
        <w:t>Substantial Predominance of State Law Claims</w:t>
      </w:r>
    </w:p>
    <w:p w14:paraId="4AB621D5" w14:textId="77777777" w:rsidR="004322B1" w:rsidRPr="00AD2F44" w:rsidRDefault="004322B1">
      <w:pPr>
        <w:pStyle w:val="10ATextWithIndent"/>
      </w:pPr>
      <w:r w:rsidRPr="00AD2F44">
        <w:t>A second circumstance that permits the district court in its discretion to decline to exercise supplemental jurisdiction is where the state law claim substantially predominates over the claim or claims over which the court has original jurisdiction.</w:t>
      </w:r>
      <w:r>
        <w:rPr>
          <w:vertAlign w:val="superscript"/>
        </w:rPr>
        <w:footnoteReference w:id="1101"/>
      </w:r>
      <w:r w:rsidRPr="00AD2F44">
        <w:t xml:space="preserve"> The inquiry is focused on whether the state law claims will substantially predominate over the federal claims in terms of the proofs required, the scope of the issues raised, or the comprehensiveness of the remedies sought.</w:t>
      </w:r>
      <w:r>
        <w:rPr>
          <w:vertAlign w:val="superscript"/>
        </w:rPr>
        <w:footnoteReference w:id="1102"/>
      </w:r>
    </w:p>
    <w:p w14:paraId="483CCBF5" w14:textId="77777777" w:rsidR="004322B1" w:rsidRPr="00AD2F44" w:rsidRDefault="004322B1">
      <w:pPr>
        <w:pStyle w:val="10ATextWithIndent"/>
      </w:pPr>
      <w:r w:rsidRPr="00AD2F44">
        <w:t>The substantial predominance inquiry is inherently “case-specific,” as the Third Circuit has explained:</w:t>
      </w:r>
    </w:p>
    <w:p w14:paraId="5F695F34" w14:textId="77777777" w:rsidR="004322B1" w:rsidRPr="00AD2F44" w:rsidRDefault="004322B1">
      <w:pPr>
        <w:pStyle w:val="09BBlockQuoteWithoutIndent"/>
      </w:pPr>
      <w:r w:rsidRPr="00AD2F44">
        <w:t>[A] court must examine the scope of the state and federal issues, the terms of proof required by each type of claim, the comprehensiveness of the remedies, and the ability to dismiss the state claims without prejudice to determine whether the state claim constitutes the real body of the case. This necessarily is a case-specific analysis.</w:t>
      </w:r>
      <w:r>
        <w:rPr>
          <w:vertAlign w:val="superscript"/>
        </w:rPr>
        <w:footnoteReference w:id="1103"/>
      </w:r>
    </w:p>
    <w:p w14:paraId="687628A0" w14:textId="77777777" w:rsidR="004322B1" w:rsidRPr="00AD2F44" w:rsidRDefault="004322B1">
      <w:pPr>
        <w:pStyle w:val="10ATextWithIndent"/>
      </w:pPr>
      <w:r w:rsidRPr="00AD2F44">
        <w:t>Courts have differed in their willingness to address the substantial predominance issue before the record has been sufficiently developed. Some courts have been reluctant to determine the substantial predominance issue at the motion to dismiss stage, or when the number of FLSA opt-in plaintiffs is not yet known, or when the plaintiffs have not yet moved for Rule 23 class certification.</w:t>
      </w:r>
      <w:r>
        <w:rPr>
          <w:vertAlign w:val="superscript"/>
        </w:rPr>
        <w:footnoteReference w:id="1104"/>
      </w:r>
    </w:p>
    <w:p w14:paraId="1801810E" w14:textId="77777777" w:rsidR="004322B1" w:rsidRPr="00AD2F44" w:rsidRDefault="004322B1">
      <w:pPr>
        <w:pStyle w:val="10ATextWithIndent"/>
      </w:pPr>
      <w:r w:rsidRPr="00AD2F44">
        <w:t>Some courts have declined to exercise jurisdiction based on a case-specific analysis that looks at various factors in combination, including the difference in size between the state law class and the FLSA class, whether the state law claims present issues that the FLSA claims do not, the scope of the remedies sought, whether the state law claims raise a novel or complex issue of state law, and other case-specific factors.</w:t>
      </w:r>
      <w:r>
        <w:rPr>
          <w:vertAlign w:val="superscript"/>
        </w:rPr>
        <w:footnoteReference w:id="1105"/>
      </w:r>
      <w:r w:rsidRPr="00AD2F44">
        <w:t xml:space="preserve"> Such courts may also factor in a concern for Congress’ expressed preference to have FLSA collective actions limited to individuals who affirmatively opt in to the action.</w:t>
      </w:r>
    </w:p>
    <w:p w14:paraId="0CC0C464" w14:textId="77777777" w:rsidR="004322B1" w:rsidRPr="00AD2F44" w:rsidRDefault="004322B1">
      <w:pPr>
        <w:pStyle w:val="10ATextWithIndent"/>
      </w:pPr>
      <w:r w:rsidRPr="00CA6DD8">
        <w:rPr>
          <w:i/>
          <w:iCs/>
        </w:rPr>
        <w:t>De Asencio v. Tyson Foods, Inc.</w:t>
      </w:r>
      <w:r>
        <w:rPr>
          <w:vertAlign w:val="superscript"/>
        </w:rPr>
        <w:footnoteReference w:id="1106"/>
      </w:r>
      <w:r w:rsidRPr="00CA6DD8">
        <w:t xml:space="preserve"> </w:t>
      </w:r>
      <w:r w:rsidRPr="00AD2F44">
        <w:t xml:space="preserve">is a leading example of this holistic approach. The plaintiffs in </w:t>
      </w:r>
      <w:r w:rsidRPr="00AD2F44">
        <w:rPr>
          <w:i/>
          <w:iCs/>
        </w:rPr>
        <w:t>De Asencio</w:t>
      </w:r>
      <w:r w:rsidRPr="00AD2F44">
        <w:t xml:space="preserve"> brought claims for unpaid overtime under the FLSA and claims for unpaid overtime and non-overtime under the Pennsylvania Wage Payment and Collection Law (PWPCL). Five hundred and two employees joined a certified FLSA collective action. Subsequently, the plaintiffs moved for certification of a Rule 23 state law class of approximately 4,100 employees. The district court certified the state law class.</w:t>
      </w:r>
    </w:p>
    <w:p w14:paraId="5A3ADCAF" w14:textId="77777777" w:rsidR="004322B1" w:rsidRPr="00AD2F44" w:rsidRDefault="004322B1">
      <w:pPr>
        <w:pStyle w:val="10ATextWithIndent"/>
      </w:pPr>
      <w:r w:rsidRPr="00AD2F44">
        <w:t>On appeal, the Third Circuit held that the district court had abused its discretion. The court described the substantial predominance inquiry as “center[</w:t>
      </w:r>
      <w:proofErr w:type="spellStart"/>
      <w:r w:rsidRPr="00AD2F44">
        <w:t>ing</w:t>
      </w:r>
      <w:proofErr w:type="spellEnd"/>
      <w:r w:rsidRPr="00AD2F44">
        <w:t>] on the terms of proof and the scope of the issues raised in the FLSA and [P]WPCL actions.”</w:t>
      </w:r>
      <w:r>
        <w:rPr>
          <w:vertAlign w:val="superscript"/>
        </w:rPr>
        <w:footnoteReference w:id="1107"/>
      </w:r>
      <w:r w:rsidRPr="00AD2F44">
        <w:t xml:space="preserve"> The court explained that the PWPCL does not create a right to compensation, but rather provides a statutory remedy when an employer breaches a contractual obligation to pay earned wages. This factor might cause state law issues to predominate:</w:t>
      </w:r>
    </w:p>
    <w:p w14:paraId="1F3113CC" w14:textId="77777777" w:rsidR="004322B1" w:rsidRPr="00AD2F44" w:rsidRDefault="004322B1">
      <w:pPr>
        <w:pStyle w:val="09BBlockQuoteWithoutIndent"/>
      </w:pPr>
      <w:r w:rsidRPr="00AD2F44">
        <w:t>Because Tyson’s employees do not work under an employment contract or a collective bargaining agreement, plaintiffs will have to establish the formation of an implied oral contract between Tyson and its employees. Even then, whether an implied contract may give rise to a claim under the WPCL has never been addressed by the Pennsylvania state courts and will require additional testimony and proof to substantiate beyond that required for the FLSA action. Given the importance of the wage-protection legal scheme in Pennsylvania, the scope of the state issues may substantially predominate over the more straightforward federal scheme.</w:t>
      </w:r>
      <w:r>
        <w:rPr>
          <w:vertAlign w:val="superscript"/>
        </w:rPr>
        <w:footnoteReference w:id="1108"/>
      </w:r>
    </w:p>
    <w:p w14:paraId="38D13401" w14:textId="77777777" w:rsidR="004322B1" w:rsidRPr="00AD2F44" w:rsidRDefault="004322B1">
      <w:pPr>
        <w:pStyle w:val="10BTextWithoutIndent"/>
      </w:pPr>
      <w:r w:rsidRPr="00AD2F44">
        <w:t>The Third Circuit also observed countervailing interests at play in a hybrid action. On the one hand, Congress has chosen to limit the scope of representative actions under the FLSA, which can have significant substantive consequences for the course of the litigation in terms of discovery, trial, negotiation, and settlement.</w:t>
      </w:r>
      <w:r>
        <w:rPr>
          <w:vertAlign w:val="superscript"/>
        </w:rPr>
        <w:footnoteReference w:id="1109"/>
      </w:r>
      <w:r w:rsidRPr="00AD2F44">
        <w:t xml:space="preserve"> “[M]</w:t>
      </w:r>
      <w:proofErr w:type="spellStart"/>
      <w:r w:rsidRPr="00AD2F44">
        <w:t>andating</w:t>
      </w:r>
      <w:proofErr w:type="spellEnd"/>
      <w:r w:rsidRPr="00AD2F44">
        <w:t xml:space="preserve"> an opt-in class or an opt-out class is a crucial policy decision” Congress has made.</w:t>
      </w:r>
      <w:r>
        <w:rPr>
          <w:vertAlign w:val="superscript"/>
        </w:rPr>
        <w:footnoteReference w:id="1110"/>
      </w:r>
    </w:p>
    <w:p w14:paraId="4CC4DB5C" w14:textId="77777777" w:rsidR="004322B1" w:rsidRPr="00AD2F44" w:rsidRDefault="004322B1">
      <w:pPr>
        <w:pStyle w:val="09BBlockQuoteWithoutIndent"/>
      </w:pPr>
      <w:r w:rsidRPr="00AD2F44">
        <w:t>On the other hand, the interest in joining these actions is strong as well. As noted, the actions share a common nucleus of operative fact and they arise from the same case or controversy. Moreover, joinder would permit the District Court to efficiently manage the overall litigation. Were supplemental jurisdiction not to obtain, and assuming the statute of limitations has not run, plaintiffs could file the [P]WPCL action in state court and request an opt-out class on behalf of themselves and other employees similarly situated.</w:t>
      </w:r>
      <w:r>
        <w:rPr>
          <w:vertAlign w:val="superscript"/>
        </w:rPr>
        <w:footnoteReference w:id="1111"/>
      </w:r>
    </w:p>
    <w:p w14:paraId="37203FD3" w14:textId="77777777" w:rsidR="004322B1" w:rsidRPr="00AD2F44" w:rsidRDefault="004322B1">
      <w:pPr>
        <w:pStyle w:val="10BTextWithoutIndent"/>
      </w:pPr>
      <w:r w:rsidRPr="00AD2F44">
        <w:t>Further, excluding a large number of potential claimants would create the potential for more individual suits and a lesser likelihood of the action achieving “global peace.”</w:t>
      </w:r>
      <w:r>
        <w:rPr>
          <w:vertAlign w:val="superscript"/>
        </w:rPr>
        <w:footnoteReference w:id="1112"/>
      </w:r>
    </w:p>
    <w:p w14:paraId="6B3D4E9A" w14:textId="77777777" w:rsidR="004322B1" w:rsidRPr="00AD2F44" w:rsidRDefault="004322B1">
      <w:pPr>
        <w:pStyle w:val="10ATextWithIndent"/>
      </w:pPr>
      <w:r w:rsidRPr="00AD2F44">
        <w:t>Because of the different levels of proof required for the federal and state claims, and the relevant federal and state interests, the Third Circuit explained, “the disparity in numbers here gives us pause. In terms of the number of plaintiffs, the sheer difference in numbers between the two prospective classes, 447 as opposed to 4,100, may constitute substantial predomination by the state [P]WPCL action under section 1367.”</w:t>
      </w:r>
      <w:r>
        <w:rPr>
          <w:vertAlign w:val="superscript"/>
        </w:rPr>
        <w:footnoteReference w:id="1113"/>
      </w:r>
      <w:r w:rsidRPr="00AD2F44">
        <w:t xml:space="preserve"> The Third Circuit stated:</w:t>
      </w:r>
    </w:p>
    <w:p w14:paraId="29FD58B1" w14:textId="77777777" w:rsidR="004322B1" w:rsidRPr="00AD2F44" w:rsidRDefault="004322B1">
      <w:pPr>
        <w:pStyle w:val="09BBlockQuoteWithoutIndent"/>
      </w:pPr>
      <w:r w:rsidRPr="00AD2F44">
        <w:t>Predomination under section 1367 generally goes to the type of claim, not the number of parties involved. But the disparity in numbers of similarly situated plaintiffs may be so great that it becomes dispositive by transforming the action to a substantial degree, by causing the federal tail represented by a comparatively small number of plaintiffs to wag what is in substance a state dog.</w:t>
      </w:r>
      <w:r>
        <w:rPr>
          <w:vertAlign w:val="superscript"/>
        </w:rPr>
        <w:footnoteReference w:id="1114"/>
      </w:r>
    </w:p>
    <w:p w14:paraId="774043C2" w14:textId="77777777" w:rsidR="004322B1" w:rsidRPr="00AD2F44" w:rsidRDefault="004322B1">
      <w:pPr>
        <w:pStyle w:val="10ATextWithIndent"/>
      </w:pPr>
      <w:r w:rsidRPr="00AD2F44">
        <w:t>The court emphasized that “a necessarily case-specific analysis” is required to determine “whether the state claim constitutes the real body of the case.”</w:t>
      </w:r>
      <w:r>
        <w:rPr>
          <w:vertAlign w:val="superscript"/>
        </w:rPr>
        <w:footnoteReference w:id="1115"/>
      </w:r>
      <w:r w:rsidRPr="00AD2F44">
        <w:t xml:space="preserve"> Thus, the court discussed the following factors that weighed in favor of a finding that the FLSA claim had become an appendage to a more comprehensive state law action: the novelty of the state law claims, the different terms of proof required for the state law claims, and the procedural history, under which the plaintiffs had not even identified their implied contract theory and moved for Rule 23 class certification until long after the FLSA opt-in period had closed and discovery had ended.</w:t>
      </w:r>
      <w:r>
        <w:rPr>
          <w:vertAlign w:val="superscript"/>
        </w:rPr>
        <w:footnoteReference w:id="1116"/>
      </w:r>
      <w:r w:rsidRPr="00AD2F44">
        <w:t xml:space="preserve"> In view of all these factors, the Third Circuit ruled that the district court had not exercised sound discretion in asserting jurisdiction over the PWPCL claims.</w:t>
      </w:r>
      <w:r>
        <w:rPr>
          <w:vertAlign w:val="superscript"/>
        </w:rPr>
        <w:footnoteReference w:id="1117"/>
      </w:r>
    </w:p>
    <w:p w14:paraId="777451EC" w14:textId="77777777" w:rsidR="004322B1" w:rsidRPr="00AD2F44" w:rsidRDefault="004322B1">
      <w:pPr>
        <w:pStyle w:val="10ATextWithIndent"/>
      </w:pPr>
      <w:r w:rsidRPr="00AD2F44">
        <w:t>In contrast to this balancing approach, some courts have focused more narrowly on the fact that the state law class will be substantially larger than the FLSA class.</w:t>
      </w:r>
      <w:r>
        <w:rPr>
          <w:vertAlign w:val="superscript"/>
        </w:rPr>
        <w:footnoteReference w:id="1118"/>
      </w:r>
      <w:r w:rsidRPr="00AD2F44">
        <w:t xml:space="preserve"> In that circumstance, some courts may still permit the state law claims to proceed, but only as to those individuals who opt in to the FLSA action.</w:t>
      </w:r>
      <w:r>
        <w:rPr>
          <w:vertAlign w:val="superscript"/>
        </w:rPr>
        <w:footnoteReference w:id="1119"/>
      </w:r>
      <w:r w:rsidRPr="00AD2F44">
        <w:t xml:space="preserve"> Where plaintiffs have brought claims under a large number of different states’ laws, some courts have simply inferred that the state law claims will substantially predominate.</w:t>
      </w:r>
      <w:r>
        <w:rPr>
          <w:vertAlign w:val="superscript"/>
        </w:rPr>
        <w:footnoteReference w:id="1120"/>
      </w:r>
    </w:p>
    <w:p w14:paraId="4477D307" w14:textId="77777777" w:rsidR="004322B1" w:rsidRPr="00AD2F44" w:rsidRDefault="004322B1">
      <w:pPr>
        <w:pStyle w:val="10ATextWithIndent"/>
        <w:rPr>
          <w:vertAlign w:val="superscript"/>
        </w:rPr>
      </w:pPr>
      <w:r w:rsidRPr="00AD2F44">
        <w:t>Courts considering the substantial predominance issue and deciding to retain jurisdiction have typically relied on some combination of the following factors: the similarities and overlap between the state and federal claims; the interests of economy, efficiency, and fairness; case-specific factors; and, in a smaller number of actions, the absence of any gross numerical disparity between the classes.</w:t>
      </w:r>
      <w:r>
        <w:rPr>
          <w:vertAlign w:val="superscript"/>
        </w:rPr>
        <w:footnoteReference w:id="1121"/>
      </w:r>
      <w:r w:rsidRPr="00AD2F44">
        <w:t xml:space="preserve"> Other courts have simply concluded, with little analysis, that the state law claims will not substantially predominate.</w:t>
      </w:r>
      <w:r>
        <w:rPr>
          <w:vertAlign w:val="superscript"/>
        </w:rPr>
        <w:footnoteReference w:id="1122"/>
      </w:r>
      <w:r w:rsidRPr="00AD2F44">
        <w:t xml:space="preserve"> </w:t>
      </w:r>
      <w:sdt>
        <w:sdtPr>
          <w:tag w:val="goog_rdk_4"/>
          <w:id w:val="-424957497"/>
        </w:sdtPr>
        <w:sdtEndPr/>
        <w:sdtContent/>
      </w:sdt>
      <w:r w:rsidRPr="00AD2F44">
        <w:t>At least one court retaining jurisdiction ordered that FLSA and state law claims be bifurcated so that the FLSA claim could be litigated first.</w:t>
      </w:r>
      <w:r>
        <w:rPr>
          <w:vertAlign w:val="superscript"/>
        </w:rPr>
        <w:footnoteReference w:id="1123"/>
      </w:r>
    </w:p>
    <w:p w14:paraId="43E79CF8" w14:textId="77777777" w:rsidR="004322B1" w:rsidRPr="00AD2F44" w:rsidRDefault="004322B1">
      <w:pPr>
        <w:pStyle w:val="10ATextWithIndent"/>
      </w:pPr>
      <w:r w:rsidRPr="00AD2F44">
        <w:t>While some courts have relied on the size disparity between the state law class and the FLSA class in concluding that the state law claims will substantially predominate, numerous other courts have rejected a disparity in class sizes as being a relevant or dispositive factor.</w:t>
      </w:r>
      <w:r>
        <w:rPr>
          <w:vertAlign w:val="superscript"/>
        </w:rPr>
        <w:footnoteReference w:id="1124"/>
      </w:r>
    </w:p>
    <w:p w14:paraId="277D9F60" w14:textId="77777777" w:rsidR="004322B1" w:rsidRPr="00AD2F44" w:rsidRDefault="004322B1">
      <w:pPr>
        <w:pStyle w:val="10ATextWithIndent"/>
      </w:pPr>
      <w:r w:rsidRPr="00AD2F44">
        <w:t xml:space="preserve">In </w:t>
      </w:r>
      <w:r w:rsidRPr="00AD2F44">
        <w:rPr>
          <w:i/>
          <w:iCs/>
        </w:rPr>
        <w:t>Ervin v</w:t>
      </w:r>
      <w:r w:rsidRPr="00AD2F44">
        <w:t>.</w:t>
      </w:r>
      <w:r w:rsidRPr="00AD2F44">
        <w:rPr>
          <w:i/>
          <w:iCs/>
        </w:rPr>
        <w:t xml:space="preserve"> OS Restaurant Services, Inc</w:t>
      </w:r>
      <w:r w:rsidRPr="00AD2F44">
        <w:t>.,</w:t>
      </w:r>
      <w:r>
        <w:rPr>
          <w:vertAlign w:val="superscript"/>
        </w:rPr>
        <w:footnoteReference w:id="1125"/>
      </w:r>
      <w:r w:rsidRPr="00AD2F44">
        <w:t xml:space="preserve"> the Seventh Circuit held that </w:t>
      </w:r>
    </w:p>
    <w:p w14:paraId="1957F214" w14:textId="77777777" w:rsidR="004322B1" w:rsidRPr="00AD2F44" w:rsidRDefault="004322B1">
      <w:pPr>
        <w:pStyle w:val="09BBlockQuoteWithoutIndent"/>
      </w:pPr>
      <w:r w:rsidRPr="00AD2F44">
        <w:t>simple disparity in numbers should not lead a court to the conclusion that a state claim “substantially predominates” over the FLSA action, as Section 1367(c) uses that phrase. … As long as the claims are similar between the state plaintiffs and the federal action, it makes no real difference whether the numbers vary.</w:t>
      </w:r>
      <w:r>
        <w:rPr>
          <w:vertAlign w:val="superscript"/>
        </w:rPr>
        <w:footnoteReference w:id="1126"/>
      </w:r>
      <w:r w:rsidRPr="00AD2F44">
        <w:t xml:space="preserve"> </w:t>
      </w:r>
    </w:p>
    <w:p w14:paraId="5DEEB8B0" w14:textId="77777777" w:rsidR="004322B1" w:rsidRPr="00AD2F44" w:rsidRDefault="004322B1">
      <w:pPr>
        <w:pStyle w:val="10BTextWithoutIndent"/>
      </w:pPr>
      <w:r w:rsidRPr="00AD2F44">
        <w:t>While expressly declining to take a position as to whether the state law class could ever so dwarf the FLSA class as to affect the propriety of exercising supplemental jurisdiction, the court of appeals reasoned that “[</w:t>
      </w:r>
      <w:proofErr w:type="spellStart"/>
      <w:r w:rsidRPr="00AD2F44">
        <w:t>i</w:t>
      </w:r>
      <w:proofErr w:type="spellEnd"/>
      <w:r w:rsidRPr="00AD2F44">
        <w:t>]n the majority of cases, it would undermine the efficiency rationale of supplemental jurisdiction if two separate forums were required to adjudicate precisely the same issues because there was a different number of plaintiffs participating in each claim.”</w:t>
      </w:r>
      <w:r>
        <w:rPr>
          <w:vertAlign w:val="superscript"/>
        </w:rPr>
        <w:footnoteReference w:id="1127"/>
      </w:r>
      <w:r w:rsidRPr="00AD2F44">
        <w:t xml:space="preserve"> The court did not find the disparity in class sizes—approximately 30 FLSA opt-ins versus 180 to 250 people falling within the Rule 23 classes—to be a basis for declining supplemental jurisdiction.</w:t>
      </w:r>
      <w:r>
        <w:rPr>
          <w:vertAlign w:val="superscript"/>
        </w:rPr>
        <w:footnoteReference w:id="1128"/>
      </w:r>
      <w:r w:rsidRPr="00AD2F44">
        <w:t xml:space="preserve"> The court concluded:</w:t>
      </w:r>
    </w:p>
    <w:p w14:paraId="2A302675" w14:textId="77777777" w:rsidR="004322B1" w:rsidRPr="00AD2F44" w:rsidRDefault="004322B1">
      <w:pPr>
        <w:pStyle w:val="09BBlockQuoteWithoutIndent"/>
      </w:pPr>
      <w:r w:rsidRPr="00AD2F44">
        <w:t>[T]he record reflects no reason to doubt that it is sensible to litigate all theories in a single federal proceeding. The identity of the issues, the convenience to both plaintiffs and defendants of not having to litigate in multiple forums, and the economy of resolving all claims at once suggests that an exercise of supplemental jurisdiction will normally be appropriate. In all but the most unusual cases, there will be little cause for concern about fairness or comity.</w:t>
      </w:r>
      <w:r>
        <w:rPr>
          <w:vertAlign w:val="superscript"/>
        </w:rPr>
        <w:footnoteReference w:id="1129"/>
      </w:r>
    </w:p>
    <w:p w14:paraId="14402D46" w14:textId="77777777" w:rsidR="004322B1" w:rsidRPr="00AD2F44" w:rsidRDefault="004322B1">
      <w:pPr>
        <w:pStyle w:val="08Fifth-LevelHeadi"/>
      </w:pPr>
      <w:r w:rsidRPr="00AD2F44">
        <w:t>(iii.)</w:t>
      </w:r>
      <w:r w:rsidRPr="00AD2F44">
        <w:tab/>
        <w:t>Dismissal of the FLSA Claims</w:t>
      </w:r>
    </w:p>
    <w:p w14:paraId="7D1596F1" w14:textId="77777777" w:rsidR="004322B1" w:rsidRPr="00AD2F44" w:rsidRDefault="004322B1">
      <w:pPr>
        <w:pStyle w:val="10ATextWithIndent"/>
      </w:pPr>
      <w:r w:rsidRPr="00AD2F44">
        <w:t>Courts have addressed whether supplemental jurisdiction may be declined where the court has dismissed all claims over which the court had original jurisdiction as provided in 28 U.S.C. §1367(c)(3).</w:t>
      </w:r>
      <w:r>
        <w:rPr>
          <w:vertAlign w:val="superscript"/>
        </w:rPr>
        <w:footnoteReference w:id="1130"/>
      </w:r>
      <w:r w:rsidRPr="00AD2F44">
        <w:t xml:space="preserve"> The Second Circuit exercised supplemental jurisdiction over state law claims after dismissing all FLSA claims, but only to rule that the state law claims were governed by the same standards and should be dismissed for the same reasons as the FLSA claims.</w:t>
      </w:r>
      <w:r>
        <w:rPr>
          <w:vertAlign w:val="superscript"/>
        </w:rPr>
        <w:footnoteReference w:id="1131"/>
      </w:r>
      <w:r w:rsidRPr="00AD2F44">
        <w:t xml:space="preserve"> In a district court action where employees dismissed their FLSA claims after an employer removed the state court action to federal court, the district court agreed that it would not exercise supplemental jurisdiction as the remaining claims were based solely on substantive state law for which no discovery had yet occurred and the district court’s involvement was only to address the employees’ motion to dismiss the FLSA claims.</w:t>
      </w:r>
      <w:r>
        <w:rPr>
          <w:vertAlign w:val="superscript"/>
        </w:rPr>
        <w:footnoteReference w:id="1132"/>
      </w:r>
      <w:r w:rsidRPr="00AD2F44">
        <w:t xml:space="preserve"> Other district courts decline to exercise supplemental jurisdiction over remaining state wage claims after dismissing FLSA claims.</w:t>
      </w:r>
      <w:r>
        <w:rPr>
          <w:vertAlign w:val="superscript"/>
        </w:rPr>
        <w:footnoteReference w:id="1133"/>
      </w:r>
      <w:r w:rsidRPr="00AD2F44">
        <w:t xml:space="preserve"> For example, in </w:t>
      </w:r>
      <w:r w:rsidRPr="00AD2F44">
        <w:rPr>
          <w:i/>
          <w:iCs/>
        </w:rPr>
        <w:t>Musarra v. Digital Dish,</w:t>
      </w:r>
      <w:r>
        <w:rPr>
          <w:rStyle w:val="FootnoteReference"/>
        </w:rPr>
        <w:footnoteReference w:id="1134"/>
      </w:r>
      <w:r w:rsidRPr="00AD2F44">
        <w:t xml:space="preserve"> after dismissing the federal claims, the court found that judicial economy did not weigh in favor of exercising supplemental jurisdiction with respect to the state law claims. In addition, the state law claims presented “sufficiently novel state law questions,” which also weighed against retaining jurisdiction.</w:t>
      </w:r>
      <w:r>
        <w:rPr>
          <w:vertAlign w:val="superscript"/>
        </w:rPr>
        <w:footnoteReference w:id="1135"/>
      </w:r>
    </w:p>
    <w:p w14:paraId="404C8473" w14:textId="77777777" w:rsidR="004322B1" w:rsidRPr="00AD2F44" w:rsidRDefault="004322B1">
      <w:pPr>
        <w:pStyle w:val="10ATextWithIndent"/>
      </w:pPr>
      <w:r w:rsidRPr="00AD2F44">
        <w:rPr>
          <w:lang w:eastAsia="pt-PT"/>
        </w:rPr>
        <w:t>In contrast, the Third Circuit affirmed a lower court’s denial of the defendant’s motion to dismiss for lack of subject matter jurisdiction because although the parties settled their FLSA claims, the remaining state law claims substantially overlapped with the federal claims and “considerations of judicial economy, convenience, and fairness to the parties provide[d] an affirmative justification for” exercising jurisdiction.</w:t>
      </w:r>
      <w:r>
        <w:rPr>
          <w:vertAlign w:val="superscript"/>
          <w:lang w:eastAsia="pt-PT"/>
        </w:rPr>
        <w:footnoteReference w:id="1136"/>
      </w:r>
    </w:p>
    <w:p w14:paraId="52821501" w14:textId="77777777" w:rsidR="004322B1" w:rsidRPr="00AD2F44" w:rsidRDefault="004322B1">
      <w:pPr>
        <w:pStyle w:val="08Fifth-LevelHeadi"/>
      </w:pPr>
      <w:r w:rsidRPr="00AD2F44">
        <w:t>(iv.)</w:t>
      </w:r>
      <w:r w:rsidRPr="00AD2F44">
        <w:tab/>
        <w:t>“Exceptional Circumstances”/“Compelling Reasons”</w:t>
      </w:r>
    </w:p>
    <w:p w14:paraId="636CB069" w14:textId="77777777" w:rsidR="004322B1" w:rsidRPr="00AD2F44" w:rsidRDefault="004322B1">
      <w:pPr>
        <w:pStyle w:val="10ATextWithIndent"/>
      </w:pPr>
      <w:r w:rsidRPr="00AD2F44">
        <w:t>The fourth situation in which the district court has discretion to decline supplemental jurisdiction over state law claims in a hybrid action is where, “in exceptional circumstances, there are other compelling reasons for declining jurisdiction.”</w:t>
      </w:r>
      <w:r>
        <w:rPr>
          <w:vertAlign w:val="superscript"/>
        </w:rPr>
        <w:footnoteReference w:id="1137"/>
      </w:r>
      <w:r w:rsidRPr="00AD2F44">
        <w:t xml:space="preserve"> The decisions in this area have focused principally on one or more of the following three contentions: first, there is a “conflict” with congressional intent that arises when state law opt-out claims are allowed to proceed in the same action with opt-in FLSA claims; second, a hybrid action would be too difficult to manage; and third, class members will be confused by receiving notice of both opt-in rights and opt-out rights.</w:t>
      </w:r>
    </w:p>
    <w:p w14:paraId="5BB89F4F" w14:textId="77777777" w:rsidR="004322B1" w:rsidRPr="00AD2F44" w:rsidRDefault="004322B1">
      <w:pPr>
        <w:pStyle w:val="10ATextWithIndent"/>
      </w:pPr>
      <w:r w:rsidRPr="00AD2F44">
        <w:t>First, some employers and courts have argued that hybrid actions present “exceptional</w:t>
      </w:r>
      <w:r w:rsidRPr="00AD2F44">
        <w:rPr>
          <w:b/>
          <w:bCs/>
        </w:rPr>
        <w:t xml:space="preserve"> </w:t>
      </w:r>
      <w:r w:rsidRPr="00AD2F44">
        <w:t>circumstances” in which there are “compelling reasons” for declining jurisdiction over the state law claims because it would conflict with congressional intent to exercise jurisdiction over the state law claims of individuals who do not opt in to the FLSA claim.</w:t>
      </w:r>
      <w:r>
        <w:rPr>
          <w:vertAlign w:val="superscript"/>
        </w:rPr>
        <w:footnoteReference w:id="1138"/>
      </w:r>
      <w:r w:rsidRPr="00AD2F44">
        <w:t xml:space="preserve"> Circuit courts appear to have rejected this argument, concluding that “[w]e do not view the difference between the opt-in procedure provided by section 216(b) for FLSA claims and the opt-out procedure for state law claims provided by Rule 23 as fitting the ‘exceptional circumstances’/‘other compelling reasons’ language of the supplemental jurisdiction statute, section 1367(c)(4).”</w:t>
      </w:r>
      <w:r>
        <w:rPr>
          <w:vertAlign w:val="superscript"/>
        </w:rPr>
        <w:footnoteReference w:id="1139"/>
      </w:r>
      <w:r w:rsidRPr="00AD2F44">
        <w:t xml:space="preserve"> Nevertheless, some district courts have accepted the argument that hybrid actions give rise to a conflict with the congressional intent to limit FLSA claims to opt-in actions and that this conflict fits the exceptional circumstances/compelling reasons language of Section 1367(c)(4).</w:t>
      </w:r>
      <w:r>
        <w:rPr>
          <w:vertAlign w:val="superscript"/>
        </w:rPr>
        <w:footnoteReference w:id="1140"/>
      </w:r>
      <w:r w:rsidRPr="00AD2F44">
        <w:t xml:space="preserve"> But other district courts have rejected the argument.</w:t>
      </w:r>
      <w:r>
        <w:rPr>
          <w:vertAlign w:val="superscript"/>
        </w:rPr>
        <w:footnoteReference w:id="1141"/>
      </w:r>
    </w:p>
    <w:p w14:paraId="54C47A81" w14:textId="77777777" w:rsidR="004322B1" w:rsidRPr="00AD2F44" w:rsidRDefault="004322B1">
      <w:pPr>
        <w:pStyle w:val="10ATextWithIndent"/>
      </w:pPr>
      <w:r w:rsidRPr="00AD2F44">
        <w:t>Second, in some hybrid actions, courts have concluded that case management challenges (or “manageability” issues) arising from having an FLSA opt-in class and Rule 23 opt-out class qualify as an exceptional circumstance in which there are compelling reasons for declining jurisdiction.</w:t>
      </w:r>
      <w:r>
        <w:rPr>
          <w:vertAlign w:val="superscript"/>
        </w:rPr>
        <w:footnoteReference w:id="1142"/>
      </w:r>
      <w:r w:rsidRPr="00AD2F44">
        <w:t xml:space="preserve"> Other courts have rejected case management challenges as a proffered basis for declining jurisdiction under Section 1367(c)(4).</w:t>
      </w:r>
      <w:r>
        <w:rPr>
          <w:vertAlign w:val="superscript"/>
        </w:rPr>
        <w:footnoteReference w:id="1143"/>
      </w:r>
    </w:p>
    <w:p w14:paraId="109C9AC8" w14:textId="77777777" w:rsidR="004322B1" w:rsidRPr="00AD2F44" w:rsidRDefault="004322B1">
      <w:pPr>
        <w:pStyle w:val="10ATextWithIndent"/>
      </w:pPr>
      <w:r w:rsidRPr="00AD2F44">
        <w:t>Third, courts have acknowledged the potential for confusion by class members receiving notice of both opt-in and opt-out rights in the same action, but most have found such confusion insufficient to decline exercising supplemental jurisdiction.</w:t>
      </w:r>
      <w:r>
        <w:rPr>
          <w:vertAlign w:val="superscript"/>
        </w:rPr>
        <w:footnoteReference w:id="1144"/>
      </w:r>
      <w:r w:rsidRPr="00AD2F44">
        <w:t xml:space="preserve"> Courts have recognized that the same confusion exists whether all claims remain in federal court or are split between federal and state court as class members will receive both opt-in and opt-out notices under either scenario.</w:t>
      </w:r>
      <w:r>
        <w:rPr>
          <w:vertAlign w:val="superscript"/>
        </w:rPr>
        <w:footnoteReference w:id="1145"/>
      </w:r>
      <w:r w:rsidRPr="00AD2F44">
        <w:t xml:space="preserve"> </w:t>
      </w:r>
    </w:p>
    <w:p w14:paraId="62EA9E0E" w14:textId="77777777" w:rsidR="004322B1" w:rsidRPr="00AD2F44" w:rsidRDefault="004322B1">
      <w:pPr>
        <w:pStyle w:val="10ATextWithIndent"/>
      </w:pPr>
      <w:r w:rsidRPr="00AD2F44">
        <w:t>Circuit courts have rejected the argument that a combined action could not be maintained because of the difference between the FLSA collective action notice class members would receive and Rule 23 notice requirements:</w:t>
      </w:r>
    </w:p>
    <w:p w14:paraId="5DBE7027" w14:textId="77777777" w:rsidR="004322B1" w:rsidRPr="00AD2F44" w:rsidRDefault="004322B1">
      <w:pPr>
        <w:pStyle w:val="09BBlockQuoteWithoutIndent"/>
      </w:pPr>
      <w:r w:rsidRPr="00AD2F44">
        <w:t>It does not seem like too much to require potential participants to make two binary choices: (1) decide whether to opt in and participate in the federal action; (2) decide whether to opt out and not participate in the state law claims. Other courts in this circuit appear to have had little trouble working out an adequate notice in this type of case. … When we asked at oral argument whether Outback’s lawyers could provide any concrete examples of confusion resulting from this type of notification, they were unable to point to a single instance. Finally, if these actions were to proceed separately—the FLSA in federal court and the state law class action in state court—an entirely different and potentially worse problem of confusion would arise, with uncoordinated notices from separate courts peppering the employees. As a general rule, it will usually be preferable if the notice comes from a single court, in a unified proceeding, where the court and lawyers alike are paying close attention to the overall message the participants will receive.</w:t>
      </w:r>
      <w:r>
        <w:rPr>
          <w:vertAlign w:val="superscript"/>
        </w:rPr>
        <w:footnoteReference w:id="1146"/>
      </w:r>
    </w:p>
    <w:p w14:paraId="6DE165AD" w14:textId="77777777" w:rsidR="004322B1" w:rsidRPr="00AD2F44" w:rsidRDefault="004322B1">
      <w:pPr>
        <w:pStyle w:val="10BTextWithoutIndent"/>
      </w:pPr>
      <w:r w:rsidRPr="00AD2F44">
        <w:t>Nevertheless, some district courts have declined to exercise supplemental jurisdiction, finding that potential confusion between the two notices satisfies the exceptional circumstances/compelling reasons language of Section 1367(c)(4).</w:t>
      </w:r>
      <w:r>
        <w:rPr>
          <w:vertAlign w:val="superscript"/>
        </w:rPr>
        <w:footnoteReference w:id="1147"/>
      </w:r>
    </w:p>
    <w:p w14:paraId="7B06920F" w14:textId="77777777" w:rsidR="004322B1" w:rsidRPr="00AD2F44" w:rsidRDefault="004322B1">
      <w:pPr>
        <w:pStyle w:val="05Second-LevelHeadABC"/>
      </w:pPr>
      <w:r w:rsidRPr="00AD2F44">
        <w:t>E.</w:t>
      </w:r>
      <w:r w:rsidRPr="00AD2F44">
        <w:tab/>
        <w:t>Standing to Prosecute the State Law Claims in Hybrid Actions</w:t>
      </w:r>
    </w:p>
    <w:p w14:paraId="461E3F29" w14:textId="77777777" w:rsidR="004322B1" w:rsidRPr="00AD2F44" w:rsidRDefault="004322B1">
      <w:pPr>
        <w:pStyle w:val="10ATextWithIndent"/>
      </w:pPr>
      <w:r w:rsidRPr="00AD2F44">
        <w:t>Plaintiffs in some hybrid actions have pleaded state law claims that they themselves do not have because they did not work in the state at issue—e.g., a plaintiff who was employed by the defendant in Pennsylvania pleads a class action claim under New York and Pennsylvania law. Defendants have successfully moved to dismiss such claims on standing grounds in a number of actions.</w:t>
      </w:r>
      <w:r>
        <w:rPr>
          <w:vertAlign w:val="superscript"/>
        </w:rPr>
        <w:footnoteReference w:id="1148"/>
      </w:r>
      <w:r w:rsidRPr="00AD2F44">
        <w:t xml:space="preserve"> A smaller number of courts have denied such motions, however, reasoning that the standing issue would be better addressed at the class certification stage.</w:t>
      </w:r>
      <w:r>
        <w:rPr>
          <w:vertAlign w:val="superscript"/>
        </w:rPr>
        <w:footnoteReference w:id="1149"/>
      </w:r>
    </w:p>
    <w:p w14:paraId="1169EF86" w14:textId="77777777" w:rsidR="004322B1" w:rsidRPr="00AD2F44" w:rsidRDefault="004322B1">
      <w:pPr>
        <w:pStyle w:val="10ATextWithIndent"/>
      </w:pPr>
      <w:r w:rsidRPr="00AD2F44">
        <w:t>A dismissal of the state law claims for lack of standing at the pleadings stage does not mean that the state law claim cannot be added to the action at a later time. If plaintiffs identify an individual who is willing to serve as a representative plaintiff for the state law claims at issue, plaintiffs can seek leave to amend the complaint to add that person as a named plaintiff and plead the state law claims.</w:t>
      </w:r>
      <w:r>
        <w:rPr>
          <w:vertAlign w:val="superscript"/>
        </w:rPr>
        <w:footnoteReference w:id="1150"/>
      </w:r>
      <w:r w:rsidRPr="00AD2F44">
        <w:t xml:space="preserve"> This possibility has particular salience in the context of hybrid actions. Once the FLSA claim is conditionally certified as a collective action, notice of the action will be sent to all potential class members, and some number of them will opt in, including individuals who worked in different states from the original named plaintiffs. Thus, the opt-in procedure may bring into the action new plaintiffs who are willing to serve as representative plaintiffs for state law class action claims that the original named plaintiffs might not have been able to prosecute themselves.</w:t>
      </w:r>
    </w:p>
    <w:p w14:paraId="2816A32D" w14:textId="77777777" w:rsidR="004322B1" w:rsidRPr="00AD2F44" w:rsidRDefault="004322B1">
      <w:pPr>
        <w:pStyle w:val="05Second-LevelHeadABC"/>
      </w:pPr>
      <w:r w:rsidRPr="00AD2F44">
        <w:t>F.</w:t>
      </w:r>
      <w:r w:rsidRPr="00AD2F44">
        <w:tab/>
        <w:t>Rule 23 Class Certification in Hybrid Actions</w:t>
      </w:r>
    </w:p>
    <w:p w14:paraId="077EB15E" w14:textId="77777777" w:rsidR="004322B1" w:rsidRPr="00AD2F44" w:rsidRDefault="004322B1">
      <w:pPr>
        <w:pStyle w:val="10ATextWithIndent"/>
      </w:pPr>
      <w:r w:rsidRPr="00AD2F44">
        <w:t>As in any other proposed Rule 23 class action, plaintiffs proposing to proceed with a state law Rule 23 class action for damages in a hybrid action have the burden to show that the criteria for maintenance of a class action set forth in Rule 23(a) and (b)(3) of the Federal Rules of Civil Procedure are satisfied.</w:t>
      </w:r>
      <w:r>
        <w:rPr>
          <w:spacing w:val="-5"/>
          <w:vertAlign w:val="superscript"/>
        </w:rPr>
        <w:footnoteReference w:id="1151"/>
      </w:r>
      <w:r w:rsidRPr="00AD2F44">
        <w:t xml:space="preserve"> In applying these criteria in hybrid actions, courts have considered several issues that are specific to such actions.</w:t>
      </w:r>
    </w:p>
    <w:p w14:paraId="22672995" w14:textId="77777777" w:rsidR="004322B1" w:rsidRPr="00AD2F44" w:rsidRDefault="004322B1">
      <w:pPr>
        <w:pStyle w:val="06Third-LevelHead123"/>
      </w:pPr>
      <w:r w:rsidRPr="00AD2F44">
        <w:t>1.</w:t>
      </w:r>
      <w:r w:rsidRPr="00AD2F44">
        <w:tab/>
        <w:t>Numerosity/Impracticability of Joinder</w:t>
      </w:r>
    </w:p>
    <w:p w14:paraId="6AB30913" w14:textId="77777777" w:rsidR="004322B1" w:rsidRPr="00AD2F44" w:rsidRDefault="004322B1">
      <w:pPr>
        <w:pStyle w:val="10ATextWithIndent"/>
      </w:pPr>
      <w:r w:rsidRPr="00AD2F44">
        <w:t>One of the prerequisites for certification of a class action under Rule 23 is that the proposed class must be “so numerous that joinder of all members is impracticable.”</w:t>
      </w:r>
      <w:r>
        <w:rPr>
          <w:vertAlign w:val="superscript"/>
        </w:rPr>
        <w:footnoteReference w:id="1152"/>
      </w:r>
      <w:r w:rsidRPr="00AD2F44">
        <w:t xml:space="preserve"> Some employers have argued that the numerosity/impracticability requirement cannot be satisfied if the FLSA opt-in process has already been completed and only a relatively small number of individuals have opted in. Courts have generally rejected this argument.</w:t>
      </w:r>
      <w:r>
        <w:rPr>
          <w:vertAlign w:val="superscript"/>
        </w:rPr>
        <w:footnoteReference w:id="1153"/>
      </w:r>
      <w:r w:rsidRPr="00AD2F44">
        <w:t xml:space="preserve"> The numerosity inquiry looks to the size of the potential Rule 23 class. The number of FLSA opt-ins is not a reliable indicator of how large the Rule 23 state law class will be because individuals who did not opt in to the FLSA class may also not opt out of the state law class, rendering the latter class larger than the former.</w:t>
      </w:r>
      <w:r>
        <w:rPr>
          <w:vertAlign w:val="superscript"/>
        </w:rPr>
        <w:footnoteReference w:id="1154"/>
      </w:r>
      <w:r w:rsidRPr="00AD2F44">
        <w:t xml:space="preserve"> In addition, if the certified class ends up being too small because a large number of individuals opt out, the court has the option to decertify the class.</w:t>
      </w:r>
    </w:p>
    <w:p w14:paraId="717016D5" w14:textId="77777777" w:rsidR="004322B1" w:rsidRPr="00AD2F44" w:rsidRDefault="004322B1">
      <w:pPr>
        <w:pStyle w:val="10ATextWithIndent"/>
      </w:pPr>
      <w:r w:rsidRPr="00AD2F44">
        <w:t>Similarly, in a Rule 23 context, courts have evaluated whether a class is ascertainable—namely, whether class members can be identified.</w:t>
      </w:r>
      <w:r>
        <w:rPr>
          <w:rStyle w:val="FootnoteReference"/>
        </w:rPr>
        <w:footnoteReference w:id="1155"/>
      </w:r>
      <w:r w:rsidRPr="00AD2F44">
        <w:t xml:space="preserve"> In the FLSA context, the Third Circuit has held that if a defendant fails to keep adequate records of its workers, such a failure cannot be used to support a defense to class certification based on lack of an ascertainable class.</w:t>
      </w:r>
      <w:r>
        <w:rPr>
          <w:rStyle w:val="FootnoteReference"/>
        </w:rPr>
        <w:footnoteReference w:id="1156"/>
      </w:r>
      <w:r w:rsidRPr="00AD2F44">
        <w:t xml:space="preserve"> </w:t>
      </w:r>
    </w:p>
    <w:p w14:paraId="7428F006" w14:textId="77777777" w:rsidR="004322B1" w:rsidRPr="00AD2F44" w:rsidRDefault="004322B1">
      <w:pPr>
        <w:pStyle w:val="06Third-LevelHead123"/>
      </w:pPr>
      <w:r w:rsidRPr="00AD2F44">
        <w:t>2.</w:t>
      </w:r>
      <w:r w:rsidRPr="00AD2F44">
        <w:tab/>
        <w:t>Superiority</w:t>
      </w:r>
    </w:p>
    <w:p w14:paraId="618CFFC0" w14:textId="77777777" w:rsidR="004322B1" w:rsidRPr="00AD2F44" w:rsidRDefault="004322B1">
      <w:pPr>
        <w:pStyle w:val="10ATextWithIndent"/>
      </w:pPr>
      <w:r w:rsidRPr="00AD2F44">
        <w:t>Plaintiffs seeking to certify a Rule 23 class for damages also must show that the class action procedure is “superior to other available methods for fairly and efficiently adjudicating the controversy.”</w:t>
      </w:r>
      <w:r>
        <w:rPr>
          <w:vertAlign w:val="superscript"/>
        </w:rPr>
        <w:footnoteReference w:id="1157"/>
      </w:r>
      <w:r w:rsidRPr="00AD2F44">
        <w:t xml:space="preserve"> Employers have challenged “superiority” using a variety of case-specific theories.</w:t>
      </w:r>
    </w:p>
    <w:p w14:paraId="793C6667" w14:textId="77777777" w:rsidR="004322B1" w:rsidRPr="00AD2F44" w:rsidRDefault="004322B1">
      <w:pPr>
        <w:pStyle w:val="07Fourth-LevelHeadabc"/>
      </w:pPr>
      <w:r w:rsidRPr="00AD2F44">
        <w:t>a.</w:t>
      </w:r>
      <w:r w:rsidRPr="00AD2F44">
        <w:tab/>
        <w:t>Availability of an Opt-In Action for the FLSA Claims</w:t>
      </w:r>
    </w:p>
    <w:p w14:paraId="1D316EB6" w14:textId="77777777" w:rsidR="004322B1" w:rsidRPr="00AD2F44" w:rsidRDefault="004322B1">
      <w:pPr>
        <w:pStyle w:val="10ATextWithIndent"/>
      </w:pPr>
      <w:r w:rsidRPr="00AD2F44">
        <w:t>Employers have argued that a Rule 23 class in a hybrid action cannot be superior because class members have the ability to join the FLSA collective action by opting in (and, according to the argument in some cases, those who have opted in to the FLSA action can have their state law claims heard alongside their FLSA claims in the same case). A corollary argument is that a class action would not be superior because the state law class will include individuals who did not opt in to the FLSA action.</w:t>
      </w:r>
      <w:r>
        <w:rPr>
          <w:vertAlign w:val="superscript"/>
        </w:rPr>
        <w:footnoteReference w:id="1158"/>
      </w:r>
      <w:r w:rsidRPr="00AD2F44">
        <w:t xml:space="preserve"> Courts rejecting this argument have reasoned that, whatever procedure has been adopted for FLSA claims, the opt-out class action procedure remains the superior mechanism for adjudicating the state law claims that are common to all potential class members (including because many individuals fail to opt in to FLSA actions for reasons other than any affirmative desire not to have their claims adjudicated).</w:t>
      </w:r>
      <w:r>
        <w:rPr>
          <w:vertAlign w:val="superscript"/>
        </w:rPr>
        <w:footnoteReference w:id="1159"/>
      </w:r>
    </w:p>
    <w:p w14:paraId="0C71082C" w14:textId="77777777" w:rsidR="004322B1" w:rsidRPr="00AD2F44" w:rsidRDefault="004322B1">
      <w:pPr>
        <w:pStyle w:val="10ATextWithIndent"/>
      </w:pPr>
      <w:r w:rsidRPr="00AD2F44">
        <w:t xml:space="preserve">In </w:t>
      </w:r>
      <w:r w:rsidRPr="00AD2F44">
        <w:rPr>
          <w:i/>
          <w:iCs/>
        </w:rPr>
        <w:t>Ervin v</w:t>
      </w:r>
      <w:r w:rsidRPr="00AD2F44">
        <w:t>.</w:t>
      </w:r>
      <w:r w:rsidRPr="00AD2F44">
        <w:rPr>
          <w:i/>
          <w:iCs/>
        </w:rPr>
        <w:t xml:space="preserve"> OS Restaurant Services, Inc</w:t>
      </w:r>
      <w:r w:rsidRPr="00AD2F44">
        <w:t>.,</w:t>
      </w:r>
      <w:r>
        <w:rPr>
          <w:vertAlign w:val="superscript"/>
        </w:rPr>
        <w:footnoteReference w:id="1160"/>
      </w:r>
      <w:r w:rsidRPr="00AD2F44">
        <w:t xml:space="preserve"> the Seventh Circuit rejected the district court’s conclusion that the difference between the FLSA opt-in procedure and the Rule 23 opt-out procedure “automatically meant that the class action device was not a superior mechanism for resolving the plaintiffs’ state law claims.”</w:t>
      </w:r>
      <w:r>
        <w:rPr>
          <w:vertAlign w:val="superscript"/>
        </w:rPr>
        <w:footnoteReference w:id="1161"/>
      </w:r>
      <w:r w:rsidRPr="00AD2F44">
        <w:t xml:space="preserve"> After explaining its conclusion that there is no legal bar to hybrid actions that arises from the different procedures for forming the classes under the FLSA and Rule 23, or from the different notices class members may receive,</w:t>
      </w:r>
      <w:r>
        <w:rPr>
          <w:vertAlign w:val="superscript"/>
        </w:rPr>
        <w:footnoteReference w:id="1162"/>
      </w:r>
      <w:r w:rsidRPr="00AD2F44">
        <w:t xml:space="preserve"> the court remanded with instructions to conduct a case-specific superiority analysis under Rule 23:</w:t>
      </w:r>
    </w:p>
    <w:p w14:paraId="67534178" w14:textId="77777777" w:rsidR="004322B1" w:rsidRPr="00AD2F44" w:rsidRDefault="004322B1">
      <w:pPr>
        <w:pStyle w:val="09BBlockQuoteWithoutIndent"/>
        <w:rPr>
          <w:spacing w:val="2"/>
        </w:rPr>
      </w:pPr>
      <w:r w:rsidRPr="00AD2F44">
        <w:t>Because the district court ruled as a matter of law that these two actions could not proceed simultaneously, there is little in the record that throws light on whether there is anything about this particular case that would stand in the way of the combined actions the plaintiffs are seeking to pursue. Rather than addressing that here, we think it best to allow the district court to take the first look at the superiority issue from that perspective, taking into account the usual requirements spelled out in Rule 23(b)(3).</w:t>
      </w:r>
      <w:r>
        <w:rPr>
          <w:spacing w:val="2"/>
          <w:vertAlign w:val="superscript"/>
        </w:rPr>
        <w:footnoteReference w:id="1163"/>
      </w:r>
    </w:p>
    <w:p w14:paraId="00038F5C" w14:textId="77777777" w:rsidR="004322B1" w:rsidRPr="00AD2F44" w:rsidRDefault="004322B1">
      <w:pPr>
        <w:pStyle w:val="10BTextWithoutIndent"/>
      </w:pPr>
      <w:r w:rsidRPr="00AD2F44">
        <w:t xml:space="preserve">Similarly, a number of courts have reasoned that the superiority inquiry requires consideration of alternative procedures available to adjudicate </w:t>
      </w:r>
      <w:r w:rsidRPr="00AD2F44">
        <w:rPr>
          <w:i/>
          <w:iCs/>
        </w:rPr>
        <w:t>state law</w:t>
      </w:r>
      <w:r w:rsidRPr="00AD2F44">
        <w:t xml:space="preserve"> claims, not the FLSA claims, and have therefore rejected arguments relying on the FLSA’s opt-in procedure.</w:t>
      </w:r>
      <w:r>
        <w:rPr>
          <w:vertAlign w:val="superscript"/>
        </w:rPr>
        <w:footnoteReference w:id="1164"/>
      </w:r>
    </w:p>
    <w:p w14:paraId="239F6C14" w14:textId="77777777" w:rsidR="004322B1" w:rsidRPr="00AD2F44" w:rsidRDefault="004322B1">
      <w:pPr>
        <w:pStyle w:val="10ATextWithIndent"/>
      </w:pPr>
      <w:r w:rsidRPr="00AD2F44">
        <w:t>Some courts, however, have reasoned that a class action would not be a superior means of resolving the state law claims because those individuals who wanted to adjudicate their state law claims could opt in to the FLSA claim and then pursue their state law claims alongside their FLSA claims.</w:t>
      </w:r>
      <w:r>
        <w:rPr>
          <w:vertAlign w:val="superscript"/>
        </w:rPr>
        <w:footnoteReference w:id="1165"/>
      </w:r>
    </w:p>
    <w:p w14:paraId="360202D3" w14:textId="77777777" w:rsidR="004322B1" w:rsidRPr="00AD2F44" w:rsidRDefault="004322B1">
      <w:pPr>
        <w:pStyle w:val="07Fourth-LevelHeadabc"/>
      </w:pPr>
      <w:r w:rsidRPr="00AD2F44">
        <w:t>b.</w:t>
      </w:r>
      <w:r w:rsidRPr="00AD2F44">
        <w:tab/>
        <w:t>Considerations Relating to Supplemental Jurisdiction and Congressional Intent</w:t>
      </w:r>
    </w:p>
    <w:p w14:paraId="06332BDD" w14:textId="77777777" w:rsidR="004322B1" w:rsidRPr="00AD2F44" w:rsidRDefault="004322B1">
      <w:pPr>
        <w:pStyle w:val="10ATextWithIndent"/>
      </w:pPr>
      <w:r w:rsidRPr="00AD2F44">
        <w:t>As discussed above, a few courts have expressed concerns about exercising supplemental jurisdiction over the state law claims if the state law class will be substantially larger than the FLSA class. Some of these courts have folded these concerns into their discussions of Rule 23’s superiority requirement. Thus, if a court is of the view that state law claims will predominate over the FLSA claims if a certified Rule 23 class would be much larger than the FLSA class, and the court would be inclined to decline jurisdiction on that basis, the court’s conclusion regarding superiority may be that it is preferable to limit the plaintiffs in the action to those individuals who opt in to the FLSA claims and to allow those individuals to pursue their state law claims alongside their FLSA claims.</w:t>
      </w:r>
      <w:r>
        <w:rPr>
          <w:vertAlign w:val="superscript"/>
        </w:rPr>
        <w:footnoteReference w:id="1166"/>
      </w:r>
      <w:r w:rsidRPr="00AD2F44">
        <w:t xml:space="preserve"> However, with the weight of authority moving toward rejecting incompatibility and conflict issues between opt-in and opt-out procedures as a basis for declining supplemental jurisdiction, courts are not likely to rely on substantial predominance or congressional intent in analyzing the superiority requirement.</w:t>
      </w:r>
      <w:r>
        <w:rPr>
          <w:vertAlign w:val="superscript"/>
        </w:rPr>
        <w:footnoteReference w:id="1167"/>
      </w:r>
      <w:r w:rsidRPr="00AD2F44">
        <w:t xml:space="preserve"> Also, these arguments should not result in dismissal if there is independent jurisdiction under CAFA.</w:t>
      </w:r>
      <w:r>
        <w:rPr>
          <w:vertAlign w:val="superscript"/>
        </w:rPr>
        <w:footnoteReference w:id="1168"/>
      </w:r>
    </w:p>
    <w:p w14:paraId="742678ED" w14:textId="77777777" w:rsidR="004322B1" w:rsidRPr="00AD2F44" w:rsidRDefault="004322B1">
      <w:pPr>
        <w:pStyle w:val="07Fourth-LevelHeadabc"/>
      </w:pPr>
      <w:r w:rsidRPr="00AD2F44">
        <w:t>c.</w:t>
      </w:r>
      <w:r w:rsidRPr="00AD2F44">
        <w:tab/>
        <w:t>Class Member Confusion</w:t>
      </w:r>
    </w:p>
    <w:p w14:paraId="02FA0C6B" w14:textId="77777777" w:rsidR="004322B1" w:rsidRPr="00AD2F44" w:rsidRDefault="004322B1">
      <w:pPr>
        <w:pStyle w:val="10ATextWithIndent"/>
        <w:rPr>
          <w:spacing w:val="2"/>
        </w:rPr>
      </w:pPr>
      <w:r w:rsidRPr="00AD2F44">
        <w:t>Employers have challenged superiority on the ground that it could be confusing for class members to receive notice of their right to opt out of state law claims in the same action in which they receive notice of their right to opt in to an FLSA collective action. As discussed above, however, most courts are now holding that confusion is limited by having only one rather than two courts issue these conflicting notices. Additionally, many courts have found that notices can be written so as to minimize confusion.</w:t>
      </w:r>
      <w:r>
        <w:rPr>
          <w:spacing w:val="2"/>
          <w:vertAlign w:val="superscript"/>
        </w:rPr>
        <w:footnoteReference w:id="1169"/>
      </w:r>
      <w:r w:rsidRPr="00AD2F44">
        <w:t xml:space="preserve"> In this regard, at least one court denied Rule 23 certification to permit the collective action to proceed to determine how many of the members would opt in before sending a Rule 23 opt-out notice.</w:t>
      </w:r>
      <w:r>
        <w:rPr>
          <w:spacing w:val="2"/>
          <w:vertAlign w:val="superscript"/>
        </w:rPr>
        <w:footnoteReference w:id="1170"/>
      </w:r>
      <w:r w:rsidRPr="00AD2F44">
        <w:t xml:space="preserve"> Other decisions have rejected the confusion argument on the ground that the FLSA opt-in notice process already had been completed and that class members would simply be receiving an opt-out notice for the state law class.</w:t>
      </w:r>
      <w:r>
        <w:rPr>
          <w:spacing w:val="2"/>
          <w:vertAlign w:val="superscript"/>
        </w:rPr>
        <w:footnoteReference w:id="1171"/>
      </w:r>
      <w:r w:rsidRPr="00AD2F44">
        <w:t xml:space="preserve"> Other courts have concluded that confusion among class members as a result of receiving both opt-in and opt-out notices is not a basis for denying Rule 23 certification if a class action would otherwise be the superior procedure for resolving the state law claims.</w:t>
      </w:r>
      <w:r>
        <w:rPr>
          <w:spacing w:val="2"/>
          <w:vertAlign w:val="superscript"/>
        </w:rPr>
        <w:footnoteReference w:id="1172"/>
      </w:r>
      <w:r w:rsidRPr="00AD2F44">
        <w:t xml:space="preserve"> Some courts, however, have cited the potential for class member confusion as being a consideration that weighs in favor of finding that a class action would not be superior.</w:t>
      </w:r>
      <w:r>
        <w:rPr>
          <w:spacing w:val="2"/>
          <w:vertAlign w:val="superscript"/>
        </w:rPr>
        <w:footnoteReference w:id="1173"/>
      </w:r>
    </w:p>
    <w:p w14:paraId="4DBB2323" w14:textId="77777777" w:rsidR="004322B1" w:rsidRPr="00AD2F44" w:rsidRDefault="004322B1">
      <w:pPr>
        <w:pStyle w:val="07Fourth-LevelHeadabc"/>
      </w:pPr>
      <w:r w:rsidRPr="00AD2F44">
        <w:t>d.</w:t>
      </w:r>
      <w:r w:rsidRPr="00AD2F44">
        <w:tab/>
        <w:t>Manageability</w:t>
      </w:r>
    </w:p>
    <w:p w14:paraId="1F3FCD63" w14:textId="77777777" w:rsidR="004322B1" w:rsidRPr="00AD2F44" w:rsidRDefault="004322B1">
      <w:pPr>
        <w:pStyle w:val="10ATextWithIndent"/>
        <w:rPr>
          <w:vertAlign w:val="superscript"/>
        </w:rPr>
      </w:pPr>
      <w:r w:rsidRPr="00AD2F44">
        <w:t>Manageability is one of the superiority factors.</w:t>
      </w:r>
      <w:r>
        <w:rPr>
          <w:vertAlign w:val="superscript"/>
        </w:rPr>
        <w:footnoteReference w:id="1174"/>
      </w:r>
      <w:r w:rsidRPr="00AD2F44">
        <w:t xml:space="preserve"> One court in the Seventh Circuit has denied class certification of a hybrid action on this basis, finding that adjudicating in one action both an FLSA claim and a state law claim “would be logistical chaos” because of the FLSA opt-in and Rule 23 opt-out procedures.</w:t>
      </w:r>
      <w:r>
        <w:rPr>
          <w:vertAlign w:val="superscript"/>
        </w:rPr>
        <w:footnoteReference w:id="1175"/>
      </w:r>
      <w:r w:rsidRPr="00AD2F44">
        <w:t xml:space="preserve"> However, given the Seventh Circuit’s ruling in </w:t>
      </w:r>
      <w:r w:rsidRPr="00AD2F44">
        <w:rPr>
          <w:i/>
          <w:iCs/>
        </w:rPr>
        <w:t>Ervin v. OS Restaurant Services, Inc.</w:t>
      </w:r>
      <w:r w:rsidRPr="00AD2F44">
        <w:t>,</w:t>
      </w:r>
      <w:r>
        <w:rPr>
          <w:vertAlign w:val="superscript"/>
        </w:rPr>
        <w:footnoteReference w:id="1176"/>
      </w:r>
      <w:r w:rsidRPr="00AD2F44">
        <w:t xml:space="preserve"> this argument is no longer likely to prevail.</w:t>
      </w:r>
      <w:r>
        <w:rPr>
          <w:vertAlign w:val="superscript"/>
        </w:rPr>
        <w:footnoteReference w:id="1177"/>
      </w:r>
      <w:r w:rsidRPr="00AD2F44">
        <w:t xml:space="preserve"> At least one court outside the Seventh Circuit has nonetheless concluded that manageability concerns may justify denying Rule 23(b)(3) certification in a hybrid action.</w:t>
      </w:r>
      <w:r>
        <w:rPr>
          <w:vertAlign w:val="superscript"/>
        </w:rPr>
        <w:footnoteReference w:id="1178"/>
      </w:r>
    </w:p>
    <w:bookmarkStart w:id="2" w:name="_iDocIDField_EOD"/>
    <w:p w14:paraId="6DB70702" w14:textId="77777777" w:rsidR="004322B1" w:rsidRDefault="004322B1">
      <w:pPr>
        <w:pStyle w:val="DocID"/>
      </w:pPr>
      <w:r>
        <w:fldChar w:fldCharType="begin"/>
      </w:r>
      <w:r>
        <w:instrText xml:space="preserve">  DOCPROPERTY "CUS_DocIDChunk0" </w:instrText>
      </w:r>
      <w:r>
        <w:fldChar w:fldCharType="separate"/>
      </w:r>
      <w:r>
        <w:t>1\240\4876-8542-5381.v1</w:t>
      </w:r>
      <w:r>
        <w:fldChar w:fldCharType="end"/>
      </w:r>
      <w:bookmarkEnd w:id="2"/>
    </w:p>
    <w:p w14:paraId="2194D2D6" w14:textId="7777777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C4E2" w14:textId="77777777" w:rsidR="007461F9" w:rsidRDefault="007461F9" w:rsidP="002A47A4">
      <w:r>
        <w:separator/>
      </w:r>
    </w:p>
    <w:p w14:paraId="54C0D516" w14:textId="77777777" w:rsidR="007461F9" w:rsidRDefault="007461F9"/>
    <w:p w14:paraId="04BB95AC" w14:textId="77777777" w:rsidR="007461F9" w:rsidRDefault="007461F9"/>
  </w:endnote>
  <w:endnote w:type="continuationSeparator" w:id="0">
    <w:p w14:paraId="0BFD9178" w14:textId="77777777" w:rsidR="007461F9" w:rsidRDefault="007461F9" w:rsidP="002A47A4">
      <w:r>
        <w:continuationSeparator/>
      </w:r>
    </w:p>
    <w:p w14:paraId="19C24DE9" w14:textId="77777777" w:rsidR="007461F9" w:rsidRDefault="007461F9"/>
    <w:p w14:paraId="4E33A8A7" w14:textId="77777777" w:rsidR="007461F9" w:rsidRDefault="00746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8C0D" w14:textId="77777777" w:rsidR="007461F9" w:rsidRDefault="007461F9" w:rsidP="002A47A4">
      <w:r>
        <w:separator/>
      </w:r>
    </w:p>
    <w:p w14:paraId="75F27F59" w14:textId="77777777" w:rsidR="007461F9" w:rsidRDefault="007461F9"/>
    <w:p w14:paraId="730C751C" w14:textId="77777777" w:rsidR="007461F9" w:rsidRDefault="007461F9"/>
  </w:footnote>
  <w:footnote w:type="continuationSeparator" w:id="0">
    <w:p w14:paraId="5056B6F7" w14:textId="77777777" w:rsidR="007461F9" w:rsidRDefault="007461F9" w:rsidP="002A47A4">
      <w:r>
        <w:continuationSeparator/>
      </w:r>
    </w:p>
    <w:p w14:paraId="29B6072F" w14:textId="77777777" w:rsidR="007461F9" w:rsidRDefault="007461F9"/>
    <w:p w14:paraId="473E6DAA" w14:textId="77777777" w:rsidR="007461F9" w:rsidRDefault="007461F9"/>
  </w:footnote>
  <w:footnote w:id="1">
    <w:p w14:paraId="318DB6A7" w14:textId="77777777" w:rsidR="004322B1" w:rsidRPr="00AD2F44" w:rsidRDefault="004322B1">
      <w:pPr>
        <w:pStyle w:val="14Footnote"/>
      </w:pPr>
      <w:r w:rsidRPr="00AD2F44">
        <w:rPr>
          <w:vertAlign w:val="superscript"/>
        </w:rPr>
        <w:footnoteRef/>
      </w:r>
      <w:r w:rsidRPr="00AD2F44">
        <w:t>Hoffmann-La Roche, Inc. v. Sperling, 493 U.S. 165, 173 (1989).</w:t>
      </w:r>
    </w:p>
  </w:footnote>
  <w:footnote w:id="2">
    <w:p w14:paraId="24A50481"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3">
    <w:p w14:paraId="69AA888D"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4">
    <w:p w14:paraId="4E457232" w14:textId="77777777" w:rsidR="004322B1" w:rsidRPr="00AD2F44" w:rsidRDefault="004322B1">
      <w:pPr>
        <w:pStyle w:val="14Footnote"/>
      </w:pPr>
      <w:r w:rsidRPr="00AD2F44">
        <w:rPr>
          <w:vertAlign w:val="superscript"/>
        </w:rPr>
        <w:footnoteRef/>
      </w:r>
      <w:r w:rsidRPr="00AD2F44">
        <w:t>Pub. L. No. 80-49, ch. 52, §5(a), 61 Stat. 84, 87 (1947).</w:t>
      </w:r>
    </w:p>
  </w:footnote>
  <w:footnote w:id="5">
    <w:p w14:paraId="593AD45C" w14:textId="77777777" w:rsidR="004322B1" w:rsidRPr="00AD2F44" w:rsidRDefault="004322B1">
      <w:pPr>
        <w:pStyle w:val="14Footnote"/>
      </w:pPr>
      <w:r w:rsidRPr="00AD2F44">
        <w:rPr>
          <w:vertAlign w:val="superscript"/>
        </w:rPr>
        <w:footnoteRef/>
      </w:r>
      <w:r w:rsidRPr="00AD2F44">
        <w:rPr>
          <w:i/>
          <w:iCs/>
        </w:rPr>
        <w:t>Hoffmann-La Roche</w:t>
      </w:r>
      <w:r w:rsidRPr="00AD2F44">
        <w:t>, 493 U.S. at 173.</w:t>
      </w:r>
    </w:p>
  </w:footnote>
  <w:footnote w:id="6">
    <w:p w14:paraId="40F1B25A"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
    <w:p w14:paraId="1353F3E0"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8">
    <w:p w14:paraId="16BF8F4D" w14:textId="77777777" w:rsidR="004322B1" w:rsidRPr="00AD2F44" w:rsidRDefault="004322B1">
      <w:pPr>
        <w:pStyle w:val="14Footnote"/>
      </w:pPr>
      <w:r w:rsidRPr="00AD2F44">
        <w:rPr>
          <w:vertAlign w:val="superscript"/>
        </w:rPr>
        <w:footnoteRef/>
      </w:r>
      <w:r w:rsidRPr="00AD2F44">
        <w:rPr>
          <w:i/>
        </w:rPr>
        <w:t>See, e.g.,</w:t>
      </w:r>
    </w:p>
    <w:p w14:paraId="4DE935EB" w14:textId="77777777" w:rsidR="004322B1" w:rsidRPr="00AD2F44" w:rsidRDefault="004322B1">
      <w:pPr>
        <w:pStyle w:val="14Footnote"/>
      </w:pPr>
      <w:r w:rsidRPr="00AD2F44">
        <w:rPr>
          <w:i/>
          <w:iCs/>
        </w:rPr>
        <w:t>Eighth Circuit:</w:t>
      </w:r>
      <w:r w:rsidRPr="00AD2F44">
        <w:t xml:space="preserve"> Schmidt v. Fuller Brush Co., 527 F.2d 532, 536 (8th Cir. 1975) (deeming FLSA collective action procedure irreconcilable with that of Rule 23 of the Federal Rules of Civil Procedure).</w:t>
      </w:r>
    </w:p>
    <w:p w14:paraId="06C65403" w14:textId="77777777" w:rsidR="004322B1" w:rsidRPr="00AD2F44" w:rsidRDefault="004322B1">
      <w:pPr>
        <w:pStyle w:val="14Footnote"/>
      </w:pPr>
      <w:r w:rsidRPr="00AD2F44">
        <w:rPr>
          <w:i/>
          <w:iCs/>
        </w:rPr>
        <w:t>Eleventh Circuit:</w:t>
      </w:r>
      <w:r w:rsidRPr="00AD2F44">
        <w:t xml:space="preserve"> Hipp v. Liberty Nat’l Life Ins. Co., 252 F.3d 1208, 1216 (11th Cir. 2001) (stating, in ADEA case, that “[p]laintiffs wishing to sue as a class under [Age Discrimination in Employment Act (ADEA)] [or FLSA] must utilize the opt-in class mechanism provided in 29 U.S.C. §216(b) instead of the opt-out class procedure provided in [Rule 23 of the Federal Rules of Civil Procedure]”).</w:t>
      </w:r>
    </w:p>
    <w:p w14:paraId="0191B030" w14:textId="77777777" w:rsidR="004322B1" w:rsidRPr="00AD2F44" w:rsidRDefault="004322B1">
      <w:pPr>
        <w:pStyle w:val="14Footnote"/>
      </w:pPr>
      <w:r w:rsidRPr="00AD2F44">
        <w:rPr>
          <w:i/>
          <w:iCs/>
        </w:rPr>
        <w:t>Federal Circuit:</w:t>
      </w:r>
      <w:r w:rsidRPr="00AD2F44">
        <w:t xml:space="preserve"> United States v. Cook, 795 F.2d 987 (Fed. Cir. 1986) (providing legislative history of §216(b)).</w:t>
      </w:r>
    </w:p>
  </w:footnote>
  <w:footnote w:id="9">
    <w:p w14:paraId="4D20E4A6" w14:textId="77777777" w:rsidR="004322B1" w:rsidRPr="00AD2F44" w:rsidRDefault="004322B1">
      <w:pPr>
        <w:pStyle w:val="14Footnote"/>
      </w:pPr>
      <w:r w:rsidRPr="00AD2F44">
        <w:rPr>
          <w:vertAlign w:val="superscript"/>
        </w:rPr>
        <w:footnoteRef/>
      </w:r>
      <w:r w:rsidRPr="00AD2F44">
        <w:t>29 U.S.C. §216(b).</w:t>
      </w:r>
    </w:p>
  </w:footnote>
  <w:footnote w:id="10">
    <w:p w14:paraId="01F08B87" w14:textId="77777777" w:rsidR="004322B1" w:rsidRPr="00AD2F44" w:rsidRDefault="004322B1">
      <w:pPr>
        <w:pStyle w:val="14Footnote"/>
      </w:pPr>
      <w:r w:rsidRPr="00AD2F44">
        <w:rPr>
          <w:vertAlign w:val="superscript"/>
        </w:rPr>
        <w:footnoteRef/>
      </w:r>
      <w:r w:rsidRPr="00AD2F44">
        <w:t>493 U.S. 165 (1989).</w:t>
      </w:r>
    </w:p>
  </w:footnote>
  <w:footnote w:id="11">
    <w:p w14:paraId="0425631C" w14:textId="77777777" w:rsidR="004322B1" w:rsidRPr="00AD2F44" w:rsidRDefault="004322B1">
      <w:pPr>
        <w:pStyle w:val="14Footnote"/>
      </w:pPr>
      <w:r w:rsidRPr="00AD2F44">
        <w:rPr>
          <w:vertAlign w:val="superscript"/>
        </w:rPr>
        <w:footnoteRef/>
      </w:r>
      <w:r w:rsidRPr="00AD2F44">
        <w:rPr>
          <w:i/>
          <w:iCs/>
        </w:rPr>
        <w:t>Id</w:t>
      </w:r>
      <w:r w:rsidRPr="00AD2F44">
        <w:t>. at 170.</w:t>
      </w:r>
    </w:p>
  </w:footnote>
  <w:footnote w:id="12">
    <w:p w14:paraId="2957CAF8"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3">
    <w:p w14:paraId="2812537E"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4">
    <w:p w14:paraId="6219D756" w14:textId="77777777" w:rsidR="004322B1" w:rsidRPr="00AD2F44" w:rsidRDefault="004322B1">
      <w:pPr>
        <w:pStyle w:val="14Footnote"/>
      </w:pPr>
      <w:r w:rsidRPr="00AD2F44">
        <w:rPr>
          <w:vertAlign w:val="superscript"/>
        </w:rPr>
        <w:footnoteRef/>
      </w:r>
      <w:r w:rsidRPr="00AD2F44">
        <w:rPr>
          <w:i/>
          <w:iCs/>
        </w:rPr>
        <w:t>Id</w:t>
      </w:r>
      <w:r w:rsidRPr="00AD2F44">
        <w:t>. at 171.</w:t>
      </w:r>
    </w:p>
  </w:footnote>
  <w:footnote w:id="15">
    <w:p w14:paraId="1466D62C" w14:textId="77777777" w:rsidR="004322B1" w:rsidRPr="00AD2F44" w:rsidRDefault="004322B1">
      <w:pPr>
        <w:pStyle w:val="14Footnote"/>
      </w:pPr>
      <w:r w:rsidRPr="00AD2F44">
        <w:rPr>
          <w:vertAlign w:val="superscript"/>
        </w:rPr>
        <w:footnoteRef/>
      </w:r>
      <w:r w:rsidRPr="00AD2F44">
        <w:t>See §II [Procedural Requirements of Section 216(b)] of this chapter.</w:t>
      </w:r>
    </w:p>
  </w:footnote>
  <w:footnote w:id="16">
    <w:p w14:paraId="48332290" w14:textId="77777777" w:rsidR="004322B1" w:rsidRPr="00AD2F44" w:rsidRDefault="004322B1">
      <w:pPr>
        <w:pStyle w:val="14Footnote"/>
      </w:pPr>
      <w:r w:rsidRPr="00AD2F44">
        <w:rPr>
          <w:vertAlign w:val="superscript"/>
        </w:rPr>
        <w:footnoteRef/>
      </w:r>
      <w:r w:rsidRPr="00AD2F44">
        <w:t>See §III.A–C [The Two-Stage Process Used to Determine if a Collective Action May Proceed to Trial; Overview; Stage I: Standard for Determining Whether Conditional Certification Should Be Granted; Stage II: The Standard for Deciding Motions to Decertify Collective Actions] of this chapter.</w:t>
      </w:r>
    </w:p>
  </w:footnote>
  <w:footnote w:id="17">
    <w:p w14:paraId="6CC1BA36" w14:textId="77777777" w:rsidR="004322B1" w:rsidRPr="00AD2F44" w:rsidRDefault="004322B1">
      <w:pPr>
        <w:pStyle w:val="14Footnote"/>
      </w:pPr>
      <w:r w:rsidRPr="00AD2F44">
        <w:rPr>
          <w:vertAlign w:val="superscript"/>
        </w:rPr>
        <w:footnoteRef/>
      </w:r>
      <w:r w:rsidRPr="00AD2F44">
        <w:t>See §III.B.7 [The Two-Stage Process Used to Determine if a Collective Action May Proceed to Trial; Stage I: Standard for Determining Whether Conditional Certification Should Be Granted; Communication About the Collective Action] of this chapter.</w:t>
      </w:r>
    </w:p>
  </w:footnote>
  <w:footnote w:id="18">
    <w:p w14:paraId="5F11A9E5" w14:textId="77777777" w:rsidR="004322B1" w:rsidRPr="00AD2F44" w:rsidRDefault="004322B1">
      <w:pPr>
        <w:pStyle w:val="14Footnote"/>
      </w:pPr>
      <w:r w:rsidRPr="00AD2F44">
        <w:rPr>
          <w:vertAlign w:val="superscript"/>
        </w:rPr>
        <w:footnoteRef/>
      </w:r>
      <w:r w:rsidRPr="00AD2F44">
        <w:t>See §§V [Case Management Issues], VI [Management of Multiple Collective Actions], and VII [Pretrial Disposition of Cases] of this chapter.</w:t>
      </w:r>
    </w:p>
  </w:footnote>
  <w:footnote w:id="19">
    <w:p w14:paraId="43AF8ED5" w14:textId="77777777" w:rsidR="004322B1" w:rsidRPr="00AD2F44" w:rsidRDefault="004322B1">
      <w:pPr>
        <w:pStyle w:val="14Footnote"/>
      </w:pPr>
      <w:r w:rsidRPr="00AD2F44">
        <w:rPr>
          <w:vertAlign w:val="superscript"/>
        </w:rPr>
        <w:footnoteRef/>
      </w:r>
      <w:r w:rsidRPr="00AD2F44">
        <w:t>See §§IV [Treatment of Opt-Ins Following Denial of Notice or Grant of Decertification], VIII [Trial], and IX [Appellate Issues for Collective Actions] of this chapter.</w:t>
      </w:r>
    </w:p>
  </w:footnote>
  <w:footnote w:id="20">
    <w:p w14:paraId="410756A6" w14:textId="77777777" w:rsidR="004322B1" w:rsidRPr="00AD2F44" w:rsidRDefault="004322B1">
      <w:pPr>
        <w:pStyle w:val="14Footnote"/>
      </w:pPr>
      <w:r w:rsidRPr="00AD2F44">
        <w:rPr>
          <w:vertAlign w:val="superscript"/>
        </w:rPr>
        <w:footnoteRef/>
      </w:r>
      <w:r w:rsidRPr="00AD2F44">
        <w:t>See §X [The Collective Action Mechanism in Arbitration] of this chapter.</w:t>
      </w:r>
    </w:p>
  </w:footnote>
  <w:footnote w:id="21">
    <w:p w14:paraId="5193ECE7" w14:textId="77777777" w:rsidR="004322B1" w:rsidRPr="00AD2F44" w:rsidRDefault="004322B1">
      <w:pPr>
        <w:pStyle w:val="14Footnote"/>
      </w:pPr>
      <w:r w:rsidRPr="00AD2F44">
        <w:rPr>
          <w:vertAlign w:val="superscript"/>
        </w:rPr>
        <w:footnoteRef/>
      </w:r>
      <w:r w:rsidRPr="00AD2F44">
        <w:t>See §XI [Hybrid FLSA/State Law Class Actions] of this chapter.</w:t>
      </w:r>
    </w:p>
  </w:footnote>
  <w:footnote w:id="22">
    <w:p w14:paraId="32F44883" w14:textId="77777777" w:rsidR="004322B1" w:rsidRPr="00AD2F44" w:rsidRDefault="004322B1">
      <w:pPr>
        <w:pStyle w:val="14Footnote"/>
      </w:pPr>
      <w:r w:rsidRPr="00AD2F44">
        <w:rPr>
          <w:vertAlign w:val="superscript"/>
        </w:rPr>
        <w:footnoteRef/>
      </w:r>
      <w:r w:rsidRPr="00AD2F44">
        <w:t>29 U.S.C. §216(b).</w:t>
      </w:r>
    </w:p>
  </w:footnote>
  <w:footnote w:id="23">
    <w:p w14:paraId="608EA753" w14:textId="77777777" w:rsidR="004322B1" w:rsidRPr="00AD2F44" w:rsidRDefault="004322B1">
      <w:pPr>
        <w:pStyle w:val="14Footnote"/>
      </w:pPr>
      <w:r w:rsidRPr="00AD2F44">
        <w:rPr>
          <w:vertAlign w:val="superscript"/>
        </w:rPr>
        <w:footnoteRef/>
      </w:r>
      <w:r w:rsidRPr="00AD2F44">
        <w:rPr>
          <w:i/>
          <w:iCs/>
        </w:rPr>
        <w:t>See id</w:t>
      </w:r>
      <w:r w:rsidRPr="00AD2F44">
        <w:t>. Wage and hour claims under state law may be susceptible to litigation on an opt-out basis as discussed in §XI [Hybrid FLSA/State Law Class Actions] of this chapter.</w:t>
      </w:r>
    </w:p>
  </w:footnote>
  <w:footnote w:id="24">
    <w:p w14:paraId="5BB5FDE8" w14:textId="77777777" w:rsidR="004322B1" w:rsidRPr="00AD2F44" w:rsidRDefault="004322B1">
      <w:pPr>
        <w:pStyle w:val="14Footnote"/>
      </w:pPr>
      <w:r w:rsidRPr="00AD2F44">
        <w:rPr>
          <w:vertAlign w:val="superscript"/>
        </w:rPr>
        <w:footnoteRef/>
      </w:r>
      <w:r w:rsidRPr="00AD2F44">
        <w:t>Camesi v. University of Pittsburgh Med. Ctr., 729 F.3d 239, 242–43 (3d Cir. 2013) (reviewing the difference between class actions and collective actions); Woods v. New York Life Ins. Co., 686 F.2d 578, 580 (7th Cir. 1982) (stating that difference between a Rule 23 class action and a §216(b) collective action is that “in the latter the class member must opt in to be bound, while in the former he must opt out not to be bound”). See §II.B [Procedural Requirements of Section 216(b); The Consent Requirement] of this chapter.</w:t>
      </w:r>
    </w:p>
  </w:footnote>
  <w:footnote w:id="25">
    <w:p w14:paraId="6FDA968E" w14:textId="77777777" w:rsidR="004322B1" w:rsidRPr="00AD2F44" w:rsidRDefault="004322B1">
      <w:pPr>
        <w:pStyle w:val="14Footnote"/>
      </w:pPr>
      <w:r w:rsidRPr="00AD2F44">
        <w:rPr>
          <w:vertAlign w:val="superscript"/>
        </w:rPr>
        <w:footnoteRef/>
      </w:r>
      <w:r w:rsidRPr="00AD2F44">
        <w:rPr>
          <w:smallCaps/>
        </w:rPr>
        <w:t>Fed. R. Civ. P.</w:t>
      </w:r>
      <w:r w:rsidRPr="00AD2F44">
        <w:t xml:space="preserve"> 23(c)(2)(B).</w:t>
      </w:r>
    </w:p>
  </w:footnote>
  <w:footnote w:id="26">
    <w:p w14:paraId="2FCEA74B" w14:textId="77777777" w:rsidR="004322B1" w:rsidRPr="00AD2F44" w:rsidRDefault="004322B1">
      <w:pPr>
        <w:pStyle w:val="14Footnote"/>
      </w:pPr>
      <w:r w:rsidRPr="00AD2F44">
        <w:rPr>
          <w:vertAlign w:val="superscript"/>
        </w:rPr>
        <w:footnoteRef/>
      </w:r>
      <w:r w:rsidRPr="00AD2F44">
        <w:rPr>
          <w:i/>
          <w:iCs/>
        </w:rPr>
        <w:t>See</w:t>
      </w:r>
      <w:r w:rsidRPr="00AD2F44">
        <w:t xml:space="preserve"> Grayson v. K Mart Corp., 79 F.3d 1086, 1106 (11th Cir. 1996); LaChappelle v. Owens-Illinois, Inc., 513 F.2d 286, 288 (5th Cir. 1975).</w:t>
      </w:r>
    </w:p>
  </w:footnote>
  <w:footnote w:id="27">
    <w:p w14:paraId="25F4BCB1" w14:textId="77777777" w:rsidR="004322B1" w:rsidRPr="00AD2F44" w:rsidRDefault="004322B1">
      <w:pPr>
        <w:pStyle w:val="14Footnote"/>
      </w:pPr>
      <w:r w:rsidRPr="00AD2F44">
        <w:rPr>
          <w:vertAlign w:val="superscript"/>
        </w:rPr>
        <w:footnoteRef/>
      </w:r>
      <w:r w:rsidRPr="00AD2F44">
        <w:rPr>
          <w:i/>
          <w:iCs/>
        </w:rPr>
        <w:t>See</w:t>
      </w:r>
      <w:r w:rsidRPr="00AD2F44">
        <w:t xml:space="preserve"> 29 U.S.C. §216(b); </w:t>
      </w:r>
      <w:r w:rsidRPr="00AD2F44">
        <w:rPr>
          <w:i/>
          <w:iCs/>
        </w:rPr>
        <w:t>id</w:t>
      </w:r>
      <w:r w:rsidRPr="00AD2F44">
        <w:t xml:space="preserve">. §256(a) (providing that an action is considered to be commenced “on the date when the complaint is filed, if [the claimant] is specifically named as a party plaintiff in the complaint and his written consent to become a party plaintiff is filed on such date in the court in which the action is brought”). </w:t>
      </w:r>
    </w:p>
    <w:p w14:paraId="38F7A0FA" w14:textId="77777777" w:rsidR="004322B1" w:rsidRPr="00AD2F44" w:rsidRDefault="004322B1">
      <w:pPr>
        <w:pStyle w:val="14Footnote"/>
      </w:pPr>
      <w:r w:rsidRPr="00AD2F44">
        <w:rPr>
          <w:i/>
        </w:rPr>
        <w:t xml:space="preserve">See, e.g., </w:t>
      </w:r>
    </w:p>
    <w:p w14:paraId="0EE76606" w14:textId="77777777" w:rsidR="004322B1" w:rsidRPr="00AD2F44" w:rsidRDefault="004322B1">
      <w:pPr>
        <w:pStyle w:val="14Footnote"/>
      </w:pPr>
      <w:r w:rsidRPr="00AD2F44">
        <w:rPr>
          <w:i/>
          <w:iCs/>
        </w:rPr>
        <w:t>First Circuit:</w:t>
      </w:r>
      <w:r w:rsidRPr="00AD2F44">
        <w:t xml:space="preserve"> Pike v. New Generation Donuts, LLC, 2016 WL 707361 (D. Mass Feb. 20, 2016) (refusing to grant conditional certification when plaintiffs failed to timely file written consents); McLaughlin v. Boston Harbor Cruises, Inc., 2006 WL 1998629, at *4 (D. Mass. July 17, 2006) (holding that plaintiff in collective action who failed to file consent to join until three years after filing her complaint failed to toll the statute for purposes of collective action resulting from failure to file consent to join, but permitting claimant to continue suit in her individual capacity that was considered tolled for plaintiff upon filing of complaint).</w:t>
      </w:r>
    </w:p>
    <w:p w14:paraId="5E41A76E" w14:textId="77777777" w:rsidR="004322B1" w:rsidRPr="00AD2F44" w:rsidRDefault="004322B1">
      <w:pPr>
        <w:pStyle w:val="14Footnote"/>
      </w:pPr>
      <w:r w:rsidRPr="00AD2F44">
        <w:rPr>
          <w:i/>
          <w:iCs/>
        </w:rPr>
        <w:t>Second Circuit:</w:t>
      </w:r>
      <w:r w:rsidRPr="00AD2F44">
        <w:t xml:space="preserve"> Morales v. Construction Directions LLC, 2021 BL 522428, 2021 WL 8317096 (E.D.N.Y. Aug. 27, 2021) (recognizing statute of limitations continues to run for each plaintiff until that plaintiff files written consent form with court; holding that because named plaintiffs never filed written consent forms, they never commenced collective action for statute of limitations purposes, and therefore their claims were time-barred). </w:t>
      </w:r>
    </w:p>
    <w:p w14:paraId="17C10A18" w14:textId="77777777" w:rsidR="004322B1" w:rsidRPr="00AD2F44" w:rsidRDefault="004322B1">
      <w:pPr>
        <w:pStyle w:val="14Footnote"/>
      </w:pPr>
      <w:r w:rsidRPr="00AD2F44">
        <w:rPr>
          <w:i/>
          <w:iCs/>
        </w:rPr>
        <w:t>Third Circuit:</w:t>
      </w:r>
      <w:r w:rsidRPr="00AD2F44">
        <w:t xml:space="preserve"> </w:t>
      </w:r>
      <w:r w:rsidRPr="00AD2F44">
        <w:rPr>
          <w:i/>
          <w:iCs/>
        </w:rPr>
        <w:t>Camesi</w:t>
      </w:r>
      <w:r w:rsidRPr="00AD2F44">
        <w:t>, 729 F.3d at 242–43 (“In order to become parties to a collective action under §16(b), employees must affirmatively opt-in by filing written consents with the court. 29 U.S.C. §216(b).”)</w:t>
      </w:r>
      <w:r>
        <w:t xml:space="preserve">; </w:t>
      </w:r>
      <w:r w:rsidRPr="004B7584">
        <w:t>Carts v. Wings Over Happy Valley MDF, LLC</w:t>
      </w:r>
      <w:r>
        <w:t xml:space="preserve">, </w:t>
      </w:r>
      <w:r w:rsidRPr="003D45AE">
        <w:t>2023 BL 22829</w:t>
      </w:r>
      <w:r>
        <w:t xml:space="preserve">, </w:t>
      </w:r>
      <w:r w:rsidRPr="00EC386F">
        <w:t xml:space="preserve">2023 WL 373175 </w:t>
      </w:r>
      <w:r w:rsidRPr="004B7584">
        <w:t>(M.D. Pa. Jan. 24, 2023)</w:t>
      </w:r>
      <w:r>
        <w:t xml:space="preserve"> (granting defendant summary judgment, </w:t>
      </w:r>
      <w:r w:rsidRPr="004B7584">
        <w:t xml:space="preserve">holding that named plaintiffs </w:t>
      </w:r>
      <w:r>
        <w:t>who did not</w:t>
      </w:r>
      <w:r w:rsidRPr="004B7584">
        <w:t xml:space="preserve"> file a written consent to join the action failed to provide notice they clearly intended to proceed in both individual and representative capacities</w:t>
      </w:r>
      <w:r>
        <w:t>)</w:t>
      </w:r>
      <w:r w:rsidRPr="00AD2F44">
        <w:t>.</w:t>
      </w:r>
    </w:p>
    <w:p w14:paraId="63ACFA1B" w14:textId="77777777" w:rsidR="004322B1" w:rsidRPr="00AD2F44" w:rsidRDefault="004322B1">
      <w:pPr>
        <w:pStyle w:val="14Footnote"/>
      </w:pPr>
      <w:r w:rsidRPr="00AD2F44">
        <w:rPr>
          <w:i/>
          <w:iCs/>
        </w:rPr>
        <w:t xml:space="preserve">Fourth Circuit: </w:t>
      </w:r>
      <w:r w:rsidRPr="00AD2F44">
        <w:t>Gordon v. TBC Retail Grp., Inc., 2016 WL 4247738, at *13 (D.S.C. Aug. 11, 2016).</w:t>
      </w:r>
    </w:p>
    <w:p w14:paraId="7E03D145" w14:textId="77777777" w:rsidR="004322B1" w:rsidRPr="00AD2F44" w:rsidRDefault="004322B1">
      <w:pPr>
        <w:pStyle w:val="14Footnote"/>
      </w:pPr>
      <w:r w:rsidRPr="00AD2F44">
        <w:rPr>
          <w:i/>
          <w:iCs/>
        </w:rPr>
        <w:t>Fifth Circuit:</w:t>
      </w:r>
      <w:r w:rsidRPr="00AD2F44">
        <w:t xml:space="preserve"> Montalvo v. Tower Life Bldg., 426 F.2d 1135, 1148–49 (5th Cir. 1970); Ecoquij-Tzep v. Le Arlington, Inc., 2018 WL 1702376, at *5 (N.D. Tex. Apr. 6, 2018) (holding that no collective action existed even after court conditionally certified collective action, where named plaintiff failed to file written consent and no other plaintiffs joined suit).</w:t>
      </w:r>
    </w:p>
    <w:p w14:paraId="738040BF" w14:textId="77777777" w:rsidR="004322B1" w:rsidRPr="00AD2F44" w:rsidRDefault="004322B1">
      <w:pPr>
        <w:pStyle w:val="14Footnote"/>
      </w:pPr>
      <w:r w:rsidRPr="00AD2F44">
        <w:rPr>
          <w:i/>
          <w:iCs/>
        </w:rPr>
        <w:t xml:space="preserve">Sixth Circuit: </w:t>
      </w:r>
      <w:r w:rsidRPr="00AD2F44">
        <w:t>Frye v. Baptist Mem’l Hosp., Inc., 495 F. App’x 669, 675–76 (6th Cir. 2012) (affirming district court’s dismissal of named plaintiff’s claims as time-barred, holding that written consent filed outside of statute of limitations does not relate back to filing of complaint because §256 specifically states that commencement of action begins from filing of written consent).</w:t>
      </w:r>
    </w:p>
    <w:p w14:paraId="1A40C2D2" w14:textId="77777777" w:rsidR="004322B1" w:rsidRPr="00AD2F44" w:rsidRDefault="004322B1">
      <w:pPr>
        <w:pStyle w:val="14Footnote"/>
      </w:pPr>
      <w:r w:rsidRPr="00AD2F44">
        <w:rPr>
          <w:i/>
          <w:iCs/>
        </w:rPr>
        <w:t xml:space="preserve">Seventh Circuit: </w:t>
      </w:r>
      <w:r w:rsidRPr="00AD2F44">
        <w:t>Harkins v. Riverboat Servs., 385 F.3d 1099, 1102 (7th Cir. 2004) (stating that requirement in §216(b) for plaintiff to file written consent to join suit is unambiguous).</w:t>
      </w:r>
    </w:p>
    <w:p w14:paraId="417EA743" w14:textId="77777777" w:rsidR="004322B1" w:rsidRPr="00AD2F44" w:rsidRDefault="004322B1">
      <w:pPr>
        <w:pStyle w:val="14Footnote"/>
      </w:pPr>
      <w:r w:rsidRPr="00AD2F44">
        <w:rPr>
          <w:i/>
          <w:iCs/>
        </w:rPr>
        <w:t>Eighth Circuit:</w:t>
      </w:r>
      <w:r w:rsidRPr="00AD2F44">
        <w:t xml:space="preserve"> Gomez v. Tyson Foods, Inc., 799 F.3d 1192 (8th Cir. 2015) (case cannot proceed as collective action without named plaintiff filing consent); Acosta v. Tyson Foods, Inc., 800 F.3d 468 (8th Cir. 2015) (same).</w:t>
      </w:r>
    </w:p>
    <w:p w14:paraId="32E39F4A" w14:textId="77777777" w:rsidR="004322B1" w:rsidRPr="00AD2F44" w:rsidRDefault="004322B1">
      <w:pPr>
        <w:pStyle w:val="14Footnote"/>
      </w:pPr>
      <w:r w:rsidRPr="00AD2F44">
        <w:rPr>
          <w:i/>
          <w:iCs/>
        </w:rPr>
        <w:t>Ninth Circuit:</w:t>
      </w:r>
      <w:r w:rsidRPr="00AD2F44">
        <w:t xml:space="preserve"> Real v. Driscoll Strawberry Assocs., Inc., 603 F.2d 748, 756 n.19 (9th Cir. 1979) (modifying order on summary judgment dismissing claims of named plaintiffs for failure to file consent forms to dismissal without prejudice and directing that plaintiffs will have to file consent forms when case is remanded in order to remain party plaintiffs); Cancilla v. Ecolab, Inc., 2013 WL 1365939, at *2–3 (N.D. Cal. Apr. 3, 2013) (dismissing named plaintiff’s claims as time-barred where he did not file consent to join lawsuit until several months after he filed lawsuit and finding statute of limitations is tolled from date consent form was filed); Gessele v. Jack in the Box, Inc., 2016 WL 1056976 (D. Or. Mar. 10, 2016) (same).</w:t>
      </w:r>
    </w:p>
    <w:p w14:paraId="6162AD93" w14:textId="77777777" w:rsidR="004322B1" w:rsidRPr="00AD2F44" w:rsidRDefault="004322B1">
      <w:pPr>
        <w:pStyle w:val="14Footnote"/>
      </w:pPr>
      <w:r w:rsidRPr="00AD2F44">
        <w:rPr>
          <w:i/>
          <w:iCs/>
        </w:rPr>
        <w:t>Tenth Circuit:</w:t>
      </w:r>
      <w:r w:rsidRPr="00AD2F44">
        <w:t xml:space="preserve"> Kaiser v. At The Beach, Inc., 2009 WL 4506152 (N.D. Okla. Nov. 24, 2009) (holding that the named plaintiffs must file consents in order to remain plaintiffs in the event that the case proceeds as a collective action).</w:t>
      </w:r>
    </w:p>
    <w:p w14:paraId="21A9DC7C" w14:textId="77777777" w:rsidR="004322B1" w:rsidRPr="00AD2F44" w:rsidRDefault="004322B1">
      <w:pPr>
        <w:pStyle w:val="14Footnote"/>
      </w:pPr>
      <w:r w:rsidRPr="00AD2F44">
        <w:rPr>
          <w:i/>
          <w:iCs/>
        </w:rPr>
        <w:t xml:space="preserve">Eleventh Circuit: </w:t>
      </w:r>
      <w:r w:rsidRPr="00AD2F44">
        <w:t>Albritton v. Cagles, Inc., 508 F.3d 1012 (11th Cir. 2007) (affirming district court’s dismissal of two lawsuits because named plaintiffs failed to comply with §216(b) written-consent-to-join requirement)</w:t>
      </w:r>
    </w:p>
  </w:footnote>
  <w:footnote w:id="28">
    <w:p w14:paraId="0C7C5319" w14:textId="77777777" w:rsidR="004322B1" w:rsidRPr="00AD2F44" w:rsidRDefault="004322B1">
      <w:pPr>
        <w:pStyle w:val="14Footnote"/>
      </w:pPr>
      <w:r w:rsidRPr="00AD2F44">
        <w:rPr>
          <w:vertAlign w:val="superscript"/>
        </w:rPr>
        <w:footnoteRef/>
      </w:r>
      <w:r w:rsidRPr="00AD2F44">
        <w:rPr>
          <w:i/>
          <w:iCs/>
        </w:rPr>
        <w:t>See</w:t>
      </w:r>
      <w:r w:rsidRPr="00AD2F44">
        <w:t xml:space="preserve"> 29 U.S.C. §256(a). </w:t>
      </w:r>
    </w:p>
    <w:p w14:paraId="188C9597" w14:textId="77777777" w:rsidR="004322B1" w:rsidRPr="00AD2F44" w:rsidRDefault="004322B1">
      <w:pPr>
        <w:pStyle w:val="14Footnote"/>
      </w:pPr>
      <w:r w:rsidRPr="00AD2F44">
        <w:rPr>
          <w:i/>
        </w:rPr>
        <w:t xml:space="preserve">See, e.g., </w:t>
      </w:r>
    </w:p>
    <w:p w14:paraId="64537B79" w14:textId="77777777" w:rsidR="004322B1" w:rsidRPr="00AD2F44" w:rsidRDefault="004322B1">
      <w:pPr>
        <w:pStyle w:val="14Footnote"/>
      </w:pPr>
      <w:r w:rsidRPr="00AD2F44">
        <w:rPr>
          <w:i/>
          <w:iCs/>
        </w:rPr>
        <w:t>First Circuit: Pike,</w:t>
      </w:r>
      <w:r w:rsidRPr="00AD2F44">
        <w:t xml:space="preserve"> 2016 WL 707361 (refusing to grant conditional certification when plaintiffs failed to file written consents until 30 months after statute of limitations ran).</w:t>
      </w:r>
    </w:p>
    <w:p w14:paraId="71B4C4F1" w14:textId="77777777" w:rsidR="004322B1" w:rsidRPr="00AD2F44" w:rsidRDefault="004322B1">
      <w:pPr>
        <w:pStyle w:val="14Footnote"/>
      </w:pPr>
      <w:r w:rsidRPr="00AD2F44">
        <w:rPr>
          <w:i/>
          <w:iCs/>
        </w:rPr>
        <w:t>Second Circuit:</w:t>
      </w:r>
      <w:r w:rsidRPr="00AD2F44">
        <w:t xml:space="preserve"> Hoffman v. Sbarro, 982 F. Supp. 249, 260 (S.D.N.Y. 1997) (noting employees’ claims “die daily” until the employee opts into the action).</w:t>
      </w:r>
    </w:p>
    <w:p w14:paraId="3EF458A6" w14:textId="77777777" w:rsidR="004322B1" w:rsidRPr="00AD2F44" w:rsidRDefault="004322B1">
      <w:pPr>
        <w:pStyle w:val="14Footnote"/>
      </w:pPr>
      <w:r w:rsidRPr="00AD2F44">
        <w:rPr>
          <w:i/>
          <w:iCs/>
        </w:rPr>
        <w:t xml:space="preserve">Fourth Circuit: </w:t>
      </w:r>
      <w:r w:rsidRPr="00AD2F44">
        <w:t>Lee v. Vance Exec. Prot., Inc., 2001 WL 108760 (4th Cir. Feb. 8, 2001) (holding that FLSA action commences for limitations purposes for opt-in plaintiffs on date consent-to-join is filed).</w:t>
      </w:r>
    </w:p>
    <w:p w14:paraId="3EF99EF6" w14:textId="77777777" w:rsidR="004322B1" w:rsidRPr="00AD2F44" w:rsidRDefault="004322B1">
      <w:pPr>
        <w:pStyle w:val="14Footnote"/>
      </w:pPr>
      <w:r w:rsidRPr="00AD2F44">
        <w:rPr>
          <w:i/>
          <w:iCs/>
        </w:rPr>
        <w:t>Fifth Circuit:</w:t>
      </w:r>
      <w:r w:rsidRPr="00AD2F44">
        <w:t xml:space="preserve"> </w:t>
      </w:r>
      <w:r w:rsidRPr="00AD2F44">
        <w:rPr>
          <w:i/>
          <w:iCs/>
        </w:rPr>
        <w:t>Ecoquij-Tzep</w:t>
      </w:r>
      <w:r w:rsidRPr="00AD2F44">
        <w:t>, 2018 WL 1702376, at *3 (“Section 256(b) states that if a party plaintiff named in the complaint does not file his written consent on the date when the action was brought, the action is considered commenced as to that plaintiff on the date he or she does file written consent.”) (citing Songer v. Advanced Bldg. Servs., LLC, 2015 WL 5147579 (S.D. Tex. Sept. 2, 2015)).</w:t>
      </w:r>
    </w:p>
    <w:p w14:paraId="09542839" w14:textId="77777777" w:rsidR="004322B1" w:rsidRPr="00AD2F44" w:rsidRDefault="004322B1">
      <w:pPr>
        <w:pStyle w:val="14Footnote"/>
      </w:pPr>
      <w:r w:rsidRPr="00AD2F44">
        <w:rPr>
          <w:i/>
          <w:iCs/>
        </w:rPr>
        <w:t>Sixth Circuit:</w:t>
      </w:r>
      <w:r w:rsidRPr="00AD2F44">
        <w:t xml:space="preserve"> Whipkey v. R.R. Donnelley &amp; Sons Co., 2006 WL 840371 (N.D. Ohio Mar. 28, 2006) (holding that acceptance of notice of filing 68 consent-to-join forms put defendant on notice and thus was effective to toll statute of limitations where actual consent-to-join forms were subsequently filed).</w:t>
      </w:r>
    </w:p>
    <w:p w14:paraId="7C97D8E9" w14:textId="77777777" w:rsidR="004322B1" w:rsidRPr="00AD2F44" w:rsidRDefault="004322B1">
      <w:pPr>
        <w:pStyle w:val="14Footnote"/>
      </w:pPr>
      <w:r w:rsidRPr="00A674E3">
        <w:rPr>
          <w:i/>
          <w:iCs/>
        </w:rPr>
        <w:t>Seventh Circuit: Harkins,</w:t>
      </w:r>
      <w:r w:rsidRPr="00AD2F44">
        <w:t xml:space="preserve"> 385 F.3d at 1101.</w:t>
      </w:r>
    </w:p>
    <w:p w14:paraId="68696A6A" w14:textId="77777777" w:rsidR="004322B1" w:rsidRPr="00AD2F44" w:rsidRDefault="004322B1">
      <w:pPr>
        <w:pStyle w:val="14Footnote"/>
      </w:pPr>
      <w:r w:rsidRPr="00AD2F44">
        <w:rPr>
          <w:i/>
          <w:iCs/>
        </w:rPr>
        <w:t>Ninth Circuit:</w:t>
      </w:r>
      <w:r w:rsidRPr="00AD2F44">
        <w:t xml:space="preserve"> Wilson v. Decibels of Or., Inc., 2019 WL 407404 (D. Or. Jan. 21, 2019) (ruling that plaintiff’s individual claims were calculated as of plaintiff’s complaint; however, the collective action was not initiated until plaintiff filed his consent six months later); Gessele v. Jack in the Box, Inc., 6 F. Supp. 3d 1141 (D. Or. 2014) (ruling claims of opt-ins untimely where opt-ins failed to file required written consent with court within statute of limitations); </w:t>
      </w:r>
      <w:r w:rsidRPr="00AD2F44">
        <w:rPr>
          <w:i/>
          <w:iCs/>
        </w:rPr>
        <w:t>Cancilla</w:t>
      </w:r>
      <w:r w:rsidRPr="00AD2F44">
        <w:t>, 2013 WL 1365939 (holding that the named plaintiff’s claims were time-barred because he failed to file a written consent until more than three years after he stopped working for the defendant, and failed to prove willfulness).</w:t>
      </w:r>
    </w:p>
    <w:p w14:paraId="2F244371" w14:textId="77777777" w:rsidR="004322B1" w:rsidRPr="00AD2F44" w:rsidRDefault="004322B1">
      <w:pPr>
        <w:pStyle w:val="14Footnote"/>
      </w:pPr>
      <w:r w:rsidRPr="00AD2F44">
        <w:rPr>
          <w:i/>
          <w:iCs/>
        </w:rPr>
        <w:t>Eleventh Circuit: Grayson</w:t>
      </w:r>
      <w:r w:rsidRPr="00AD2F44">
        <w:t>, 79 F.3d at 1106 (explaining that Congress, in rejecting the Rule 23 class action procedure, also rejected concomitant complaint-tolling rule of Rule 23).</w:t>
      </w:r>
    </w:p>
    <w:p w14:paraId="1D3C2536" w14:textId="77777777" w:rsidR="004322B1" w:rsidRPr="00AD2F44" w:rsidRDefault="004322B1">
      <w:pPr>
        <w:pStyle w:val="14Footnote"/>
      </w:pPr>
      <w:r w:rsidRPr="00AD2F44">
        <w:rPr>
          <w:i/>
          <w:iCs/>
        </w:rPr>
        <w:t xml:space="preserve">D.C. Circuit: </w:t>
      </w:r>
      <w:r w:rsidRPr="00AD2F44">
        <w:t>Robinson-Smith v. Government Emps. Ins. Co., 424 F. Supp. 2d 117, 119 (D.D.C. 2006) (permitting plaintiffs to file consents after court-authorized filing period, where plaintiffs’ counsels’ clerical error resulted in failure to timely file consents, but determining that limitations period was not equitably tolled).</w:t>
      </w:r>
    </w:p>
    <w:p w14:paraId="276C5652" w14:textId="77777777" w:rsidR="004322B1" w:rsidRPr="00AD2F44" w:rsidRDefault="004322B1">
      <w:pPr>
        <w:pStyle w:val="14Footnote"/>
      </w:pPr>
      <w:r w:rsidRPr="00AD2F44">
        <w:rPr>
          <w:i/>
          <w:iCs/>
        </w:rPr>
        <w:t xml:space="preserve">See also </w:t>
      </w:r>
      <w:r w:rsidRPr="00AD2F44">
        <w:t>Mendez v. Radec Corp., 260 F.R.D. 38, 52 (W.D.N.Y. 2009) (holding that named plaintiff’s signed declaration in support of motion for collective action notice and Rule 23 certification was sufficient to satisfy written consent requirement of §216(b) where no formal consent was filed)</w:t>
      </w:r>
    </w:p>
  </w:footnote>
  <w:footnote w:id="29">
    <w:p w14:paraId="02384921" w14:textId="77777777" w:rsidR="004322B1" w:rsidRPr="00AD2F44" w:rsidRDefault="004322B1">
      <w:pPr>
        <w:pStyle w:val="14Footnote"/>
      </w:pPr>
      <w:r w:rsidRPr="00AD2F44">
        <w:rPr>
          <w:vertAlign w:val="superscript"/>
        </w:rPr>
        <w:footnoteRef/>
      </w:r>
      <w:r w:rsidRPr="00AD2F44">
        <w:rPr>
          <w:i/>
          <w:iCs/>
        </w:rPr>
        <w:t>See, e.g., In re</w:t>
      </w:r>
      <w:r w:rsidRPr="00AD2F44">
        <w:t xml:space="preserve"> Tyson Foods, Inc., 2008 WL 4613654, at *15–16 (M.D. Ga. Oct. 15, 2008). See §III.C [The Two-Stage Process Used to Determine if a Collective Action May Proceed to Trial; Stage II: The Standard for Deciding Motions to Decertify Collective Actions] of this chapter.</w:t>
      </w:r>
    </w:p>
  </w:footnote>
  <w:footnote w:id="30">
    <w:p w14:paraId="445A3973"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Ecoquij-Tzep</w:t>
      </w:r>
      <w:r w:rsidRPr="00AD2F44">
        <w:t xml:space="preserve">, 2018 WL 1702376, at *5 (holding that statute of limitations for named plaintiff commenced with original filing of action where court granted motion for conditional certification and neither named plaintiff nor any putative opt-ins filed consents); Espinosa v. Stevens Tanker Div., LLC, 2017 WL 6021861, at *7–8 (W.D. Tex. Dec. 5, 2017) (finding that named plaintiff could pursue individual claim based on original action filing date even though court granted conditional certification and named plaintiff filed consent after opt-in period closed; according to court, “[a]lthough he is not a member of the class, [named plaintiff] Espinosa can still bring an individual claim”); Trevino v. RDL Energy Servs., L.P., 2017 WL 4950090, at *3 (S.D. Tex. Nov. 1, 2017) (finding that named plaintiffs may maintain individual claims without having filed written consents where they initiated action as collective action but court denied motion for conditional certification); </w:t>
      </w:r>
      <w:r w:rsidRPr="00AD2F44">
        <w:rPr>
          <w:i/>
          <w:iCs/>
        </w:rPr>
        <w:t>Gordon</w:t>
      </w:r>
      <w:r w:rsidRPr="00AD2F44">
        <w:t>, 2016 WL 4247738, at *13 (“a plaintiff bringing a collective action will always need to file some form of written consent,” but may proceed without one on individual claims if the plaintiff clearly indicates intent to proceed in a “dual capacity”); Burke v. Wackenhut Corp., 2007 WL 694302, at *2 (M.D. Pa. Mar. 5, 2007) (finding that written consent was not required where caption listed individual plaintiff names, there was no language purporting to bring suit “on behalf of others similarly situated,” and plaintiffs had not sought certification); Perella v. Colonial Transp., Inc., 148 F.R.D. 147, 149 (W.D. Pa. 1991) (“The statutory language makes clear that the filing of the consent may come after the filing of the complaint, but that a claim is not asserted, for purposes of the statute of limitations, until both the complaint and the claimant’s individual written consent are filed. … However, the court concludes that Ms. Perella can proceed with her claim as an individual action because it was timely commenced in accordance with §256 which provides that an action ‘shall be considered to be commenced on the date when the complaint is filed.’”).</w:t>
      </w:r>
    </w:p>
  </w:footnote>
  <w:footnote w:id="31">
    <w:p w14:paraId="545ACF0A" w14:textId="77777777" w:rsidR="004322B1" w:rsidRPr="00AD2F44" w:rsidRDefault="004322B1">
      <w:pPr>
        <w:pStyle w:val="14Footnote"/>
      </w:pPr>
      <w:r w:rsidRPr="00AD2F44">
        <w:rPr>
          <w:vertAlign w:val="superscript"/>
        </w:rPr>
        <w:footnoteRef/>
      </w:r>
      <w:r w:rsidRPr="00AD2F44">
        <w:t xml:space="preserve">Smith v. Professional Transp., Inc., 5 F.4th 700 (7th Cir. 2021) (vacating lower court’s dismissal of named plaintiff’s individual claims for failure to file consent to join form; leaving open issue of whether collective action can proceed without named plaintiff filing consent form); Smith v. Central Sec. Bureau, Inc., 231 F. Supp. 2d 455, 461 (W.D. Va. 2002) (permitting plaintiff who filed collective action but failed to file consent to join to proceed with his individual claim because the record revealed an intent to proceed in a dual capacity); </w:t>
      </w:r>
      <w:r w:rsidRPr="00AD2F44">
        <w:rPr>
          <w:i/>
          <w:iCs/>
        </w:rPr>
        <w:t>Gordon,</w:t>
      </w:r>
      <w:r w:rsidRPr="00AD2F44">
        <w:t xml:space="preserve"> 2016 WL 4247738 (applying </w:t>
      </w:r>
      <w:r w:rsidRPr="00AD2F44">
        <w:rPr>
          <w:i/>
          <w:iCs/>
        </w:rPr>
        <w:t>Smith</w:t>
      </w:r>
      <w:r w:rsidRPr="00AD2F44">
        <w:t xml:space="preserve"> analysis to determine whether plaintiffs brought their action in dual capacities).</w:t>
      </w:r>
    </w:p>
  </w:footnote>
  <w:footnote w:id="32">
    <w:p w14:paraId="3AC59072" w14:textId="77777777" w:rsidR="004322B1" w:rsidRPr="00AD2F44" w:rsidRDefault="004322B1">
      <w:pPr>
        <w:pStyle w:val="14Footnote"/>
      </w:pPr>
      <w:r w:rsidRPr="00AD2F44">
        <w:rPr>
          <w:vertAlign w:val="superscript"/>
        </w:rPr>
        <w:footnoteRef/>
      </w:r>
      <w:r w:rsidRPr="00AD2F44">
        <w:t>724 F.2d 1131 (5th Cir. 1984).</w:t>
      </w:r>
    </w:p>
  </w:footnote>
  <w:footnote w:id="33">
    <w:p w14:paraId="484328C6" w14:textId="77777777" w:rsidR="004322B1" w:rsidRPr="00AD2F44" w:rsidRDefault="004322B1">
      <w:pPr>
        <w:pStyle w:val="14Footnote"/>
      </w:pPr>
      <w:r w:rsidRPr="00AD2F44">
        <w:rPr>
          <w:vertAlign w:val="superscript"/>
        </w:rPr>
        <w:footnoteRef/>
      </w:r>
      <w:r w:rsidRPr="00AD2F44">
        <w:rPr>
          <w:i/>
          <w:iCs/>
        </w:rPr>
        <w:t>Id.</w:t>
      </w:r>
      <w:r w:rsidRPr="00AD2F44">
        <w:t xml:space="preserve"> at 1135.</w:t>
      </w:r>
    </w:p>
  </w:footnote>
  <w:footnote w:id="34">
    <w:p w14:paraId="53801915"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 xml:space="preserve">see also </w:t>
      </w:r>
      <w:r w:rsidRPr="00AD2F44">
        <w:t>Alfonso v. Straight Line Installations, LLC, 2010 WL 519851 (M.D. Fla. Feb. 10, 2010) (where two opt-in plaintiffs filed consent forms, but the plaintiffs never moved for class certification, the court granted a motion to amend the complaint to add the opt-ins as party plaintiffs).</w:t>
      </w:r>
    </w:p>
  </w:footnote>
  <w:footnote w:id="35">
    <w:p w14:paraId="744F1CB5" w14:textId="77777777" w:rsidR="004322B1" w:rsidRPr="00AD2F44" w:rsidRDefault="004322B1">
      <w:pPr>
        <w:pStyle w:val="14Footnote"/>
      </w:pPr>
      <w:r w:rsidRPr="00AD2F44">
        <w:rPr>
          <w:vertAlign w:val="superscript"/>
        </w:rPr>
        <w:footnoteRef/>
      </w:r>
      <w:r w:rsidRPr="00AD2F44">
        <w:rPr>
          <w:i/>
        </w:rPr>
        <w:t>See, e.g.,</w:t>
      </w:r>
    </w:p>
    <w:p w14:paraId="1A0D430B" w14:textId="77777777" w:rsidR="004322B1" w:rsidRPr="00AD2F44" w:rsidRDefault="004322B1">
      <w:pPr>
        <w:pStyle w:val="14Footnote"/>
      </w:pPr>
      <w:r w:rsidRPr="00AD2F44">
        <w:rPr>
          <w:i/>
          <w:iCs/>
        </w:rPr>
        <w:t xml:space="preserve">Third Circuit: </w:t>
      </w:r>
      <w:r w:rsidRPr="00AD2F44">
        <w:t xml:space="preserve">Sperling v. Hoffman-La Roche, Inc., 862 F.2d 439, 440 (3d Cir. 1988) (declining to disturb district court’s denial of defendant’s request to invalidate 400 consents that were obtained and filed without court approval), </w:t>
      </w:r>
      <w:r w:rsidRPr="00AD2F44">
        <w:rPr>
          <w:i/>
          <w:iCs/>
        </w:rPr>
        <w:t>aff’d</w:t>
      </w:r>
      <w:r w:rsidRPr="00AD2F44">
        <w:t>, 493 U.S. 165, 169 (1989).</w:t>
      </w:r>
    </w:p>
    <w:p w14:paraId="09D1B712" w14:textId="77777777" w:rsidR="004322B1" w:rsidRPr="00AD2F44" w:rsidRDefault="004322B1">
      <w:pPr>
        <w:pStyle w:val="14Footnote"/>
      </w:pPr>
      <w:r w:rsidRPr="00AD2F44">
        <w:rPr>
          <w:i/>
          <w:iCs/>
        </w:rPr>
        <w:t>Seventh Circuit:</w:t>
      </w:r>
      <w:r w:rsidRPr="00AD2F44">
        <w:t xml:space="preserve"> Threatt v. Residential CRF, Inc., 2005 WL 2648665, at *1–4 (N.D. Ind. Oct. 17, 2005) (denying defendants’ motion to strike consent forms filed by plaintiffs prior to obtaining leave of court and finding that there is no statutory requirement that leave of court be obtained prior to sending out notice).</w:t>
      </w:r>
    </w:p>
    <w:p w14:paraId="4D68D83F" w14:textId="77777777" w:rsidR="004322B1" w:rsidRPr="00AD2F44" w:rsidRDefault="004322B1">
      <w:pPr>
        <w:pStyle w:val="14Footnote"/>
      </w:pPr>
      <w:r w:rsidRPr="00AD2F44">
        <w:rPr>
          <w:i/>
          <w:iCs/>
        </w:rPr>
        <w:t xml:space="preserve">Ninth Circuit: </w:t>
      </w:r>
      <w:r w:rsidRPr="00AD2F44">
        <w:t xml:space="preserve">Flores v. Metro Painting Corp., 2008 WL 4541416, at *4 n.4 (D. Ariz. Oct. 7, 2008) (declining to strike consent to join filed prior to court’s approval of form for notice and affirming that FLSA does not prohibit employees from signing consents to join prior to entry of order facilitating notice); Piper v. RGIS Inventory Specialists, Inc., 2007 WL 1690887, at *24–26 (N.D. Cal. June 11, 2007) (holding that putative opt-in plaintiffs can file consents to join prior to conditional certification), </w:t>
      </w:r>
      <w:r w:rsidRPr="00AD2F44">
        <w:rPr>
          <w:i/>
          <w:iCs/>
        </w:rPr>
        <w:t>modified on other grounds by</w:t>
      </w:r>
      <w:r w:rsidRPr="00AD2F44">
        <w:t xml:space="preserve"> Wren v. RGIS Inventory Specialists, 2009 WL 301819 (N.D. Cal. Feb. 6, 2009).</w:t>
      </w:r>
    </w:p>
  </w:footnote>
  <w:footnote w:id="36">
    <w:p w14:paraId="4A3CD741" w14:textId="77777777" w:rsidR="004322B1" w:rsidRPr="00AD2F44" w:rsidRDefault="004322B1">
      <w:pPr>
        <w:pStyle w:val="14Footnote"/>
      </w:pPr>
      <w:r w:rsidRPr="00AD2F44">
        <w:rPr>
          <w:vertAlign w:val="superscript"/>
        </w:rPr>
        <w:footnoteRef/>
      </w:r>
      <w:r w:rsidRPr="00AD2F44">
        <w:rPr>
          <w:i/>
        </w:rPr>
        <w:t xml:space="preserve">See, e.g., </w:t>
      </w:r>
    </w:p>
    <w:p w14:paraId="1B1AC7CF" w14:textId="77777777" w:rsidR="004322B1" w:rsidRPr="00AD2F44" w:rsidRDefault="004322B1">
      <w:pPr>
        <w:pStyle w:val="14Footnote"/>
      </w:pPr>
      <w:r w:rsidRPr="00AD2F44">
        <w:rPr>
          <w:i/>
          <w:iCs/>
        </w:rPr>
        <w:t>First Circuit:</w:t>
      </w:r>
      <w:r w:rsidRPr="00AD2F44">
        <w:t xml:space="preserve"> Melendez Cintron v. Hershey P.R., Inc., 363 F. Supp. 2d 10, 17 (D.P.R. 2005) (striking consent to join filed prior to seeking authority from court to issue notice, but emphasizing that “there are no specific requirements concerning the time when a notice of consent should be filed under Section 16(b) of the FLSA”).</w:t>
      </w:r>
    </w:p>
    <w:p w14:paraId="6D7018F4" w14:textId="77777777" w:rsidR="004322B1" w:rsidRPr="00AD2F44" w:rsidRDefault="004322B1">
      <w:pPr>
        <w:pStyle w:val="14Footnote"/>
      </w:pPr>
      <w:r w:rsidRPr="00AD2F44">
        <w:rPr>
          <w:i/>
          <w:iCs/>
        </w:rPr>
        <w:t xml:space="preserve">Fifth Circuit: </w:t>
      </w:r>
      <w:r w:rsidRPr="00AD2F44">
        <w:t>Camp v. Progressive Corp., 2004 WL 2149079, at *15 n.7 (E.D. La. Sept. 23, 2004) (declining to permit filing of consent-to-join forms until case is certified as collective action but acknowledging need if certified to address issues of equitable tolling).</w:t>
      </w:r>
    </w:p>
    <w:p w14:paraId="007A30CC" w14:textId="77777777" w:rsidR="004322B1" w:rsidRPr="00AD2F44" w:rsidRDefault="004322B1">
      <w:pPr>
        <w:pStyle w:val="14Footnote"/>
      </w:pPr>
      <w:r w:rsidRPr="00AD2F44">
        <w:rPr>
          <w:i/>
          <w:iCs/>
        </w:rPr>
        <w:t xml:space="preserve">Seventh Circuit: </w:t>
      </w:r>
      <w:r w:rsidRPr="00AD2F44">
        <w:t>Heitmann v. City of Chi., 2004 WL 1718420 (N.D. Ill. July 30, 2004) (stating that there is no prohibition against filing consent-to-join forms and disseminating notice without obtaining court-authorized notice, but granting defendants’ motion to strike consent forms obtained prior to plaintiffs giving defendant notice of their distribution of notice and consent forms).</w:t>
      </w:r>
    </w:p>
    <w:p w14:paraId="6AAEA1CD" w14:textId="77777777" w:rsidR="004322B1" w:rsidRPr="00AD2F44" w:rsidRDefault="004322B1">
      <w:pPr>
        <w:pStyle w:val="14Footnote"/>
      </w:pPr>
      <w:r w:rsidRPr="00AD2F44">
        <w:rPr>
          <w:i/>
          <w:iCs/>
        </w:rPr>
        <w:t xml:space="preserve">Tenth Circuit: </w:t>
      </w:r>
      <w:r w:rsidRPr="00AD2F44">
        <w:t>Self v. Teleperformance USA, Inc., 2008 WL 4372928 (D. Utah Sept. 19, 2008) (denying defendant’s motion to strike consent-to-join forms filed by plaintiffs’ counsel prior to issuance of court notice, but requiring plaintiff’s counsel to send curative letter to individuals who opted in based on potentially misleading information on plaintiffs’ website prior to issuance of court-authorized notice and to obtain and file new consent-to-join form).</w:t>
      </w:r>
    </w:p>
    <w:p w14:paraId="48822F4F" w14:textId="77777777" w:rsidR="004322B1" w:rsidRPr="00AD2F44" w:rsidRDefault="004322B1">
      <w:pPr>
        <w:pStyle w:val="14Footnote"/>
      </w:pPr>
      <w:r w:rsidRPr="00AD2F44">
        <w:t>See §III.B.7 [The Two-Stage Process Used to Determine if a Collective Action May Proceed to Trial; Stage I: Standard for Determining Whether Conditional Certification Should Be Granted; Communication About the Collective Action] of this chapter for a discussion of precertification communication with putative collective action members.</w:t>
      </w:r>
    </w:p>
  </w:footnote>
  <w:footnote w:id="37">
    <w:p w14:paraId="455DB5FA" w14:textId="77777777" w:rsidR="004322B1" w:rsidRPr="00AD2F44" w:rsidRDefault="004322B1">
      <w:pPr>
        <w:pStyle w:val="14Footnote"/>
      </w:pPr>
      <w:r w:rsidRPr="00AD2F44">
        <w:rPr>
          <w:vertAlign w:val="superscript"/>
        </w:rPr>
        <w:footnoteRef/>
      </w:r>
      <w:r w:rsidRPr="00AD2F44">
        <w:t xml:space="preserve">Montes v. Janitorial Partners, Inc., 859 F.3d 1079, 1084 (D.C. Cir. 2017). </w:t>
      </w:r>
    </w:p>
  </w:footnote>
  <w:footnote w:id="38">
    <w:p w14:paraId="371B0E37" w14:textId="77777777" w:rsidR="004322B1" w:rsidRPr="00AD2F44" w:rsidRDefault="004322B1">
      <w:pPr>
        <w:pStyle w:val="14Footnote"/>
      </w:pPr>
      <w:r w:rsidRPr="00AD2F44">
        <w:rPr>
          <w:vertAlign w:val="superscript"/>
        </w:rPr>
        <w:footnoteRef/>
      </w:r>
      <w:r w:rsidRPr="00AD2F44">
        <w:t>Albritton v. Cagles, Inc., 508 F.3d 1012, 1018 (11th Cir. 2007).</w:t>
      </w:r>
    </w:p>
  </w:footnote>
  <w:footnote w:id="39">
    <w:p w14:paraId="23FD1804" w14:textId="77777777" w:rsidR="004322B1" w:rsidRPr="00AD2F44" w:rsidRDefault="004322B1">
      <w:pPr>
        <w:pStyle w:val="14Footnote"/>
      </w:pPr>
      <w:r w:rsidRPr="00AD2F44">
        <w:rPr>
          <w:vertAlign w:val="superscript"/>
        </w:rPr>
        <w:footnoteRef/>
      </w:r>
      <w:r w:rsidRPr="00AD2F44">
        <w:t>349 F.3d 1294 (11th Cir. 2003).</w:t>
      </w:r>
    </w:p>
  </w:footnote>
  <w:footnote w:id="40">
    <w:p w14:paraId="3F8F2898" w14:textId="77777777" w:rsidR="004322B1" w:rsidRPr="00AD2F44" w:rsidRDefault="004322B1">
      <w:pPr>
        <w:pStyle w:val="14Footnote"/>
      </w:pPr>
      <w:r w:rsidRPr="00AD2F44">
        <w:rPr>
          <w:vertAlign w:val="superscript"/>
        </w:rPr>
        <w:footnoteRef/>
      </w:r>
      <w:r w:rsidRPr="00AD2F44">
        <w:rPr>
          <w:i/>
          <w:iCs/>
        </w:rPr>
        <w:t xml:space="preserve">Id. </w:t>
      </w:r>
      <w:r w:rsidRPr="00AD2F44">
        <w:t>at 1297.</w:t>
      </w:r>
    </w:p>
  </w:footnote>
  <w:footnote w:id="41">
    <w:p w14:paraId="72153292"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Wright v. Waste Pro USA, Inc., 2019 WL 5896516, at *3 (D.S.C. Nov. 12, 2019) (rejecting argument that plaintiffs’ consent forms were insufficient where they referenced only one defendant that had been dismissed from suit; noting that “FLSA opt-in plaintiffs do not consent to join specific claims of a collective action, but rather, consent to ‘join the action as a whole’”) (citations omitted); Turner v. BFI Waste Servs., LLC, 292 F. Supp. 3d 650, 651 (D.S.C. 2017) (denying defendant’s request to limit collective action notice to regular rate claim because “conditional certification operates as to the FLSA action as a whole,” and not just as to one claim analyzed by court); Fengler v. Crouse Health Sys., Inc., 634 F. Supp. 2d 257, 262 (N.D.N.Y. 2009) (holding that the magistrate judge had clearly erred by limiting the opt-in plaintiffs’ participation in the action to a single FLSA claim rather than to all claims in the case).</w:t>
      </w:r>
    </w:p>
  </w:footnote>
  <w:footnote w:id="42">
    <w:p w14:paraId="324205B3" w14:textId="77777777" w:rsidR="004322B1" w:rsidRPr="00AD2F44" w:rsidRDefault="004322B1">
      <w:pPr>
        <w:pStyle w:val="14Footnote"/>
      </w:pPr>
      <w:r w:rsidRPr="00AD2F44">
        <w:rPr>
          <w:vertAlign w:val="superscript"/>
        </w:rPr>
        <w:footnoteRef/>
      </w:r>
      <w:r w:rsidRPr="00AD2F44">
        <w:rPr>
          <w:i/>
          <w:iCs/>
        </w:rPr>
        <w:t xml:space="preserve">See </w:t>
      </w:r>
      <w:r w:rsidRPr="00AD2F44">
        <w:t>Hicks v. T.L. Cannon Corp., 35 F. Supp. 3d 329, 337–39 (W.D.N.Y. 2014) (holding that opt-in plaintiffs could seek summary judgment as to their New York state wage and hour claims by virtue of having opted into the action as a whole).</w:t>
      </w:r>
    </w:p>
  </w:footnote>
  <w:footnote w:id="43">
    <w:p w14:paraId="29E164D8" w14:textId="77777777" w:rsidR="004322B1" w:rsidRPr="00AD2F44" w:rsidRDefault="004322B1">
      <w:pPr>
        <w:pStyle w:val="14Footnote"/>
      </w:pPr>
      <w:r w:rsidRPr="00AD2F44">
        <w:rPr>
          <w:vertAlign w:val="superscript"/>
        </w:rPr>
        <w:footnoteRef/>
      </w:r>
      <w:r w:rsidRPr="00AD2F44">
        <w:t>508 F.3d 1012 (11th Cir. 2007).</w:t>
      </w:r>
    </w:p>
  </w:footnote>
  <w:footnote w:id="44">
    <w:p w14:paraId="46E66A84"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Sanders v. Service Corp. Int’l, 771 F. Supp. 2d 1132, 1136–37 (D. Ariz. 2011) (finding that consent forms “recycled” from prior lawsuit involving same defendants could not be used in subsequent suit, but that proper remedy was to allow submission of new consent forms, not dismissal; collecting cases in support).</w:t>
      </w:r>
      <w:r w:rsidRPr="00FC78B9">
        <w:t xml:space="preserve"> </w:t>
      </w:r>
      <w:r w:rsidRPr="00AD2F44">
        <w:t>).</w:t>
      </w:r>
      <w:r>
        <w:t xml:space="preserve"> </w:t>
      </w:r>
      <w:r>
        <w:rPr>
          <w:i/>
          <w:iCs/>
        </w:rPr>
        <w:t xml:space="preserve">Cf. </w:t>
      </w:r>
      <w:r>
        <w:t xml:space="preserve">Weinmann v. Cont. Land Staff, LLC, </w:t>
      </w:r>
      <w:r w:rsidRPr="003D45AE">
        <w:t>2023 BL 200591</w:t>
      </w:r>
      <w:r>
        <w:t xml:space="preserve">, </w:t>
      </w:r>
      <w:r w:rsidRPr="00535A54">
        <w:t>2023 WL 3881394</w:t>
      </w:r>
      <w:r>
        <w:t>, at *7 (W.D. Pa. June 8, 2023) (striking language from proposed notice that stated “I authorize the Plaintiff’s lawyers to use this consent to re-file my claim in a separate suit or arbitration,” reasoning the court authorized notice was for participation only in the instant case).</w:t>
      </w:r>
    </w:p>
  </w:footnote>
  <w:footnote w:id="45">
    <w:p w14:paraId="10911EB3" w14:textId="77777777" w:rsidR="004322B1" w:rsidRPr="00AD2F44" w:rsidRDefault="004322B1">
      <w:pPr>
        <w:pStyle w:val="14Footnote"/>
      </w:pPr>
      <w:r w:rsidRPr="00AD2F44">
        <w:rPr>
          <w:vertAlign w:val="superscript"/>
        </w:rPr>
        <w:footnoteRef/>
      </w:r>
      <w:r w:rsidRPr="00AD2F44">
        <w:rPr>
          <w:i/>
          <w:iCs/>
        </w:rPr>
        <w:t>See</w:t>
      </w:r>
      <w:r w:rsidRPr="00AD2F44">
        <w:t xml:space="preserve"> Davis v. Novastar Mortg., 2005 WL 3662438 (W.D. Mo. Dec. 13, 2005) (attaching notice and consent form to court order); </w:t>
      </w:r>
      <w:r w:rsidRPr="00AD2F44">
        <w:rPr>
          <w:i/>
          <w:iCs/>
        </w:rPr>
        <w:t>see also</w:t>
      </w:r>
      <w:r w:rsidRPr="00AD2F44">
        <w:t xml:space="preserve"> LaFleur v. Dollar Tree Stores, Inc.</w:t>
      </w:r>
      <w:r w:rsidRPr="00AD2F44">
        <w:rPr>
          <w:i/>
          <w:iCs/>
        </w:rPr>
        <w:t xml:space="preserve">, </w:t>
      </w:r>
      <w:r w:rsidRPr="00AD2F44">
        <w:t>2014 WL 37662 (E.D. Va. Jan. 3, 2014) (holding that although the named plaintiff had not filed a formal consent, she had filed multiple written documents that evidenced her intent to participate and had therefore fulfilled the written consent requirement).</w:t>
      </w:r>
    </w:p>
  </w:footnote>
  <w:footnote w:id="46">
    <w:p w14:paraId="2A537D37" w14:textId="77777777" w:rsidR="004322B1" w:rsidRPr="00AD2F44" w:rsidRDefault="004322B1">
      <w:pPr>
        <w:pStyle w:val="14Footnote"/>
        <w:rPr>
          <w:i/>
          <w:iCs/>
        </w:rPr>
      </w:pPr>
      <w:r w:rsidRPr="00AD2F44">
        <w:rPr>
          <w:vertAlign w:val="superscript"/>
        </w:rPr>
        <w:footnoteRef/>
      </w:r>
      <w:r w:rsidRPr="00AD2F44">
        <w:t xml:space="preserve">Melendez Citron v. Hershey P.R. Inc., Inc., 363 F. Supp. 2d 10, 16 (D.P.R. 2005). </w:t>
      </w:r>
      <w:r w:rsidRPr="00AD2F44">
        <w:rPr>
          <w:i/>
          <w:iCs/>
        </w:rPr>
        <w:t>See also</w:t>
      </w:r>
    </w:p>
    <w:p w14:paraId="5FF765B2" w14:textId="77777777" w:rsidR="004322B1" w:rsidRPr="00AD2F44" w:rsidRDefault="004322B1">
      <w:pPr>
        <w:pStyle w:val="14Footnote"/>
      </w:pPr>
      <w:r w:rsidRPr="00AD2F44">
        <w:rPr>
          <w:i/>
          <w:iCs/>
        </w:rPr>
        <w:t>Second Circuit:</w:t>
      </w:r>
      <w:r w:rsidRPr="00AD2F44">
        <w:t xml:space="preserve"> Mikityuk v. Cision US Inc., 2021 BL 165012, 2021 WL 1750370, at *9–10 (S.D.N.Y. May 4, 2021) (granting plaintiffs’ proposed consent to join form, finding form’s language regarding scope of representation sufficient where it indicated that plaintiffs’ counsel will “represent persons who opt in and do not have their own counsel without singling out any particular aspects of the representation,” but striking language that plaintiffs’ counsel would represent opt ins in “any separate or subsequent actions” and rejecting defendants’ request that consent form require opt-ins to attest that they were eligible to join lawsuit and had worked unpaid overtime); Contrera v. Langer, 290 F. Supp. 3d 269, 278–79 (S.D.N.Y. 2018) (finding that plaintiff’s declaration filed in support of conditional certification motion stating that he was named plaintiff met written consent requirement); Mendez v. Radec Corp., 260 F.R.D. 38, 52 (W.D.N.Y. 2009) (noting that FLSA does not require particular form of consent, and holding that named plaintiff’s signed declaration in support of collective action notice and Rule 23 certification was sufficient to satisfy written consent requirement of §216(b) where no formal consent was filed).</w:t>
      </w:r>
    </w:p>
    <w:p w14:paraId="310538C7" w14:textId="77777777" w:rsidR="004322B1" w:rsidRPr="00AD2F44" w:rsidRDefault="004322B1">
      <w:pPr>
        <w:pStyle w:val="14Footnote"/>
      </w:pPr>
      <w:r w:rsidRPr="00AD2F44">
        <w:rPr>
          <w:i/>
          <w:iCs/>
        </w:rPr>
        <w:t xml:space="preserve">Fourth Circuit: </w:t>
      </w:r>
      <w:r w:rsidRPr="00AD2F44">
        <w:t>Gordon v. TBC Retail Grp., Inc., 2016 WL 4247738, at *14 (D.S.C. Aug. 11, 2016) (holding that declarations filed by named plaintiffs in support of conditional certification were sufficient to satisfy written consent requirement in absence of formal consent).</w:t>
      </w:r>
    </w:p>
    <w:p w14:paraId="305FFF56" w14:textId="77777777" w:rsidR="004322B1" w:rsidRPr="00AD2F44" w:rsidRDefault="004322B1">
      <w:pPr>
        <w:pStyle w:val="14Footnote"/>
      </w:pPr>
      <w:r w:rsidRPr="00AD2F44">
        <w:rPr>
          <w:i/>
          <w:iCs/>
        </w:rPr>
        <w:t>Fifth Circuit:</w:t>
      </w:r>
      <w:r w:rsidRPr="00AD2F44">
        <w:t xml:space="preserve"> Songer v. Advanced Bldg. Servs. LLC, 2015 WL 5147579 (S.D. Tex. Sept. 2, 2015) (denying motion to dismiss where incorrect consent form was replaced by correct form seven months later because FLSA specifically contemplates that plaintiff may file FLSA complaint and then file written consent to join at later time).</w:t>
      </w:r>
    </w:p>
    <w:p w14:paraId="6DD3664C" w14:textId="77777777" w:rsidR="004322B1" w:rsidRPr="00AD2F44" w:rsidRDefault="004322B1">
      <w:pPr>
        <w:pStyle w:val="14Footnote"/>
      </w:pPr>
      <w:r w:rsidRPr="00AD2F44">
        <w:rPr>
          <w:i/>
          <w:iCs/>
        </w:rPr>
        <w:t xml:space="preserve">Eighth Circuit: Compare </w:t>
      </w:r>
      <w:r w:rsidRPr="00AD2F44">
        <w:t xml:space="preserve">Davenport v. Charter Commc’ns, 2017 WL 878029, at *10 (E.D. Mo. Mar. 6, 2017) (holding that named plaintiff’s declaration in support of conditional certification was sufficient to satisfy consent requirement and declining to dismiss her from case after decertification where declaration “clearly declares that she is a party plaintiff in this case, and further describes the basis for her overtime claim”), </w:t>
      </w:r>
      <w:r w:rsidRPr="00AD2F44">
        <w:rPr>
          <w:i/>
          <w:iCs/>
        </w:rPr>
        <w:t>with</w:t>
      </w:r>
      <w:r w:rsidRPr="00AD2F44">
        <w:t xml:space="preserve"> Liebesman v. Competitor Grp., 2016 WL 204461, at *3 (E.D. Mo. Jan. 15, 2016) (finding that plaintiff’s interrogatory responses and declaration failed to satisfy consent requirement because they did not “express[] her consent to become a party plaintiff,” and dismissing her claims as time-barred) (collecting cases).</w:t>
      </w:r>
    </w:p>
    <w:p w14:paraId="62086C91" w14:textId="77777777" w:rsidR="004322B1" w:rsidRPr="00AD2F44" w:rsidRDefault="004322B1">
      <w:pPr>
        <w:pStyle w:val="14Footnote"/>
      </w:pPr>
      <w:r w:rsidRPr="00AD2F44">
        <w:rPr>
          <w:i/>
          <w:iCs/>
        </w:rPr>
        <w:t>Ninth Circuit:</w:t>
      </w:r>
      <w:r w:rsidRPr="00AD2F44">
        <w:t xml:space="preserve"> Wren v. RGIS Inventory Specialists,</w:t>
      </w:r>
      <w:r w:rsidRPr="00AD2F44">
        <w:rPr>
          <w:i/>
          <w:iCs/>
        </w:rPr>
        <w:t xml:space="preserve"> </w:t>
      </w:r>
      <w:r w:rsidRPr="00AD2F44">
        <w:t>2009 U.S. Dist. LEXIS 52040 (N.D. Cal. June 19, 2009) (finding precertification version of consent form valid even though different from consent form approved by court).</w:t>
      </w:r>
    </w:p>
  </w:footnote>
  <w:footnote w:id="47">
    <w:p w14:paraId="7839D35C" w14:textId="77777777" w:rsidR="004322B1" w:rsidRPr="00AD2F44" w:rsidRDefault="004322B1">
      <w:pPr>
        <w:pStyle w:val="14Footnote"/>
      </w:pPr>
      <w:r w:rsidRPr="00AD2F44">
        <w:rPr>
          <w:vertAlign w:val="superscript"/>
        </w:rPr>
        <w:footnoteRef/>
      </w:r>
      <w:r w:rsidRPr="00AD2F44">
        <w:rPr>
          <w:i/>
          <w:iCs/>
        </w:rPr>
        <w:t>E.g.</w:t>
      </w:r>
      <w:r w:rsidRPr="00AD2F44">
        <w:t>, Brown v. Dunbar &amp; Sullivan Dredging Co., 189 F.2d 871, 874 (2d Cir. 1951) (deeming language authorizing counsel to prosecute the plaintiffs’ “claim[s] for overtime wages and liquidated damages under the [FLSA]” to be sufficiently specific).</w:t>
      </w:r>
    </w:p>
  </w:footnote>
  <w:footnote w:id="48">
    <w:p w14:paraId="5D6E64B6" w14:textId="77777777" w:rsidR="004322B1" w:rsidRPr="00AD2F44" w:rsidRDefault="004322B1">
      <w:pPr>
        <w:pStyle w:val="14Footnote"/>
      </w:pPr>
      <w:r w:rsidRPr="00AD2F44">
        <w:rPr>
          <w:vertAlign w:val="superscript"/>
        </w:rPr>
        <w:footnoteRef/>
      </w:r>
      <w:r w:rsidRPr="00AD2F44">
        <w:t>2005 WL 3662438 (W.D. Mo. Dec. 13, 2005).</w:t>
      </w:r>
    </w:p>
  </w:footnote>
  <w:footnote w:id="49">
    <w:p w14:paraId="6F1A705B" w14:textId="77777777" w:rsidR="004322B1" w:rsidRPr="00AD2F44" w:rsidRDefault="004322B1">
      <w:pPr>
        <w:pStyle w:val="14Footnote"/>
      </w:pPr>
      <w:r w:rsidRPr="00AD2F44">
        <w:rPr>
          <w:vertAlign w:val="superscript"/>
        </w:rPr>
        <w:footnoteRef/>
      </w:r>
      <w:r w:rsidRPr="00AD2F44">
        <w:t>203 F. Supp. 938 (N.D. Ill. 1962).</w:t>
      </w:r>
    </w:p>
  </w:footnote>
  <w:footnote w:id="50">
    <w:p w14:paraId="645555E2" w14:textId="77777777" w:rsidR="004322B1" w:rsidRPr="00AD2F44" w:rsidRDefault="004322B1">
      <w:pPr>
        <w:pStyle w:val="14Footnote"/>
      </w:pPr>
      <w:r w:rsidRPr="00AD2F44">
        <w:rPr>
          <w:vertAlign w:val="superscript"/>
        </w:rPr>
        <w:footnoteRef/>
      </w:r>
      <w:r w:rsidRPr="00AD2F44">
        <w:rPr>
          <w:i/>
          <w:iCs/>
        </w:rPr>
        <w:t>Id.</w:t>
      </w:r>
      <w:r w:rsidRPr="00AD2F44">
        <w:t xml:space="preserve"> at 941. </w:t>
      </w:r>
    </w:p>
  </w:footnote>
  <w:footnote w:id="51">
    <w:p w14:paraId="38CC9EA3" w14:textId="77777777" w:rsidR="004322B1" w:rsidRPr="00AD2F44" w:rsidRDefault="004322B1">
      <w:pPr>
        <w:pStyle w:val="14Footnote"/>
      </w:pPr>
      <w:r w:rsidRPr="00AD2F44">
        <w:rPr>
          <w:vertAlign w:val="superscript"/>
        </w:rPr>
        <w:footnoteRef/>
      </w:r>
      <w:r w:rsidRPr="00AD2F44">
        <w:t>189 F.2d 871 (2d Cir. 1951).</w:t>
      </w:r>
    </w:p>
  </w:footnote>
  <w:footnote w:id="52">
    <w:p w14:paraId="1CEE9D65" w14:textId="77777777" w:rsidR="004322B1" w:rsidRPr="00AD2F44" w:rsidRDefault="004322B1">
      <w:pPr>
        <w:pStyle w:val="14Footnote"/>
      </w:pPr>
      <w:r w:rsidRPr="00AD2F44">
        <w:rPr>
          <w:vertAlign w:val="superscript"/>
        </w:rPr>
        <w:footnoteRef/>
      </w:r>
      <w:r w:rsidRPr="00AD2F44">
        <w:rPr>
          <w:i/>
          <w:iCs/>
        </w:rPr>
        <w:t>Id</w:t>
      </w:r>
      <w:r w:rsidRPr="00AD2F44">
        <w:t>. at 873–74.</w:t>
      </w:r>
    </w:p>
  </w:footnote>
  <w:footnote w:id="53">
    <w:p w14:paraId="0918FECA" w14:textId="77777777" w:rsidR="004322B1" w:rsidRPr="00AD2F44" w:rsidRDefault="004322B1" w:rsidP="00A84908">
      <w:pPr>
        <w:pStyle w:val="14Footnote"/>
        <w:rPr>
          <w:i/>
          <w:iCs/>
        </w:rPr>
      </w:pPr>
      <w:r w:rsidRPr="00AD2F44">
        <w:rPr>
          <w:vertAlign w:val="superscript"/>
        </w:rPr>
        <w:footnoteRef/>
      </w:r>
      <w:r w:rsidRPr="00AD2F44">
        <w:rPr>
          <w:i/>
          <w:iCs/>
        </w:rPr>
        <w:t>E</w:t>
      </w:r>
      <w:r w:rsidRPr="00AD2F44">
        <w:t>.</w:t>
      </w:r>
      <w:r w:rsidRPr="00AD2F44">
        <w:rPr>
          <w:i/>
          <w:iCs/>
        </w:rPr>
        <w:t>g</w:t>
      </w:r>
      <w:r w:rsidRPr="00AD2F44">
        <w:t xml:space="preserve">., </w:t>
      </w:r>
    </w:p>
    <w:p w14:paraId="1EF34FB8" w14:textId="77777777" w:rsidR="004322B1" w:rsidRPr="00AD2F44" w:rsidRDefault="004322B1">
      <w:pPr>
        <w:pStyle w:val="14Footnote"/>
      </w:pPr>
      <w:r w:rsidRPr="00AD2F44">
        <w:rPr>
          <w:i/>
          <w:iCs/>
        </w:rPr>
        <w:t xml:space="preserve">Fifth Circuit: </w:t>
      </w:r>
      <w:r w:rsidRPr="00AD2F44">
        <w:t xml:space="preserve">Alverson v. BL Rest. Operations LLC, 2018 WL 1324952 (W.D. Tex. Mar. 12, 2018) (allowing execution of consent forms by electronic signature); White v. Integrated Elec. Section Techs., Inc., 2013 WL 2903070 (E.D. La. June 13, 2013) (authorizing members to execute electronic consent forms); Jones v. JGC Dall, LLC, 2012 WL 6928101 (N.D. Tex. Nov. 29, 2012) (authorizing submission of consent forms via electronic signature service). </w:t>
      </w:r>
    </w:p>
    <w:p w14:paraId="7746127E" w14:textId="77777777" w:rsidR="004322B1" w:rsidRPr="00AD2F44" w:rsidRDefault="004322B1">
      <w:pPr>
        <w:pStyle w:val="14Footnote"/>
      </w:pPr>
      <w:r w:rsidRPr="00AD2F44">
        <w:rPr>
          <w:i/>
          <w:iCs/>
        </w:rPr>
        <w:t xml:space="preserve">Sixth Circuit: </w:t>
      </w:r>
      <w:r w:rsidRPr="00AD2F44">
        <w:t xml:space="preserve">Brewer v. Alliance Coal, LLC, 2021 BL 317829, 2021 WL 3729297 (E.D. Ky. Aug. 23, 2021) (allowing execution of consent forms by electronic signature via Docusign). </w:t>
      </w:r>
    </w:p>
    <w:p w14:paraId="56406502" w14:textId="77777777" w:rsidR="004322B1" w:rsidRPr="00AD2F44" w:rsidRDefault="004322B1">
      <w:pPr>
        <w:pStyle w:val="14Footnote"/>
      </w:pPr>
      <w:r w:rsidRPr="00AD2F44">
        <w:rPr>
          <w:i/>
          <w:iCs/>
        </w:rPr>
        <w:t xml:space="preserve">Seventh Circuit: </w:t>
      </w:r>
      <w:r w:rsidRPr="00AD2F44">
        <w:t xml:space="preserve">Kelly v. Bank of Am., N.A., 2011 WL 7718421 (N.D. Ill. Sept. 23, 2011) (authorizing class members to submit consent-to-join form by electronically providing name, date of birth, and last four digits of Social Security number via Internet notice administration website). </w:t>
      </w:r>
    </w:p>
  </w:footnote>
  <w:footnote w:id="54">
    <w:p w14:paraId="7F6FD3AA" w14:textId="77777777" w:rsidR="004322B1" w:rsidRPr="00AD2F44" w:rsidRDefault="004322B1">
      <w:pPr>
        <w:pStyle w:val="14Footnote"/>
      </w:pPr>
      <w:r w:rsidRPr="00AD2F44">
        <w:rPr>
          <w:vertAlign w:val="superscript"/>
        </w:rPr>
        <w:footnoteRef/>
      </w:r>
      <w:r w:rsidRPr="00AD2F44">
        <w:t xml:space="preserve">Jane Roes 1-2 v. SFBSC Mgmt., LLC, 77 F. Supp. 3d 990, 997 (N.D. Cal. 2015). </w:t>
      </w:r>
    </w:p>
  </w:footnote>
  <w:footnote w:id="55">
    <w:p w14:paraId="00182E14" w14:textId="77777777" w:rsidR="004322B1" w:rsidRPr="00AD2F44" w:rsidRDefault="004322B1">
      <w:pPr>
        <w:pStyle w:val="14Footnote"/>
      </w:pPr>
      <w:r w:rsidRPr="00AD2F44">
        <w:rPr>
          <w:vertAlign w:val="superscript"/>
        </w:rPr>
        <w:footnoteRef/>
      </w:r>
      <w:r w:rsidRPr="00AD2F44">
        <w:t>29 U.S.C. §216(c). See Chapters 15, Department of Labor Enforcement and Remedies, §V [Department of Labor Actions for Back Wages], and 16, Litigation Issues, for a discussion of related topics.</w:t>
      </w:r>
    </w:p>
  </w:footnote>
  <w:footnote w:id="56">
    <w:p w14:paraId="3AAC588F" w14:textId="77777777" w:rsidR="004322B1" w:rsidRPr="00AD2F44" w:rsidRDefault="004322B1">
      <w:pPr>
        <w:pStyle w:val="14Footnote"/>
      </w:pPr>
      <w:r w:rsidRPr="00AD2F44">
        <w:rPr>
          <w:vertAlign w:val="superscript"/>
        </w:rPr>
        <w:footnoteRef/>
      </w:r>
      <w:r w:rsidRPr="00AD2F44">
        <w:t xml:space="preserve">29 U.S.C. §216(b), (c). </w:t>
      </w:r>
    </w:p>
    <w:p w14:paraId="00CE2EA3" w14:textId="77777777" w:rsidR="004322B1" w:rsidRPr="00AD2F44" w:rsidRDefault="004322B1">
      <w:pPr>
        <w:pStyle w:val="14Footnote"/>
      </w:pPr>
      <w:r w:rsidRPr="00AD2F44">
        <w:rPr>
          <w:i/>
        </w:rPr>
        <w:t xml:space="preserve">See, e.g., </w:t>
      </w:r>
    </w:p>
    <w:p w14:paraId="00DFC550" w14:textId="77777777" w:rsidR="004322B1" w:rsidRPr="00AD2F44" w:rsidRDefault="004322B1">
      <w:pPr>
        <w:pStyle w:val="14Footnote"/>
      </w:pPr>
      <w:r w:rsidRPr="00AD2F44">
        <w:rPr>
          <w:i/>
          <w:iCs/>
        </w:rPr>
        <w:t>First Circuit:</w:t>
      </w:r>
      <w:r w:rsidRPr="00AD2F44">
        <w:t xml:space="preserve"> Sanchez-Rosa v. Municipality of San Juan, 2020 BL 375080, 2020 WL 5821063 (D.P.R. Sept. 30, 2020) (dismissing suit by 37 of 58 plaintiffs and opt-in plaintiffs who signed releases and received payments in settlement of separate DOL overtime investigation but denying summary judgment as to remaining plaintiffs and opt-in plaintiffs who did not sign the release, who noted on their release that they did not waive their claims, or who noted that they signed against their will; finding question of material fact as to whether those releases constituted a bona fide waiver of FLSA claims). </w:t>
      </w:r>
    </w:p>
    <w:p w14:paraId="23A133FB" w14:textId="77777777" w:rsidR="004322B1" w:rsidRPr="00AD2F44" w:rsidRDefault="004322B1">
      <w:pPr>
        <w:pStyle w:val="14Footnote"/>
      </w:pPr>
      <w:r w:rsidRPr="00AD2F44">
        <w:rPr>
          <w:i/>
          <w:iCs/>
        </w:rPr>
        <w:t>Fourth Circuit:</w:t>
      </w:r>
      <w:r w:rsidRPr="00AD2F44">
        <w:t xml:space="preserve"> Jones v. American Window Cleaning Corp., 210 F. Supp. 921, 923, 15 WH Cases 639 (E.D. Va. 1962) (holding individual private cause of action barred by previously filed §217 injunction suit of Secretary naming him in complaint even though liquidated damages and attorneys’ fees sought by private plaintiff could not be awarded in Secretary’s suit).</w:t>
      </w:r>
    </w:p>
    <w:p w14:paraId="7A53DFB5" w14:textId="77777777" w:rsidR="004322B1" w:rsidRPr="00AD2F44" w:rsidRDefault="004322B1">
      <w:pPr>
        <w:pStyle w:val="14Footnote"/>
      </w:pPr>
      <w:r w:rsidRPr="00AD2F44">
        <w:rPr>
          <w:i/>
          <w:iCs/>
        </w:rPr>
        <w:t>Fifth Circuit:</w:t>
      </w:r>
      <w:r w:rsidRPr="00AD2F44">
        <w:t xml:space="preserve"> Donovan v. University of Tex. at El Paso, 643 F.2d 1201, 1207 (5th Cir. 1981); Reeves v. International Tel. &amp; Tel., 616 F.2d 342, 24 WH Cases 735 (5th Cir. 1980) (deeming intervention by Secretary six years after filing of private suit not untimely because substantial litigation of issues had not commenced).</w:t>
      </w:r>
    </w:p>
    <w:p w14:paraId="7EBA2B28" w14:textId="77777777" w:rsidR="004322B1" w:rsidRPr="00AD2F44" w:rsidRDefault="004322B1">
      <w:pPr>
        <w:pStyle w:val="14Footnote"/>
      </w:pPr>
      <w:r w:rsidRPr="00AD2F44">
        <w:rPr>
          <w:i/>
          <w:iCs/>
        </w:rPr>
        <w:t>Eighth Circuit:</w:t>
      </w:r>
      <w:r w:rsidRPr="00AD2F44">
        <w:t xml:space="preserve"> Barrentine v. Arkansas-Best Freight Sys., 750 F.2d 47, 51, 26 WH </w:t>
      </w:r>
      <w:r w:rsidRPr="00AD2F44">
        <w:rPr>
          <w:spacing w:val="-2"/>
        </w:rPr>
        <w:t>Cases 1663 (8th Cir. 1984) (explaining that only Secretary, not employees, may obtain prospective</w:t>
      </w:r>
      <w:r w:rsidRPr="00AD2F44">
        <w:t xml:space="preserve"> injunction against minimum wage or overtime violations in §216(b) suit, and even that authority terminates when Secretary files suit under §217).</w:t>
      </w:r>
    </w:p>
    <w:p w14:paraId="4716A4A0" w14:textId="77777777" w:rsidR="004322B1" w:rsidRPr="00AD2F44" w:rsidRDefault="004322B1">
      <w:pPr>
        <w:pStyle w:val="14Footnote"/>
      </w:pPr>
      <w:r w:rsidRPr="00AD2F44">
        <w:rPr>
          <w:i/>
          <w:iCs/>
        </w:rPr>
        <w:t>Ninth Circuit:</w:t>
      </w:r>
      <w:r w:rsidRPr="00AD2F44">
        <w:t xml:space="preserve"> Dent v. Cox Commc’ns Las Vegas, Inc., 502 F.3d 1141, 1147 (9th Cir. 2007) (“Notably, while the filing of a suit by the Secretary of Labor under 29 U.S.C. §216(c) (permitting actions to recover unpaid minimum wages or overtime compensation and liquidated damages by the Secretary) or §217 (permitting injunctions) automatically terminates an employee’s right to sue, the Secretary’s approval of a payment amount does not.”).</w:t>
      </w:r>
    </w:p>
    <w:p w14:paraId="4AB67B25" w14:textId="77777777" w:rsidR="004322B1" w:rsidRPr="00AD2F44" w:rsidRDefault="004322B1">
      <w:pPr>
        <w:pStyle w:val="14Footnote"/>
      </w:pPr>
      <w:r w:rsidRPr="00AD2F44">
        <w:rPr>
          <w:i/>
          <w:iCs/>
        </w:rPr>
        <w:t>Eleventh Circuit:</w:t>
      </w:r>
      <w:r w:rsidRPr="00AD2F44">
        <w:t xml:space="preserve"> Reynolds v. Mark Inns, 1982 WL 1984, 25 WH Cases 1021, 1022 (N.D. Ga. Mar. 25, 1982) (determining that Secretary’s suit and judgment entered before filing of private plaintiff’s suit covering same time period as Secretary’s suit extinguished private plaintiff’s claim, even though private plaintiff was not included among employees identified as entitled to recover in judgment and affidavit from Solicitor of Labor’s representative who handled previous suit indicated omission was not deliberate).</w:t>
      </w:r>
    </w:p>
  </w:footnote>
  <w:footnote w:id="57">
    <w:p w14:paraId="559F1F4B" w14:textId="77777777" w:rsidR="004322B1" w:rsidRPr="00AD2F44" w:rsidRDefault="004322B1">
      <w:pPr>
        <w:pStyle w:val="14Footnote"/>
      </w:pPr>
      <w:r w:rsidRPr="00AD2F44">
        <w:rPr>
          <w:vertAlign w:val="superscript"/>
        </w:rPr>
        <w:footnoteRef/>
      </w:r>
      <w:r w:rsidRPr="00AD2F44">
        <w:t xml:space="preserve">29 U.S.C. §216(b) requires that, in order for the suit to be barred, the previous suit by the Secretary must have been for unpaid wages or overtime “owing to such employee for such unpaid wages or overtime” for which the employer is liable. Suits for claims involving a time or an employer location not covered by the previous lawsuit are not barred. </w:t>
      </w:r>
      <w:r w:rsidRPr="00AD2F44">
        <w:rPr>
          <w:i/>
          <w:iCs/>
        </w:rPr>
        <w:t xml:space="preserve">See, e.g., </w:t>
      </w:r>
      <w:r w:rsidRPr="00AD2F44">
        <w:t xml:space="preserve">Padgett v. Kentucky Utils., 1978 WL 1614, at *3, 23 WH Cases 777, 779–80 (W.D. Ky. Jan. 25, 1978) (holding suit by individual employed in one office of employer not barred by previously settled suit for injunction covering violations at two other offices within state as evidenced by affidavit of DOL attorney and deposition of compliance officer involved; “It is doubtful that [§216(b)] contemplates that one suit brought by the Secretary to remedy a violation of the Act in a specific geographic area or for a designated class of employees would bar all employees in all geographic areas.”); Hyland v. Hudson Oil, 1983 WL 2117 (D. Or. Nov. 18, 1983) (permitting suit to proceed as to one-year period not covered by previous suit of Secretary). </w:t>
      </w:r>
      <w:r w:rsidRPr="00AD2F44">
        <w:rPr>
          <w:i/>
          <w:iCs/>
        </w:rPr>
        <w:t>But cf</w:t>
      </w:r>
      <w:r w:rsidRPr="00AD2F44">
        <w:t>. Reynolds v. Mark Inns, 1982 WL 1984, 25 WH Cases 1021, 1022 (N.D. Ga. 1982) (barring suit by individual within group covered by previous suit by Secretary despite apparent inadvertent omission from group for which wages were recovered).</w:t>
      </w:r>
    </w:p>
  </w:footnote>
  <w:footnote w:id="58">
    <w:p w14:paraId="54806CD1" w14:textId="77777777" w:rsidR="004322B1" w:rsidRPr="00AD2F44" w:rsidRDefault="004322B1">
      <w:pPr>
        <w:pStyle w:val="14Footnote"/>
      </w:pPr>
      <w:r w:rsidRPr="00AD2F44">
        <w:rPr>
          <w:vertAlign w:val="superscript"/>
        </w:rPr>
        <w:footnoteRef/>
      </w:r>
      <w:r w:rsidRPr="00AD2F44">
        <w:rPr>
          <w:i/>
        </w:rPr>
        <w:t>See, e.g.,</w:t>
      </w:r>
    </w:p>
    <w:p w14:paraId="5DDB6F55" w14:textId="77777777" w:rsidR="004322B1" w:rsidRPr="00AD2F44" w:rsidRDefault="004322B1">
      <w:pPr>
        <w:pStyle w:val="14Footnote"/>
      </w:pPr>
      <w:r w:rsidRPr="00A674E3">
        <w:rPr>
          <w:i/>
          <w:iCs/>
        </w:rPr>
        <w:t>Fifth Circuit: University of Texas,</w:t>
      </w:r>
      <w:r w:rsidRPr="00AD2F44">
        <w:t xml:space="preserve"> 643 F.2d at 1207.</w:t>
      </w:r>
    </w:p>
    <w:p w14:paraId="464AEED0" w14:textId="77777777" w:rsidR="004322B1" w:rsidRPr="00AD2F44" w:rsidRDefault="004322B1">
      <w:pPr>
        <w:pStyle w:val="14Footnote"/>
      </w:pPr>
      <w:r w:rsidRPr="00AD2F44">
        <w:rPr>
          <w:i/>
          <w:iCs/>
        </w:rPr>
        <w:t>Sixth Circuit:</w:t>
      </w:r>
      <w:r w:rsidRPr="00AD2F44">
        <w:t xml:space="preserve"> Pritchard v. Dent Wizard Int’l Corp., 210 F.R.D. 591 (S.D. Ohio 2002).</w:t>
      </w:r>
    </w:p>
    <w:p w14:paraId="43B880B9" w14:textId="77777777" w:rsidR="004322B1" w:rsidRPr="00AD2F44" w:rsidRDefault="004322B1">
      <w:pPr>
        <w:pStyle w:val="14Footnote"/>
      </w:pPr>
      <w:r w:rsidRPr="00AD2F44">
        <w:rPr>
          <w:i/>
          <w:iCs/>
        </w:rPr>
        <w:t>Seventh Circuit:</w:t>
      </w:r>
      <w:r w:rsidRPr="00AD2F44">
        <w:t xml:space="preserve"> Harrison v. Big Ridge, Inc., 2008 WL 3009884 (S.D. Ill. Aug. 4, 2008)</w:t>
      </w:r>
    </w:p>
  </w:footnote>
  <w:footnote w:id="59">
    <w:p w14:paraId="182F06E9" w14:textId="77777777" w:rsidR="004322B1" w:rsidRPr="00AD2F44" w:rsidRDefault="004322B1">
      <w:pPr>
        <w:pStyle w:val="14Footnote"/>
      </w:pPr>
      <w:r w:rsidRPr="00AD2F44">
        <w:rPr>
          <w:vertAlign w:val="superscript"/>
        </w:rPr>
        <w:footnoteRef/>
      </w:r>
      <w:r w:rsidRPr="00AD2F44">
        <w:rPr>
          <w:i/>
          <w:iCs/>
        </w:rPr>
        <w:t>See</w:t>
      </w:r>
      <w:r w:rsidRPr="00AD2F44">
        <w:t xml:space="preserve"> Bechtel Petroleum v. Webster, 636 F. Supp. 486, 495 n.2, 27 WH Cases 1292 (N.D. Cal. 1984), </w:t>
      </w:r>
      <w:r w:rsidRPr="00AD2F44">
        <w:rPr>
          <w:i/>
          <w:iCs/>
        </w:rPr>
        <w:t>aff’d</w:t>
      </w:r>
      <w:r w:rsidRPr="00AD2F44">
        <w:t xml:space="preserve">, 796 F.2d 252, 27 WH Cases 1305 (9th Cir. 1986), </w:t>
      </w:r>
      <w:r w:rsidRPr="00AD2F44">
        <w:rPr>
          <w:i/>
          <w:iCs/>
        </w:rPr>
        <w:t>cert. dismissed</w:t>
      </w:r>
      <w:r w:rsidRPr="00AD2F44">
        <w:t xml:space="preserve">, 481 U.S. 1065 (1987) (refusing to enjoin litigation brought for alleged violations of state wage hour law even though employer had settled all FLSA claims with the Secretary of Labor in a separate matter that was filed after the state litigation had commenced). </w:t>
      </w:r>
    </w:p>
  </w:footnote>
  <w:footnote w:id="60">
    <w:p w14:paraId="5F28D9FB" w14:textId="77777777" w:rsidR="004322B1" w:rsidRPr="00AD2F44" w:rsidRDefault="004322B1">
      <w:pPr>
        <w:pStyle w:val="14Footnote"/>
      </w:pPr>
      <w:r w:rsidRPr="00AD2F44">
        <w:rPr>
          <w:vertAlign w:val="superscript"/>
        </w:rPr>
        <w:footnoteRef/>
      </w:r>
      <w:r w:rsidRPr="00AD2F44">
        <w:rPr>
          <w:i/>
        </w:rPr>
        <w:t>See, e.g.,</w:t>
      </w:r>
    </w:p>
    <w:p w14:paraId="3D3F5B02" w14:textId="77777777" w:rsidR="004322B1" w:rsidRPr="00AD2F44" w:rsidRDefault="004322B1">
      <w:pPr>
        <w:pStyle w:val="14Footnote"/>
      </w:pPr>
      <w:r w:rsidRPr="00AD2F44">
        <w:rPr>
          <w:i/>
          <w:iCs/>
        </w:rPr>
        <w:t>First Circuit:</w:t>
      </w:r>
      <w:r w:rsidRPr="00AD2F44">
        <w:t xml:space="preserve"> Poreda v. Boise Cascade, LLC, 532 F. Supp. 2d 234, 238–39 (D. Mass. 2008); Trezvant v. Fidelity Emp. Servs. Corp., 434 F. Supp. 2d 40, 43 (D. Mass. 2006) (explaining that majority of courts addressing this issue in First Circuit have adopted “two-tier” approach).</w:t>
      </w:r>
    </w:p>
    <w:p w14:paraId="429339FD" w14:textId="77777777" w:rsidR="004322B1" w:rsidRPr="00AD2F44" w:rsidRDefault="004322B1">
      <w:pPr>
        <w:pStyle w:val="14Footnote"/>
      </w:pPr>
      <w:r w:rsidRPr="00AD2F44">
        <w:rPr>
          <w:i/>
          <w:iCs/>
        </w:rPr>
        <w:t>Second Circuit:</w:t>
      </w:r>
      <w:r w:rsidRPr="00AD2F44">
        <w:t xml:space="preserve"> Myers v. Hertz Corp., 624 F.3d 537, 554–55 (2d Cir. 2010).</w:t>
      </w:r>
    </w:p>
    <w:p w14:paraId="252465B8" w14:textId="77777777" w:rsidR="004322B1" w:rsidRPr="00AD2F44" w:rsidRDefault="004322B1">
      <w:pPr>
        <w:pStyle w:val="14Footnote"/>
      </w:pPr>
      <w:r w:rsidRPr="00AD2F44">
        <w:rPr>
          <w:i/>
          <w:iCs/>
        </w:rPr>
        <w:t>Third Circuit:</w:t>
      </w:r>
      <w:r w:rsidRPr="00AD2F44">
        <w:t xml:space="preserve"> Zavala v. Wal-Mart Stores Inc., 691 F.3d 527 535–37 (3d Cir. 2012).</w:t>
      </w:r>
    </w:p>
    <w:p w14:paraId="005F1046" w14:textId="77777777" w:rsidR="004322B1" w:rsidRPr="00AD2F44" w:rsidRDefault="004322B1">
      <w:pPr>
        <w:pStyle w:val="14Footnote"/>
      </w:pPr>
      <w:r w:rsidRPr="00AD2F44">
        <w:rPr>
          <w:i/>
          <w:iCs/>
        </w:rPr>
        <w:t>Fourth Circuit:</w:t>
      </w:r>
      <w:r w:rsidRPr="00AD2F44">
        <w:t xml:space="preserve"> Nolan v. Reliant Equity Inv’rs, LLC, 2009 WL 2461008, at *7 (N.D. W. Va. Aug. 10, 2009) (applying “two-step approach” used by many courts to evaluate certification); Choimbol v. Fairfield Resorts, Inc., 475 F. Supp. 2d 557, 562 (E.D. Va. 2006) (stating “federal precedent has developed a two-stage analysis”).</w:t>
      </w:r>
    </w:p>
    <w:p w14:paraId="5A000B65" w14:textId="77777777" w:rsidR="004322B1" w:rsidRPr="00AD2F44" w:rsidRDefault="004322B1">
      <w:pPr>
        <w:pStyle w:val="14Footnote"/>
      </w:pPr>
      <w:r w:rsidRPr="00AD2F44">
        <w:rPr>
          <w:i/>
          <w:iCs/>
        </w:rPr>
        <w:t>Sixth Circuit:</w:t>
      </w:r>
      <w:r w:rsidRPr="00AD2F44">
        <w:t xml:space="preserve"> Comer v. Wal-Mart Stores, Inc., 454 F.3d 544, 546–47 (6th Cir. 2006) (explaining courts typically use two-phase approach).</w:t>
      </w:r>
    </w:p>
    <w:p w14:paraId="4EC203D9" w14:textId="77777777" w:rsidR="004322B1" w:rsidRPr="00AD2F44" w:rsidRDefault="004322B1">
      <w:pPr>
        <w:pStyle w:val="14Footnote"/>
      </w:pPr>
      <w:r w:rsidRPr="00AD2F44">
        <w:rPr>
          <w:i/>
          <w:iCs/>
        </w:rPr>
        <w:t>Seventh Circuit:</w:t>
      </w:r>
      <w:r w:rsidRPr="00AD2F44">
        <w:t xml:space="preserve"> Heckler v. DK Funding, LLC, 502 F. Supp. 2d 777, 779 (N.D. Ill. 2007); Persin v. CareerBuilder, LLC, 2005 U.S. Dist. LEXIS 29727, at *4 (N.D. Ill. Nov. 23, 2005); Mielke v. Laidlaw Transit, Inc., 313 F. Supp. 2d 759, 762 (N.D. Ill. 2004) (explaining that majority of courts use two-stage method).</w:t>
      </w:r>
    </w:p>
    <w:p w14:paraId="041A821D" w14:textId="77777777" w:rsidR="004322B1" w:rsidRPr="00AD2F44" w:rsidRDefault="004322B1">
      <w:pPr>
        <w:pStyle w:val="14Footnote"/>
      </w:pPr>
      <w:r w:rsidRPr="00AD2F44">
        <w:rPr>
          <w:i/>
          <w:iCs/>
        </w:rPr>
        <w:t>Eighth Circuit:</w:t>
      </w:r>
      <w:r w:rsidRPr="00AD2F44">
        <w:t xml:space="preserve"> Getchman v. Pyramid Consulting, Inc., 2017 WL 713034, at *4 (E.D. Mo. Feb. 23, 2017) (relying on two-stage approach in evaluating conditional certification motion) (collecting cases);</w:t>
      </w:r>
      <w:r w:rsidRPr="00AD2F44">
        <w:rPr>
          <w:i/>
          <w:iCs/>
        </w:rPr>
        <w:t xml:space="preserve"> </w:t>
      </w:r>
      <w:r w:rsidRPr="00AD2F44">
        <w:t>Trogdon v. Kleenco Maint. &amp; Constr., Inc., 2015 WL 2345590, at *1–2 (W.D. Ark. May 15, 2015) (applying two-stage approach, collecting district court cases in Eighth Circuit that had done same); Salazar v. Agriprocessors, Inc., 2008 U.S. Dist. LEXIS 40363, at *13–14 (N.D. Iowa Mar. 17, 2008) (noting that although Eighth Circuit has not ruled on issue, no district court in Eighth Circuit had applied Rule 23 instead of two-stage approach).</w:t>
      </w:r>
    </w:p>
    <w:p w14:paraId="07FE43B1" w14:textId="77777777" w:rsidR="004322B1" w:rsidRPr="00AD2F44" w:rsidRDefault="004322B1">
      <w:pPr>
        <w:pStyle w:val="14Footnote"/>
      </w:pPr>
      <w:r w:rsidRPr="00AD2F44">
        <w:rPr>
          <w:i/>
          <w:iCs/>
        </w:rPr>
        <w:t>Ninth Circuit:</w:t>
      </w:r>
      <w:r w:rsidRPr="00AD2F44">
        <w:t xml:space="preserve"> Romero v. Producers Dairy Foods, Inc., 235 F.R.D. 474, 481–82 (E.D. Cal. 2006) (explaining majority of courts to address issue have adopted two-stage approach); Leuthold v. Destination Am., Inc., 224 F.R.D. 462, 466 (N.D. Cal. 2004) (same).</w:t>
      </w:r>
    </w:p>
    <w:p w14:paraId="407796C5" w14:textId="77777777" w:rsidR="004322B1" w:rsidRPr="00AD2F44" w:rsidRDefault="004322B1">
      <w:pPr>
        <w:pStyle w:val="14Footnote"/>
      </w:pPr>
      <w:r w:rsidRPr="00AD2F44">
        <w:rPr>
          <w:i/>
          <w:iCs/>
        </w:rPr>
        <w:t>Tenth Circuit:</w:t>
      </w:r>
      <w:r w:rsidRPr="00AD2F44">
        <w:t xml:space="preserve"> Thiessen v. GE Capital Corp., 267 F.3d 1095, 1104 (10th Cir. 2001) (approving the two-stage collective approach in the ADEA context); Renfro v. Spartan Computer Servs., 243 F.R.D. 431, 432 (D. Kan. 2007) (applying </w:t>
      </w:r>
      <w:r w:rsidRPr="00AD2F44">
        <w:rPr>
          <w:i/>
          <w:iCs/>
        </w:rPr>
        <w:t xml:space="preserve">Thiessen </w:t>
      </w:r>
      <w:r w:rsidRPr="00AD2F44">
        <w:t>in the FLSA context).</w:t>
      </w:r>
    </w:p>
    <w:p w14:paraId="46DFE99E" w14:textId="77777777" w:rsidR="004322B1" w:rsidRPr="00AD2F44" w:rsidRDefault="004322B1">
      <w:pPr>
        <w:pStyle w:val="14Footnote"/>
      </w:pPr>
      <w:r w:rsidRPr="00AD2F44">
        <w:rPr>
          <w:i/>
          <w:iCs/>
        </w:rPr>
        <w:t>Eleventh Circuit:</w:t>
      </w:r>
      <w:r w:rsidRPr="00AD2F44">
        <w:t xml:space="preserve"> Morgan v. Family Dollar Stores, Inc., 551 F.3d 1233 (11th Cir. 2008); Hipp v. Liberty Mut. Nat’l Ins. Co., 252 F.3d 1208, 1219 (11th Cir. 2001).</w:t>
      </w:r>
    </w:p>
    <w:p w14:paraId="17123B60" w14:textId="77777777" w:rsidR="004322B1" w:rsidRPr="00AD2F44" w:rsidRDefault="004322B1">
      <w:pPr>
        <w:pStyle w:val="14Footnote"/>
      </w:pPr>
      <w:r w:rsidRPr="00AD2F44">
        <w:rPr>
          <w:i/>
          <w:iCs/>
        </w:rPr>
        <w:t>D.C. Circuit:</w:t>
      </w:r>
      <w:r w:rsidRPr="00AD2F44">
        <w:t xml:space="preserve"> Stephens v. Farmers Rest. Grp., 291 F. Supp. 3d 95, 105 (D.D.C. 2018) (“In the absence of guidance from our Court of Appeals, courts in this Circuit have followed the lead of other federal courts in adopting a ‘two-stage inquiry for determining when a collective action is appropriate.’”) (citation omitted); Castillo v. P &amp; R Enters., Inc., 517 F. Supp. 2d 440, 445 (D.D.C. 2007) (explaining that courts generally proceed in two steps)</w:t>
      </w:r>
    </w:p>
  </w:footnote>
  <w:footnote w:id="61">
    <w:p w14:paraId="317C97B6" w14:textId="77777777" w:rsidR="004322B1" w:rsidRPr="00AD2F44" w:rsidRDefault="004322B1">
      <w:pPr>
        <w:pStyle w:val="14Footnote"/>
      </w:pPr>
      <w:r w:rsidRPr="00AD2F44">
        <w:rPr>
          <w:vertAlign w:val="superscript"/>
        </w:rPr>
        <w:footnoteRef/>
      </w:r>
      <w:r w:rsidRPr="00AD2F44">
        <w:rPr>
          <w:i/>
        </w:rPr>
        <w:t>See, e.g.,</w:t>
      </w:r>
    </w:p>
    <w:p w14:paraId="13D4DFAF" w14:textId="77777777" w:rsidR="004322B1" w:rsidRPr="00AD2F44" w:rsidRDefault="004322B1">
      <w:pPr>
        <w:pStyle w:val="14Footnote"/>
      </w:pPr>
      <w:r w:rsidRPr="00AD2F44">
        <w:rPr>
          <w:i/>
          <w:iCs/>
        </w:rPr>
        <w:t>First Circuit:</w:t>
      </w:r>
      <w:r w:rsidRPr="00AD2F44">
        <w:t xml:space="preserve"> </w:t>
      </w:r>
      <w:r w:rsidRPr="00AD2F44">
        <w:rPr>
          <w:i/>
          <w:iCs/>
        </w:rPr>
        <w:t>Trezvant</w:t>
      </w:r>
      <w:r w:rsidRPr="00AD2F44">
        <w:t>, 434 F. Supp. 2d at 42–43.</w:t>
      </w:r>
    </w:p>
    <w:p w14:paraId="689609C0" w14:textId="77777777" w:rsidR="004322B1" w:rsidRPr="00AD2F44" w:rsidRDefault="004322B1">
      <w:pPr>
        <w:pStyle w:val="14Footnote"/>
      </w:pPr>
      <w:r w:rsidRPr="00AD2F44">
        <w:rPr>
          <w:i/>
          <w:iCs/>
        </w:rPr>
        <w:t>Second Circuit:</w:t>
      </w:r>
      <w:r w:rsidRPr="00AD2F44">
        <w:t xml:space="preserve"> </w:t>
      </w:r>
      <w:r w:rsidRPr="00AD2F44">
        <w:rPr>
          <w:i/>
          <w:iCs/>
        </w:rPr>
        <w:t>Myers</w:t>
      </w:r>
      <w:r w:rsidRPr="00AD2F44">
        <w:t>, 624 F.3d at 554–55 (noting that the FLSA does not require the two-step process).</w:t>
      </w:r>
    </w:p>
    <w:p w14:paraId="5F00E809" w14:textId="77777777" w:rsidR="004322B1" w:rsidRPr="00AD2F44" w:rsidRDefault="004322B1">
      <w:pPr>
        <w:pStyle w:val="14Footnote"/>
      </w:pPr>
      <w:r w:rsidRPr="00AD2F44">
        <w:rPr>
          <w:i/>
          <w:iCs/>
        </w:rPr>
        <w:t>Third Circuit:</w:t>
      </w:r>
      <w:r w:rsidRPr="00AD2F44">
        <w:t xml:space="preserve"> </w:t>
      </w:r>
      <w:r w:rsidRPr="00AD2F44">
        <w:rPr>
          <w:i/>
          <w:iCs/>
        </w:rPr>
        <w:t>Zavala</w:t>
      </w:r>
      <w:r w:rsidRPr="00AD2F44">
        <w:t>, 691 F.3d at 535–37.</w:t>
      </w:r>
    </w:p>
    <w:p w14:paraId="40D28094" w14:textId="77777777" w:rsidR="004322B1" w:rsidRPr="00AD2F44" w:rsidRDefault="004322B1">
      <w:pPr>
        <w:pStyle w:val="14Footnote"/>
      </w:pPr>
      <w:r w:rsidRPr="00AD2F44">
        <w:rPr>
          <w:i/>
          <w:iCs/>
        </w:rPr>
        <w:t>Ninth Circuit:</w:t>
      </w:r>
      <w:r w:rsidRPr="00AD2F44">
        <w:t xml:space="preserve"> </w:t>
      </w:r>
      <w:r w:rsidRPr="00AD2F44">
        <w:rPr>
          <w:i/>
          <w:iCs/>
        </w:rPr>
        <w:t>Romero</w:t>
      </w:r>
      <w:r w:rsidRPr="00AD2F44">
        <w:t>, 235 F.R.D. at 481.</w:t>
      </w:r>
    </w:p>
    <w:p w14:paraId="669B8967" w14:textId="77777777" w:rsidR="004322B1" w:rsidRPr="00A674E3" w:rsidRDefault="004322B1">
      <w:pPr>
        <w:pStyle w:val="14Footnote"/>
        <w:rPr>
          <w:i/>
          <w:iCs/>
        </w:rPr>
      </w:pPr>
      <w:r w:rsidRPr="00AD2F44">
        <w:rPr>
          <w:i/>
          <w:iCs/>
        </w:rPr>
        <w:t>Tenth Circuit:</w:t>
      </w:r>
      <w:r w:rsidRPr="00AD2F44">
        <w:t xml:space="preserve"> Turner v. Chipotle Mexican Grill, Inc.,</w:t>
      </w:r>
      <w:r w:rsidRPr="00AD2F44">
        <w:rPr>
          <w:i/>
          <w:iCs/>
        </w:rPr>
        <w:t xml:space="preserve"> </w:t>
      </w:r>
      <w:r w:rsidRPr="00AD2F44">
        <w:t>123 F. Supp. 3d 1300, 1302 (D. Colo. 2015) (holding that “a proper reading of the FLSA at this stage of collective action proceedings requires little more than the permissive joinder of putative class members” and “reject[ing] the premise that collective action certification under 29 U.S.C. §216(b) must hew to the formalities of a two-step ‘certification’”),</w:t>
      </w:r>
      <w:r w:rsidRPr="00AD2F44">
        <w:rPr>
          <w:i/>
          <w:iCs/>
        </w:rPr>
        <w:t xml:space="preserve"> aff’d on mandamus</w:t>
      </w:r>
      <w:r w:rsidRPr="00AD2F44">
        <w:t xml:space="preserve">, </w:t>
      </w:r>
      <w:r w:rsidRPr="00AD2F44">
        <w:rPr>
          <w:i/>
          <w:iCs/>
        </w:rPr>
        <w:t>In re</w:t>
      </w:r>
      <w:r w:rsidRPr="00AD2F44">
        <w:t xml:space="preserve"> Chipotle Mexican Grill, Inc., 2017 WL 4054144, at *2 (10th Cir. Mar. 27, 2017) (“nothing in </w:t>
      </w:r>
      <w:r w:rsidRPr="00AD2F44">
        <w:rPr>
          <w:i/>
          <w:iCs/>
        </w:rPr>
        <w:t>Thiessen</w:t>
      </w:r>
      <w:r w:rsidRPr="00AD2F44">
        <w:t xml:space="preserve">[, 267 F.3d 1095,] proscribes the district court from following the spurious approach consistent with §216(b), leaving Chipotle without a ‘clear and indisputable’ right on which to base its request for mandamus relief”). </w:t>
      </w:r>
      <w:r w:rsidRPr="00AD2F44">
        <w:rPr>
          <w:i/>
          <w:iCs/>
        </w:rPr>
        <w:t xml:space="preserve">But cf. </w:t>
      </w:r>
      <w:r w:rsidRPr="00AD2F44">
        <w:t xml:space="preserve">Quint v. Vail Resorts, Inc., 2022 BL 248850, 2022 WL 2753637, at *4 (D. Colo. Feb. 21, 2022) (rejecting argument that “this District” had “dispensed with conditional certification,” noting that it was not bound by </w:t>
      </w:r>
      <w:r w:rsidRPr="00AD2F44">
        <w:rPr>
          <w:i/>
          <w:iCs/>
        </w:rPr>
        <w:t>Turner</w:t>
      </w:r>
      <w:r w:rsidRPr="00AD2F44">
        <w:t xml:space="preserve">, other district cases had disagreed with </w:t>
      </w:r>
      <w:r w:rsidRPr="00AD2F44">
        <w:rPr>
          <w:i/>
          <w:iCs/>
        </w:rPr>
        <w:t xml:space="preserve">Turner, </w:t>
      </w:r>
      <w:r w:rsidRPr="00AD2F44">
        <w:t xml:space="preserve">and following the two-step approach “endorsed by </w:t>
      </w:r>
      <w:r w:rsidRPr="00AD2F44">
        <w:rPr>
          <w:i/>
          <w:iCs/>
        </w:rPr>
        <w:t>Thiessen</w:t>
      </w:r>
      <w:r w:rsidRPr="00AD2F44">
        <w:t xml:space="preserve">”). </w:t>
      </w:r>
    </w:p>
    <w:p w14:paraId="77F313E0" w14:textId="77777777" w:rsidR="004322B1" w:rsidRPr="00AD2F44" w:rsidRDefault="004322B1">
      <w:pPr>
        <w:pStyle w:val="14Footnote"/>
      </w:pPr>
      <w:r w:rsidRPr="00A674E3">
        <w:rPr>
          <w:i/>
          <w:iCs/>
        </w:rPr>
        <w:t>Eleventh Circuit:</w:t>
      </w:r>
      <w:r w:rsidRPr="00AD2F44">
        <w:t xml:space="preserve"> Hipp, 252 F.3d at 1219.</w:t>
      </w:r>
    </w:p>
  </w:footnote>
  <w:footnote w:id="62">
    <w:p w14:paraId="434E61F3" w14:textId="77777777" w:rsidR="004322B1" w:rsidRPr="00AD2F44" w:rsidRDefault="004322B1">
      <w:pPr>
        <w:pStyle w:val="14Footnote"/>
      </w:pPr>
      <w:r w:rsidRPr="00AD2F44">
        <w:rPr>
          <w:vertAlign w:val="superscript"/>
        </w:rPr>
        <w:footnoteRef/>
      </w:r>
      <w:r w:rsidRPr="00AD2F44">
        <w:rPr>
          <w:i/>
        </w:rPr>
        <w:t xml:space="preserve">See, e.g., </w:t>
      </w:r>
    </w:p>
    <w:p w14:paraId="31107E92" w14:textId="77777777" w:rsidR="004322B1" w:rsidRPr="00AD2F44" w:rsidRDefault="004322B1">
      <w:pPr>
        <w:pStyle w:val="14Footnote"/>
      </w:pPr>
      <w:r w:rsidRPr="00AD2F44">
        <w:rPr>
          <w:i/>
          <w:iCs/>
        </w:rPr>
        <w:t>First Circuit:</w:t>
      </w:r>
      <w:r w:rsidRPr="00AD2F44">
        <w:t xml:space="preserve"> Kane v. Gage Merch. Servs., Inc., 138 F. Supp. 2d 212, 214 (D. Mass. 2001).</w:t>
      </w:r>
    </w:p>
    <w:p w14:paraId="60D471F7" w14:textId="77777777" w:rsidR="004322B1" w:rsidRPr="00AD2F44" w:rsidRDefault="004322B1">
      <w:pPr>
        <w:pStyle w:val="14Footnote"/>
      </w:pPr>
      <w:r w:rsidRPr="00AD2F44">
        <w:rPr>
          <w:i/>
          <w:iCs/>
        </w:rPr>
        <w:t>Second Circuit:</w:t>
      </w:r>
      <w:r w:rsidRPr="00AD2F44">
        <w:t xml:space="preserve"> Guzman v. VLM, Inc., 2007 WL 2994278 (E.D.N.Y. Oct. 11, 2007).</w:t>
      </w:r>
    </w:p>
    <w:p w14:paraId="51250325" w14:textId="77777777" w:rsidR="004322B1" w:rsidRPr="00AD2F44" w:rsidRDefault="004322B1">
      <w:pPr>
        <w:pStyle w:val="14Footnote"/>
      </w:pPr>
      <w:r w:rsidRPr="00AD2F44">
        <w:rPr>
          <w:i/>
          <w:iCs/>
        </w:rPr>
        <w:t>Fourth Circuit:</w:t>
      </w:r>
      <w:r w:rsidRPr="00AD2F44">
        <w:t xml:space="preserve"> </w:t>
      </w:r>
      <w:r w:rsidRPr="00AD2F44">
        <w:rPr>
          <w:i/>
          <w:iCs/>
        </w:rPr>
        <w:t>Choimbol</w:t>
      </w:r>
      <w:r w:rsidRPr="00AD2F44">
        <w:t>, 475 F. Supp. 2d at 562.</w:t>
      </w:r>
    </w:p>
    <w:p w14:paraId="13F68A4C" w14:textId="77777777" w:rsidR="004322B1" w:rsidRPr="00AD2F44" w:rsidRDefault="004322B1">
      <w:pPr>
        <w:pStyle w:val="14Footnote"/>
      </w:pPr>
      <w:r w:rsidRPr="00AD2F44">
        <w:rPr>
          <w:i/>
          <w:iCs/>
        </w:rPr>
        <w:t>Eighth Circuit:</w:t>
      </w:r>
      <w:r w:rsidRPr="00AD2F44">
        <w:t xml:space="preserve"> </w:t>
      </w:r>
      <w:r w:rsidRPr="00AD2F44">
        <w:rPr>
          <w:i/>
          <w:iCs/>
        </w:rPr>
        <w:t>Getchman</w:t>
      </w:r>
      <w:r w:rsidRPr="00AD2F44">
        <w:t>, 2017 WL 713034, at *4.</w:t>
      </w:r>
    </w:p>
    <w:p w14:paraId="74242FA4" w14:textId="77777777" w:rsidR="004322B1" w:rsidRPr="00AD2F44" w:rsidRDefault="004322B1">
      <w:pPr>
        <w:pStyle w:val="14Footnote"/>
      </w:pPr>
      <w:r w:rsidRPr="00AD2F44">
        <w:rPr>
          <w:i/>
          <w:iCs/>
        </w:rPr>
        <w:t>Ninth Circuit:</w:t>
      </w:r>
      <w:r w:rsidRPr="00AD2F44">
        <w:t xml:space="preserve"> Morden v. T-Mobile USA, Inc., 2006 U.S. Dist. LEXIS 68696, at *6 (W.D. Wash. Sept. 12, 2006); Gerlach v. Wells Fargo &amp; Co., 2006 U.S. Dist. LEXIS 24823, at *6 (N.D. Cal. Mar. 28, 2006).</w:t>
      </w:r>
    </w:p>
    <w:p w14:paraId="2B44A2F6" w14:textId="77777777" w:rsidR="004322B1" w:rsidRPr="00AD2F44" w:rsidRDefault="004322B1">
      <w:pPr>
        <w:pStyle w:val="14Footnote"/>
      </w:pPr>
      <w:r w:rsidRPr="00A674E3">
        <w:rPr>
          <w:i/>
          <w:iCs/>
        </w:rPr>
        <w:t>Tenth Circuit: Thiessen,</w:t>
      </w:r>
      <w:r w:rsidRPr="00AD2F44">
        <w:t xml:space="preserve"> 267 F.3d at 1102.</w:t>
      </w:r>
    </w:p>
    <w:p w14:paraId="032C7EEE" w14:textId="77777777" w:rsidR="004322B1" w:rsidRPr="00AD2F44" w:rsidRDefault="004322B1">
      <w:pPr>
        <w:pStyle w:val="14Footnote"/>
      </w:pPr>
      <w:r w:rsidRPr="00AD2F44">
        <w:rPr>
          <w:i/>
          <w:iCs/>
        </w:rPr>
        <w:t>Eleventh Circuit:</w:t>
      </w:r>
      <w:r w:rsidRPr="00AD2F44">
        <w:t xml:space="preserve"> Cameron-Grant v. Maxim Healthcare Serv., Inc., 347 F.3d 1240, 1243 (11th Cir. 2003); </w:t>
      </w:r>
      <w:r w:rsidRPr="00AD2F44">
        <w:rPr>
          <w:i/>
          <w:iCs/>
        </w:rPr>
        <w:t>Hipp</w:t>
      </w:r>
      <w:r w:rsidRPr="00AD2F44">
        <w:t>, 252 F.3d at 1218.</w:t>
      </w:r>
    </w:p>
    <w:p w14:paraId="5D0E0F7B" w14:textId="77777777" w:rsidR="004322B1" w:rsidRPr="00AD2F44" w:rsidRDefault="004322B1">
      <w:pPr>
        <w:pStyle w:val="14Footnote"/>
      </w:pPr>
      <w:r w:rsidRPr="00AD2F44">
        <w:rPr>
          <w:i/>
          <w:iCs/>
        </w:rPr>
        <w:t>D.C. Circuit:</w:t>
      </w:r>
      <w:r w:rsidRPr="00AD2F44">
        <w:t xml:space="preserve"> </w:t>
      </w:r>
      <w:r w:rsidRPr="00AD2F44">
        <w:rPr>
          <w:i/>
          <w:iCs/>
        </w:rPr>
        <w:t>Castillo</w:t>
      </w:r>
      <w:r w:rsidRPr="00AD2F44">
        <w:t>, 517 F. Supp. 2d at 445 (explaining that courts generally proceed in two steps, but District of Columbia Circuit has not opined regarding proper procedure for certifying collective action under §216(b)).</w:t>
      </w:r>
    </w:p>
  </w:footnote>
  <w:footnote w:id="63">
    <w:p w14:paraId="7F74C32A" w14:textId="77777777" w:rsidR="004322B1" w:rsidRPr="00AD2F44" w:rsidRDefault="004322B1">
      <w:pPr>
        <w:pStyle w:val="14Footnote"/>
      </w:pPr>
      <w:r w:rsidRPr="00AD2F44">
        <w:rPr>
          <w:vertAlign w:val="superscript"/>
        </w:rPr>
        <w:footnoteRef/>
      </w:r>
      <w:r w:rsidRPr="00AD2F44">
        <w:rPr>
          <w:i/>
        </w:rPr>
        <w:t xml:space="preserve">See, e.g., </w:t>
      </w:r>
    </w:p>
    <w:p w14:paraId="3D701F2A" w14:textId="77777777" w:rsidR="004322B1" w:rsidRPr="00AD2F44" w:rsidRDefault="004322B1">
      <w:pPr>
        <w:pStyle w:val="14Footnote"/>
      </w:pPr>
      <w:r w:rsidRPr="00AD2F44">
        <w:rPr>
          <w:i/>
          <w:iCs/>
        </w:rPr>
        <w:t>Second Circuit:</w:t>
      </w:r>
      <w:r w:rsidRPr="00AD2F44">
        <w:t xml:space="preserve"> Guzman v. VLM, Inc., 2008 WL 597186 (E.D.N.Y. Mar. 2, 2008).</w:t>
      </w:r>
    </w:p>
    <w:p w14:paraId="1168604F" w14:textId="77777777" w:rsidR="004322B1" w:rsidRPr="00AD2F44" w:rsidRDefault="004322B1">
      <w:pPr>
        <w:pStyle w:val="14Footnote"/>
      </w:pPr>
      <w:r w:rsidRPr="00AD2F44">
        <w:rPr>
          <w:i/>
          <w:iCs/>
        </w:rPr>
        <w:t>Fourth Circuit:</w:t>
      </w:r>
      <w:r w:rsidRPr="00AD2F44">
        <w:t xml:space="preserve"> Quinteros v. Sparkle Cleaning, Inc., 532 F. Supp. 2d 762, 772 n.5 (D. Md. 2008).</w:t>
      </w:r>
    </w:p>
    <w:p w14:paraId="6C436634" w14:textId="77777777" w:rsidR="004322B1" w:rsidRPr="00AD2F44" w:rsidRDefault="004322B1">
      <w:pPr>
        <w:pStyle w:val="14Footnote"/>
      </w:pPr>
      <w:r w:rsidRPr="00AD2F44">
        <w:rPr>
          <w:i/>
          <w:iCs/>
        </w:rPr>
        <w:t>Sixth Circuit:</w:t>
      </w:r>
      <w:r w:rsidRPr="00AD2F44">
        <w:t xml:space="preserve"> Crawford v. Lexington-Fayette Urban Cnty. Gov’t, 2007 U.S. Dist. LEXIS 6711, at *14 (E.D. Ky. Jan. 26, 2007); Harrison v. McDonald’s Corp., 411 F. Supp. 2d 862, 865 (S.D. Ohio 2005).</w:t>
      </w:r>
    </w:p>
    <w:p w14:paraId="70B4B8DF" w14:textId="77777777" w:rsidR="004322B1" w:rsidRPr="00AD2F44" w:rsidRDefault="004322B1">
      <w:pPr>
        <w:pStyle w:val="14Footnote"/>
      </w:pPr>
      <w:r w:rsidRPr="00AD2F44">
        <w:rPr>
          <w:i/>
          <w:iCs/>
        </w:rPr>
        <w:t>Seventh Circuit:</w:t>
      </w:r>
      <w:r w:rsidRPr="00AD2F44">
        <w:t xml:space="preserve"> Persin v. CareerBuilder, LLC, 2005 U.S. Dist. LEXIS 29727, at *4 (N.D. Ill. Nov. 23, 2005).</w:t>
      </w:r>
    </w:p>
    <w:p w14:paraId="60253713" w14:textId="77777777" w:rsidR="004322B1" w:rsidRPr="00AD2F44" w:rsidRDefault="004322B1">
      <w:pPr>
        <w:pStyle w:val="14Footnote"/>
      </w:pPr>
      <w:r w:rsidRPr="00AD2F44">
        <w:rPr>
          <w:i/>
          <w:iCs/>
        </w:rPr>
        <w:t>Eighth Circuit:</w:t>
      </w:r>
      <w:r w:rsidRPr="00AD2F44">
        <w:t xml:space="preserve"> </w:t>
      </w:r>
      <w:r w:rsidRPr="00AD2F44">
        <w:rPr>
          <w:i/>
          <w:iCs/>
        </w:rPr>
        <w:t>Getchman</w:t>
      </w:r>
      <w:r w:rsidRPr="00AD2F44">
        <w:t>, 2017 WL 713034, at *4.</w:t>
      </w:r>
    </w:p>
    <w:p w14:paraId="0EBEBBAE" w14:textId="77777777" w:rsidR="004322B1" w:rsidRPr="00AD2F44" w:rsidRDefault="004322B1">
      <w:pPr>
        <w:pStyle w:val="14Footnote"/>
      </w:pPr>
      <w:r w:rsidRPr="00AD2F44">
        <w:rPr>
          <w:i/>
          <w:iCs/>
        </w:rPr>
        <w:t>Ninth Circuit:</w:t>
      </w:r>
      <w:r w:rsidRPr="00AD2F44">
        <w:t xml:space="preserve"> Edwards v. City of Long Beach, 467 F. Supp. 2d 986, 990 (C.D. Cal. 2006).</w:t>
      </w:r>
    </w:p>
    <w:p w14:paraId="4632CBA4" w14:textId="77777777" w:rsidR="004322B1" w:rsidRPr="00AD2F44" w:rsidRDefault="004322B1">
      <w:pPr>
        <w:pStyle w:val="14Footnote"/>
      </w:pPr>
      <w:r w:rsidRPr="00AD2F44">
        <w:rPr>
          <w:i/>
          <w:iCs/>
        </w:rPr>
        <w:t>Eleventh Circuit:</w:t>
      </w:r>
      <w:r w:rsidRPr="00AD2F44">
        <w:t xml:space="preserve"> Simpkins v. Pulte Home Corp., 2008 U.S. Dist. LEXIS 64270, at *27 (M.D. Fla. Aug. 21, 2008); Reed v. Mobile Cnty. Sch. Sys., 246 F. Supp. 2d 1227, 1231 n.6 (S.D. Ala. 2003). </w:t>
      </w:r>
    </w:p>
  </w:footnote>
  <w:footnote w:id="64">
    <w:p w14:paraId="25BB2CB8" w14:textId="77777777" w:rsidR="004322B1" w:rsidRPr="00AD2F44" w:rsidRDefault="004322B1">
      <w:pPr>
        <w:pStyle w:val="14Footnote"/>
      </w:pPr>
      <w:r w:rsidRPr="00AD2F44">
        <w:rPr>
          <w:vertAlign w:val="superscript"/>
        </w:rPr>
        <w:footnoteRef/>
      </w:r>
      <w:r w:rsidRPr="00AD2F44">
        <w:rPr>
          <w:i/>
        </w:rPr>
        <w:t>See, e.g.,</w:t>
      </w:r>
    </w:p>
    <w:p w14:paraId="18AF5607" w14:textId="77777777" w:rsidR="004322B1" w:rsidRPr="00AD2F44" w:rsidRDefault="004322B1">
      <w:pPr>
        <w:pStyle w:val="14Footnote"/>
      </w:pPr>
      <w:r w:rsidRPr="00AD2F44">
        <w:rPr>
          <w:i/>
          <w:iCs/>
        </w:rPr>
        <w:t>First Circuit:</w:t>
      </w:r>
      <w:r w:rsidRPr="00AD2F44">
        <w:t xml:space="preserve"> </w:t>
      </w:r>
      <w:r w:rsidRPr="00AD2F44">
        <w:rPr>
          <w:i/>
          <w:iCs/>
        </w:rPr>
        <w:t>Trezvant</w:t>
      </w:r>
      <w:r w:rsidRPr="00AD2F44">
        <w:t>, 434 F. Supp. 2d at 43.</w:t>
      </w:r>
    </w:p>
    <w:p w14:paraId="19841373" w14:textId="77777777" w:rsidR="004322B1" w:rsidRPr="00AD2F44" w:rsidRDefault="004322B1">
      <w:pPr>
        <w:pStyle w:val="14Footnote"/>
        <w:rPr>
          <w:lang w:val="fr-FR"/>
        </w:rPr>
      </w:pPr>
      <w:r w:rsidRPr="00AD2F44">
        <w:rPr>
          <w:i/>
          <w:iCs/>
          <w:lang w:val="fr-FR"/>
        </w:rPr>
        <w:t>Second Circuit:</w:t>
      </w:r>
      <w:r w:rsidRPr="00AD2F44">
        <w:rPr>
          <w:lang w:val="fr-FR"/>
        </w:rPr>
        <w:t xml:space="preserve"> Laroque v. Domino’s Pizza, LLC, 557 F. Supp. 2d 346, 352 (E.D.N.Y. 2008).</w:t>
      </w:r>
    </w:p>
    <w:p w14:paraId="7AEAF27F" w14:textId="77777777" w:rsidR="004322B1" w:rsidRPr="00AD2F44" w:rsidRDefault="004322B1">
      <w:pPr>
        <w:pStyle w:val="14Footnote"/>
      </w:pPr>
      <w:r w:rsidRPr="00AD2F44">
        <w:rPr>
          <w:i/>
          <w:iCs/>
        </w:rPr>
        <w:t>Third Circuit:</w:t>
      </w:r>
      <w:r w:rsidRPr="00AD2F44">
        <w:t xml:space="preserve"> De Asencio v. Tyson Foods, Inc., 130 F. Supp. 2d 660, 662–63 (E.D. Pa. 2001), </w:t>
      </w:r>
      <w:r w:rsidRPr="00AD2F44">
        <w:rPr>
          <w:i/>
          <w:iCs/>
        </w:rPr>
        <w:t>rev’d on other grounds</w:t>
      </w:r>
      <w:r w:rsidRPr="00AD2F44">
        <w:t>, 342 F.3d 301 (3d Cir. 2003).</w:t>
      </w:r>
    </w:p>
    <w:p w14:paraId="2265FC88" w14:textId="77777777" w:rsidR="004322B1" w:rsidRPr="00AD2F44" w:rsidRDefault="004322B1">
      <w:pPr>
        <w:pStyle w:val="14Footnote"/>
      </w:pPr>
      <w:r w:rsidRPr="00AD2F44">
        <w:rPr>
          <w:i/>
          <w:iCs/>
        </w:rPr>
        <w:t>Sixth Circuit:</w:t>
      </w:r>
      <w:r w:rsidRPr="00AD2F44">
        <w:t xml:space="preserve"> White v. MPW Indus. Serv., Inc., 236 F.R.D. 363, 366 (E.D. Tenn. 2006).</w:t>
      </w:r>
    </w:p>
    <w:p w14:paraId="3D95B3C4" w14:textId="77777777" w:rsidR="004322B1" w:rsidRPr="00AD2F44" w:rsidRDefault="004322B1">
      <w:pPr>
        <w:pStyle w:val="14Footnote"/>
      </w:pPr>
      <w:r w:rsidRPr="00AD2F44">
        <w:rPr>
          <w:i/>
          <w:iCs/>
        </w:rPr>
        <w:t>Eighth Circuit:</w:t>
      </w:r>
      <w:r w:rsidRPr="00AD2F44">
        <w:t xml:space="preserve"> </w:t>
      </w:r>
      <w:r w:rsidRPr="00AD2F44">
        <w:rPr>
          <w:i/>
          <w:iCs/>
        </w:rPr>
        <w:t>Getchman</w:t>
      </w:r>
      <w:r w:rsidRPr="00AD2F44">
        <w:t xml:space="preserve">, 2017 WL 713034, at *4. </w:t>
      </w:r>
    </w:p>
    <w:p w14:paraId="331E2F2F" w14:textId="77777777" w:rsidR="004322B1" w:rsidRPr="00AD2F44" w:rsidRDefault="004322B1">
      <w:pPr>
        <w:pStyle w:val="14Footnote"/>
      </w:pPr>
      <w:r w:rsidRPr="00AD2F44">
        <w:rPr>
          <w:i/>
          <w:iCs/>
        </w:rPr>
        <w:t>Ninth Circuit:</w:t>
      </w:r>
      <w:r w:rsidRPr="00AD2F44">
        <w:t xml:space="preserve"> </w:t>
      </w:r>
      <w:r w:rsidRPr="00AD2F44">
        <w:rPr>
          <w:i/>
          <w:iCs/>
        </w:rPr>
        <w:t>Edwards</w:t>
      </w:r>
      <w:r w:rsidRPr="00AD2F44">
        <w:t>, 467 F. Supp. 2d at 990; Gerlach v. Wells Fargo &amp; Co., 2006 U.S. Dist. LEXIS 24823, at *6 (N.D. Cal. Mar. 28, 2006).</w:t>
      </w:r>
    </w:p>
    <w:p w14:paraId="2804F4C5" w14:textId="77777777" w:rsidR="004322B1" w:rsidRPr="00AD2F44" w:rsidRDefault="004322B1">
      <w:pPr>
        <w:pStyle w:val="14Footnote"/>
      </w:pPr>
      <w:r w:rsidRPr="00AD2F44">
        <w:rPr>
          <w:i/>
          <w:iCs/>
        </w:rPr>
        <w:t>Eleventh Circuit:</w:t>
      </w:r>
      <w:r w:rsidRPr="00AD2F44">
        <w:t xml:space="preserve"> </w:t>
      </w:r>
      <w:r w:rsidRPr="00AD2F44">
        <w:rPr>
          <w:i/>
          <w:iCs/>
        </w:rPr>
        <w:t>Cameron-Grant</w:t>
      </w:r>
      <w:r w:rsidRPr="00AD2F44">
        <w:t xml:space="preserve">, 347 F.3d at 1243; </w:t>
      </w:r>
      <w:r w:rsidRPr="00AD2F44">
        <w:rPr>
          <w:i/>
          <w:iCs/>
        </w:rPr>
        <w:t>Hipp</w:t>
      </w:r>
      <w:r w:rsidRPr="00AD2F44">
        <w:t>, 252 F.3d at 1218.</w:t>
      </w:r>
    </w:p>
  </w:footnote>
  <w:footnote w:id="65">
    <w:p w14:paraId="612EE31C" w14:textId="77777777" w:rsidR="004322B1" w:rsidRPr="00AD2F44" w:rsidRDefault="004322B1">
      <w:pPr>
        <w:pStyle w:val="14Footnote"/>
      </w:pPr>
      <w:r w:rsidRPr="00AD2F44">
        <w:rPr>
          <w:vertAlign w:val="superscript"/>
        </w:rPr>
        <w:footnoteRef/>
      </w:r>
      <w:r w:rsidRPr="00AD2F44">
        <w:rPr>
          <w:i/>
          <w:iCs/>
        </w:rPr>
        <w:t>First Circuit:</w:t>
      </w:r>
      <w:r w:rsidRPr="00AD2F44">
        <w:t xml:space="preserve"> </w:t>
      </w:r>
      <w:r w:rsidRPr="00AD2F44">
        <w:rPr>
          <w:i/>
          <w:iCs/>
        </w:rPr>
        <w:t>Trezvant</w:t>
      </w:r>
      <w:r w:rsidRPr="00AD2F44">
        <w:t>, 434 F. Supp. 2d at 43.</w:t>
      </w:r>
    </w:p>
    <w:p w14:paraId="5ECB9631" w14:textId="77777777" w:rsidR="004322B1" w:rsidRPr="00AD2F44" w:rsidRDefault="004322B1">
      <w:pPr>
        <w:pStyle w:val="14Footnote"/>
      </w:pPr>
      <w:r w:rsidRPr="00AD2F44">
        <w:rPr>
          <w:i/>
          <w:iCs/>
        </w:rPr>
        <w:t>Second Circuit:</w:t>
      </w:r>
      <w:r w:rsidRPr="00AD2F44">
        <w:t xml:space="preserve"> Masson v. Ecolab, Inc., 2005 U.S. Dist. LEXIS 18022, at *38 (S.D.N.Y. Aug. 17, 2005).</w:t>
      </w:r>
    </w:p>
    <w:p w14:paraId="434DBAA8" w14:textId="77777777" w:rsidR="004322B1" w:rsidRPr="00AD2F44" w:rsidRDefault="004322B1">
      <w:pPr>
        <w:pStyle w:val="14Footnote"/>
      </w:pPr>
      <w:r w:rsidRPr="00AD2F44">
        <w:rPr>
          <w:i/>
          <w:iCs/>
        </w:rPr>
        <w:t>Third Circuit:</w:t>
      </w:r>
      <w:r w:rsidRPr="00AD2F44">
        <w:t xml:space="preserve"> </w:t>
      </w:r>
      <w:r w:rsidRPr="00AD2F44">
        <w:rPr>
          <w:i/>
          <w:iCs/>
        </w:rPr>
        <w:t>De Asencio</w:t>
      </w:r>
      <w:r w:rsidRPr="00AD2F44">
        <w:t>, 130 F. Supp. 2d at 663.</w:t>
      </w:r>
    </w:p>
    <w:p w14:paraId="17FE853E" w14:textId="77777777" w:rsidR="004322B1" w:rsidRPr="00AD2F44" w:rsidRDefault="004322B1">
      <w:pPr>
        <w:pStyle w:val="14Footnote"/>
      </w:pPr>
      <w:r w:rsidRPr="00AD2F44">
        <w:rPr>
          <w:i/>
          <w:iCs/>
        </w:rPr>
        <w:t>Eleventh Circuit:</w:t>
      </w:r>
      <w:r w:rsidRPr="00AD2F44">
        <w:t xml:space="preserve"> </w:t>
      </w:r>
      <w:r w:rsidRPr="00AD2F44">
        <w:rPr>
          <w:i/>
          <w:iCs/>
        </w:rPr>
        <w:t>Cameron-Grant</w:t>
      </w:r>
      <w:r w:rsidRPr="00AD2F44">
        <w:t xml:space="preserve">, 347 F.3d at 1243; </w:t>
      </w:r>
      <w:r w:rsidRPr="00AD2F44">
        <w:rPr>
          <w:i/>
          <w:iCs/>
        </w:rPr>
        <w:t>Hipp</w:t>
      </w:r>
      <w:r w:rsidRPr="00AD2F44">
        <w:t>, 252 F.3d at 1218.</w:t>
      </w:r>
    </w:p>
  </w:footnote>
  <w:footnote w:id="66">
    <w:p w14:paraId="1A4A5692" w14:textId="77777777" w:rsidR="004322B1" w:rsidRPr="00AD2F44" w:rsidRDefault="004322B1">
      <w:pPr>
        <w:pStyle w:val="14Footnote"/>
      </w:pPr>
      <w:r w:rsidRPr="00AD2F44">
        <w:rPr>
          <w:vertAlign w:val="superscript"/>
        </w:rPr>
        <w:footnoteRef/>
      </w:r>
      <w:r w:rsidRPr="00AD2F44">
        <w:rPr>
          <w:i/>
        </w:rPr>
        <w:t xml:space="preserve">See, e.g., </w:t>
      </w:r>
    </w:p>
    <w:p w14:paraId="30E7D79C" w14:textId="77777777" w:rsidR="004322B1" w:rsidRPr="00AD2F44" w:rsidRDefault="004322B1">
      <w:pPr>
        <w:pStyle w:val="14Footnote"/>
      </w:pPr>
      <w:r w:rsidRPr="00AD2F44">
        <w:rPr>
          <w:i/>
          <w:iCs/>
        </w:rPr>
        <w:t>First Circuit:</w:t>
      </w:r>
      <w:r w:rsidRPr="00AD2F44">
        <w:t xml:space="preserve"> Trezvant v. Fidelity Emp. Servs. Corp., 434 F. Supp. 2d 40, 45 (D. Mass. 2006).</w:t>
      </w:r>
    </w:p>
    <w:p w14:paraId="49475AD5" w14:textId="77777777" w:rsidR="004322B1" w:rsidRPr="00AD2F44" w:rsidRDefault="004322B1">
      <w:pPr>
        <w:pStyle w:val="14Footnote"/>
      </w:pPr>
      <w:r w:rsidRPr="00AD2F44">
        <w:rPr>
          <w:i/>
          <w:iCs/>
        </w:rPr>
        <w:t>Second Circuit:</w:t>
      </w:r>
      <w:r w:rsidRPr="00AD2F44">
        <w:t xml:space="preserve"> </w:t>
      </w:r>
      <w:r w:rsidRPr="00AD2F44">
        <w:rPr>
          <w:i/>
          <w:iCs/>
        </w:rPr>
        <w:t>Laroque</w:t>
      </w:r>
      <w:r w:rsidRPr="00AD2F44">
        <w:t>, 557 F. Supp. 2d at 352.</w:t>
      </w:r>
    </w:p>
    <w:p w14:paraId="51746B14" w14:textId="77777777" w:rsidR="004322B1" w:rsidRPr="00AD2F44" w:rsidRDefault="004322B1">
      <w:pPr>
        <w:pStyle w:val="14Footnote"/>
      </w:pPr>
      <w:r w:rsidRPr="00AD2F44">
        <w:rPr>
          <w:i/>
          <w:iCs/>
        </w:rPr>
        <w:t>Third Circuit:</w:t>
      </w:r>
      <w:r w:rsidRPr="00AD2F44">
        <w:t xml:space="preserve"> Herring v. Hewitt Assocs., 2007 WL 2121693 (D.N.J. July 24, 2007); Chabrier v. Wilmington Fin., Inc., 2006 WL 3742774 (E.D. Pa. Dec. 13, 2006).</w:t>
      </w:r>
    </w:p>
    <w:p w14:paraId="7A3CC5F7" w14:textId="77777777" w:rsidR="004322B1" w:rsidRPr="00AD2F44" w:rsidRDefault="004322B1">
      <w:pPr>
        <w:pStyle w:val="14Footnote"/>
      </w:pPr>
      <w:r w:rsidRPr="00AD2F44">
        <w:rPr>
          <w:i/>
          <w:iCs/>
        </w:rPr>
        <w:t>Fourth Circuit:</w:t>
      </w:r>
      <w:r w:rsidRPr="00AD2F44">
        <w:t xml:space="preserve"> Quinteros v. Sparkle Cleaning, Inc., 532 F. Supp. 2d 762, 772 n.6 (D. Md. 2008).</w:t>
      </w:r>
    </w:p>
    <w:p w14:paraId="08837D8F" w14:textId="77777777" w:rsidR="004322B1" w:rsidRPr="00AD2F44" w:rsidRDefault="004322B1">
      <w:pPr>
        <w:pStyle w:val="14Footnote"/>
      </w:pPr>
      <w:r w:rsidRPr="00AD2F44">
        <w:rPr>
          <w:i/>
          <w:iCs/>
        </w:rPr>
        <w:t>Sixth Circuit:</w:t>
      </w:r>
      <w:r w:rsidRPr="00AD2F44">
        <w:t xml:space="preserve"> Thomas v. Speedway Superamerica, LLC, 2005 U.S. Dist. LEXIS 45286, at *10 (S.D. Ohio Sept. 13, 2005).</w:t>
      </w:r>
    </w:p>
    <w:p w14:paraId="37748EEC" w14:textId="77777777" w:rsidR="004322B1" w:rsidRPr="00AD2F44" w:rsidRDefault="004322B1">
      <w:pPr>
        <w:pStyle w:val="14Footnote"/>
      </w:pPr>
      <w:r w:rsidRPr="00AD2F44">
        <w:rPr>
          <w:i/>
          <w:iCs/>
        </w:rPr>
        <w:t>Seventh Circuit:</w:t>
      </w:r>
      <w:r w:rsidRPr="00AD2F44">
        <w:t xml:space="preserve"> Jones v. Furniture Bargains, LLC, 2009 U.S. Dist. LEXIS 94689, at *6 (N.D. Ill. Oct. 9, 2009); Gambo v. Lucent Techs., Inc., 2005 U.S. Dist. LEXIS 37998, at *15 (N.D. Ill. Dec. 22, 2005).</w:t>
      </w:r>
    </w:p>
    <w:p w14:paraId="0D9BC183" w14:textId="77777777" w:rsidR="004322B1" w:rsidRPr="00AD2F44" w:rsidRDefault="004322B1">
      <w:pPr>
        <w:pStyle w:val="14Footnote"/>
      </w:pPr>
      <w:r w:rsidRPr="00AD2F44">
        <w:rPr>
          <w:i/>
          <w:iCs/>
        </w:rPr>
        <w:t xml:space="preserve">Eighth Circuit: </w:t>
      </w:r>
      <w:r w:rsidRPr="00AD2F44">
        <w:t xml:space="preserve">Getchman v. Pyramid Consulting, Inc., 2017 WL 713034, at *4 (E.D. Mo. Feb. 23, 2017); </w:t>
      </w:r>
      <w:r w:rsidRPr="00AD2F44">
        <w:rPr>
          <w:i/>
          <w:iCs/>
        </w:rPr>
        <w:t>In re</w:t>
      </w:r>
      <w:r w:rsidRPr="00AD2F44">
        <w:t xml:space="preserve"> Pilgrim’s Pride Fair Labor Stds. Litig., 2008 U.S. Dist. LEXIS 93966, at *9 (W.D. Ark. Mar. 13, 2008).</w:t>
      </w:r>
    </w:p>
    <w:p w14:paraId="2B5B86E6" w14:textId="77777777" w:rsidR="004322B1" w:rsidRPr="00AD2F44" w:rsidRDefault="004322B1">
      <w:pPr>
        <w:pStyle w:val="14Footnote"/>
      </w:pPr>
      <w:r w:rsidRPr="00AD2F44">
        <w:rPr>
          <w:i/>
          <w:iCs/>
        </w:rPr>
        <w:t>Ninth Circuit:</w:t>
      </w:r>
      <w:r w:rsidRPr="00AD2F44">
        <w:t xml:space="preserve"> Adams v. Inter-Con Sec. Sys., 242 F.R.D. 530, 536 (N.D. Cal. 2007).</w:t>
      </w:r>
    </w:p>
    <w:p w14:paraId="7152E3E4" w14:textId="77777777" w:rsidR="004322B1" w:rsidRPr="00AD2F44" w:rsidRDefault="004322B1">
      <w:pPr>
        <w:pStyle w:val="14Footnote"/>
      </w:pPr>
      <w:r w:rsidRPr="00AD2F44">
        <w:rPr>
          <w:i/>
          <w:iCs/>
        </w:rPr>
        <w:t>Eleventh Circuit:</w:t>
      </w:r>
      <w:r w:rsidRPr="00AD2F44">
        <w:t xml:space="preserve"> </w:t>
      </w:r>
      <w:r w:rsidRPr="00AD2F44">
        <w:rPr>
          <w:i/>
          <w:iCs/>
        </w:rPr>
        <w:t>Cameron-Grant</w:t>
      </w:r>
      <w:r w:rsidRPr="00AD2F44">
        <w:t>, 347 F.3d at 1243; Hipp v. Liberty Nat’l Life Ins. Co., 252 F.3d 1208, 1218 (11th Cir. 2001).</w:t>
      </w:r>
    </w:p>
    <w:p w14:paraId="13FDA6D4" w14:textId="77777777" w:rsidR="004322B1" w:rsidRPr="00AD2F44" w:rsidRDefault="004322B1">
      <w:pPr>
        <w:pStyle w:val="14Footnote"/>
      </w:pPr>
      <w:r w:rsidRPr="00AD2F44">
        <w:rPr>
          <w:i/>
          <w:iCs/>
        </w:rPr>
        <w:t>D.C. Circuit:</w:t>
      </w:r>
      <w:r w:rsidRPr="00AD2F44">
        <w:t xml:space="preserve"> McKinney v. United Stor-all Ctrs., Inc., 585 F. Supp. 2d 6, 8 (D.D.C. 2008).</w:t>
      </w:r>
    </w:p>
  </w:footnote>
  <w:footnote w:id="67">
    <w:p w14:paraId="04F5D661" w14:textId="77777777" w:rsidR="004322B1" w:rsidRPr="00AD2F44" w:rsidRDefault="004322B1">
      <w:pPr>
        <w:pStyle w:val="14Footnote"/>
      </w:pPr>
      <w:r w:rsidRPr="00AD2F44">
        <w:rPr>
          <w:vertAlign w:val="superscript"/>
        </w:rPr>
        <w:footnoteRef/>
      </w:r>
      <w:r w:rsidRPr="00AD2F44">
        <w:rPr>
          <w:i/>
          <w:iCs/>
        </w:rPr>
        <w:t>First Circuit:</w:t>
      </w:r>
      <w:r w:rsidRPr="00AD2F44">
        <w:t xml:space="preserve"> </w:t>
      </w:r>
      <w:r w:rsidRPr="00AD2F44">
        <w:rPr>
          <w:i/>
          <w:iCs/>
        </w:rPr>
        <w:t>Trezvant</w:t>
      </w:r>
      <w:r w:rsidRPr="00AD2F44">
        <w:t>, 434 F. Supp. 2d at 43; Reeves v. Alliant Techsys., Inc., 77 F. Supp. 2d 242, 246 (D.R.I. 1999).</w:t>
      </w:r>
    </w:p>
    <w:p w14:paraId="662E0607" w14:textId="77777777" w:rsidR="004322B1" w:rsidRPr="00AD2F44" w:rsidRDefault="004322B1">
      <w:pPr>
        <w:pStyle w:val="14Footnote"/>
      </w:pPr>
      <w:r w:rsidRPr="00AD2F44">
        <w:rPr>
          <w:i/>
          <w:iCs/>
        </w:rPr>
        <w:t>Second Circuit:</w:t>
      </w:r>
      <w:r w:rsidRPr="00AD2F44">
        <w:t xml:space="preserve"> </w:t>
      </w:r>
      <w:r w:rsidRPr="00AD2F44">
        <w:rPr>
          <w:i/>
          <w:iCs/>
        </w:rPr>
        <w:t>Laroque</w:t>
      </w:r>
      <w:r w:rsidRPr="00AD2F44">
        <w:t>, 557 F. Supp. 2d at 353.</w:t>
      </w:r>
    </w:p>
    <w:p w14:paraId="0EAA1CA1" w14:textId="77777777" w:rsidR="004322B1" w:rsidRPr="00AD2F44" w:rsidRDefault="004322B1">
      <w:pPr>
        <w:pStyle w:val="14Footnote"/>
      </w:pPr>
      <w:r w:rsidRPr="00AD2F44">
        <w:rPr>
          <w:i/>
          <w:iCs/>
        </w:rPr>
        <w:t>Third Circuit:</w:t>
      </w:r>
      <w:r w:rsidRPr="00AD2F44">
        <w:t xml:space="preserve"> </w:t>
      </w:r>
      <w:r w:rsidRPr="00AD2F44">
        <w:rPr>
          <w:i/>
          <w:iCs/>
        </w:rPr>
        <w:t>De Asencio</w:t>
      </w:r>
      <w:r w:rsidRPr="00AD2F44">
        <w:t>, 130 F. Supp. 2d at 662.</w:t>
      </w:r>
    </w:p>
    <w:p w14:paraId="2F18F70D" w14:textId="77777777" w:rsidR="004322B1" w:rsidRPr="00AD2F44" w:rsidRDefault="004322B1">
      <w:pPr>
        <w:pStyle w:val="14Footnote"/>
      </w:pPr>
      <w:r w:rsidRPr="00AD2F44">
        <w:rPr>
          <w:i/>
          <w:iCs/>
        </w:rPr>
        <w:t>Eighth Circuit:</w:t>
      </w:r>
      <w:r w:rsidRPr="00AD2F44">
        <w:t xml:space="preserve"> </w:t>
      </w:r>
      <w:r w:rsidRPr="00AD2F44">
        <w:rPr>
          <w:i/>
          <w:iCs/>
        </w:rPr>
        <w:t>Getchman</w:t>
      </w:r>
      <w:r w:rsidRPr="00AD2F44">
        <w:t>, 2017 WL 713034, at *4.</w:t>
      </w:r>
    </w:p>
    <w:p w14:paraId="6BCA67CA" w14:textId="77777777" w:rsidR="004322B1" w:rsidRPr="00AD2F44" w:rsidRDefault="004322B1">
      <w:pPr>
        <w:pStyle w:val="14Footnote"/>
      </w:pPr>
      <w:r w:rsidRPr="00AD2F44">
        <w:rPr>
          <w:i/>
          <w:iCs/>
        </w:rPr>
        <w:t>Eleventh Circuit:</w:t>
      </w:r>
      <w:r w:rsidRPr="00AD2F44">
        <w:t xml:space="preserve"> </w:t>
      </w:r>
      <w:r w:rsidRPr="00AD2F44">
        <w:rPr>
          <w:i/>
          <w:iCs/>
        </w:rPr>
        <w:t>Cameron-Grant</w:t>
      </w:r>
      <w:r w:rsidRPr="00AD2F44">
        <w:t xml:space="preserve">, 347 F.3d at 1243; </w:t>
      </w:r>
      <w:r w:rsidRPr="00AD2F44">
        <w:rPr>
          <w:i/>
          <w:iCs/>
        </w:rPr>
        <w:t>Hipp</w:t>
      </w:r>
      <w:r w:rsidRPr="00AD2F44">
        <w:t>, 252 F.3d at 1218.</w:t>
      </w:r>
    </w:p>
  </w:footnote>
  <w:footnote w:id="68">
    <w:p w14:paraId="4EFCA7D1" w14:textId="77777777" w:rsidR="004322B1" w:rsidRPr="00AD2F44" w:rsidRDefault="004322B1">
      <w:pPr>
        <w:pStyle w:val="14Footnote"/>
      </w:pPr>
      <w:r w:rsidRPr="00AD2F44">
        <w:rPr>
          <w:rStyle w:val="FootnoteReference"/>
        </w:rPr>
        <w:footnoteRef/>
      </w:r>
      <w:r w:rsidRPr="00AD2F44">
        <w:t>985 F.3d 430 (5th Cir. 2021).</w:t>
      </w:r>
    </w:p>
  </w:footnote>
  <w:footnote w:id="69">
    <w:p w14:paraId="4DBEEB72" w14:textId="77777777" w:rsidR="004322B1" w:rsidRPr="00AD2F44" w:rsidRDefault="004322B1">
      <w:pPr>
        <w:pStyle w:val="14Footnote"/>
      </w:pPr>
      <w:r w:rsidRPr="00AD2F44">
        <w:rPr>
          <w:rStyle w:val="FootnoteReference"/>
        </w:rPr>
        <w:footnoteRef/>
      </w:r>
      <w:r w:rsidRPr="00AD2F44">
        <w:t xml:space="preserve">Prior to </w:t>
      </w:r>
      <w:r w:rsidRPr="00AD2F44">
        <w:rPr>
          <w:i/>
          <w:iCs/>
        </w:rPr>
        <w:t>Swales</w:t>
      </w:r>
      <w:r w:rsidRPr="00AD2F44">
        <w:t xml:space="preserve">, the Fifth Circuit had been one of the earliest courts to adopt the two-stage process, </w:t>
      </w:r>
      <w:r w:rsidRPr="00AD2F44">
        <w:rPr>
          <w:i/>
          <w:iCs/>
        </w:rPr>
        <w:t xml:space="preserve">see </w:t>
      </w:r>
      <w:r w:rsidRPr="00AD2F44">
        <w:t xml:space="preserve">Mooney v. Aramco Servs. Co., 54 F.3d 1207, 1213–14 (5th Cir. 1995), </w:t>
      </w:r>
      <w:r w:rsidRPr="00AD2F44">
        <w:rPr>
          <w:i/>
          <w:iCs/>
        </w:rPr>
        <w:t>overruled on other grounds by</w:t>
      </w:r>
      <w:r w:rsidRPr="00AD2F44">
        <w:t xml:space="preserve"> Desert Palace, Inc. v. Costa, 539 U.S. 90 (2003), and courts in the Fifth Circuit had generally applied a lenient standard at the first stage by following </w:t>
      </w:r>
      <w:r w:rsidRPr="00AD2F44">
        <w:rPr>
          <w:i/>
          <w:iCs/>
        </w:rPr>
        <w:t>Lusardi v. Xerox Corp.</w:t>
      </w:r>
      <w:r w:rsidRPr="00AD2F44">
        <w:t xml:space="preserve">, 118 F.R.D. 351 (D.N.J. 1987). </w:t>
      </w:r>
    </w:p>
  </w:footnote>
  <w:footnote w:id="70">
    <w:p w14:paraId="305B4B2F" w14:textId="77777777" w:rsidR="004322B1" w:rsidRPr="00AD2F44" w:rsidRDefault="004322B1">
      <w:pPr>
        <w:pStyle w:val="14Footnote"/>
      </w:pPr>
      <w:r w:rsidRPr="00AD2F44">
        <w:rPr>
          <w:rStyle w:val="FootnoteReference"/>
        </w:rPr>
        <w:footnoteRef/>
      </w:r>
      <w:r w:rsidRPr="00AD2F44">
        <w:rPr>
          <w:i/>
          <w:iCs/>
        </w:rPr>
        <w:t>Swales</w:t>
      </w:r>
      <w:r w:rsidRPr="00AD2F44">
        <w:t xml:space="preserve">, 985 F.3d at 434. </w:t>
      </w:r>
    </w:p>
  </w:footnote>
  <w:footnote w:id="71">
    <w:p w14:paraId="39600A97" w14:textId="77777777" w:rsidR="004322B1" w:rsidRPr="00AD2F44" w:rsidRDefault="004322B1" w:rsidP="00F23572">
      <w:pPr>
        <w:pStyle w:val="14Footnote"/>
      </w:pPr>
      <w:r w:rsidRPr="00AD2F44">
        <w:rPr>
          <w:rStyle w:val="FootnoteReference"/>
        </w:rPr>
        <w:footnoteRef/>
      </w:r>
      <w:r w:rsidRPr="00AD2F44">
        <w:rPr>
          <w:i/>
          <w:iCs/>
        </w:rPr>
        <w:t xml:space="preserve">See </w:t>
      </w:r>
      <w:r>
        <w:t xml:space="preserve">Williams v. D’Argent Franchising, LLC, </w:t>
      </w:r>
      <w:r w:rsidRPr="00C354A8">
        <w:t>2023 BL 136665</w:t>
      </w:r>
      <w:r>
        <w:t xml:space="preserve">, </w:t>
      </w:r>
      <w:r w:rsidRPr="00535A54">
        <w:t xml:space="preserve">2023 WL 3059192 </w:t>
      </w:r>
      <w:r>
        <w:t xml:space="preserve">(W.D. La. Apr. 24, 2023) (following </w:t>
      </w:r>
      <w:r>
        <w:rPr>
          <w:i/>
          <w:iCs/>
        </w:rPr>
        <w:t xml:space="preserve">Swales </w:t>
      </w:r>
      <w:r>
        <w:t xml:space="preserve">and granting motion to certify collective action); </w:t>
      </w:r>
      <w:r w:rsidRPr="002F69CA">
        <w:t>Garcia-Alvarez v. Fogo De Chao Churrascaria (Pittsburgh) LLC</w:t>
      </w:r>
      <w:r>
        <w:t xml:space="preserve">, </w:t>
      </w:r>
      <w:r w:rsidRPr="002A312D">
        <w:t>2022 BL 204304</w:t>
      </w:r>
      <w:r>
        <w:t xml:space="preserve">, </w:t>
      </w:r>
      <w:r w:rsidRPr="00EC386F">
        <w:t xml:space="preserve">2022 WL 2119542 </w:t>
      </w:r>
      <w:r w:rsidRPr="007071BD">
        <w:t>(E.D. Tex. June 13, 2022)</w:t>
      </w:r>
      <w:r>
        <w:t xml:space="preserve"> (following </w:t>
      </w:r>
      <w:r>
        <w:rPr>
          <w:i/>
          <w:iCs/>
        </w:rPr>
        <w:t>Swales</w:t>
      </w:r>
      <w:r>
        <w:t xml:space="preserve"> and determining plaintiffs made sufficient factual showing they and other servers were similarly situated for purposes of sending notice);</w:t>
      </w:r>
      <w:r>
        <w:rPr>
          <w:i/>
          <w:iCs/>
        </w:rPr>
        <w:t xml:space="preserve"> </w:t>
      </w:r>
      <w:r w:rsidRPr="00AD2F44">
        <w:t xml:space="preserve">Eltayeb v. Deli Mgmt., Inc., 2021 BL 475929, 2021 WL 5907781 (E.D. Tex. Dec. 14, 2021) (following </w:t>
      </w:r>
      <w:r w:rsidRPr="00AD2F44">
        <w:rPr>
          <w:i/>
          <w:iCs/>
        </w:rPr>
        <w:t>Swales</w:t>
      </w:r>
      <w:r w:rsidRPr="00AD2F44">
        <w:t xml:space="preserve"> and denying motion for notice to putative collective members; holding additional discovery was needed to determine if narrowed putative class of lower-earning delivery drivers were substantially similar); Fuller v. Jumpstar Enters., LLC, 2021 BL 464562, 2021 WL 5771935 (S.D. Tex. Dec. 6, 2021) (following </w:t>
      </w:r>
      <w:r w:rsidRPr="00AD2F44">
        <w:rPr>
          <w:i/>
          <w:iCs/>
        </w:rPr>
        <w:t>Swales</w:t>
      </w:r>
      <w:r w:rsidRPr="00AD2F44">
        <w:t xml:space="preserve"> and denying conditional certification motion, holding plaintiffs failed to satisfy rigorous analysis that putative collective was similarly situated); Rosales v. Industrial Sales &amp; Servs., LLC, 2021 BL 373523, 2021 WL 4480747 (S.D. Tex. Sept. 30, 2021) (following </w:t>
      </w:r>
      <w:r w:rsidRPr="00AD2F44">
        <w:rPr>
          <w:i/>
          <w:iCs/>
        </w:rPr>
        <w:t>Swales</w:t>
      </w:r>
      <w:r w:rsidRPr="00AD2F44">
        <w:t xml:space="preserve"> and denying without prejudice conditional certification motion for failure to demonstrate putative collective was similarly situated, given lack of evidence that plaintiff and putative collective members were similar in job duties that were not exempt under Motor Carrier Act, and that even with some evidence, inquiry into that exemption would devolve into individualized inquiries not suitable for collective treatment); Badon v. Preferred Caregivers &amp; Sitters, LLC, 2021 BL 295549, </w:t>
      </w:r>
      <w:r w:rsidRPr="00535A54">
        <w:rPr>
          <w:lang w:val="fr-FR"/>
        </w:rPr>
        <w:t xml:space="preserve">2021 WL 3418382 (E.D. La. Aug. 5, 2021) (following </w:t>
      </w:r>
      <w:r w:rsidRPr="00535A54">
        <w:rPr>
          <w:i/>
          <w:iCs/>
          <w:lang w:val="fr-FR"/>
        </w:rPr>
        <w:t>Swales</w:t>
      </w:r>
      <w:r w:rsidRPr="00535A54">
        <w:rPr>
          <w:lang w:val="fr-FR"/>
        </w:rPr>
        <w:t xml:space="preserve">’ rejection of </w:t>
      </w:r>
      <w:r w:rsidRPr="00535A54">
        <w:rPr>
          <w:i/>
          <w:iCs/>
          <w:lang w:val="fr-FR"/>
        </w:rPr>
        <w:t>Lusardi</w:t>
      </w:r>
      <w:r w:rsidRPr="00535A54">
        <w:rPr>
          <w:lang w:val="fr-FR"/>
        </w:rPr>
        <w:t xml:space="preserve"> two-step approach, denying certification given change, and directing parties to submit discovery plan for determination of similarly situated issue under </w:t>
      </w:r>
      <w:r w:rsidRPr="00535A54">
        <w:rPr>
          <w:i/>
          <w:iCs/>
          <w:lang w:val="fr-FR"/>
        </w:rPr>
        <w:t>Swales</w:t>
      </w:r>
      <w:r w:rsidRPr="00535A54">
        <w:rPr>
          <w:lang w:val="fr-FR"/>
        </w:rPr>
        <w:t>)</w:t>
      </w:r>
      <w:r w:rsidRPr="00AD2F44">
        <w:t xml:space="preserve">. </w:t>
      </w:r>
    </w:p>
  </w:footnote>
  <w:footnote w:id="72">
    <w:p w14:paraId="34830565" w14:textId="77777777" w:rsidR="004322B1" w:rsidRPr="00AD2F44" w:rsidRDefault="004322B1" w:rsidP="00F23572">
      <w:pPr>
        <w:pStyle w:val="14Footnote"/>
      </w:pPr>
      <w:r w:rsidRPr="00AD2F44">
        <w:rPr>
          <w:rStyle w:val="FootnoteReference"/>
        </w:rPr>
        <w:footnoteRef/>
      </w:r>
      <w:r w:rsidRPr="00AD2F44">
        <w:rPr>
          <w:i/>
          <w:iCs/>
        </w:rPr>
        <w:t xml:space="preserve">See </w:t>
      </w:r>
      <w:r w:rsidRPr="00AD2F44">
        <w:t>Bancroft v. 217 Bourbon, LLC, 2022 BL 492695, 2022 WL 19762095 (E.D. La. Jan. 26, 2022) (granting motion for notice to bartenders where evidence supported they were similarly situated as to defendant’s pay practices; denying without prejudice but allowing additional discovery for other restaurant workers to see if such evidence existed as to them); Hamm v. Acadia Healthcare Co., Inc., 2021 BL 469453, 2021 WL 5749900 (E.D. La. Oct. 19, 2021) (holding additional discovery required to determine if proposed collective was similarly situated because differing job titles and duties in description of proposed notice raised prospect of differing policies and practices regarding each category of employee); Alvarez v. NES Glob. LLC, 2021 BL 304890,</w:t>
      </w:r>
      <w:r w:rsidRPr="00AD2F44">
        <w:rPr>
          <w:rFonts w:ascii="Arial" w:eastAsia="Cambria" w:hAnsi="Arial" w:cs="Arial"/>
          <w:sz w:val="24"/>
        </w:rPr>
        <w:t xml:space="preserve"> </w:t>
      </w:r>
      <w:r w:rsidRPr="00AD2F44">
        <w:t>2021 WL 3571223 (S.D. Tex. Aug. 11, 2021) (granting certification, post-</w:t>
      </w:r>
      <w:r w:rsidRPr="00AD2F44">
        <w:rPr>
          <w:i/>
          <w:iCs/>
        </w:rPr>
        <w:t>Swales</w:t>
      </w:r>
      <w:r w:rsidRPr="00AD2F44">
        <w:t>, determining that salary basis test for highly compensated employees exemption could be determined collectively, and deferring whether duties test could be litigated collectively, rejecting defendant’s arguments that salary-basis inquiry required too many individualized determinations for notice);</w:t>
      </w:r>
      <w:r w:rsidRPr="00AD2F44">
        <w:rPr>
          <w:b/>
          <w:bCs/>
        </w:rPr>
        <w:t xml:space="preserve"> </w:t>
      </w:r>
      <w:r w:rsidRPr="00AD2F44">
        <w:t>Torres v. Chambers Protective Servs., Inc., 2021 BL 295201, 2021 WL 3419705 (N.D. Tex. Aug. 5, 2021) (post-</w:t>
      </w:r>
      <w:r w:rsidRPr="00AD2F44">
        <w:rPr>
          <w:i/>
          <w:iCs/>
        </w:rPr>
        <w:t>Swales</w:t>
      </w:r>
      <w:r w:rsidRPr="00AD2F44">
        <w:t xml:space="preserve">, explaining that courts rely on three factors from second step of </w:t>
      </w:r>
      <w:r w:rsidRPr="00AD2F44">
        <w:rPr>
          <w:i/>
          <w:iCs/>
        </w:rPr>
        <w:t xml:space="preserve">Lusardi </w:t>
      </w:r>
      <w:r w:rsidRPr="00AD2F44">
        <w:t xml:space="preserve">to assess whether workers are similarly situated at outset of case as required by </w:t>
      </w:r>
      <w:r w:rsidRPr="00AD2F44">
        <w:rPr>
          <w:i/>
          <w:iCs/>
        </w:rPr>
        <w:t xml:space="preserve">Swales </w:t>
      </w:r>
      <w:r w:rsidRPr="00AD2F44">
        <w:t xml:space="preserve">for notice to be sent: (1) disparate factual and employment settings of plaintiffs; (2) various defenses available to defendant and whether they are individual to each plaintiff; and (3) fairness and procedural considerations) (collecting cases). </w:t>
      </w:r>
    </w:p>
  </w:footnote>
  <w:footnote w:id="73">
    <w:p w14:paraId="2172B28F" w14:textId="77777777" w:rsidR="004322B1" w:rsidRPr="00AD2F44" w:rsidRDefault="004322B1" w:rsidP="000B6C5F">
      <w:pPr>
        <w:pStyle w:val="FootnoteText"/>
      </w:pPr>
      <w:r w:rsidRPr="00AD2F44">
        <w:rPr>
          <w:rStyle w:val="FootnoteReference"/>
        </w:rPr>
        <w:footnoteRef/>
      </w:r>
      <w:r w:rsidRPr="002F69CA">
        <w:rPr>
          <w:i/>
          <w:iCs/>
        </w:rPr>
        <w:t xml:space="preserve">See </w:t>
      </w:r>
    </w:p>
    <w:p w14:paraId="4838DAA3" w14:textId="77777777" w:rsidR="004322B1" w:rsidRDefault="004322B1" w:rsidP="00F23572">
      <w:pPr>
        <w:pStyle w:val="14Footnote"/>
      </w:pPr>
      <w:r w:rsidRPr="00AD2F44">
        <w:rPr>
          <w:i/>
          <w:iCs/>
        </w:rPr>
        <w:t>First Circuit:</w:t>
      </w:r>
      <w:r w:rsidRPr="00AD2F44">
        <w:t xml:space="preserve"> Bah v. Enterprise Rent-A-Car Co. of Boston, LLC, 560 F. Supp. 3d 366 (D. Mass. 2021) (recognizing that First Circuit has not addressed appropriateness of two-step approach; rejecting defendants’ argument to abandon two-step process; denying defendants’ request to defer conditional certification in order to engage in limited discovery). </w:t>
      </w:r>
    </w:p>
    <w:p w14:paraId="48286C04" w14:textId="77777777" w:rsidR="004322B1" w:rsidRPr="002F69CA" w:rsidRDefault="004322B1" w:rsidP="00F23572">
      <w:pPr>
        <w:pStyle w:val="14Footnote"/>
        <w:rPr>
          <w:rFonts w:ascii="Source Sans Pro" w:hAnsi="Source Sans Pro"/>
          <w:color w:val="3D3D3D"/>
          <w:shd w:val="clear" w:color="auto" w:fill="FFFFFF"/>
        </w:rPr>
      </w:pPr>
      <w:r>
        <w:rPr>
          <w:i/>
          <w:iCs/>
        </w:rPr>
        <w:t>Third Circuit</w:t>
      </w:r>
      <w:r>
        <w:t xml:space="preserve">: </w:t>
      </w:r>
      <w:r w:rsidRPr="009A6132">
        <w:t>Hagans v. Nat</w:t>
      </w:r>
      <w:r>
        <w:t>ional</w:t>
      </w:r>
      <w:r w:rsidRPr="009A6132">
        <w:t xml:space="preserve"> Mentor Healthcare, Inc.,</w:t>
      </w:r>
      <w:r w:rsidRPr="009A6132">
        <w:rPr>
          <w:rFonts w:ascii="Source Sans Pro" w:eastAsiaTheme="minorEastAsia" w:hAnsi="Source Sans Pro" w:cstheme="minorBidi"/>
          <w:color w:val="3D3D3D"/>
          <w:sz w:val="22"/>
          <w:szCs w:val="22"/>
          <w:shd w:val="clear" w:color="auto" w:fill="FFFFFF"/>
        </w:rPr>
        <w:t xml:space="preserve"> </w:t>
      </w:r>
      <w:r w:rsidRPr="002F69CA">
        <w:rPr>
          <w:color w:val="3D3D3D"/>
          <w:shd w:val="clear" w:color="auto" w:fill="FFFFFF"/>
        </w:rPr>
        <w:t>2024 BL 206980</w:t>
      </w:r>
      <w:r>
        <w:rPr>
          <w:rFonts w:ascii="Source Sans Pro" w:hAnsi="Source Sans Pro"/>
          <w:color w:val="3D3D3D"/>
          <w:shd w:val="clear" w:color="auto" w:fill="FFFFFF"/>
        </w:rPr>
        <w:t xml:space="preserve">, </w:t>
      </w:r>
      <w:r w:rsidRPr="009A6132">
        <w:t>2023 WL 2554159</w:t>
      </w:r>
      <w:r>
        <w:t xml:space="preserve"> (D.N.J. Mar. 17, 2023) (</w:t>
      </w:r>
      <w:r w:rsidRPr="009A6132">
        <w:t>declin</w:t>
      </w:r>
      <w:r>
        <w:t xml:space="preserve">ing to adopt </w:t>
      </w:r>
      <w:r>
        <w:rPr>
          <w:i/>
          <w:iCs/>
        </w:rPr>
        <w:t>Swales</w:t>
      </w:r>
      <w:r>
        <w:t xml:space="preserve"> approach; </w:t>
      </w:r>
      <w:r w:rsidRPr="009A6132">
        <w:t>certif</w:t>
      </w:r>
      <w:r>
        <w:t>ying</w:t>
      </w:r>
      <w:r w:rsidRPr="009A6132">
        <w:t xml:space="preserve"> collective involving </w:t>
      </w:r>
      <w:r>
        <w:t>care p</w:t>
      </w:r>
      <w:r w:rsidRPr="009A6132">
        <w:t xml:space="preserve">roviders allegedly misclassified </w:t>
      </w:r>
      <w:r>
        <w:t>u</w:t>
      </w:r>
      <w:r w:rsidRPr="009A6132">
        <w:t>sing the first step’s lenient burden</w:t>
      </w:r>
      <w:r>
        <w:t xml:space="preserve">). </w:t>
      </w:r>
    </w:p>
    <w:p w14:paraId="51C4B642" w14:textId="77777777" w:rsidR="004322B1" w:rsidRPr="00535A54" w:rsidRDefault="004322B1" w:rsidP="00F23572">
      <w:pPr>
        <w:pStyle w:val="14Footnote"/>
        <w:rPr>
          <w:lang w:val="es-ES"/>
        </w:rPr>
      </w:pPr>
      <w:r w:rsidRPr="00AD2F44">
        <w:rPr>
          <w:i/>
          <w:iCs/>
        </w:rPr>
        <w:t xml:space="preserve">Fourth Circuit: </w:t>
      </w:r>
      <w:r>
        <w:t xml:space="preserve">Midkiff v. Anthem Co., Inc., 640 F. Supp. 3d. 486 (E.D. Va. 2022) (refusing to adopt approach from </w:t>
      </w:r>
      <w:r>
        <w:rPr>
          <w:i/>
          <w:iCs/>
        </w:rPr>
        <w:t xml:space="preserve">Swales </w:t>
      </w:r>
      <w:r>
        <w:t xml:space="preserve">over longstanding two-step process used by district courts in the Fourth Circuit); </w:t>
      </w:r>
      <w:r w:rsidRPr="00AD2F44">
        <w:t xml:space="preserve">Santos v. E&amp;R Servs., Inc., 2021 BL 489573, 2021 WL 6073039, at *3–4 (D. Md. Dec. 23, 2021) (rejecting defendants’ argument to apply </w:t>
      </w:r>
      <w:r w:rsidRPr="00AD2F44">
        <w:rPr>
          <w:i/>
          <w:iCs/>
        </w:rPr>
        <w:t>Swales</w:t>
      </w:r>
      <w:r w:rsidRPr="00AD2F44">
        <w:t xml:space="preserve"> “rigorous analysis” standard); Ison v. Markwest Energy Partners, LP, 2021 BL 482102, </w:t>
      </w:r>
      <w:r w:rsidRPr="00535A54">
        <w:rPr>
          <w:lang w:val="es-ES"/>
        </w:rPr>
        <w:t xml:space="preserve">2021 WL 5989084 (S.D. W. Va. Dec. 17, 2021) (rejecting defendant’s argument to follow </w:t>
      </w:r>
      <w:r w:rsidRPr="00535A54">
        <w:rPr>
          <w:i/>
          <w:iCs/>
          <w:lang w:val="es-ES"/>
        </w:rPr>
        <w:t>Swales</w:t>
      </w:r>
      <w:r w:rsidRPr="00535A54">
        <w:rPr>
          <w:lang w:val="es-ES"/>
        </w:rPr>
        <w:t xml:space="preserve"> in favor of two-step approach; granting plaintiffs’ motion for conditional certification for satisfying modest evidentiary standard).</w:t>
      </w:r>
    </w:p>
    <w:p w14:paraId="0290F5E5" w14:textId="77777777" w:rsidR="004322B1" w:rsidRPr="00AD2F44" w:rsidRDefault="004322B1" w:rsidP="00F23572">
      <w:pPr>
        <w:pStyle w:val="14Footnote"/>
      </w:pPr>
      <w:r w:rsidRPr="00535A54">
        <w:rPr>
          <w:i/>
          <w:iCs/>
          <w:lang w:val="es-ES"/>
        </w:rPr>
        <w:t xml:space="preserve">Sixth Circuit: </w:t>
      </w:r>
      <w:r w:rsidRPr="00800B8E">
        <w:t>Cottrell v. Triple J Trucking, Inc.</w:t>
      </w:r>
      <w:r>
        <w:t xml:space="preserve">, </w:t>
      </w:r>
      <w:r w:rsidRPr="00B3200D">
        <w:t>2023 BL 148488</w:t>
      </w:r>
      <w:r>
        <w:t xml:space="preserve">, </w:t>
      </w:r>
      <w:r w:rsidRPr="0052265E">
        <w:t xml:space="preserve">2023 WL 3216766 </w:t>
      </w:r>
      <w:r w:rsidRPr="00800B8E">
        <w:t>(W.D. Ky. May 2, 2023)</w:t>
      </w:r>
      <w:r>
        <w:t xml:space="preserve"> (refusing</w:t>
      </w:r>
      <w:r w:rsidRPr="00800B8E">
        <w:t xml:space="preserve"> to adopt </w:t>
      </w:r>
      <w:r w:rsidRPr="002F69CA">
        <w:rPr>
          <w:i/>
          <w:iCs/>
        </w:rPr>
        <w:t>Swales</w:t>
      </w:r>
      <w:r w:rsidRPr="00800B8E">
        <w:t xml:space="preserve"> approach</w:t>
      </w:r>
      <w:r>
        <w:t xml:space="preserve">, </w:t>
      </w:r>
      <w:r w:rsidRPr="00800B8E">
        <w:t>follow</w:t>
      </w:r>
      <w:r>
        <w:t>ing</w:t>
      </w:r>
      <w:r w:rsidRPr="00800B8E">
        <w:t xml:space="preserve"> the two-step lenient standard</w:t>
      </w:r>
      <w:r>
        <w:t>; holding</w:t>
      </w:r>
      <w:r w:rsidRPr="00800B8E">
        <w:t xml:space="preserve"> plaintiff’s declaration provided sufficient evidence drivers were similarly situated to authorize notice</w:t>
      </w:r>
      <w:r>
        <w:t xml:space="preserve">); </w:t>
      </w:r>
      <w:r w:rsidRPr="00AD2F44">
        <w:t xml:space="preserve">Branson v. Alliance Coal, LLC, 2021 BL 184875, 2021 WL 1550571, at *3–4 (W.D. Ky. Apr. 20, 2021) (noting that Sixth Circuit permits but does not require use of two-step certification process and that district courts in Sixth Circuit regularly use it; declining to follow </w:t>
      </w:r>
      <w:r w:rsidRPr="00AD2F44">
        <w:rPr>
          <w:i/>
          <w:iCs/>
        </w:rPr>
        <w:t>Swales’</w:t>
      </w:r>
      <w:r w:rsidRPr="00AD2F44">
        <w:t xml:space="preserve"> abandonment of two-step certification process and distinguishing </w:t>
      </w:r>
      <w:r w:rsidRPr="00AD2F44">
        <w:rPr>
          <w:i/>
          <w:iCs/>
        </w:rPr>
        <w:t>Swales,</w:t>
      </w:r>
      <w:r w:rsidRPr="00AD2F44">
        <w:t xml:space="preserve"> noting that “significant discovery” had not yet taken place and similarly situated question was divorced from merits).</w:t>
      </w:r>
    </w:p>
    <w:p w14:paraId="0E360598" w14:textId="77777777" w:rsidR="004322B1" w:rsidRPr="00AD2F44" w:rsidRDefault="004322B1" w:rsidP="00F23572">
      <w:pPr>
        <w:pStyle w:val="14Footnote"/>
      </w:pPr>
      <w:r w:rsidRPr="00AD2F44">
        <w:rPr>
          <w:i/>
          <w:iCs/>
        </w:rPr>
        <w:t>Eighth Circuit:</w:t>
      </w:r>
      <w:r w:rsidRPr="00AD2F44">
        <w:t xml:space="preserve"> Clark v. Southwestern Energy Co., 2022 BL 114838, 2022 WL 993755 (E.D. Ark. Mar. 31, 2022) (declining to adopt </w:t>
      </w:r>
      <w:r w:rsidRPr="00AD2F44">
        <w:rPr>
          <w:i/>
          <w:iCs/>
        </w:rPr>
        <w:t>Swales</w:t>
      </w:r>
      <w:r w:rsidRPr="00AD2F44">
        <w:t xml:space="preserve"> approach to abandon two-step framework, denying conditional certification based on one affidavit and vague allegations); Rodriguez v. Cutchall, 2021 BL 440316, 2021 WL 5911322 (D. Neb. Nov. 16, 2021) (declining to adopt </w:t>
      </w:r>
      <w:r w:rsidRPr="00AD2F44">
        <w:rPr>
          <w:i/>
          <w:iCs/>
        </w:rPr>
        <w:t>Swales</w:t>
      </w:r>
      <w:r w:rsidRPr="00AD2F44">
        <w:t xml:space="preserve"> approach, granting conditional certification where plaintiffs provided evidence of single pay policy that governed all delivery drivers). </w:t>
      </w:r>
    </w:p>
    <w:p w14:paraId="498162ED" w14:textId="77777777" w:rsidR="004322B1" w:rsidRPr="00AD2F44" w:rsidRDefault="004322B1" w:rsidP="00F23572">
      <w:pPr>
        <w:pStyle w:val="14Footnote"/>
      </w:pPr>
      <w:r w:rsidRPr="00AD2F44">
        <w:rPr>
          <w:i/>
          <w:iCs/>
        </w:rPr>
        <w:t>Tenth Circuit:</w:t>
      </w:r>
      <w:r w:rsidRPr="00AD2F44">
        <w:t xml:space="preserve"> </w:t>
      </w:r>
      <w:r w:rsidRPr="00800B8E">
        <w:t>Spencer v. Mental Health Res., Inc.,</w:t>
      </w:r>
      <w:r>
        <w:t xml:space="preserve"> </w:t>
      </w:r>
      <w:r w:rsidRPr="00B3200D">
        <w:t>2022 BL 267100</w:t>
      </w:r>
      <w:r>
        <w:t xml:space="preserve">, </w:t>
      </w:r>
      <w:r w:rsidRPr="0052265E">
        <w:t xml:space="preserve">2022 WL 3031839 </w:t>
      </w:r>
      <w:r w:rsidRPr="00800B8E">
        <w:t>(D.N.M. Aug. 1, 2022)</w:t>
      </w:r>
      <w:r>
        <w:t xml:space="preserve"> (granting conditional certification and </w:t>
      </w:r>
      <w:r w:rsidRPr="00800B8E">
        <w:t>reason</w:t>
      </w:r>
      <w:r>
        <w:t>ing</w:t>
      </w:r>
      <w:r w:rsidRPr="00800B8E">
        <w:t xml:space="preserve"> </w:t>
      </w:r>
      <w:r w:rsidRPr="002F69CA">
        <w:rPr>
          <w:i/>
          <w:iCs/>
        </w:rPr>
        <w:t>Swales</w:t>
      </w:r>
      <w:r w:rsidRPr="00800B8E">
        <w:t xml:space="preserve"> was not applicable because the two-step process was favored in the Tenth Circuit</w:t>
      </w:r>
      <w:r>
        <w:t xml:space="preserve">); </w:t>
      </w:r>
      <w:r w:rsidRPr="00AD2F44">
        <w:t xml:space="preserve">Buffington v. Ovintiv USA Inc., 2021 BL 268244, 2021 WL 3021464 (D. Colo. July 16, 2021), </w:t>
      </w:r>
      <w:r w:rsidRPr="00AD2F44">
        <w:rPr>
          <w:i/>
        </w:rPr>
        <w:t>motion to certify appeal denied</w:t>
      </w:r>
      <w:r w:rsidRPr="00AD2F44">
        <w:t xml:space="preserve">, 2021 WL 3726195 (D. Colo. Aug. 23, 2021) (rejecting defendants’ argument to adopt </w:t>
      </w:r>
      <w:r w:rsidRPr="00AD2F44">
        <w:rPr>
          <w:i/>
          <w:iCs/>
        </w:rPr>
        <w:t>Swales</w:t>
      </w:r>
      <w:r w:rsidRPr="00AD2F44">
        <w:t xml:space="preserve"> and abandon two-step framework; granting conditional certification of nationwide collective of safety consultants). </w:t>
      </w:r>
    </w:p>
    <w:p w14:paraId="03BCEC40" w14:textId="77777777" w:rsidR="004322B1" w:rsidRPr="002F69CA" w:rsidRDefault="004322B1" w:rsidP="00535A54">
      <w:pPr>
        <w:pStyle w:val="14Footnote"/>
      </w:pPr>
      <w:r w:rsidRPr="00535A54">
        <w:rPr>
          <w:i/>
          <w:iCs/>
          <w:lang w:val="es-ES"/>
        </w:rPr>
        <w:t xml:space="preserve">Eleventh Circuit: </w:t>
      </w:r>
      <w:r w:rsidRPr="00AD2F44">
        <w:t xml:space="preserve">Manasco v. Best In Town, Inc., 2022 BL 90790, 2022 WL 816469 (N.D. Ala. Mar. 17, 2022) (relying on two step certification process described in </w:t>
      </w:r>
      <w:r w:rsidRPr="00AD2F44">
        <w:rPr>
          <w:i/>
          <w:iCs/>
        </w:rPr>
        <w:t>Hipp v. Liberty Nat’l Life Ins. Co.,</w:t>
      </w:r>
      <w:r w:rsidRPr="00AD2F44">
        <w:t xml:space="preserve"> 252 F.3d 1208 (11th Cir. 2001) and refusing to adopt </w:t>
      </w:r>
      <w:r w:rsidRPr="00AD2F44">
        <w:rPr>
          <w:i/>
          <w:iCs/>
        </w:rPr>
        <w:t>Swales</w:t>
      </w:r>
      <w:r w:rsidRPr="00AD2F44">
        <w:t xml:space="preserve">). </w:t>
      </w:r>
    </w:p>
  </w:footnote>
  <w:footnote w:id="74">
    <w:p w14:paraId="01C0180A" w14:textId="77777777" w:rsidR="004322B1" w:rsidRDefault="004322B1" w:rsidP="000B6C5F">
      <w:pPr>
        <w:pStyle w:val="FootnoteText"/>
      </w:pPr>
      <w:r>
        <w:rPr>
          <w:rStyle w:val="FootnoteReference"/>
        </w:rPr>
        <w:footnoteRef/>
      </w:r>
      <w:r w:rsidRPr="00535A54">
        <w:t xml:space="preserve">Mathews v. U.S. Today Sports Media Grp. LLC, </w:t>
      </w:r>
      <w:r w:rsidRPr="00ED4938">
        <w:t>2023 BL 185900</w:t>
      </w:r>
      <w:r>
        <w:t xml:space="preserve">, </w:t>
      </w:r>
      <w:r w:rsidRPr="00535A54">
        <w:t>2023 WL 3676795 (E.D. Va. Apr</w:t>
      </w:r>
      <w:r>
        <w:t>.</w:t>
      </w:r>
      <w:r w:rsidRPr="00535A54">
        <w:t xml:space="preserve"> 14, 2023) (applying standard adopted by </w:t>
      </w:r>
      <w:r w:rsidRPr="00535A54">
        <w:rPr>
          <w:i/>
          <w:iCs/>
        </w:rPr>
        <w:t>Swales</w:t>
      </w:r>
      <w:r w:rsidRPr="00535A54">
        <w:t>, reasoning it was the standard authorized by the text of the FLSA; authorizing limited discovery to determine whether others were similarly situated to plaintiff during the relevant time period)</w:t>
      </w:r>
      <w:r>
        <w:t xml:space="preserve">; </w:t>
      </w:r>
      <w:r w:rsidRPr="00535A54">
        <w:t xml:space="preserve">Broome v. CRST Malone, Inc., 2022 BL 20864, 2022 WL 205675, at *5 (N.D. Ala. Jan. 21, 2022) (finding </w:t>
      </w:r>
      <w:r w:rsidRPr="00535A54">
        <w:rPr>
          <w:i/>
          <w:iCs/>
        </w:rPr>
        <w:t xml:space="preserve">Swales </w:t>
      </w:r>
      <w:r w:rsidRPr="00535A54">
        <w:t>“helpful” because its “process promotes efficiency” and relying on it to evaluate whether to issue notice)</w:t>
      </w:r>
      <w:r>
        <w:t>.</w:t>
      </w:r>
    </w:p>
    <w:p w14:paraId="4166E15E" w14:textId="77777777" w:rsidR="004322B1" w:rsidRDefault="004322B1" w:rsidP="000B6C5F">
      <w:pPr>
        <w:pStyle w:val="FootnoteText"/>
      </w:pPr>
      <w:r>
        <w:t xml:space="preserve">  </w:t>
      </w:r>
    </w:p>
  </w:footnote>
  <w:footnote w:id="75">
    <w:p w14:paraId="22E0B3A9" w14:textId="77777777" w:rsidR="004322B1" w:rsidRPr="00AD2F44" w:rsidRDefault="004322B1" w:rsidP="00F23572">
      <w:pPr>
        <w:pStyle w:val="14Footnote"/>
      </w:pPr>
      <w:r w:rsidRPr="00AD2F44">
        <w:rPr>
          <w:rStyle w:val="FootnoteReference"/>
        </w:rPr>
        <w:footnoteRef/>
      </w:r>
      <w:r w:rsidRPr="00AD2F44">
        <w:rPr>
          <w:i/>
          <w:iCs/>
        </w:rPr>
        <w:t>In re</w:t>
      </w:r>
      <w:r w:rsidRPr="00AD2F44">
        <w:t xml:space="preserve"> New Albertsons, Inc., 2021 BL 338816, 2021 WL 4028428 (7th Cir. Sept. 1, 2021). </w:t>
      </w:r>
    </w:p>
  </w:footnote>
  <w:footnote w:id="76">
    <w:p w14:paraId="21592314" w14:textId="77777777" w:rsidR="004322B1" w:rsidRPr="00AD2F44" w:rsidRDefault="004322B1" w:rsidP="00F23572">
      <w:pPr>
        <w:pStyle w:val="14Footnote"/>
      </w:pPr>
      <w:r w:rsidRPr="00AD2F44">
        <w:rPr>
          <w:rStyle w:val="FootnoteReference"/>
        </w:rPr>
        <w:footnoteRef/>
      </w:r>
      <w:r w:rsidRPr="00AD2F44">
        <w:t xml:space="preserve">68 F.4th 1003 (6th Cir. 2023). </w:t>
      </w:r>
    </w:p>
  </w:footnote>
  <w:footnote w:id="77">
    <w:p w14:paraId="73A37115" w14:textId="77777777" w:rsidR="004322B1" w:rsidRPr="00AD2F44" w:rsidRDefault="004322B1" w:rsidP="00F23572">
      <w:pPr>
        <w:pStyle w:val="14Footnote"/>
      </w:pPr>
      <w:r w:rsidRPr="00AD2F44">
        <w:rPr>
          <w:rStyle w:val="FootnoteReference"/>
        </w:rPr>
        <w:footnoteRef/>
      </w:r>
      <w:r w:rsidRPr="00AD2F44">
        <w:rPr>
          <w:i/>
          <w:iCs/>
        </w:rPr>
        <w:t>Id.</w:t>
      </w:r>
      <w:r w:rsidRPr="00AD2F44">
        <w:t xml:space="preserve"> at 1010–11.</w:t>
      </w:r>
    </w:p>
  </w:footnote>
  <w:footnote w:id="78">
    <w:p w14:paraId="60362305" w14:textId="77777777" w:rsidR="004322B1" w:rsidRPr="00AD2F44" w:rsidRDefault="004322B1" w:rsidP="00F23572">
      <w:pPr>
        <w:pStyle w:val="14Footnote"/>
      </w:pPr>
      <w:r w:rsidRPr="00AD2F44">
        <w:rPr>
          <w:rStyle w:val="FootnoteReference"/>
        </w:rPr>
        <w:footnoteRef/>
      </w:r>
      <w:r w:rsidRPr="00AD2F44">
        <w:rPr>
          <w:i/>
          <w:iCs/>
        </w:rPr>
        <w:t>Id.</w:t>
      </w:r>
      <w:r w:rsidRPr="00AD2F44">
        <w:t xml:space="preserve"> at 1011.</w:t>
      </w:r>
    </w:p>
  </w:footnote>
  <w:footnote w:id="79">
    <w:p w14:paraId="17EA6257" w14:textId="77777777" w:rsidR="004322B1" w:rsidRPr="00AD2F44" w:rsidRDefault="004322B1" w:rsidP="00F23572">
      <w:pPr>
        <w:pStyle w:val="14Footnote"/>
      </w:pPr>
      <w:r w:rsidRPr="00AD2F44">
        <w:rPr>
          <w:rStyle w:val="FootnoteReference"/>
        </w:rPr>
        <w:footnoteRef/>
      </w:r>
      <w:r w:rsidRPr="00AD2F44">
        <w:rPr>
          <w:i/>
          <w:iCs/>
        </w:rPr>
        <w:t>Id</w:t>
      </w:r>
      <w:r w:rsidRPr="00AD2F44">
        <w:t>.</w:t>
      </w:r>
    </w:p>
  </w:footnote>
  <w:footnote w:id="80">
    <w:p w14:paraId="15CB702F" w14:textId="77777777" w:rsidR="004322B1" w:rsidRPr="00AD2F44" w:rsidRDefault="004322B1" w:rsidP="00F23572">
      <w:pPr>
        <w:pStyle w:val="14Footnote"/>
      </w:pPr>
      <w:r w:rsidRPr="00AD2F44">
        <w:rPr>
          <w:rStyle w:val="FootnoteReference"/>
        </w:rPr>
        <w:footnoteRef/>
      </w:r>
      <w:r w:rsidRPr="00AD2F44">
        <w:rPr>
          <w:i/>
          <w:iCs/>
        </w:rPr>
        <w:t>Id</w:t>
      </w:r>
      <w:r w:rsidRPr="00AD2F44">
        <w:t>.</w:t>
      </w:r>
    </w:p>
  </w:footnote>
  <w:footnote w:id="81">
    <w:p w14:paraId="389B86FA" w14:textId="77777777" w:rsidR="004322B1" w:rsidRPr="00AD2F44" w:rsidRDefault="004322B1">
      <w:pPr>
        <w:pStyle w:val="14Footnote"/>
      </w:pPr>
      <w:r w:rsidRPr="00AD2F44">
        <w:rPr>
          <w:vertAlign w:val="superscript"/>
        </w:rPr>
        <w:footnoteRef/>
      </w:r>
      <w:r w:rsidRPr="00AD2F44">
        <w:t xml:space="preserve">29 U.S.C. §216(b); </w:t>
      </w:r>
      <w:r w:rsidRPr="00AD2F44">
        <w:rPr>
          <w:i/>
          <w:iCs/>
        </w:rPr>
        <w:t>see, e.g.</w:t>
      </w:r>
      <w:r w:rsidRPr="00AD2F44">
        <w:t>,</w:t>
      </w:r>
    </w:p>
    <w:p w14:paraId="4195FEBC" w14:textId="77777777" w:rsidR="004322B1" w:rsidRPr="00AD2F44" w:rsidRDefault="004322B1">
      <w:pPr>
        <w:pStyle w:val="14Footnote"/>
      </w:pPr>
      <w:r w:rsidRPr="00AD2F44">
        <w:rPr>
          <w:i/>
          <w:iCs/>
        </w:rPr>
        <w:t>First Circuit:</w:t>
      </w:r>
      <w:r w:rsidRPr="00AD2F44">
        <w:t xml:space="preserve"> </w:t>
      </w:r>
      <w:r w:rsidRPr="00AD2F44">
        <w:rPr>
          <w:i/>
          <w:iCs/>
        </w:rPr>
        <w:t>Trezvant</w:t>
      </w:r>
      <w:r w:rsidRPr="00AD2F44">
        <w:t>, 434 F. Supp. 2d at 44.</w:t>
      </w:r>
    </w:p>
    <w:p w14:paraId="325A4AF0" w14:textId="77777777" w:rsidR="004322B1" w:rsidRPr="00AD2F44" w:rsidRDefault="004322B1">
      <w:pPr>
        <w:pStyle w:val="14Footnote"/>
      </w:pPr>
      <w:r w:rsidRPr="00AD2F44">
        <w:rPr>
          <w:i/>
          <w:iCs/>
        </w:rPr>
        <w:t>Second Circuit:</w:t>
      </w:r>
      <w:r w:rsidRPr="00AD2F44">
        <w:t xml:space="preserve"> Myers v. Hertz Corp., 624 F.3d 537, 554–55 (2d Cir. 2010).</w:t>
      </w:r>
    </w:p>
    <w:p w14:paraId="4CF9AE75" w14:textId="77777777" w:rsidR="004322B1" w:rsidRPr="00AD2F44" w:rsidRDefault="004322B1">
      <w:pPr>
        <w:pStyle w:val="14Footnote"/>
      </w:pPr>
      <w:r w:rsidRPr="00AD2F44">
        <w:rPr>
          <w:i/>
          <w:iCs/>
        </w:rPr>
        <w:t>Third Circuit:</w:t>
      </w:r>
      <w:r w:rsidRPr="00AD2F44">
        <w:t xml:space="preserve"> Zavala v. Wal-Mart Stores Inc., 691 F.3d 527, 535–37 (3d Cir. 2012).</w:t>
      </w:r>
    </w:p>
    <w:p w14:paraId="21A68D1B" w14:textId="77777777" w:rsidR="004322B1" w:rsidRPr="00AD2F44" w:rsidRDefault="004322B1">
      <w:pPr>
        <w:pStyle w:val="14Footnote"/>
      </w:pPr>
      <w:r w:rsidRPr="00AD2F44">
        <w:rPr>
          <w:i/>
          <w:iCs/>
        </w:rPr>
        <w:t>Fourth Circuit:</w:t>
      </w:r>
      <w:r w:rsidRPr="00AD2F44">
        <w:t xml:space="preserve"> Quinteros v. Sparkle Cleaning, Inc., 532 F. Supp. 2d 762, 772, n.6 (D. Md. 2008).</w:t>
      </w:r>
    </w:p>
    <w:p w14:paraId="0D800D0B" w14:textId="77777777" w:rsidR="004322B1" w:rsidRPr="00AD2F44" w:rsidRDefault="004322B1">
      <w:pPr>
        <w:pStyle w:val="14Footnote"/>
      </w:pPr>
      <w:r w:rsidRPr="00AD2F44">
        <w:rPr>
          <w:i/>
          <w:iCs/>
        </w:rPr>
        <w:t>Fifth Circuit:</w:t>
      </w:r>
      <w:r w:rsidRPr="00AD2F44">
        <w:t xml:space="preserve"> </w:t>
      </w:r>
      <w:r w:rsidRPr="00AD2F44">
        <w:rPr>
          <w:i/>
          <w:iCs/>
        </w:rPr>
        <w:t>Mooney</w:t>
      </w:r>
      <w:r w:rsidRPr="00AD2F44">
        <w:t xml:space="preserve">, 54 F.3d at 1214.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481165F" w14:textId="77777777" w:rsidR="004322B1" w:rsidRPr="00AD2F44" w:rsidRDefault="004322B1">
      <w:pPr>
        <w:pStyle w:val="14Footnote"/>
      </w:pPr>
      <w:r w:rsidRPr="00AD2F44">
        <w:rPr>
          <w:i/>
          <w:iCs/>
        </w:rPr>
        <w:t>Sixth Circuit:</w:t>
      </w:r>
      <w:r w:rsidRPr="00AD2F44">
        <w:t xml:space="preserve"> White v. MPW Indus. Servs., 236 F.R.D. 363, 366 (E.D. Tenn. 2006); Thomas v. Speedway Superamerica, LLC, 2005 U.S. Dist. LEXIS 45286, at *7 (S.D. Ohio Sept. 13, 2005).</w:t>
      </w:r>
    </w:p>
    <w:p w14:paraId="6743F6E7" w14:textId="77777777" w:rsidR="004322B1" w:rsidRPr="00AD2F44" w:rsidRDefault="004322B1">
      <w:pPr>
        <w:pStyle w:val="14Footnote"/>
      </w:pPr>
      <w:r w:rsidRPr="00AD2F44">
        <w:rPr>
          <w:i/>
          <w:iCs/>
        </w:rPr>
        <w:t>Seventh Circuit:</w:t>
      </w:r>
      <w:r w:rsidRPr="00AD2F44">
        <w:t xml:space="preserve"> Jones v. Furniture Bargains, LLC, 2009 U.S. Dist. LEXIS 94689, at *5 (N.D. Ill. Oct. 9, 2009); DeKeyser v. Thyssenkrupp Waupaca, Inc., 2008 U.S. Dist. LEXIS 102318, at *6 (E.D. Wis. Dec. 18, 2008).</w:t>
      </w:r>
    </w:p>
    <w:p w14:paraId="3563E531" w14:textId="77777777" w:rsidR="004322B1" w:rsidRPr="00AD2F44" w:rsidRDefault="004322B1">
      <w:pPr>
        <w:pStyle w:val="14Footnote"/>
      </w:pPr>
      <w:r w:rsidRPr="00AD2F44">
        <w:rPr>
          <w:i/>
          <w:iCs/>
        </w:rPr>
        <w:t>Eighth Circuit:</w:t>
      </w:r>
      <w:r w:rsidRPr="00AD2F44">
        <w:t xml:space="preserve"> Bouaphakeo v. Tyson Foods, Inc., 765 F.3d 791, 796 (8th Cir. 2014).</w:t>
      </w:r>
    </w:p>
    <w:p w14:paraId="545C6A82" w14:textId="77777777" w:rsidR="004322B1" w:rsidRPr="00AD2F44" w:rsidRDefault="004322B1">
      <w:pPr>
        <w:pStyle w:val="14Footnote"/>
      </w:pPr>
      <w:r w:rsidRPr="00AD2F44">
        <w:rPr>
          <w:i/>
          <w:iCs/>
        </w:rPr>
        <w:t>Ninth Circuit:</w:t>
      </w:r>
      <w:r w:rsidRPr="00AD2F44">
        <w:t xml:space="preserve"> Edwards v. City of Long Beach, 467 F. Supp. 2d 986, 990 (C.D. Cal. 2006); Leuthold v. Destination Am., Inc., 224 F.R.D. 462, 466 (N.D. Cal. 2004).</w:t>
      </w:r>
    </w:p>
    <w:p w14:paraId="786ED1AB" w14:textId="77777777" w:rsidR="004322B1" w:rsidRPr="00AD2F44" w:rsidRDefault="004322B1">
      <w:pPr>
        <w:pStyle w:val="14Footnote"/>
      </w:pPr>
      <w:r w:rsidRPr="00AD2F44">
        <w:rPr>
          <w:i/>
          <w:iCs/>
        </w:rPr>
        <w:t>Eleventh Circuit:</w:t>
      </w:r>
      <w:r w:rsidRPr="00AD2F44">
        <w:t xml:space="preserve"> Cameron-Grant v. Maxim Healthcare Serv., Inc., 347 F.3d 1240, 1243 (11th Cir. 2003); </w:t>
      </w:r>
      <w:r w:rsidRPr="00AD2F44">
        <w:rPr>
          <w:i/>
          <w:iCs/>
        </w:rPr>
        <w:t>Hipp</w:t>
      </w:r>
      <w:r w:rsidRPr="00AD2F44">
        <w:t>, 252 F.3d at 1218; Grayson v. K Mart Corp., 79 F.3d 1086, 1097 (11th Cir. 1996).</w:t>
      </w:r>
    </w:p>
  </w:footnote>
  <w:footnote w:id="82">
    <w:p w14:paraId="4E6E8229" w14:textId="77777777" w:rsidR="004322B1" w:rsidRPr="00AD2F44" w:rsidRDefault="004322B1">
      <w:pPr>
        <w:pStyle w:val="14Footnote"/>
      </w:pPr>
      <w:r w:rsidRPr="00AD2F44">
        <w:rPr>
          <w:vertAlign w:val="superscript"/>
        </w:rPr>
        <w:footnoteRef/>
      </w:r>
      <w:r w:rsidRPr="00AD2F44">
        <w:rPr>
          <w:i/>
        </w:rPr>
        <w:t xml:space="preserve">See, e.g., </w:t>
      </w:r>
    </w:p>
    <w:p w14:paraId="00842E3F" w14:textId="77777777" w:rsidR="004322B1" w:rsidRPr="00AD2F44" w:rsidRDefault="004322B1">
      <w:pPr>
        <w:pStyle w:val="14Footnote"/>
      </w:pPr>
      <w:r w:rsidRPr="00AD2F44">
        <w:rPr>
          <w:i/>
          <w:iCs/>
        </w:rPr>
        <w:t>First Circuit:</w:t>
      </w:r>
      <w:r w:rsidRPr="00AD2F44">
        <w:t xml:space="preserve"> </w:t>
      </w:r>
      <w:r w:rsidRPr="00AD2F44">
        <w:rPr>
          <w:i/>
          <w:iCs/>
        </w:rPr>
        <w:t>Trezvant</w:t>
      </w:r>
      <w:r w:rsidRPr="00AD2F44">
        <w:t>, 434 F. Supp. 2d at 43.</w:t>
      </w:r>
    </w:p>
    <w:p w14:paraId="69EEE812" w14:textId="77777777" w:rsidR="004322B1" w:rsidRPr="00AD2F44" w:rsidRDefault="004322B1">
      <w:pPr>
        <w:pStyle w:val="14Footnote"/>
      </w:pPr>
      <w:r w:rsidRPr="00AD2F44">
        <w:rPr>
          <w:i/>
          <w:iCs/>
        </w:rPr>
        <w:t>Second Circuit:</w:t>
      </w:r>
      <w:r w:rsidRPr="00AD2F44">
        <w:t xml:space="preserve"> Myers v. Hertz Corp., 624 F.3d 537, 555 (2d Cir. 2010); </w:t>
      </w:r>
      <w:r>
        <w:t xml:space="preserve">Zimnicki v. Krysiak Constr. Corp., </w:t>
      </w:r>
      <w:r w:rsidRPr="00846456">
        <w:t>2022 BL 459417</w:t>
      </w:r>
      <w:r>
        <w:t xml:space="preserve">, </w:t>
      </w:r>
      <w:r w:rsidRPr="004F4D61">
        <w:t>2022 WL 17820139</w:t>
      </w:r>
      <w:r>
        <w:t xml:space="preserve"> (E.D.N.Y. Sept. 27, 2022) (employing modest factual showing standard and noting two declarations was sufficient, even one would be); </w:t>
      </w:r>
      <w:r w:rsidRPr="00AD2F44">
        <w:t>Spack v. Trans World Entm’t Corp., 2019 WL 192344 (N.D.N.Y. Jan 15, 2019) (rejecting employer’s argument for imposition of “modest plus” standard in light of extensive discovery produced); Gauman v. DL Rest. Dev. LLC, 2015 WL 6526440 (S.D.N.Y. Oct. 27, 2015) (rejecting defendant’s argument that plaintiff can never meet conditional certification burden using only plaintiff’s declaration); Aros v. United Rentals, Inc., 269 F.R.D. 176, 179–80 (D. Conn. 2010);</w:t>
      </w:r>
      <w:r w:rsidRPr="00AD2F44">
        <w:rPr>
          <w:b/>
          <w:bCs/>
        </w:rPr>
        <w:t xml:space="preserve"> </w:t>
      </w:r>
      <w:r w:rsidRPr="00AD2F44">
        <w:t>Hoffman v. Sbarro, 982 F. Supp. 249, 261 (S.D.N.Y. 1997).</w:t>
      </w:r>
    </w:p>
    <w:p w14:paraId="0D49FBCC" w14:textId="77777777" w:rsidR="004322B1" w:rsidRPr="00AD2F44" w:rsidRDefault="004322B1">
      <w:pPr>
        <w:pStyle w:val="14Footnote"/>
      </w:pPr>
      <w:r w:rsidRPr="00AD2F44">
        <w:rPr>
          <w:i/>
          <w:iCs/>
        </w:rPr>
        <w:t xml:space="preserve">Third Circuit: </w:t>
      </w:r>
      <w:r w:rsidRPr="00AD2F44">
        <w:t xml:space="preserve">Symczyk v. Genesis HealthCare Corp., 656 F.3d 189, 193 (3d Cir. 2011) (endorsing the “modest factual showing” standard), </w:t>
      </w:r>
      <w:r w:rsidRPr="00AD2F44">
        <w:rPr>
          <w:i/>
          <w:iCs/>
        </w:rPr>
        <w:t>rev’d on other grounds</w:t>
      </w:r>
      <w:r w:rsidRPr="00AD2F44">
        <w:t>, 569 U.S. 66 (2013).</w:t>
      </w:r>
    </w:p>
    <w:p w14:paraId="6A4D6659" w14:textId="77777777" w:rsidR="004322B1" w:rsidRPr="00AD2F44" w:rsidRDefault="004322B1">
      <w:pPr>
        <w:pStyle w:val="14Footnote"/>
      </w:pPr>
      <w:r w:rsidRPr="00AD2F44">
        <w:rPr>
          <w:i/>
          <w:iCs/>
        </w:rPr>
        <w:t xml:space="preserve">Fourth Circuit: </w:t>
      </w:r>
      <w:r>
        <w:t xml:space="preserve">Njoroge v. PrimaCare Partners, LLC, </w:t>
      </w:r>
      <w:r w:rsidRPr="00846456">
        <w:t>2022 BL 342131</w:t>
      </w:r>
      <w:r>
        <w:t xml:space="preserve">, </w:t>
      </w:r>
      <w:r w:rsidRPr="004F4D61">
        <w:t>2022 WL 4465894</w:t>
      </w:r>
      <w:r>
        <w:t>, at *3</w:t>
      </w:r>
      <w:r w:rsidRPr="004F4D61">
        <w:t xml:space="preserve"> </w:t>
      </w:r>
      <w:r>
        <w:t xml:space="preserve">(D. Md. Sept. 26, 2022) (explaining that the factual showing of a common policy or plan at conditional certification stage is “relatively modest” but must be supported by “affidavits or other means” and be more than “vague allegations”): </w:t>
      </w:r>
      <w:r w:rsidRPr="00AD2F44">
        <w:t>Gregory v. Belfor USA Grp., Inc.</w:t>
      </w:r>
      <w:r w:rsidRPr="00AD2F44">
        <w:rPr>
          <w:i/>
          <w:iCs/>
        </w:rPr>
        <w:t xml:space="preserve">, </w:t>
      </w:r>
      <w:r w:rsidRPr="00AD2F44">
        <w:t>2012 WL 3062696, at *2 (E.D. Va. July 26, 2012) (recognizing “fairly lenient standard” for conditional certification but noting that it is not “invisible” and there “must be sufficient reason to believe that there are issues common to the proposed class that are central to the disposition of the FLSA claims and that such common issues can be substantially adjudicated without consideration of facts unique or particularized as to each class member”) (citing and quoting Houston v. URS Corp., 591 F. Supp. 2d 827, 831 (E.D. Va. 2008));</w:t>
      </w:r>
      <w:r w:rsidRPr="00AD2F44">
        <w:rPr>
          <w:i/>
          <w:iCs/>
        </w:rPr>
        <w:t xml:space="preserve"> </w:t>
      </w:r>
      <w:r w:rsidRPr="00AD2F44">
        <w:t>Nolan v. Reliant Equity Inv’rs, LLC, 2009 WL 2461008, at *7 (N.D. W. Va. Aug. 10, 2009) (relying on “modest factual showing” standard); Slavinski v. Columbia Ass’n, 2009 WL 248067, at *2–3 (D. Md. Jan. 20, 2009) (adopting “modest factual showing” via affidavit requirement).</w:t>
      </w:r>
    </w:p>
    <w:p w14:paraId="365C48BD" w14:textId="77777777" w:rsidR="004322B1" w:rsidRPr="00AD2F44" w:rsidRDefault="004322B1">
      <w:pPr>
        <w:pStyle w:val="14Footnote"/>
      </w:pPr>
      <w:r w:rsidRPr="00AD2F44">
        <w:rPr>
          <w:i/>
          <w:iCs/>
        </w:rPr>
        <w:t>Sixth Circuit:</w:t>
      </w:r>
      <w:r w:rsidRPr="00AD2F44">
        <w:t xml:space="preserve"> Colley v. Scherzinger Corp., 176 F. Supp. 3d 730, 733 (S.D. Ohio 2016) (“modest factual showing” required for conditional certification); Bowman v. Crossmark, Inc., 2010 WL 2837519, at *3 (E.D. Tenn. July 19, 2010) (finding that plaintiff and putative class must make “modest factual showing” that they were “victims of a common policy or plan that violated the law”) (quoting Comer v. Wal-Mart Stores, Inc., 454 F.3d 544, 547 (6th Cir. 2006)); Pacheco v. Boar’s Head Provisions, Inc., 671 F. Supp. 2d 957, 960 (W.D. Mich. 2009) (employing lenient standard but describing “modest factual support” as slightly higher than standard used when no or very limited discovery has taken place and considering all evidence in record); Shabazz v. Asurion Ins. Serv., 2008 U.S. Dist. LEXIS 29696, at *7–8 (M.D. Tenn. Apr. 10, 2008); Crawford v. Lexington-Fayette Urban Cnty. Gov’t, 2007 WL 293865 (E.D. Ky. Jan. 26, 2007).</w:t>
      </w:r>
    </w:p>
    <w:p w14:paraId="0D5F3D6D" w14:textId="77777777" w:rsidR="004322B1" w:rsidRPr="00AD2F44" w:rsidRDefault="004322B1">
      <w:pPr>
        <w:pStyle w:val="14Footnote"/>
      </w:pPr>
      <w:r w:rsidRPr="00AD2F44">
        <w:rPr>
          <w:i/>
          <w:iCs/>
        </w:rPr>
        <w:t>Seventh Circuit:</w:t>
      </w:r>
      <w:r w:rsidRPr="00AD2F44">
        <w:t xml:space="preserve"> </w:t>
      </w:r>
      <w:r>
        <w:t xml:space="preserve">Wallis v. OZ Mgmt. Grp., Inc. </w:t>
      </w:r>
      <w:r w:rsidRPr="00FA7BC1">
        <w:t>2022 BL 233627</w:t>
      </w:r>
      <w:r>
        <w:t xml:space="preserve">, </w:t>
      </w:r>
      <w:r w:rsidRPr="004F4D61">
        <w:t xml:space="preserve">2022 WL 2452628 </w:t>
      </w:r>
      <w:r>
        <w:t xml:space="preserve">(W.D. Wis. July 6, 2022); </w:t>
      </w:r>
      <w:r w:rsidRPr="00AD2F44">
        <w:t>North v. Board of Trs. of Ill. State Univ., 676 F. Supp. 2d 690, 694 (C.D. Ill. 2009) (applying modest factual showing approach); Dominguez v. Don Pedro Rest., 2007 WL 271567, at *4 (N.D. Ill. Jan. 25, 2007); Jonites v. Exelon Corp., 2006 WL 2873198, at *4 (N.D. Ill. Oct. 4, 2006); Coan v. Nightingale Home Healthcare, Inc., 2005 WL 1799454, at *1 (S.D. Ind. June 29, 2005).</w:t>
      </w:r>
    </w:p>
    <w:p w14:paraId="19C42C02" w14:textId="77777777" w:rsidR="004322B1" w:rsidRPr="00AD2F44" w:rsidRDefault="004322B1">
      <w:pPr>
        <w:pStyle w:val="14Footnote"/>
      </w:pPr>
      <w:r w:rsidRPr="00AD2F44">
        <w:rPr>
          <w:i/>
          <w:iCs/>
        </w:rPr>
        <w:t>Eighth Circuit:</w:t>
      </w:r>
      <w:r w:rsidRPr="00AD2F44">
        <w:t xml:space="preserve"> Trogdon v. Kleenco Maint. &amp; Constr., Inc., 2015 WL 2345590, at *2 (W.D. Ark. May 15, 2015) (employing modest factual showing standard); Holliday v. J S Express Inc.,</w:t>
      </w:r>
      <w:r w:rsidRPr="00AD2F44">
        <w:rPr>
          <w:b/>
          <w:bCs/>
        </w:rPr>
        <w:t xml:space="preserve"> </w:t>
      </w:r>
      <w:r w:rsidRPr="00AD2F44">
        <w:t>2013 WL 2395333, at *2 (E.D. Mo. May 30, 2013) (applying modest factual showing approach); Ondes v. Monsanto Co., 2011 WL 6152858, at *3 (E.D. Mo. Dec. 12, 2011) (applying modest factual showing standard).</w:t>
      </w:r>
    </w:p>
    <w:p w14:paraId="15D8FF0D" w14:textId="77777777" w:rsidR="004322B1" w:rsidRPr="00AD2F44" w:rsidRDefault="004322B1">
      <w:pPr>
        <w:pStyle w:val="14Footnote"/>
      </w:pPr>
      <w:r w:rsidRPr="00AD2F44">
        <w:rPr>
          <w:i/>
          <w:iCs/>
        </w:rPr>
        <w:t>Ninth Circuit:</w:t>
      </w:r>
      <w:r w:rsidRPr="00AD2F44">
        <w:t xml:space="preserve"> McDonald v. Ricardo’s on the Beach, Inc., 2013 WL 228334, at *2 (C.D. Cal. Jan. 22, 2013) (applying “modest factual showing” standard that plaintiff and putative class members were subject to “common policy or plan that violated the law”); Adams v. Inter-Con Sec. Sys., Inc., 242 F.R.D. 530, 538 (N.D. Cal. 2007).</w:t>
      </w:r>
    </w:p>
    <w:p w14:paraId="40BD63A6" w14:textId="77777777" w:rsidR="004322B1" w:rsidRPr="00AD2F44" w:rsidRDefault="004322B1">
      <w:pPr>
        <w:pStyle w:val="14Footnote"/>
      </w:pPr>
      <w:r w:rsidRPr="00AD2F44">
        <w:rPr>
          <w:i/>
          <w:iCs/>
        </w:rPr>
        <w:t>D.C. Circuit:</w:t>
      </w:r>
      <w:r w:rsidRPr="00AD2F44">
        <w:t xml:space="preserve"> Castillo v. P &amp; R Enters., Inc., 517 F. Supp. 2d 440, 445 (D.D.C. 2007).</w:t>
      </w:r>
    </w:p>
  </w:footnote>
  <w:footnote w:id="83">
    <w:p w14:paraId="3CA4AD8C" w14:textId="77777777" w:rsidR="004322B1" w:rsidRPr="00AD2F44" w:rsidRDefault="004322B1">
      <w:pPr>
        <w:pStyle w:val="14Footnote"/>
      </w:pPr>
      <w:r w:rsidRPr="00AD2F44">
        <w:rPr>
          <w:vertAlign w:val="superscript"/>
        </w:rPr>
        <w:footnoteRef/>
      </w:r>
      <w:r w:rsidRPr="00AD2F44">
        <w:rPr>
          <w:i/>
        </w:rPr>
        <w:t>See, e.g.,</w:t>
      </w:r>
    </w:p>
    <w:p w14:paraId="14A2B053"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F57115">
        <w:t>2022 BL 459417</w:t>
      </w:r>
      <w:r>
        <w:t xml:space="preserve">, </w:t>
      </w:r>
      <w:r w:rsidRPr="004F4D61">
        <w:t xml:space="preserve">2022 WL 17820139 </w:t>
      </w:r>
      <w:r>
        <w:t xml:space="preserve">(E.D.N.Y. Sept. 27, 2022); </w:t>
      </w:r>
      <w:r w:rsidRPr="00AD2F44">
        <w:t>Ramos v. DNC Food Servs., 2020 U.S. Dist. LEXIS 96123 (S.D.N.Y. Jun. 1, 2020); Laroque v. Domino’s Pizza, LLC, 557 F. Supp. 2d 346, 354 (E.D.N.Y. 2008); Fasanelli v. Heartland Brewery, Inc., 516 F. Supp. 2d 317, 322 (S.D.N.Y. 2007); Lynch v. United Servs. Auto. Ass’n, 491 F. Supp. 2d 357 (S.D.N.Y. 2007); Roebuck v. Hudson Valley Farms, Inc., 239 F. Supp. 2d 234, 238 (N.D.N.Y. 2002).</w:t>
      </w:r>
    </w:p>
    <w:p w14:paraId="4053192C" w14:textId="77777777" w:rsidR="004322B1" w:rsidRPr="00AD2F44" w:rsidRDefault="004322B1">
      <w:pPr>
        <w:pStyle w:val="14Footnote"/>
      </w:pPr>
      <w:r w:rsidRPr="00AD2F44">
        <w:rPr>
          <w:i/>
          <w:iCs/>
        </w:rPr>
        <w:t>Third Circuit</w:t>
      </w:r>
      <w:r w:rsidRPr="00AD2F44">
        <w:t xml:space="preserve">: Copley v. Evolution Well Servs. Operating, LLC, 2022 BL 32686, 2022 WL 295848 (W.D. Pa. Jan. 31, 2022) (conditionally certifying collective, refusing to consider defendant’s arguments regarding compensability of worker’s travel time at this stage). </w:t>
      </w:r>
    </w:p>
    <w:p w14:paraId="4EF98F97" w14:textId="77777777" w:rsidR="004322B1" w:rsidRPr="00AD2F44" w:rsidRDefault="004322B1">
      <w:pPr>
        <w:pStyle w:val="14Footnote"/>
      </w:pPr>
      <w:r w:rsidRPr="00AD2F44">
        <w:rPr>
          <w:i/>
          <w:iCs/>
        </w:rPr>
        <w:t>Fourth Circuit:</w:t>
      </w:r>
      <w:r w:rsidRPr="00AD2F44">
        <w:t xml:space="preserve"> Choimbol v. Fairfield Resorts, Inc., 475 F. Supp. 2d 557, 562 (E.D. Va. 2006) (holding resolution of joint employer issue not required at notice stage).</w:t>
      </w:r>
    </w:p>
    <w:p w14:paraId="57066F31" w14:textId="77777777" w:rsidR="004322B1" w:rsidRPr="00AD2F44" w:rsidRDefault="004322B1">
      <w:pPr>
        <w:pStyle w:val="14Footnote"/>
      </w:pPr>
      <w:r w:rsidRPr="00AD2F44">
        <w:rPr>
          <w:i/>
          <w:iCs/>
        </w:rPr>
        <w:t>Fifth Circuit:</w:t>
      </w:r>
      <w:r w:rsidRPr="00AD2F44">
        <w:t xml:space="preserve"> Alford v. Freedom Oilfield Servs., LLC, 2016 WL 8673858, at *5 (W.D. Tex. Aug. 17, 2016) (refusing to consider argument in opposition to conditional certification that putative class members were exempt under Motor Carrier Act exemption, despite finding by DOL in audit that they were, because argument went to merits and was premature); Smith v. Offshore Specialty Fabricators, Inc., 2009 WL 2046159, at *3 (E.D. La. July 13, 2009) (refusing to consider defendant’s argument that conditional certification was inappropriate because alleged unpaid time at morning safety meetings is more than offset by paid lunch break, reasoning that this was merits argument and required resolution of factual dispute); Beall v. Tyler Techs., Inc., 2009 WL 1766141, at *3 (E.D. Tex. June 23, 2009) (refusing to consider defendant’s evidence at conditional certification stage of variations in employment decision, job postings, job responsibilities, or compensation, or fact that exempt status of jobs varied by division, reasoning that this evidence went to merits); Dreyer v. Baker Hughes Oilfield Operations, Inc., 2008 WL 5204149, at *3 (S.D. Tex. Dec. 11, 2008) (rejecting argument at conditional certification stage that plaintiffs may be subject to certain exemptions, because it was merits-based defense).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CE494C0" w14:textId="77777777" w:rsidR="004322B1" w:rsidRPr="00AD2F44" w:rsidRDefault="004322B1">
      <w:pPr>
        <w:pStyle w:val="14Footnote"/>
      </w:pPr>
      <w:r w:rsidRPr="00AD2F44">
        <w:rPr>
          <w:i/>
          <w:iCs/>
        </w:rPr>
        <w:t>Sixth Circuit:</w:t>
      </w:r>
      <w:r w:rsidRPr="00AD2F44">
        <w:t xml:space="preserve"> </w:t>
      </w:r>
      <w:r w:rsidRPr="00AD2F44">
        <w:rPr>
          <w:i/>
          <w:iCs/>
        </w:rPr>
        <w:t>Colley</w:t>
      </w:r>
      <w:r w:rsidRPr="00AD2F44">
        <w:t>, 176 F. Supp. 3d at 733–34 (noting that courts generally do not consider merits of claims or defenses at conditional certification); Penley v. NPC Int’l, Inc., 2016 WL 7228901, at *3 (W.D. Tenn. Dec. 13, 2016) (applying “modest” standard where no discovery had been conducted); Brown v. Ak Lawncare, Inc., 2015 WL 5954811 (E.D. Mich. Oct. 14, 2015) (same); Brasfield v. Source Broadband Serv., LLC, 2008 WL 2697261, at *2 (W.D. Tenn. June 3, 2008).</w:t>
      </w:r>
    </w:p>
    <w:p w14:paraId="582B5D72" w14:textId="77777777" w:rsidR="004322B1" w:rsidRPr="00AD2F44" w:rsidRDefault="004322B1">
      <w:pPr>
        <w:pStyle w:val="14Footnote"/>
      </w:pPr>
      <w:r w:rsidRPr="00AD2F44">
        <w:rPr>
          <w:i/>
          <w:iCs/>
        </w:rPr>
        <w:t>Seventh Circuit:</w:t>
      </w:r>
      <w:r w:rsidRPr="00AD2F44">
        <w:t xml:space="preserve"> Girolamo v. Community Physical Therapy &amp; Assocs., Ltd., 2016 WL 3693426, at *2 (N.D. Ill. July 12, 2016) (stating that conditional certification analysis does not involve “adjudication of the merits of the claims; the named plaintiff must demonstrate only that there is some factual nexus that connects her to other potential plaintiffs as victims of an unlawful practice”); Dominguez v. Don Pedro Rest., 2007 U.S. Dist. LEXIS 6659, at *9 (N.D. Ind. Jan. 25, 2007); Austin v. CUNA Mut. Ins. Soc., 232 F.R.D. 601, 606 (W.D. Wis. 2006) (holding merits of applicability of fluctuating workweek not at issue during conditional certification phase).</w:t>
      </w:r>
    </w:p>
    <w:p w14:paraId="12ACB423" w14:textId="77777777" w:rsidR="004322B1" w:rsidRPr="00AD2F44" w:rsidRDefault="004322B1">
      <w:pPr>
        <w:pStyle w:val="14Footnote"/>
      </w:pPr>
      <w:r w:rsidRPr="00AD2F44">
        <w:rPr>
          <w:i/>
          <w:iCs/>
        </w:rPr>
        <w:t>Eighth Circuit:</w:t>
      </w:r>
      <w:r w:rsidRPr="00AD2F44">
        <w:t xml:space="preserve"> Rios-Gutierrez v. Briggs Traditional Turf Farm, Inc., 585 F. Supp. 3d 1209 (W.D. Mo. 2022) (granting conditional certification, refusing to consider defendants’ legal arguments on joint employment at this stage); Edwards v. Multiband Corp., 2011 WL 117232, at *4 (D. Minn. Jan. 13, 2011) (refusing to consider status of opt-ins either as employees or independent contractors, at initial stage, because court should not consider evidence going to merits of plaintiff’s claims at this stage); Bouaphakeo v. Tyson Foods, Inc., 564 F. Supp. 2d 870 (N.D. Iowa 2008);</w:t>
      </w:r>
      <w:r w:rsidRPr="00AD2F44">
        <w:rPr>
          <w:i/>
          <w:iCs/>
        </w:rPr>
        <w:t xml:space="preserve"> </w:t>
      </w:r>
      <w:r w:rsidRPr="00AD2F44">
        <w:t xml:space="preserve">Robertson v. LTS Mgmt. Servs. LLC, 642 F. Supp. 2d 922, 926–27 (W.D. Mo. 2008) (refusing to consider defendants’ evidence that DOL settlement extinguished claims of 71 employees because that was merits issue, which is premature at conditional certification); </w:t>
      </w:r>
      <w:r w:rsidRPr="00AD2F44">
        <w:rPr>
          <w:i/>
          <w:iCs/>
        </w:rPr>
        <w:t>In re</w:t>
      </w:r>
      <w:r w:rsidRPr="00AD2F44">
        <w:t xml:space="preserve"> Pilgrim’s Pride Fair Labor Standards Litig., 2008 U.S. Dist. LEXIS 93966 at *9; Huang v. Gateway Hotel Holdings, 248 F.R.D. 225, 227 (E.D. Mo. 2008).</w:t>
      </w:r>
    </w:p>
    <w:p w14:paraId="06874E67" w14:textId="77777777" w:rsidR="004322B1" w:rsidRPr="00AD2F44" w:rsidRDefault="004322B1">
      <w:pPr>
        <w:pStyle w:val="14Footnote"/>
      </w:pPr>
      <w:r w:rsidRPr="00AD2F44">
        <w:rPr>
          <w:i/>
          <w:iCs/>
        </w:rPr>
        <w:t>Ninth Circuit:</w:t>
      </w:r>
      <w:r w:rsidRPr="00AD2F44">
        <w:t xml:space="preserve"> Dualan v. Jacob Transp. Servs. LLC, 172 F. Supp. 3d 1138 (D. Nev. 2016); Pataky v. Brigantine, Inc., 2017 WL 1855762, at *5 (S.D. Cal. May 8, 2017) (“declin[ing] to visit the merits at this early stage”); Labrie v. UPS Supply Chain Sols., Inc., 2009 WL 723599, at *6 (N.D. Cal. Mar. 18, 2009) (holding that defendant’s arguments against conditional certification raised merits issues “more appropriately addressed” by decertification or summary judgment motion, where defendant argued notice should not be given based on (1) inherently individualized inquiries necessary to evaluate independent contractor status, (2) plaintiffs’ failure to identify unlawful policy or practice rather than exceptions to a lawful one, (3) survey showing plaintiffs’ factual circumstances were aberrational, and (4) plaintiffs’ conclusory and boilerplate declarations that showed lack of personal knowledge); White v. Rakhra Mushroom Farm Corp., 2009 WL 971857, at *5 (D. Or. Apr. 8, 2009) (holding it inappropriate to address merits of agricultural exemption at conditional certification stage).</w:t>
      </w:r>
    </w:p>
    <w:p w14:paraId="0FD774ED" w14:textId="77777777" w:rsidR="004322B1" w:rsidRPr="00AD2F44" w:rsidRDefault="004322B1">
      <w:pPr>
        <w:pStyle w:val="14Footnote"/>
      </w:pPr>
      <w:r w:rsidRPr="00AD2F44">
        <w:rPr>
          <w:i/>
          <w:iCs/>
        </w:rPr>
        <w:t xml:space="preserve">Tenth Circuit: </w:t>
      </w:r>
      <w:r w:rsidRPr="00AD2F44">
        <w:t>Thiessen v. General Elec. Capital Corp., 267 F.3d 1095, 1107 (10th Cir. 2001) (finding district court erred in essentially making findings of fact regarding merits against movants and depriving plaintiffs of their right to have such issues decided by jury or under summary judgment standards); Pegues v. CareCentrix, Inc., 2013 WL 1896994, at *3 (D. Kan. May 6, 2013) (granting conditional certification and refusing to consider defendant’s de minimis arguments because court would not delve into merits of plaintiffs’ claims); Miller v. Startek USA, Inc., 2011 WL 1883012, at *2 (D. Colo. May 17, 2011) (relying on complaint and plaintiff’s affidavits, and refusing to consider “the invitation implicit in the defendant’s voluminous evidentiary submission to investigate further the potential efficacy of the allegations at this stage,” given lenient standard and that it is “not the appropriate juncture” to make merits determinations).</w:t>
      </w:r>
    </w:p>
    <w:p w14:paraId="57AD61B7" w14:textId="77777777" w:rsidR="004322B1" w:rsidRPr="00AD2F44" w:rsidRDefault="004322B1">
      <w:pPr>
        <w:pStyle w:val="14Footnote"/>
      </w:pPr>
      <w:r w:rsidRPr="00AD2F44">
        <w:rPr>
          <w:i/>
          <w:iCs/>
        </w:rPr>
        <w:t>Eleventh Circuit:</w:t>
      </w:r>
      <w:r w:rsidRPr="00AD2F44">
        <w:t xml:space="preserve"> Garner v. G.D. Searle Pharm. &amp; Co., 802 F. Supp. 418, 423 nn.3, 4 (M.D. Ala. 1991).</w:t>
      </w:r>
    </w:p>
  </w:footnote>
  <w:footnote w:id="84">
    <w:p w14:paraId="318A9D78" w14:textId="77777777" w:rsidR="004322B1" w:rsidRPr="00AD2F44" w:rsidRDefault="004322B1">
      <w:pPr>
        <w:pStyle w:val="14Footnote"/>
      </w:pPr>
      <w:r w:rsidRPr="00AD2F44">
        <w:rPr>
          <w:vertAlign w:val="superscript"/>
        </w:rPr>
        <w:footnoteRef/>
      </w:r>
      <w:r w:rsidRPr="00AD2F44">
        <w:rPr>
          <w:i/>
        </w:rPr>
        <w:t>See, e.g.,</w:t>
      </w:r>
    </w:p>
    <w:p w14:paraId="2DC7E554" w14:textId="77777777" w:rsidR="004322B1" w:rsidRPr="00AD2F44" w:rsidRDefault="004322B1">
      <w:pPr>
        <w:pStyle w:val="14Footnote"/>
      </w:pPr>
      <w:r w:rsidRPr="00AD2F44">
        <w:rPr>
          <w:i/>
          <w:iCs/>
        </w:rPr>
        <w:t>First Circuit:</w:t>
      </w:r>
      <w:r w:rsidRPr="00AD2F44">
        <w:t xml:space="preserve"> </w:t>
      </w:r>
      <w:r w:rsidRPr="00AD2F44">
        <w:rPr>
          <w:i/>
          <w:iCs/>
        </w:rPr>
        <w:t>Trezvant</w:t>
      </w:r>
      <w:r w:rsidRPr="00AD2F44">
        <w:t>, 434 F. Supp. 2d at 48 (“[Defendant] challenged that these were accurate depictions of these positions, asserting that the analysts have much more varied and complex responsibilities. … This, however, goes to credibility—something that is not given consideration at this phase.”) (citations omitted).</w:t>
      </w:r>
    </w:p>
    <w:p w14:paraId="68B58E19"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F57115">
        <w:t>2022 BL 459417</w:t>
      </w:r>
      <w:r>
        <w:t xml:space="preserve">, </w:t>
      </w:r>
      <w:r w:rsidRPr="004F4D61">
        <w:t xml:space="preserve">2022 WL 17820139 </w:t>
      </w:r>
      <w:r>
        <w:t xml:space="preserve">(E.D.N.Y. Sept. 27, 2022); </w:t>
      </w:r>
      <w:r w:rsidRPr="00AD2F44">
        <w:t>Ramos v. DNC Food Serv. Corp., 2020 U.S. Dist. LEXIS 96123 (S.D.N.Y. Jun. 1, 2020); Flood v. Just Energy Mktg. Corp., 2016 WL 354078, at *3 (S.D.N.Y. Jan. 25, 2016) (rejecting defendant’s challenges to “truthfulness” of plaintiff’s declaration as immaterial at conditional certification); Becerra v. IM LLC</w:t>
      </w:r>
      <w:r w:rsidRPr="00AD2F44">
        <w:noBreakHyphen/>
        <w:t>I, 2015 WL 1954478, at *3 (E.D.N.Y. Apr. 29, 2015) (not appropriate to resolve factual disputes at notice inquiry stage); Aros v. United Rentals, Inc., 269 F.R.D. 176, 180 (D. Conn. 2010) (refusing to evaluate credibility of plaintiff’s declaration at conditional certification stage); Lynch v. United Servs. Auto. Ass’n, 491 F. Supp. 2d 357, 368 (S.D.N.Y. 2007) (explaining determination as to whether potential opt-in plaintiffs are similarly situated does not involve inquiry into factual dispute); Barrus v. Dick’s Sporting Goods, Inc., 465 F. Supp. 2d 224, 230 (W.D.N.Y. 2006) (noting that at this stage, it is “not the Court’s role to resolve factual disputes, decide substantive issues going to the ultimate merits or make credibility determinations”).</w:t>
      </w:r>
    </w:p>
    <w:p w14:paraId="181932F8" w14:textId="77777777" w:rsidR="004322B1" w:rsidRPr="00AD2F44" w:rsidRDefault="004322B1">
      <w:pPr>
        <w:pStyle w:val="14Footnote"/>
      </w:pPr>
      <w:r w:rsidRPr="00AD2F44">
        <w:rPr>
          <w:i/>
          <w:iCs/>
        </w:rPr>
        <w:t>Third Circuit:</w:t>
      </w:r>
      <w:r w:rsidRPr="00AD2F44">
        <w:t xml:space="preserve"> Smith v. Sovereign Bancorp, Inc., 2003 WL 22701017, at *3 (E.D. Pa. Nov. 13, 2003) (“Plaintiffs need only provide some ‘modest’ evidence beyond pure speculation, that Defendant’s alleged policy affected other employees.”).</w:t>
      </w:r>
    </w:p>
    <w:p w14:paraId="19C51E6D" w14:textId="77777777" w:rsidR="004322B1" w:rsidRPr="00AD2F44" w:rsidRDefault="004322B1">
      <w:pPr>
        <w:pStyle w:val="14Footnote"/>
      </w:pPr>
      <w:r w:rsidRPr="00AD2F44">
        <w:rPr>
          <w:i/>
          <w:iCs/>
        </w:rPr>
        <w:t>Fifth Circuit:</w:t>
      </w:r>
      <w:r w:rsidRPr="00AD2F44">
        <w:t xml:space="preserve"> Madrid v. Pine Maint., Inc., 2020 US Dist. Lexis 92422 (S.D. Tex. May 27, 2020) (ignoring defendant’s submission of evidence contradicting plaintiff’s factual assertions at the notice stage); Salinas-Rodriguez v. Alpha Servs., LLC, 2005 WL 3557178, at *4 (S.D. Miss. Dec. 27, 2005) (finding contradictory evidence from deposition of named plaintiff insufficient to deny notice).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A2CF644" w14:textId="77777777" w:rsidR="004322B1" w:rsidRPr="00AD2F44" w:rsidRDefault="004322B1">
      <w:pPr>
        <w:pStyle w:val="14Footnote"/>
      </w:pPr>
      <w:r w:rsidRPr="00AD2F44">
        <w:rPr>
          <w:i/>
          <w:iCs/>
        </w:rPr>
        <w:t>Sixth Circuit:</w:t>
      </w:r>
      <w:r w:rsidRPr="00AD2F44">
        <w:t xml:space="preserve"> Brasfield v. Source Broadband Serv., LLC, 2008 WL 2697261, at *2 (W.D. Tenn. June 3, 2008) (“At this first stage the court does not resolve factual disputes, decide substantive issues going to the ultimate merits, or make credibility determinations.”).</w:t>
      </w:r>
    </w:p>
    <w:p w14:paraId="69F07128" w14:textId="77777777" w:rsidR="004322B1" w:rsidRPr="00AD2F44" w:rsidRDefault="004322B1">
      <w:pPr>
        <w:pStyle w:val="14Footnote"/>
      </w:pPr>
      <w:r w:rsidRPr="00AD2F44">
        <w:rPr>
          <w:i/>
          <w:iCs/>
        </w:rPr>
        <w:t>Eighth Circuit: Rios-Gutierrez,</w:t>
      </w:r>
      <w:r w:rsidRPr="00AD2F44">
        <w:t xml:space="preserve">585 F. Supp. 3d 1209 (granting conditional certification, refusing to make credibility determinations on duties performed, or application of agricultural exemption at this stage); </w:t>
      </w:r>
      <w:r w:rsidRPr="00AD2F44">
        <w:rPr>
          <w:i/>
          <w:iCs/>
        </w:rPr>
        <w:t>In re</w:t>
      </w:r>
      <w:r w:rsidRPr="00AD2F44">
        <w:t xml:space="preserve"> Pilgrim’s Pride Fair Labor Standards Litig., 2008 U.S. Dist. LEXIS 93966, at *9 (W.D. Ark. Mar. 13, 2008); Kalish v. High Tech Inst., Inc., 2005 WL 1073645, at *2 (D. Minn. Apr. 22, 2005) (stating courts do not need to make findings of fact or credibility determinations at Stage I) (citing Severtson v. Phillips Beverage Co., 141 F.R.D. 276, 279 (D. Minn. 1992)).</w:t>
      </w:r>
    </w:p>
    <w:p w14:paraId="4831FF4C" w14:textId="77777777" w:rsidR="004322B1" w:rsidRPr="00AD2F44" w:rsidRDefault="004322B1">
      <w:pPr>
        <w:pStyle w:val="14Footnote"/>
      </w:pPr>
      <w:r w:rsidRPr="00AD2F44">
        <w:rPr>
          <w:i/>
          <w:iCs/>
        </w:rPr>
        <w:t>Ninth Circuit:</w:t>
      </w:r>
      <w:r w:rsidRPr="00AD2F44">
        <w:t xml:space="preserve"> Dualan v. Jacob Transp. Servs. LLC, 172 F. Supp. 3d 1138 (D. Nev. 2016); Adams v. Inter-Con Sec. Sys., Inc., 242 F.R.D. 530, 538 (N.D. Cal. 2007) (stating court does not resolve dueling affidavits between parties).</w:t>
      </w:r>
    </w:p>
    <w:p w14:paraId="411BD270" w14:textId="77777777" w:rsidR="004322B1" w:rsidRPr="00AD2F44" w:rsidRDefault="004322B1">
      <w:pPr>
        <w:pStyle w:val="14Footnote"/>
      </w:pPr>
      <w:r w:rsidRPr="00AD2F44">
        <w:rPr>
          <w:i/>
          <w:iCs/>
        </w:rPr>
        <w:t>Tenth Circuit:</w:t>
      </w:r>
      <w:r w:rsidRPr="00AD2F44">
        <w:t xml:space="preserve"> Stransky v. HealthONE of Denver, Inc., 2012 WL 6548108, at *4 (D. Colo. Dec. 14, 2012) (relying on “single decision, policy, or plan” in conditional certification stage and refusing to look to merits of plaintiffs’ claims but instead considering only substantial allegations of complaint and supporting declarations); Geer v. Challenge Fin. Inv’rs Corp., 2005 WL 2648054, at *2 (D. Kan. Oct. 17, 2005) (“In considering whether the putative plaintiffs are similarly situated, the Court will only consider the pleadings and affidavits filed by Plaintiff because, at this point, the Court is not prepared to weigh the evidence.”) (citing Brown v. Money Tree Mortg., Inc., 222 F.R.D. 676, 680 (D. Kan. 2004)).</w:t>
      </w:r>
    </w:p>
    <w:p w14:paraId="6364E5A2" w14:textId="77777777" w:rsidR="004322B1" w:rsidRPr="00AD2F44" w:rsidRDefault="004322B1">
      <w:pPr>
        <w:pStyle w:val="14Footnote"/>
      </w:pPr>
      <w:r w:rsidRPr="00AD2F44">
        <w:rPr>
          <w:i/>
          <w:iCs/>
        </w:rPr>
        <w:t>Eleventh Circuit:</w:t>
      </w:r>
      <w:r w:rsidRPr="00AD2F44">
        <w:t xml:space="preserve"> Manasco v. Best In Town, Inc., 2022 BL 90790, 2022 WL 816469 (N.D. Ala. Mar. 17, 2022) (refusing to resolve parties’ factual disputes regarding merits of claim, granting conditional certification where plaintiffs sufficiently showed that others experienced same pay practices and desired to opt in); Reyes v. AT&amp;T Mobility Servs. LLC, 801 F. Supp. 2d 1350 (S.D. Fla. 2011) (refusing to analyze credibility during first stage, noting that defendant’s sole burden is to demonstrate plaintiff provided insufficient (not factually wrong) evidence); Rivera v. Cemex, Inc., 2006 WL 3388455, at *2 (M.D. Fla. Nov. 21, 2006) (stating court “should not make any factual determinations or take into account any alleged defenses”); Pendlebury v. Starbucks Coffee Co., 2005 WL 84500, at *3 (S.D. Fla. Jan. 3, 2005) (court should not make “factual determinations on the similarly situated question,” but instead determine if some evidence supports the plaintiffs’ claims).</w:t>
      </w:r>
    </w:p>
  </w:footnote>
  <w:footnote w:id="85">
    <w:p w14:paraId="30CA549D" w14:textId="77777777" w:rsidR="004322B1" w:rsidRPr="00AD2F44" w:rsidRDefault="004322B1">
      <w:pPr>
        <w:pStyle w:val="14Footnote"/>
      </w:pPr>
      <w:r w:rsidRPr="00AD2F44">
        <w:rPr>
          <w:vertAlign w:val="superscript"/>
        </w:rPr>
        <w:footnoteRef/>
      </w:r>
      <w:r w:rsidRPr="00AD2F44">
        <w:rPr>
          <w:i/>
        </w:rPr>
        <w:t xml:space="preserve">See, e.g., </w:t>
      </w:r>
    </w:p>
    <w:p w14:paraId="5D1CDFED" w14:textId="77777777" w:rsidR="004322B1" w:rsidRPr="00AD2F44" w:rsidRDefault="004322B1">
      <w:pPr>
        <w:pStyle w:val="14Footnote"/>
      </w:pPr>
      <w:r w:rsidRPr="00AD2F44">
        <w:rPr>
          <w:i/>
          <w:iCs/>
        </w:rPr>
        <w:t>First Circuit:</w:t>
      </w:r>
      <w:r w:rsidRPr="00AD2F44">
        <w:t xml:space="preserve"> Poreda v. Boise Cascade, LLC, 532 F. Supp. 2d 234, 239 (D. Mass. 2008); Reeves v. Alliant Techsys., Inc., 77 F. Supp. 2d 242, 247 (D.R.I. 1999).</w:t>
      </w:r>
    </w:p>
    <w:p w14:paraId="37C77F95" w14:textId="77777777" w:rsidR="004322B1" w:rsidRPr="00AD2F44" w:rsidRDefault="004322B1">
      <w:pPr>
        <w:pStyle w:val="14Footnote"/>
      </w:pPr>
      <w:r w:rsidRPr="00AD2F44">
        <w:rPr>
          <w:i/>
          <w:iCs/>
        </w:rPr>
        <w:t>Second Circuit:</w:t>
      </w:r>
      <w:r w:rsidRPr="00AD2F44">
        <w:t xml:space="preserve"> Myers v. Hertz Corp., 624 F.3d 537, 555 (2d Cir. 2010).</w:t>
      </w:r>
    </w:p>
    <w:p w14:paraId="7B7653F6" w14:textId="77777777" w:rsidR="004322B1" w:rsidRPr="00AD2F44" w:rsidRDefault="004322B1">
      <w:pPr>
        <w:pStyle w:val="14Footnote"/>
      </w:pPr>
      <w:r w:rsidRPr="00AD2F44">
        <w:rPr>
          <w:i/>
          <w:iCs/>
        </w:rPr>
        <w:t>Third Circuit:</w:t>
      </w:r>
      <w:r w:rsidRPr="00AD2F44">
        <w:t xml:space="preserve"> Sperling v. Hoffmann-La Roche, Inc., 118 F.R.D. 392, 407 (D.N.J.), </w:t>
      </w:r>
      <w:r w:rsidRPr="00AD2F44">
        <w:rPr>
          <w:i/>
          <w:iCs/>
        </w:rPr>
        <w:t>aff’d</w:t>
      </w:r>
      <w:r w:rsidRPr="00AD2F44">
        <w:t xml:space="preserve">, 862 F.2d 439 (3d Cir. 1988), 493 U.S. 165 (1989); De Asencio v. Tyson Foods, Inc., 130 F. Supp. 2d 660, 663 (E.D. Pa. 2001), </w:t>
      </w:r>
      <w:r w:rsidRPr="00AD2F44">
        <w:rPr>
          <w:i/>
          <w:iCs/>
        </w:rPr>
        <w:t>rev’d on other grounds</w:t>
      </w:r>
      <w:r w:rsidRPr="00AD2F44">
        <w:t>, 342 F.3d 301 (3d Cir. 2003).</w:t>
      </w:r>
    </w:p>
    <w:p w14:paraId="05800699" w14:textId="77777777" w:rsidR="004322B1" w:rsidRPr="00AD2F44" w:rsidRDefault="004322B1">
      <w:pPr>
        <w:pStyle w:val="14Footnote"/>
      </w:pPr>
      <w:r w:rsidRPr="00AD2F44">
        <w:rPr>
          <w:i/>
          <w:iCs/>
        </w:rPr>
        <w:t>Fourth Circuit:</w:t>
      </w:r>
      <w:r w:rsidRPr="00AD2F44">
        <w:t xml:space="preserve"> Mendoza v. Mo’s Fisherman Exch., Inc., 2016 U.S. Dist. LEXIS 81764, at *35 (D. Md. June 22, 2016) (noting that conditional certification can be achieved based on a “relatively modest factual showing” that a common policy violates the FLSA); Butler v. DirectSAT USA, LLC, 876 F. Supp. 2d 560, 568 (D. Md. 2012) (finding that plaintiff made a “modest factual showing” by demonstrating that putative class members were subject to a “common policy, scheme or plan”); Hargrove v. Ryla Teleservs., Inc., 2012 WL 489216, at *2 (E.D. Va. Jan. 3, 2012) (relying on “single policy or plan” standard in granting conditional certification) (citing Choimbol v. Fairfield Resorts, Inc., 475 F. Supp. 2d 557 (E.D. Va. 2006)); Quinteros v. Sparkle Cleaning, Inc., 532 F. Supp. 2d 762, 772 (D. Md. 2008) (deeming plaintiffs similarly situated based on common policy or scheme or plan); Marroquin v. Canales, 236 F.R.D. 257, 260–61 (D. Md. 2006) (explaining “employees cannot be expected to have evidence of a stated policy of refusing to pay overtime”).</w:t>
      </w:r>
    </w:p>
    <w:p w14:paraId="1B89C35F" w14:textId="77777777" w:rsidR="004322B1" w:rsidRPr="00AD2F44" w:rsidRDefault="004322B1">
      <w:pPr>
        <w:pStyle w:val="14Footnote"/>
      </w:pPr>
      <w:r w:rsidRPr="00AD2F44">
        <w:rPr>
          <w:i/>
          <w:iCs/>
          <w:lang w:val="fr-FR"/>
        </w:rPr>
        <w:t>Fifth Circuit:</w:t>
      </w:r>
      <w:r w:rsidRPr="00AD2F44">
        <w:rPr>
          <w:lang w:val="fr-FR"/>
        </w:rPr>
        <w:t xml:space="preserve"> Gremillion v. Cox Commc’ns La., 2017 WL 2688217 (E.D. La. </w:t>
      </w:r>
      <w:r w:rsidRPr="00AD2F44">
        <w:t xml:space="preserve">June 22, 2017) (rejecting defendant’s argument that plaintiff’s failure to include affidavits of other employees was fatal to conditional certification motion; noting that more critical factor is whether plaintiff alleged common policy); Hendrix v. Shipcom Wireless, Inc., 2017 WL 1449780, at *3 (S.D. Tex. Apr. 21, 2017) (“A factual basis for the allegations is needed to satisfy the first step.”) (citation omitted); Ryan v. Staff Care, Inc., 497 F. Supp. 2d 820, 825 (N.D. Tex. 2007) (holding circumstances must arise from a “generally applicable rule, policy or practice”); Villatoro v. Kim Son Rest., L.P., 286 F. Supp. 2d 807, 810 (S.D. Tex. 2003).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F18D84D" w14:textId="77777777" w:rsidR="004322B1" w:rsidRPr="00AD2F44" w:rsidRDefault="004322B1">
      <w:pPr>
        <w:pStyle w:val="14Footnote"/>
      </w:pPr>
      <w:r w:rsidRPr="00AD2F44">
        <w:rPr>
          <w:i/>
          <w:iCs/>
        </w:rPr>
        <w:t>Seventh Circuit:</w:t>
      </w:r>
      <w:r w:rsidRPr="00AD2F44">
        <w:t xml:space="preserve"> Garcia v. Salamanca Grp., Ltd., 2008 U.S. Dist. LEXIS 22852, at *6 (N.D. Ill. Mar. 24, 2008); Gambo v. Lucent Techs., Inc., 2005 U.S. Dist. LEXIS 37998, at *17 (N.D. Ill. Dec. 22, 2005) (finding no requirement that common policy stem from “top-down decision of central management”).</w:t>
      </w:r>
    </w:p>
    <w:p w14:paraId="472EABB5" w14:textId="77777777" w:rsidR="004322B1" w:rsidRPr="00AD2F44" w:rsidRDefault="004322B1">
      <w:pPr>
        <w:pStyle w:val="14Footnote"/>
      </w:pPr>
      <w:r w:rsidRPr="00AD2F44">
        <w:rPr>
          <w:i/>
          <w:iCs/>
        </w:rPr>
        <w:t>Eighth Circuit:</w:t>
      </w:r>
      <w:r w:rsidRPr="00AD2F44">
        <w:t xml:space="preserve"> </w:t>
      </w:r>
      <w:r w:rsidRPr="00AD2F44">
        <w:rPr>
          <w:i/>
          <w:iCs/>
        </w:rPr>
        <w:t>Bouaphakeo</w:t>
      </w:r>
      <w:r w:rsidRPr="00AD2F44">
        <w:t>, 564 F. Supp. 2d at 892 (holding that plaintiffs need not prove the merits of their claims at Stage I); Young v. Cerner Corp., 503 F. Supp. 2d 1226, 1229 (W.D. Mo. 2007); Davis v. NovaStar Mortg., Inc., 408 F. Supp. 2d 811, 815 (W.D. Mo. 2005).</w:t>
      </w:r>
    </w:p>
    <w:p w14:paraId="647E1F42" w14:textId="77777777" w:rsidR="004322B1" w:rsidRPr="00AD2F44" w:rsidRDefault="004322B1">
      <w:pPr>
        <w:pStyle w:val="14Footnote"/>
      </w:pPr>
      <w:r w:rsidRPr="00AD2F44">
        <w:rPr>
          <w:i/>
          <w:iCs/>
        </w:rPr>
        <w:t>Ninth Circuit:</w:t>
      </w:r>
      <w:r w:rsidRPr="00AD2F44">
        <w:t xml:space="preserve"> Peer v. Rick's Custom Fencing &amp; Decking, Inc., 2021 BL 351774, 2021 WL 4203658 (D. Or. Aug. 13, 2021), </w:t>
      </w:r>
      <w:r w:rsidRPr="00AD2F44">
        <w:rPr>
          <w:i/>
          <w:iCs/>
        </w:rPr>
        <w:t>report and recommendation adopted</w:t>
      </w:r>
      <w:r w:rsidRPr="00AD2F44">
        <w:t xml:space="preserve">, 2021 WL 4199958 (D. Or. </w:t>
      </w:r>
      <w:r w:rsidRPr="004F4D61">
        <w:rPr>
          <w:lang w:val="es-ES"/>
        </w:rPr>
        <w:t>Sept. 15, 2021) (granting conditional certification, finding plaintiff alleged plausible legal theory based on common scheme);</w:t>
      </w:r>
      <w:r w:rsidRPr="00AD2F44">
        <w:t xml:space="preserve"> Dualan v. Jacob Transp. Servs. LLC, 172 F. Supp. 3d 1138 (D. Nev. 2016) (finding, based on plaintiff’s testimony, that putative class was subject to companywide policy or practice in violation of FLSA minimum and overtime wage requirements); Ramirez v. Ghilotti Bros., 941 F. Supp. 2d 1197, 1205–06 (N.D. Cal. 2013) (finding that employees showed single decision, policy, or plan justifying conditional certification); Juvera v. Salcido, 294 F.R.D. 516, 520 (D. Ariz. 2013) (conditional certification requires only that “plaintiffs make substantial allegations that the putative class members were subject to a single illegal policy, plan or decision”) (quotation omitted); Villa v. United Site Servs. of Cal., Inc., 2012 WL 5503550, at *13–14 (N.D. Cal. Nov. 13, 2012) (holding plaintiff able to show that he and other class members were similarly situated because they were subjected to defendants’ alleged unlawful common policy); Buckland v. Maxim Healthcare Servs., Inc., 2012 WL 3705263, at *5 (C.D. Cal. Aug. 27, 2012) (recognizing that first stage required that plaintiffs “make only substantial allegations that the putative class members were subject to a single illegal policy, plan or decision” but denying certification where plaintiffs’ evidence was lacking and their theories inconsistent).</w:t>
      </w:r>
    </w:p>
    <w:p w14:paraId="55822561" w14:textId="77777777" w:rsidR="004322B1" w:rsidRPr="00AD2F44" w:rsidRDefault="004322B1">
      <w:pPr>
        <w:pStyle w:val="14Footnote"/>
      </w:pPr>
      <w:r w:rsidRPr="00AD2F44">
        <w:rPr>
          <w:i/>
          <w:iCs/>
        </w:rPr>
        <w:t>Tenth Circuit:</w:t>
      </w:r>
      <w:r w:rsidRPr="00AD2F44">
        <w:t xml:space="preserve"> Underwood v. NMC Mortg. Corp., 245 F.R.D. 720, 721 (D. Kan. 2007).</w:t>
      </w:r>
    </w:p>
  </w:footnote>
  <w:footnote w:id="86">
    <w:p w14:paraId="7CE0E47C" w14:textId="77777777" w:rsidR="004322B1" w:rsidRDefault="004322B1">
      <w:pPr>
        <w:pStyle w:val="14Footnote"/>
      </w:pPr>
      <w:r w:rsidRPr="00AD2F44">
        <w:rPr>
          <w:vertAlign w:val="superscript"/>
        </w:rPr>
        <w:footnoteRef/>
      </w:r>
      <w:r w:rsidRPr="00AD2F44">
        <w:rPr>
          <w:i/>
          <w:iCs/>
        </w:rPr>
        <w:t>See</w:t>
      </w:r>
      <w:r w:rsidRPr="00AD2F44">
        <w:t xml:space="preserve"> </w:t>
      </w:r>
    </w:p>
    <w:p w14:paraId="5AAA589D" w14:textId="77777777" w:rsidR="004322B1" w:rsidRDefault="004322B1">
      <w:pPr>
        <w:pStyle w:val="14Footnote"/>
      </w:pPr>
      <w:r>
        <w:rPr>
          <w:i/>
          <w:iCs/>
        </w:rPr>
        <w:t xml:space="preserve">Fifth Circuit: </w:t>
      </w:r>
      <w:r w:rsidRPr="00AD2F44">
        <w:t>Dreyer v. Baker Hughes Oilfield Operations, Inc., 2008 WL 5204149, at *3 (S.D. Tex. Dec. 11, 2008) (rejecting requirement that plaintiffs show they were subject to single decision, policy, or plan, because it would deprive collective treatment in cases where subgroups of employees shared same duties, and thus were similarly situated, but employer made decisions only concerning larger groups of which subgroups were part)</w:t>
      </w:r>
      <w:r w:rsidRPr="001B5E5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t>
      </w:r>
    </w:p>
    <w:p w14:paraId="54166AB5" w14:textId="77777777" w:rsidR="004322B1" w:rsidRDefault="004322B1">
      <w:pPr>
        <w:pStyle w:val="14Footnote"/>
      </w:pPr>
      <w:r>
        <w:rPr>
          <w:i/>
          <w:iCs/>
        </w:rPr>
        <w:t xml:space="preserve">Seventh Circuit: </w:t>
      </w:r>
      <w:r w:rsidRPr="00AD2F44">
        <w:t xml:space="preserve">Persin v. CareerBuilder, LLC, 2005 U.S. Dist. LEXIS 29727, at *7 (N.D. Ill. Nov. 23, 2005) (“The words ‘similarly situated’ do not equate to ‘subject to a common policy or plan.’ Though the existence of a common policy or plan can clearly have an impact on whether all members of a particular group are similarly situated, it is not the alpha and omega of that determination.”); </w:t>
      </w:r>
    </w:p>
    <w:p w14:paraId="7B087C44" w14:textId="77777777" w:rsidR="004322B1" w:rsidRPr="00AD2F44" w:rsidRDefault="004322B1">
      <w:pPr>
        <w:pStyle w:val="14Footnote"/>
      </w:pPr>
      <w:r>
        <w:rPr>
          <w:i/>
          <w:iCs/>
        </w:rPr>
        <w:t xml:space="preserve">Eleventh Circuit: </w:t>
      </w:r>
      <w:r w:rsidRPr="00AD2F44">
        <w:t>Barron v. Henry Cnty. Sch. Sys., 242 F. Supp. 2d 1096, 1103 (M.D. Ala. 2003) (holding plaintiffs need not point to particular policy or practice in order to establish that potential opt-in plaintiffs are “similarly situated” for notice purposes; however, allegations of uniform practice support conditional certification).</w:t>
      </w:r>
    </w:p>
  </w:footnote>
  <w:footnote w:id="87">
    <w:p w14:paraId="0F9426BB" w14:textId="77777777" w:rsidR="004322B1" w:rsidRPr="00AD2F44" w:rsidRDefault="004322B1">
      <w:pPr>
        <w:pStyle w:val="14Footnote"/>
      </w:pPr>
      <w:r w:rsidRPr="00AD2F44">
        <w:rPr>
          <w:vertAlign w:val="superscript"/>
        </w:rPr>
        <w:footnoteRef/>
      </w:r>
      <w:r w:rsidRPr="00AD2F44">
        <w:t xml:space="preserve">Hipp v. Liberty Nat. Life Ins. Co., 252 F.3d 1208, 1218 (11th Cir. 2001). </w:t>
      </w:r>
      <w:r w:rsidRPr="00AD2F44">
        <w:rPr>
          <w:i/>
          <w:iCs/>
        </w:rPr>
        <w:t>See also, e.g</w:t>
      </w:r>
      <w:r w:rsidRPr="00AD2F44">
        <w:t xml:space="preserve">., </w:t>
      </w:r>
    </w:p>
    <w:p w14:paraId="419E884F" w14:textId="77777777" w:rsidR="004322B1" w:rsidRPr="00AD2F44" w:rsidRDefault="004322B1">
      <w:pPr>
        <w:pStyle w:val="14Footnote"/>
      </w:pPr>
      <w:r w:rsidRPr="00AD2F44">
        <w:rPr>
          <w:i/>
          <w:iCs/>
        </w:rPr>
        <w:t>First Circuit:</w:t>
      </w:r>
      <w:r w:rsidRPr="00AD2F44">
        <w:t xml:space="preserve"> Reeves v. Alliant Techsys., Inc., 77 F. Supp. 2d 242, 246 (D.R.I. 1999).</w:t>
      </w:r>
    </w:p>
    <w:p w14:paraId="79E01743" w14:textId="77777777" w:rsidR="004322B1" w:rsidRPr="00AD2F44" w:rsidRDefault="004322B1">
      <w:pPr>
        <w:pStyle w:val="14Footnote"/>
      </w:pPr>
      <w:r w:rsidRPr="00AD2F44">
        <w:rPr>
          <w:i/>
          <w:iCs/>
        </w:rPr>
        <w:t>Second Circuit:</w:t>
      </w:r>
      <w:r w:rsidRPr="00AD2F44">
        <w:t xml:space="preserve"> Lynch v. United Servs. Auto. Ass’n, 491 F. Supp. 2d 357, 367–71 (S.D.N.Y. 2007) (stating that the burden is “minimal”).</w:t>
      </w:r>
    </w:p>
    <w:p w14:paraId="24E95A01" w14:textId="77777777" w:rsidR="004322B1" w:rsidRPr="00AD2F44" w:rsidRDefault="004322B1">
      <w:pPr>
        <w:pStyle w:val="14Footnote"/>
      </w:pPr>
      <w:r w:rsidRPr="00AD2F44">
        <w:rPr>
          <w:i/>
          <w:iCs/>
        </w:rPr>
        <w:t>Fifth Circuit:</w:t>
      </w:r>
      <w:r w:rsidRPr="00AD2F44">
        <w:t xml:space="preserve"> Clemons v. PHB, Inc., 2018 WL 4539116 (N.D. Tex. Sept. 21, 2018) (applying a lenient evidentiary standard as no discovery had been conducted); </w:t>
      </w:r>
      <w:r w:rsidRPr="00AD2F44">
        <w:rPr>
          <w:i/>
          <w:iCs/>
        </w:rPr>
        <w:t>Hendrix</w:t>
      </w:r>
      <w:r w:rsidRPr="00AD2F44">
        <w:t xml:space="preserve">, 2017 WL 1449780, at *3 (explaining that courts in Fifth Circuit usually use </w:t>
      </w:r>
      <w:r w:rsidRPr="00AD2F44">
        <w:rPr>
          <w:i/>
          <w:iCs/>
        </w:rPr>
        <w:t>Lusardi</w:t>
      </w:r>
      <w:r w:rsidRPr="00AD2F44">
        <w:t xml:space="preserve"> approach, with lenient standard at first stage) (citing Lusardi v. Xerox Corp., 118 F.R.D. 351 (D.N.J. 1987)); Sarmiento-Perez v. Las Colinas Int’l, Inc., 2015 WL 3539571, at *5 (N.D. Tex. June 5, 2015) (noting that, under two-step approach used by courts in Fifth Circuit, standard under stage one is “‘fairly lenient’ and ‘typically results’ in conditional certification”) (citation omitted); Page v. Nova Healthcare Mgmt., LLP, 2013 WL 4782749, at *3–4 (S.D. Tex. Sept. 6, 2013) (noting that Fifth Circuit has not definitively decided what analysis should be employed when determining whether employees are “similarly situated” for purposes of conditional certification, and applying “fairly lenient” </w:t>
      </w:r>
      <w:r w:rsidRPr="00AD2F44">
        <w:rPr>
          <w:i/>
          <w:iCs/>
        </w:rPr>
        <w:t xml:space="preserve">Lusardi </w:t>
      </w:r>
      <w:r w:rsidRPr="00AD2F44">
        <w:t>analysis rather than “spurious class action” analysis similar to Rule 23 analysis).</w:t>
      </w:r>
      <w:r w:rsidRPr="00AD2F44">
        <w:rPr>
          <w:b/>
        </w:rPr>
        <w:t xml:space="preserve"> [Caution: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72EAB29" w14:textId="77777777" w:rsidR="004322B1" w:rsidRPr="00AD2F44" w:rsidRDefault="004322B1">
      <w:pPr>
        <w:pStyle w:val="14Footnote"/>
      </w:pPr>
      <w:r w:rsidRPr="00AD2F44">
        <w:rPr>
          <w:i/>
          <w:iCs/>
        </w:rPr>
        <w:t xml:space="preserve">Sixth Circuit: </w:t>
      </w:r>
      <w:r w:rsidRPr="00AD2F44">
        <w:t>Combs v. Twins Grp., Inc., 2016 WL 7230854, at *2 (S.D. Ohio Dec. 14, 2016) (adopting “fairly lenient” standard used by district courts in Sixth Circuit).</w:t>
      </w:r>
    </w:p>
    <w:p w14:paraId="446912B8" w14:textId="77777777" w:rsidR="004322B1" w:rsidRPr="00AD2F44" w:rsidRDefault="004322B1">
      <w:pPr>
        <w:pStyle w:val="14Footnote"/>
      </w:pPr>
      <w:r w:rsidRPr="00AD2F44">
        <w:rPr>
          <w:i/>
          <w:iCs/>
        </w:rPr>
        <w:t>Ninth Circuit:</w:t>
      </w:r>
      <w:r w:rsidRPr="00AD2F44">
        <w:t xml:space="preserve"> Ramirez v. Ghilotti Bros., 941 F. Supp. 2d 1197, 1205 (N.D. Cal. 2013) (recognizing “[p]laintiffs’ burden at this stage is light”); Edwards v. City of Long Beach, 467 F. Supp. 2d 986, 990 (C.D. Cal. 2006); Romero v. Producers Dairy Foods, Inc., 235 F.R.D. 474, 483 (E.D. Cal. 2006).</w:t>
      </w:r>
    </w:p>
    <w:p w14:paraId="0DFFF9FC" w14:textId="77777777" w:rsidR="004322B1" w:rsidRPr="00AD2F44" w:rsidRDefault="004322B1">
      <w:pPr>
        <w:pStyle w:val="14Footnote"/>
      </w:pPr>
      <w:r w:rsidRPr="00AD2F44">
        <w:rPr>
          <w:i/>
          <w:iCs/>
        </w:rPr>
        <w:t>Tenth Circuit:</w:t>
      </w:r>
      <w:r w:rsidRPr="00AD2F44">
        <w:t xml:space="preserve"> Underwood v. NMC Mortg. Corp., 245 F.R.D. 720, 721 (D. Kan. 2007).</w:t>
      </w:r>
    </w:p>
    <w:p w14:paraId="3025E38F" w14:textId="77777777" w:rsidR="004322B1" w:rsidRPr="00AD2F44" w:rsidRDefault="004322B1">
      <w:pPr>
        <w:pStyle w:val="14Footnote"/>
      </w:pPr>
      <w:r w:rsidRPr="00AD2F44">
        <w:rPr>
          <w:i/>
          <w:iCs/>
        </w:rPr>
        <w:t>Eleventh Circuit:</w:t>
      </w:r>
      <w:r w:rsidRPr="00AD2F44">
        <w:t xml:space="preserve"> Anderson v. Cagles, Inc., 488 F.3d 945, 953 (11th Cir. 2007).</w:t>
      </w:r>
    </w:p>
    <w:p w14:paraId="3897A277" w14:textId="77777777" w:rsidR="004322B1" w:rsidRPr="00AD2F44" w:rsidRDefault="004322B1">
      <w:pPr>
        <w:pStyle w:val="14Footnote"/>
      </w:pPr>
      <w:r w:rsidRPr="00AD2F44">
        <w:rPr>
          <w:i/>
          <w:iCs/>
        </w:rPr>
        <w:t>D.C. Circuit:</w:t>
      </w:r>
      <w:r w:rsidRPr="00AD2F44">
        <w:t xml:space="preserve"> Castillo v. P &amp; R Enters., Inc., 517 F. Supp. 2d 440, 445 (D.D.C. 2007) (explaining that conditional certification is appropriate upon plaintiffs’ modest factual showing sufficient to demonstrate that they and potential plaintiffs together were victims of a common policy or plan that violated the law)</w:t>
      </w:r>
    </w:p>
  </w:footnote>
  <w:footnote w:id="88">
    <w:p w14:paraId="2C408DF1" w14:textId="77777777" w:rsidR="004322B1" w:rsidRPr="00AD2F44" w:rsidRDefault="004322B1">
      <w:pPr>
        <w:pStyle w:val="14Footnote"/>
        <w:rPr>
          <w:i/>
          <w:iCs/>
        </w:rPr>
      </w:pPr>
      <w:r w:rsidRPr="00AD2F44">
        <w:rPr>
          <w:vertAlign w:val="superscript"/>
        </w:rPr>
        <w:footnoteRef/>
      </w:r>
      <w:r w:rsidRPr="00AD2F44">
        <w:rPr>
          <w:i/>
          <w:iCs/>
        </w:rPr>
        <w:t>Hipp</w:t>
      </w:r>
      <w:r w:rsidRPr="00AD2F44">
        <w:t>, 252 F.3d at 1219 (citing Grayson v. K Mart Corp., 79 F.3d 1086, 1095 (11th Cir. 1996))</w:t>
      </w:r>
      <w:r w:rsidRPr="00AD2F44">
        <w:rPr>
          <w:i/>
          <w:iCs/>
        </w:rPr>
        <w:t>. See also</w:t>
      </w:r>
    </w:p>
    <w:p w14:paraId="439220CE" w14:textId="77777777" w:rsidR="004322B1" w:rsidRPr="00AD2F44" w:rsidRDefault="004322B1">
      <w:pPr>
        <w:pStyle w:val="14Footnote"/>
      </w:pPr>
      <w:r w:rsidRPr="00AD2F44">
        <w:rPr>
          <w:i/>
          <w:iCs/>
        </w:rPr>
        <w:t>Second Circuit:</w:t>
      </w:r>
      <w:r w:rsidRPr="00AD2F44">
        <w:t xml:space="preserve"> Scott v. Chipotle Mexican Grill, Inc., 954 F.3d 502 (2d Cir. 2020) (vacating decertification by lower court, holding that court should not have incorporated heightened level of scrutiny mirroring Rule 23 when analyzing whether named and opt-in plaintiffs were similarly situated); Heagney v. European Am. Bank, 122 F.R.D. 125, 127 n.2 (E.D.N.Y. 1988).</w:t>
      </w:r>
    </w:p>
    <w:p w14:paraId="580158E6" w14:textId="77777777" w:rsidR="004322B1" w:rsidRPr="00AD2F44" w:rsidRDefault="004322B1">
      <w:pPr>
        <w:pStyle w:val="14Footnote"/>
      </w:pPr>
      <w:r w:rsidRPr="00AD2F44">
        <w:rPr>
          <w:i/>
          <w:iCs/>
        </w:rPr>
        <w:t>Fifth Circuit:</w:t>
      </w:r>
      <w:r w:rsidRPr="00AD2F44">
        <w:t xml:space="preserve"> Ryan v. Staff Care, Inc., 497 F. Supp. 2d 820, 824 (N.D. Tex. 2007).</w:t>
      </w:r>
      <w:r w:rsidRPr="001B5E5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6BC5622" w14:textId="77777777" w:rsidR="004322B1" w:rsidRPr="00AD2F44" w:rsidRDefault="004322B1">
      <w:pPr>
        <w:pStyle w:val="14Footnote"/>
      </w:pPr>
      <w:r w:rsidRPr="00AD2F44">
        <w:rPr>
          <w:i/>
          <w:iCs/>
        </w:rPr>
        <w:t>Seventh Circuit:</w:t>
      </w:r>
      <w:r w:rsidRPr="00AD2F44">
        <w:t xml:space="preserve"> Lee v. Children’s Place Retail Stores, Inc., 2014 WL 51000608, at *5 (N.D. Ill. Oct. 8, 2014) (agreeing with other Seventh Circuit district courts that conditional certification inquiry is not as stringent as Rule 23, distinguishing statement in </w:t>
      </w:r>
      <w:r w:rsidRPr="00AD2F44">
        <w:rPr>
          <w:i/>
          <w:iCs/>
        </w:rPr>
        <w:t>Espenscheid v</w:t>
      </w:r>
      <w:r w:rsidRPr="00AD2F44">
        <w:t>.</w:t>
      </w:r>
      <w:r w:rsidRPr="00AD2F44">
        <w:rPr>
          <w:i/>
          <w:iCs/>
        </w:rPr>
        <w:t xml:space="preserve"> DirectSAT USA, LLC</w:t>
      </w:r>
      <w:r w:rsidRPr="00AD2F44">
        <w:t>, 705 F.3d 770 (7th Cir. 2013), that standards are similar because it was decertification case, but nevertheless denying conditional certification because plaintiff failed to make even modest factual showing that putative class was similarly situated).</w:t>
      </w:r>
    </w:p>
    <w:p w14:paraId="42412361" w14:textId="77777777" w:rsidR="004322B1" w:rsidRPr="00AD2F44" w:rsidRDefault="004322B1">
      <w:pPr>
        <w:pStyle w:val="14Footnote"/>
      </w:pPr>
      <w:r w:rsidRPr="00AD2F44">
        <w:rPr>
          <w:i/>
          <w:iCs/>
        </w:rPr>
        <w:t>Ninth Circuit:</w:t>
      </w:r>
      <w:r w:rsidRPr="00AD2F44">
        <w:t xml:space="preserve"> Chastain v. Cam, 2016 WL 1572542 (D. Or. Apr. 9, 2016) (finding that, if certification of plaintiff’s class action under Rule 23 is proper, certification of collective action is proper as well); Casarotto v. Exploration Drilling, Inc., 2015 WL 8780050 (D. Mont. Dec. 15, 2015) (rejecting request to apply more stringent Rule 23 standards to motion for conditional certification); Juvera v. Salcido, 294 F.R.D. 516, 520 (D. Ariz. 2013) (applying the “fairly lenient standard” prior to close of discovery in conditional certification stage).</w:t>
      </w:r>
    </w:p>
    <w:p w14:paraId="57F70F96" w14:textId="77777777" w:rsidR="004322B1" w:rsidRPr="00AD2F44" w:rsidRDefault="004322B1">
      <w:pPr>
        <w:pStyle w:val="14Footnote"/>
      </w:pPr>
      <w:r w:rsidRPr="00AD2F44">
        <w:rPr>
          <w:i/>
          <w:iCs/>
        </w:rPr>
        <w:t>Tenth Circuit:</w:t>
      </w:r>
      <w:r w:rsidRPr="00AD2F44">
        <w:rPr>
          <w:b/>
          <w:bCs/>
        </w:rPr>
        <w:t xml:space="preserve"> </w:t>
      </w:r>
      <w:r w:rsidRPr="00AD2F44">
        <w:t>Turner v. Chipotle Mexican Grill, Inc., 123 F. Supp. 3d 1300, 1307 (D. Colo. 2015) (explaining that because only those who opt in to FLSA collective actions “have a stake in the litigation,” compared with Rule 23 opt-out class actions, there is no rationale “for subjecting individual party plaintiffs in collective actions to the rigorous procedural requirements of class actions”).</w:t>
      </w:r>
    </w:p>
    <w:p w14:paraId="3C1DD50B" w14:textId="77777777" w:rsidR="004322B1" w:rsidRPr="00AD2F44" w:rsidRDefault="004322B1">
      <w:pPr>
        <w:pStyle w:val="14Footnote"/>
      </w:pPr>
      <w:r w:rsidRPr="00AD2F44">
        <w:rPr>
          <w:i/>
          <w:iCs/>
        </w:rPr>
        <w:t xml:space="preserve">Eleventh Circuit: </w:t>
      </w:r>
      <w:r w:rsidRPr="00AD2F44">
        <w:t xml:space="preserve">Grayson v. K Mart Corp., 79 F.3d 1086, 1095 (11th Cir. 1996). </w:t>
      </w:r>
    </w:p>
  </w:footnote>
  <w:footnote w:id="89">
    <w:p w14:paraId="5F82E1E2" w14:textId="77777777" w:rsidR="004322B1" w:rsidRPr="00AD2F44" w:rsidRDefault="004322B1">
      <w:pPr>
        <w:pStyle w:val="14Footnote"/>
      </w:pPr>
      <w:r w:rsidRPr="00AD2F44">
        <w:rPr>
          <w:vertAlign w:val="superscript"/>
        </w:rPr>
        <w:footnoteRef/>
      </w:r>
      <w:r w:rsidRPr="00AD2F44">
        <w:rPr>
          <w:i/>
        </w:rPr>
        <w:t>See, e.g.,</w:t>
      </w:r>
    </w:p>
    <w:p w14:paraId="3B20819B" w14:textId="77777777" w:rsidR="004322B1" w:rsidRPr="00AD2F44" w:rsidRDefault="004322B1">
      <w:pPr>
        <w:pStyle w:val="14Footnote"/>
      </w:pPr>
      <w:r w:rsidRPr="00AD2F44">
        <w:rPr>
          <w:i/>
          <w:iCs/>
        </w:rPr>
        <w:t>First Circuit:</w:t>
      </w:r>
      <w:r w:rsidRPr="00AD2F44">
        <w:t xml:space="preserve"> O’Donnell v. Robert Half Int’l, Inc., 429 F. Supp. 2d 246 (D. Mass. 2006) (denying motion for opt-in notice where plaintiffs’ responses provided conflicting descriptions of group they sought to notify and failed to submit any evidence that company employees throughout country were subject to same policy of improperly applying exemption to employees).</w:t>
      </w:r>
    </w:p>
    <w:p w14:paraId="6918DD5D" w14:textId="77777777" w:rsidR="004322B1" w:rsidRPr="00AD2F44" w:rsidRDefault="004322B1">
      <w:pPr>
        <w:pStyle w:val="14Footnote"/>
      </w:pPr>
      <w:r w:rsidRPr="00AD2F44">
        <w:rPr>
          <w:i/>
          <w:iCs/>
        </w:rPr>
        <w:t>Second Circuit:</w:t>
      </w:r>
      <w:r w:rsidRPr="00AD2F44">
        <w:t xml:space="preserve"> Bliss v. Patterson, 2022 BL 58361, 2022 WL 523547 (E.D.N.Y. Feb. 22, 2022) (denying conditional certification where plaintiff’s affidavit showed that defendants paid him on hourly basis by check and putative opt-in plaintiffs were paid daily rate in cash, so there was no alleged common policy or plan that violated the law); Perez v. Escobar Constr. Inc., 540 F. Supp. 3d 395, 406</w:t>
      </w:r>
      <w:r w:rsidRPr="00AD2F44">
        <w:rPr>
          <w:b/>
          <w:bCs/>
        </w:rPr>
        <w:t xml:space="preserve"> </w:t>
      </w:r>
      <w:r w:rsidRPr="00AD2F44">
        <w:t>(S.D.N.Y. 2021) (granting notice to non-exempt construction workers, painters, laborers, finishers, and supervisors but refusing to send notice to “all non-exempt non-managerial [] employees” because plaintiffs had not provided any information in their affidavits or complaint beyond specific jobs listed); Han v. Shang Noodle House, Inc., 2021 BL 319092, 2021 WL 3774186 (E.D.N.Y. Aug. 24, 2021) (denying conditional certification for group of workers in positions that plaintiff did not occupy and for minimum wage violations plaintiff did not suffer; granting conditional certification for overtime claims that were sufficiently alleged in complaint under policy that applied to other workers); Hickmon v. Fun &amp; Fit LLC, 2021 BL 306334, 2021 WL 3578296 (S.D.N.Y. Aug. 13, 2021) (denying conditional certification for conclusory and unsubstantiated allegations and for failure to provide specific information about other putative collective members, such as names, duties, or hours worked); Thompson v. Global Contact Servs., 2021 BL 277323, 2021 WL 3087568 (E.D.N.Y. July 21, 2021) (denying conditional certification for failure to provide more than her own affidavit with conclusory allegations); Boice v. M+W U.S., Inc., 130 F. Supp. 3d 677 (N.D.N.Y. 2015) (denying certification and observing that, despite modest factual showing standard, plaintiff must provide more than uncorroborated, self-serving statements to support motion for conditional certification); Ahmed v. T.J. Maxx Corp., 2013 WL 2649544 (E.D.N.Y. June, 8, 2013) (granting defendants’ motion to set aside magistrate judge’s decision to certify a nationwide collective action because the evidence of an unlawful practice only applied to two locations, but stating that plaintiff could renew motion for a nationwide collective action if more evidence was discovered); Romero v. H.B. Auto. Grp., Inc., 2012 U.S. Dist. LEXIS 61151 (S.D.N.Y. May 1, 2012) (denying conditional certification when plaintiff failed to demonstrate that any employees were similarly situated, plaintiff was the only employee ever hired for her position, and plaintiff failed to provide any job descriptions for similarly situated employees); Khan v. Airport Mgmt. Servs., LLC, 2011 WL 5597371, at *5 (S.D.N.Y. Nov. 16, 2011) (noting that “while plaintiff’s burden at this stage is modest, it is not non-existent”).</w:t>
      </w:r>
    </w:p>
    <w:p w14:paraId="79F1329E" w14:textId="77777777" w:rsidR="004322B1" w:rsidRPr="00AD2F44" w:rsidRDefault="004322B1">
      <w:pPr>
        <w:pStyle w:val="14Footnote"/>
      </w:pPr>
      <w:r w:rsidRPr="00AD2F44">
        <w:rPr>
          <w:i/>
          <w:iCs/>
        </w:rPr>
        <w:t>Fifth Circuit:</w:t>
      </w:r>
      <w:r w:rsidRPr="00AD2F44">
        <w:t xml:space="preserve"> Farrow v. Ammari of La. Ltd., 2016 WL 3020901 (E.D. La. May 26, 2016) (certification denied where evidence of improper deductions in tip credit case was limited to plaintiff’s own experience); Stewart v. Project Consulting Serv., Inc., 2000 WL 1880321, at *3 (E.D. La. Dec. 27, 2000) (denying motion for opt-in notice as premature, explaining that it was “impossible to identify a similarly situated class member much less notify one” before additional discovery takes place).</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52FBE93" w14:textId="77777777" w:rsidR="004322B1" w:rsidRPr="00AD2F44" w:rsidRDefault="004322B1">
      <w:pPr>
        <w:pStyle w:val="14Footnote"/>
      </w:pPr>
      <w:r w:rsidRPr="00AD2F44">
        <w:rPr>
          <w:i/>
          <w:iCs/>
        </w:rPr>
        <w:t>Sixth Circuit:</w:t>
      </w:r>
      <w:r w:rsidRPr="00AD2F44">
        <w:t xml:space="preserve"> Roberts v. Corr. Corp. of Am., 2015 U.S. Dist. LEXIS 82575 (M.D. Tenn. June 25, 2015) (limiting plaintiff’s conditional certification to Tennessee employees, instead of the nationwide class sought by plaintiff, based on plaintiff’s failure to make a modest showing for a class outside of Tennessee); Landsberg v. Acton Enters., Inc., 2006 WL 745178, at *5 (S.D. Ohio Mar. 22, 2006) (denying motion for opt-in notice where plaintiff “offered nothing but speculation to support his belief that other … managers … were not paid all of the money owed to them under … ‘salary’ work policy”).</w:t>
      </w:r>
    </w:p>
    <w:p w14:paraId="03AEEBE4" w14:textId="77777777" w:rsidR="004322B1" w:rsidRPr="00AD2F44" w:rsidRDefault="004322B1">
      <w:pPr>
        <w:pStyle w:val="14Footnote"/>
      </w:pPr>
      <w:r w:rsidRPr="00AD2F44">
        <w:rPr>
          <w:i/>
          <w:iCs/>
        </w:rPr>
        <w:t>Seventh Circuit:</w:t>
      </w:r>
      <w:r w:rsidRPr="00AD2F44">
        <w:t xml:space="preserve"> Calverley v. CareerBuilder LLC, 2015 WL 4450045 (N.D. Ill. July 20, 2015) (declining to grant certification after evaluating evidence presented and finding that emails presented by plaintiff failed to support allegation that defendant had years-long, companywide policy of refusing to pay overtime); Allen v. Payday Loan Store of Ind., Inc., 2013 WL 6237852, at *1 (N.D. Ind. Dec. 3, 2013) (noting that although the standard is lenient, “it is not a mere formality,” and that certification is not granted “on plaintiff’s say-so alone”). </w:t>
      </w:r>
    </w:p>
    <w:p w14:paraId="689C3F2D" w14:textId="77777777" w:rsidR="004322B1" w:rsidRPr="00AD2F44" w:rsidRDefault="004322B1">
      <w:pPr>
        <w:pStyle w:val="14Footnote"/>
      </w:pPr>
      <w:r w:rsidRPr="00AD2F44">
        <w:rPr>
          <w:i/>
          <w:iCs/>
        </w:rPr>
        <w:t>Eighth Circuit</w:t>
      </w:r>
      <w:r w:rsidRPr="00AD2F44">
        <w:t xml:space="preserve">: </w:t>
      </w:r>
      <w:r>
        <w:t xml:space="preserve">Shipley v. City of Bettendorf, </w:t>
      </w:r>
      <w:r w:rsidRPr="00F57115">
        <w:t>2023 BL 183635</w:t>
      </w:r>
      <w:r>
        <w:t xml:space="preserve">, </w:t>
      </w:r>
      <w:r w:rsidRPr="004F4D61">
        <w:t>2023 WL 3680115</w:t>
      </w:r>
      <w:r>
        <w:t>, at *4</w:t>
      </w:r>
      <w:r w:rsidRPr="004F4D61">
        <w:t xml:space="preserve"> </w:t>
      </w:r>
      <w:r>
        <w:t xml:space="preserve">(S.D. Iowa Feb. 2, 2023) (granting partial conditional certification but denying as to workers limited to a claim for compensatory time because plaintiffs presented “no evidence” of that claim and even conditional certification requires more than mere allegations); </w:t>
      </w:r>
      <w:r w:rsidRPr="00AD2F44">
        <w:t>Hopkins v. Calais Forest Equity Enters., LLC, 2021 BL 408607, 2021 WL 4953248, at *2 (E.D. Ark. Oct. 25, 2021) (denying conditional certification, recognizing that although standard is lenient at this stage, it is “not the equivalent of a rubber stamp”; holding that single declaration and failure to identify any other similar workers is not sufficient); Baker v. APC PASSE, LLC, 2021 BL 353111, 2021 WL 4255306 (E.D. Ark. Sept. 17, 2021) (denying certification as to care coordinator supervisors, as opposed to care coordinators, recognizing conflict of interest between plaintiff supervisor, who enforced defendants’ pay policies, and nonsupervisory workers, who were subject to pay policies at issue).</w:t>
      </w:r>
    </w:p>
    <w:p w14:paraId="4D3087C6" w14:textId="77777777" w:rsidR="004322B1" w:rsidRPr="00AD2F44" w:rsidRDefault="004322B1">
      <w:pPr>
        <w:pStyle w:val="14Footnote"/>
      </w:pPr>
      <w:r w:rsidRPr="00AD2F44">
        <w:rPr>
          <w:i/>
          <w:iCs/>
        </w:rPr>
        <w:t>Ninth Circuit:</w:t>
      </w:r>
      <w:r w:rsidRPr="00AD2F44">
        <w:t xml:space="preserve"> Sheffield v. Orius Corp., 211 F.R.D. 411, 416 (D. Or. 2002) (denying plaintiffs’ motion for opt-in notice based on factual differences among putative collective action members, including differences in job sites, payment structures, and job titles).</w:t>
      </w:r>
    </w:p>
    <w:p w14:paraId="59D59C62" w14:textId="77777777" w:rsidR="004322B1" w:rsidRPr="00AD2F44" w:rsidRDefault="004322B1">
      <w:pPr>
        <w:pStyle w:val="14Footnote"/>
      </w:pPr>
      <w:r w:rsidRPr="00AD2F44">
        <w:rPr>
          <w:i/>
          <w:iCs/>
        </w:rPr>
        <w:t>Eleventh Circuit:</w:t>
      </w:r>
      <w:r w:rsidRPr="00AD2F44">
        <w:t xml:space="preserve"> Haynes v. Singer Co., 696 F.2d 884, 887 (11th Cir. 1983) (affirming district court’s denial of motion for opt-in notice based on “counsel’s unsupported assertions that FLSA violations were widespread and that additional plaintiffs would come from other stores”); Callier v. Outokumpu Stainless USA, LLC, 2022 BL 100884, </w:t>
      </w:r>
      <w:r w:rsidRPr="002F69CA">
        <w:t>2022 WL 885037 (S.D. Ala. Mar. 24, 2022)</w:t>
      </w:r>
      <w:r w:rsidRPr="00AD2F44">
        <w:t xml:space="preserve"> (denying conditional certification for failure to provide any evidence beyond general allegations in complaint, including failing to provide any affidavits or supportive evidence; declining to take judicial notice of factual allegations in previously filed suit); Bernstein v. Town of Jupiter, 2021 BL 498375, 2021 WL 6135185 (S.D. Fla. Oct. 13, 2021) (denying conditional certification for plaintiffs’ failure to provide specific factual support regarding putative collective’s job titles, duties, pay provisions, or other relevant information); Reyes v. Strada Servs. Inc., 2021 BL 366208, 2021 WL 4427079 (M.D. Fla. Sept. 27, 2021) (denying conditional certification where evidence showed that putative collective was subject to different supervisors, timekeeping practices, and job responsibilities that would cause too many individualized inquiries); Rodgers v. CVS Pharm., Inc., 2006 WL 752831, at *3–4 (M.D. Fla. Mar. 23, 2006) (denying notice to potential class based on plaintiff’s unsupported beliefs and expectations that others may desire to join suit); Marsh v. Butler Cnty. Sch. Sys., 242 F. Supp. 2d 1086, 1095 (M.D. Ala. 2003) (denying plaintiffs’ motion for opt-in notice where they failed to present evidence that systemic FLSA abuses in some school systems existed in the particular school in which they worked).</w:t>
      </w:r>
    </w:p>
    <w:p w14:paraId="72DD3331" w14:textId="77777777" w:rsidR="004322B1" w:rsidRPr="00AD2F44" w:rsidRDefault="004322B1">
      <w:pPr>
        <w:pStyle w:val="14Footnote"/>
      </w:pPr>
      <w:r w:rsidRPr="00AD2F44">
        <w:rPr>
          <w:i/>
          <w:iCs/>
        </w:rPr>
        <w:t>D</w:t>
      </w:r>
      <w:r w:rsidRPr="00AD2F44">
        <w:t>.</w:t>
      </w:r>
      <w:r w:rsidRPr="00AD2F44">
        <w:rPr>
          <w:i/>
          <w:iCs/>
        </w:rPr>
        <w:t>C</w:t>
      </w:r>
      <w:r w:rsidRPr="00AD2F44">
        <w:t>.</w:t>
      </w:r>
      <w:r w:rsidRPr="00AD2F44">
        <w:rPr>
          <w:i/>
          <w:iCs/>
        </w:rPr>
        <w:t xml:space="preserve"> Circuit:</w:t>
      </w:r>
      <w:r w:rsidRPr="00AD2F44">
        <w:t xml:space="preserve"> Stephens v. Farmers Rest. Grp., 291 F. Supp. 3d 95, 109 (D.D.C. 2018) (limiting scope of collective action to restaurant servers (and not bartenders) because plaintiffs presented no evidence that bartenders contributed to allegedly invalid tip pools).</w:t>
      </w:r>
    </w:p>
  </w:footnote>
  <w:footnote w:id="90">
    <w:p w14:paraId="2B01C59B" w14:textId="77777777" w:rsidR="004322B1" w:rsidRPr="00AD2F44" w:rsidRDefault="004322B1">
      <w:pPr>
        <w:pStyle w:val="14Footnote"/>
      </w:pPr>
      <w:r w:rsidRPr="00AD2F44">
        <w:rPr>
          <w:vertAlign w:val="superscript"/>
        </w:rPr>
        <w:footnoteRef/>
      </w:r>
      <w:r w:rsidRPr="00AD2F44">
        <w:t xml:space="preserve">564 U.S. 338 (2011). </w:t>
      </w:r>
    </w:p>
  </w:footnote>
  <w:footnote w:id="91">
    <w:p w14:paraId="7E0686E0" w14:textId="77777777" w:rsidR="004322B1" w:rsidRPr="00AD2F44" w:rsidRDefault="004322B1">
      <w:pPr>
        <w:pStyle w:val="14Footnote"/>
      </w:pPr>
      <w:r w:rsidRPr="00AD2F44">
        <w:rPr>
          <w:vertAlign w:val="superscript"/>
        </w:rPr>
        <w:footnoteRef/>
      </w:r>
      <w:r w:rsidRPr="00AD2F44">
        <w:rPr>
          <w:i/>
        </w:rPr>
        <w:t xml:space="preserve">See, e.g., </w:t>
      </w:r>
    </w:p>
    <w:p w14:paraId="5B7128B9" w14:textId="77777777" w:rsidR="004322B1" w:rsidRPr="00AD2F44" w:rsidRDefault="004322B1">
      <w:pPr>
        <w:pStyle w:val="14Footnote"/>
      </w:pPr>
      <w:r w:rsidRPr="00AD2F44">
        <w:rPr>
          <w:i/>
          <w:iCs/>
        </w:rPr>
        <w:t>Second Circuit:</w:t>
      </w:r>
      <w:r w:rsidRPr="00AD2F44">
        <w:t xml:space="preserve"> Winfield v. Citibank, N.A., 843 F. Supp. 2d 397, 409–10 (S.D.N.Y. 2012).</w:t>
      </w:r>
    </w:p>
    <w:p w14:paraId="1F342A09" w14:textId="77777777" w:rsidR="004322B1" w:rsidRPr="00AD2F44" w:rsidRDefault="004322B1">
      <w:pPr>
        <w:pStyle w:val="14Footnote"/>
      </w:pPr>
      <w:r w:rsidRPr="00AD2F44">
        <w:rPr>
          <w:i/>
          <w:iCs/>
        </w:rPr>
        <w:t>Fourth Circuit:</w:t>
      </w:r>
      <w:r w:rsidRPr="00AD2F44">
        <w:t xml:space="preserve"> Myles v. Prosperity Mortg. Co., 2012 WL 1963390, at *6 (D. Md. May 31, 2012).</w:t>
      </w:r>
    </w:p>
    <w:p w14:paraId="2F3D532B" w14:textId="77777777" w:rsidR="004322B1" w:rsidRPr="00AD2F44" w:rsidRDefault="004322B1">
      <w:pPr>
        <w:pStyle w:val="14Footnote"/>
      </w:pPr>
      <w:r w:rsidRPr="00AD2F44">
        <w:rPr>
          <w:i/>
          <w:iCs/>
        </w:rPr>
        <w:t>Ninth Circuit:</w:t>
      </w:r>
      <w:r w:rsidRPr="00AD2F44">
        <w:t xml:space="preserve"> Troy v. Kehe Food Distribs., Inc., 276 F.R.D. 642, 651 (W.D. Wash. 2011).</w:t>
      </w:r>
    </w:p>
  </w:footnote>
  <w:footnote w:id="92">
    <w:p w14:paraId="5EAC5F6D" w14:textId="77777777" w:rsidR="004322B1" w:rsidRPr="00AD2F44" w:rsidRDefault="004322B1">
      <w:pPr>
        <w:pStyle w:val="14Footnote"/>
      </w:pPr>
      <w:r w:rsidRPr="00AD2F44">
        <w:rPr>
          <w:vertAlign w:val="superscript"/>
        </w:rPr>
        <w:footnoteRef/>
      </w:r>
      <w:r w:rsidRPr="00AD2F44">
        <w:rPr>
          <w:i/>
        </w:rPr>
        <w:t xml:space="preserve">See, e.g., </w:t>
      </w:r>
    </w:p>
    <w:p w14:paraId="15D5CB64" w14:textId="77777777" w:rsidR="004322B1" w:rsidRPr="00AD2F44" w:rsidRDefault="004322B1">
      <w:pPr>
        <w:pStyle w:val="14Footnote"/>
      </w:pPr>
      <w:r w:rsidRPr="00AD2F44">
        <w:rPr>
          <w:i/>
          <w:iCs/>
        </w:rPr>
        <w:t>Fourth Circuit:</w:t>
      </w:r>
      <w:r w:rsidRPr="00AD2F44">
        <w:t xml:space="preserve"> Blaney v. Charlotte-Mecklenburg Hosp. Auth., 2011 WL 4351631, at *8 (W.D.N.C. Sept. 16, 2011) (citing </w:t>
      </w:r>
      <w:r w:rsidRPr="00AD2F44">
        <w:rPr>
          <w:i/>
          <w:iCs/>
        </w:rPr>
        <w:t xml:space="preserve">Dukes </w:t>
      </w:r>
      <w:r w:rsidRPr="00AD2F44">
        <w:t xml:space="preserve">in support of reasoning denying conditional certification); MacGregor v. Farmers Ins. Exch., 2011 WL 2981466, at *4 (D.S.C. July 22, 2011) (finding reasoning from </w:t>
      </w:r>
      <w:r w:rsidRPr="00AD2F44">
        <w:rPr>
          <w:i/>
          <w:iCs/>
        </w:rPr>
        <w:t>Dukes</w:t>
      </w:r>
      <w:r w:rsidRPr="00AD2F44">
        <w:t xml:space="preserve"> “illuminating” on issue of conditional certification).</w:t>
      </w:r>
    </w:p>
    <w:p w14:paraId="45E8794B" w14:textId="77777777" w:rsidR="004322B1" w:rsidRPr="00AD2F44" w:rsidRDefault="004322B1">
      <w:pPr>
        <w:pStyle w:val="14Footnote"/>
      </w:pPr>
      <w:r w:rsidRPr="00AD2F44">
        <w:rPr>
          <w:i/>
          <w:iCs/>
        </w:rPr>
        <w:t>Seventh Circuit:</w:t>
      </w:r>
      <w:r w:rsidRPr="00AD2F44">
        <w:t xml:space="preserve"> Ruiz v. Serco, Inc., 2011 WL 7138731, at *6 (W.D. Wis. Aug. 5, 2011) (finding </w:t>
      </w:r>
      <w:r w:rsidRPr="00AD2F44">
        <w:rPr>
          <w:i/>
          <w:iCs/>
        </w:rPr>
        <w:t xml:space="preserve">Dukes </w:t>
      </w:r>
      <w:r w:rsidRPr="00AD2F44">
        <w:t>“instructive” on issue of conditional certification).</w:t>
      </w:r>
    </w:p>
  </w:footnote>
  <w:footnote w:id="93">
    <w:p w14:paraId="02821468" w14:textId="77777777" w:rsidR="004322B1" w:rsidRPr="00AD2F44" w:rsidRDefault="004322B1">
      <w:pPr>
        <w:pStyle w:val="14Footnote"/>
      </w:pPr>
      <w:r w:rsidRPr="00AD2F44">
        <w:rPr>
          <w:vertAlign w:val="superscript"/>
        </w:rPr>
        <w:footnoteRef/>
      </w:r>
      <w:r w:rsidRPr="00AD2F44">
        <w:t>Patton v. Thomson Corp., 364 F. Supp. 2d 263, 267 (E.D.N.Y. 2005) (finding lower burden on FLSA opt-in suits makes sense because class members who do not join suit are not bound as they would be in Rule 23 opt-out action); Rodolico v. Unisys Corp., 199 F.R.D. 468, 481–82 (E.D.N.Y. 2001); Ballaris v. Wacker Silttronic Corp., 2001 WL 1335809 (D. Or. Aug. 24, 2001); Hoffmann v. Sbarro, 982 F. Supp. 249, 263 n.17 (S.D.N.Y. 1997); Daggett v. Blind Enters., 1996 U.S. Dist. LEXIS 22465 (D. Or. Apr. 18, 1996).</w:t>
      </w:r>
    </w:p>
  </w:footnote>
  <w:footnote w:id="94">
    <w:p w14:paraId="53558B4F" w14:textId="77777777" w:rsidR="004322B1" w:rsidRPr="00AD2F44" w:rsidRDefault="004322B1">
      <w:pPr>
        <w:pStyle w:val="14Footnote"/>
      </w:pPr>
      <w:r w:rsidRPr="00AD2F44">
        <w:rPr>
          <w:vertAlign w:val="superscript"/>
        </w:rPr>
        <w:footnoteRef/>
      </w:r>
      <w:r w:rsidRPr="00AD2F44">
        <w:t xml:space="preserve">Kerce v. West Telemarketing Corp., 575 F. Supp. 2d 1354, 1358 (S.D. Ga. May 21, 2008) (“Early certification protects the class because it allows them to opt into the lawsuit and stop the statute of limitations from running as to their claims.”); Lynch v. United Servs. Auto. Ass’n, 491 F. Supp. 2d 357, 367, 371 (S.D.N.Y. 2007) (deeming court-supervised notice preferred method for managing notification process partly because “it protects claims from expiring under the statute of limitations”; action before court was appropriate case for sending court-approved notice because “[p]rompt court action is needed because potential opt-in plaintiffs’ claims are in risk of being extinguished by the running of the statute of limitations”; “every day that passes is a day of damages each potential opt-in plaintiff will be unable to recover”); Patton v. Thomson Corp., 364 F. Supp. 2d 263, 268 (E.D.N.Y. 2005); </w:t>
      </w:r>
      <w:r w:rsidRPr="00AD2F44">
        <w:rPr>
          <w:i/>
          <w:iCs/>
        </w:rPr>
        <w:t xml:space="preserve">see also </w:t>
      </w:r>
      <w:r w:rsidRPr="00AD2F44">
        <w:t>Hoffman-La Roche Inc. v. Sperling, 493 U.S. 165, 170 (1989) (“[The] benefits [of a collective action] … depend on employees receiving accurate and timely notice concerning the pendency of the collective action, so that they can make informed decisions about whether to participate.”).</w:t>
      </w:r>
    </w:p>
  </w:footnote>
  <w:footnote w:id="95">
    <w:p w14:paraId="13CE3204" w14:textId="77777777" w:rsidR="004322B1" w:rsidRPr="00AD2F44" w:rsidRDefault="004322B1">
      <w:pPr>
        <w:pStyle w:val="14Footnote"/>
      </w:pPr>
      <w:r w:rsidRPr="00AD2F44">
        <w:rPr>
          <w:vertAlign w:val="superscript"/>
        </w:rPr>
        <w:footnoteRef/>
      </w:r>
      <w:r w:rsidRPr="00AD2F44">
        <w:t>Diaz v. Scores Holding Co., 2008 U.S. Dist. LEXIS 38248, at *13–14 (S.D.N.Y. May 9, 2008); Torres v. Gristede’s Operating Corp., 2006 WL 2819730, at *35–37 (S.D.N.Y. Sept. 29, 2006) (quoting Hoffmann-La Roche, Inc. v. Sperling, 493 U.S. 165, 170 (1989)).</w:t>
      </w:r>
    </w:p>
  </w:footnote>
  <w:footnote w:id="96">
    <w:p w14:paraId="6861858A" w14:textId="77777777" w:rsidR="004322B1" w:rsidRPr="00AD2F44" w:rsidRDefault="004322B1">
      <w:pPr>
        <w:pStyle w:val="14Footnote"/>
      </w:pPr>
      <w:r w:rsidRPr="00AD2F44">
        <w:rPr>
          <w:vertAlign w:val="superscript"/>
        </w:rPr>
        <w:footnoteRef/>
      </w:r>
      <w:r w:rsidRPr="00AD2F44">
        <w:rPr>
          <w:i/>
        </w:rPr>
        <w:t xml:space="preserve">See, e.g., </w:t>
      </w:r>
    </w:p>
    <w:p w14:paraId="004CE0EB" w14:textId="77777777" w:rsidR="004322B1" w:rsidRPr="00AD2F44" w:rsidRDefault="004322B1">
      <w:pPr>
        <w:pStyle w:val="14Footnote"/>
      </w:pPr>
      <w:r w:rsidRPr="00AD2F44">
        <w:rPr>
          <w:i/>
          <w:iCs/>
        </w:rPr>
        <w:t>Second Circuit:</w:t>
      </w:r>
      <w:r w:rsidRPr="00AD2F44">
        <w:t xml:space="preserve"> Scott v. Chipotle Mexican Grill, Inc., 954 F.3d. 502 (2d. Cir. 2020) (in analyzing decertification motion, recognizing that Rule 23 requirements are unrelated to and more stringent than requirements for proceeding collectively under §216(b)); Myers v. Hertz Corp., 624 F.3d 537 (2d Cir. 2010) (noting that an FLSA collective action requires a less stringent standard to send notice); Winfield v. Citibank, N.A., 843 F. Supp. 2d 397, 409–10 (S.D.N.Y. 2012) (holding more stringent Rule 23 certification requirements inapplicable to conditional certification motions; refusing to apply </w:t>
      </w:r>
      <w:r w:rsidRPr="00AD2F44">
        <w:rPr>
          <w:i/>
          <w:iCs/>
        </w:rPr>
        <w:t>Wal-Mart Stores, Inc. v. Dukes</w:t>
      </w:r>
      <w:r w:rsidRPr="00AD2F44">
        <w:t xml:space="preserve">, 564 U.S. 338 (2011)); Guzman v. VLM, Inc., 2007 WL 2994278 (E.D.N.Y. Oct. 11, 2007) (ruling adequacy of representation prong not required). </w:t>
      </w:r>
    </w:p>
    <w:p w14:paraId="205D4C6C" w14:textId="77777777" w:rsidR="004322B1" w:rsidRPr="00AD2F44" w:rsidRDefault="004322B1">
      <w:pPr>
        <w:pStyle w:val="14Footnote"/>
      </w:pPr>
      <w:r w:rsidRPr="00AD2F44">
        <w:rPr>
          <w:i/>
          <w:iCs/>
        </w:rPr>
        <w:t>Fourth Circuit:</w:t>
      </w:r>
      <w:r w:rsidRPr="00AD2F44">
        <w:t xml:space="preserve"> Myles v. Prosperity Mortg. Co., 2012 WL 1963390, at *6 (D. Md. May 31, 2012) (refusing to apply </w:t>
      </w:r>
      <w:r w:rsidRPr="00AD2F44">
        <w:rPr>
          <w:i/>
          <w:iCs/>
        </w:rPr>
        <w:t>Dukes</w:t>
      </w:r>
      <w:r w:rsidRPr="00AD2F44">
        <w:t xml:space="preserve">, explaining that courts had been “circumspect” about incorporating Rule 23 standards into §216(b) certification analysis, but noting that </w:t>
      </w:r>
      <w:r w:rsidRPr="00AD2F44">
        <w:rPr>
          <w:i/>
          <w:iCs/>
        </w:rPr>
        <w:t>Dukes</w:t>
      </w:r>
      <w:r w:rsidRPr="00AD2F44">
        <w:t xml:space="preserve"> did not preclude conditional certification in this FLSA case in any event); D’Anna v. M/A-COM, Inc., 903 F. Supp. 889, 892 n.2 (D. Md. 1995) (explaining FLSA collective actions are “not subject to the requirements of a class action set forth in Fed. R. Civ. P. 23”).</w:t>
      </w:r>
    </w:p>
    <w:p w14:paraId="364995CA" w14:textId="77777777" w:rsidR="004322B1" w:rsidRPr="00AD2F44" w:rsidRDefault="004322B1">
      <w:pPr>
        <w:pStyle w:val="14Footnote"/>
      </w:pPr>
      <w:r w:rsidRPr="00AD2F44">
        <w:rPr>
          <w:i/>
          <w:iCs/>
        </w:rPr>
        <w:t>Fifth Circuit:</w:t>
      </w:r>
      <w:r w:rsidRPr="00AD2F44">
        <w:t xml:space="preserve"> Watson v. Travis Software Corp., 2008 WL 5068806, at *8 (S.D. Tex. Nov. 21, 2008) (finding that class size of 15 to 26 did not weigh against collective treatment because numerosity is not requirement for collective actions).</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0044458" w14:textId="77777777" w:rsidR="004322B1" w:rsidRPr="00AD2F44" w:rsidRDefault="004322B1">
      <w:pPr>
        <w:pStyle w:val="14Footnote"/>
      </w:pPr>
      <w:r w:rsidRPr="00AD2F44">
        <w:rPr>
          <w:i/>
          <w:iCs/>
        </w:rPr>
        <w:t>Sixth Circuit:</w:t>
      </w:r>
      <w:r w:rsidRPr="00AD2F44">
        <w:t xml:space="preserve"> Douglas v. GE Energy Reuter Stokes, 2007 WL 1341779, at *3 (N.D. Ohio Apr. 30, 2007) (finding “that collective actions pursuant to §216(b) should not be guided by Rule 23”).</w:t>
      </w:r>
    </w:p>
    <w:p w14:paraId="7EBEB543" w14:textId="77777777" w:rsidR="004322B1" w:rsidRPr="00AD2F44" w:rsidRDefault="004322B1">
      <w:pPr>
        <w:pStyle w:val="14Footnote"/>
      </w:pPr>
      <w:r w:rsidRPr="00AD2F44">
        <w:rPr>
          <w:i/>
          <w:iCs/>
        </w:rPr>
        <w:t>Seventh Circuit:</w:t>
      </w:r>
      <w:r w:rsidRPr="00AD2F44">
        <w:t xml:space="preserve"> King v. General Elec. Co., 960 F.2d 617, 621 (7th Cir. 1992).</w:t>
      </w:r>
    </w:p>
    <w:p w14:paraId="753CCE9C" w14:textId="77777777" w:rsidR="004322B1" w:rsidRPr="00AD2F44" w:rsidRDefault="004322B1">
      <w:pPr>
        <w:pStyle w:val="14Footnote"/>
      </w:pPr>
      <w:r w:rsidRPr="00AD2F44">
        <w:rPr>
          <w:i/>
          <w:iCs/>
        </w:rPr>
        <w:t>Ninth Circuit:</w:t>
      </w:r>
      <w:r w:rsidRPr="00AD2F44">
        <w:t xml:space="preserve"> Smith v. T-Mobile USA, Inc., 570 F.3d 1119, 1122 (9th Cir. 2009) (noting the “structural distinctions between” FLSA collective actions and class actions under Rule 23); Lewis v. Wells Fargo Co</w:t>
      </w:r>
      <w:r w:rsidRPr="00AD2F44">
        <w:rPr>
          <w:i/>
          <w:iCs/>
        </w:rPr>
        <w:t>.</w:t>
      </w:r>
      <w:r w:rsidRPr="00AD2F44">
        <w:t>, 669 F. Supp. 2d 1124, 1127 (N.D. Cal. 2009); Roberson v. Danny Ontiveros Trucking, 2008 WL 4809960, at *5–6 (E.D. Cal. Nov. 3, 2008) (denying motion to dismiss collective action allegations based on small class size—12 members—because Rule 23 numerosity requirement does not apply to collective actions); Morden v. T-Mobile USA, Inc., 2006 WL 2620320 (W.D. Wash. Sept. 12, 2006); Gerlach v. Wells Fargo &amp; Co., 2006 U.S. Dist. LEXIS 24823, at *7–8 (N.D. Cal. Mar. 28, 2006).</w:t>
      </w:r>
    </w:p>
    <w:p w14:paraId="38CF3FDE" w14:textId="77777777" w:rsidR="004322B1" w:rsidRPr="00AD2F44" w:rsidRDefault="004322B1">
      <w:pPr>
        <w:pStyle w:val="14Footnote"/>
      </w:pPr>
      <w:r w:rsidRPr="00AD2F44">
        <w:rPr>
          <w:i/>
          <w:iCs/>
        </w:rPr>
        <w:t>Tenth Circuit:</w:t>
      </w:r>
      <w:r w:rsidRPr="00AD2F44">
        <w:t xml:space="preserve"> Thiessen v. General Elec. Capital Corp., 267 F.3d 1095, 1105 (10th Cir. 2001) (recognizing “Congress clearly chose not to have Rule 23 standards apply to class actions under [§216(b)]”).</w:t>
      </w:r>
    </w:p>
    <w:p w14:paraId="01D1F19B" w14:textId="77777777" w:rsidR="004322B1" w:rsidRPr="00AD2F44" w:rsidRDefault="004322B1">
      <w:pPr>
        <w:pStyle w:val="14Footnote"/>
      </w:pPr>
      <w:r w:rsidRPr="00AD2F44">
        <w:rPr>
          <w:i/>
          <w:iCs/>
        </w:rPr>
        <w:t>Eleventh Circuit:</w:t>
      </w:r>
      <w:r w:rsidRPr="00AD2F44">
        <w:t xml:space="preserve"> Grayson v. K Mart Corp., 79 F.3d 1086 (11th Cir. 1996) (acknowledging that the requirements under §216(b) and Rule 23 are considerably different); Cremeens v. City of Montgomery, 2009 WL 661867, at *2 (M.D. Ala. Mar. 11, 2009) (holding that, although there must be evidence that other similarly situated employees desire to opt in, Rule 23 numerosity is not required for conditional certification).</w:t>
      </w:r>
    </w:p>
    <w:p w14:paraId="6E2E857F" w14:textId="77777777" w:rsidR="004322B1" w:rsidRPr="00AD2F44" w:rsidRDefault="004322B1">
      <w:pPr>
        <w:pStyle w:val="14Footnote"/>
      </w:pPr>
      <w:r w:rsidRPr="00AD2F44">
        <w:rPr>
          <w:i/>
          <w:iCs/>
        </w:rPr>
        <w:t>D.C. Circuit:</w:t>
      </w:r>
      <w:r w:rsidRPr="00AD2F44">
        <w:t xml:space="preserve"> Castillo v. P &amp; R Enters., Inc., 517 F. Supp. 2d 440, 444 (D.D.C. 2007); Hunter v. Sprint Corp., 346 F. Supp. 2d 113, 117 (D.D.C. 2004).</w:t>
      </w:r>
    </w:p>
  </w:footnote>
  <w:footnote w:id="97">
    <w:p w14:paraId="09C45034"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In re</w:t>
      </w:r>
      <w:r w:rsidRPr="00AD2F44">
        <w:t xml:space="preserve"> FedEx Ground Package Sys., Inc., Emp. Practices Litig.,</w:t>
      </w:r>
      <w:r w:rsidRPr="00AD2F44">
        <w:rPr>
          <w:b/>
          <w:bCs/>
        </w:rPr>
        <w:t xml:space="preserve"> </w:t>
      </w:r>
      <w:r w:rsidRPr="00AD2F44">
        <w:t>662 F.</w:t>
      </w:r>
      <w:r w:rsidRPr="00AD2F44">
        <w:rPr>
          <w:b/>
          <w:bCs/>
        </w:rPr>
        <w:t> </w:t>
      </w:r>
      <w:r w:rsidRPr="00AD2F44">
        <w:t xml:space="preserve">Supp. 2d 1069, 1081–83 (N.D. Ind. 2009) (refusing to grant conditional certification because named plaintiffs were inadequate representatives of putative class, reasoning that adequacy of representation was an “equitable consideration” despite general inapplicability of Rule 23 to conditional certification issues, and finding that plaintiffs did not have standing to pursue overtime claims because they did not meet class definition, and that plaintiffs’ exclusion of state law claimants from putative nationwide collective action created conflict of interest); Martinez v. Cargill Meat Sols., 265 F.R.D. 490, 497 (D. Neb. 2009) (dismissing one named plaintiff in collective action because he lacked standing to pursue challenge to “gang time” policy, and relying on formulation from </w:t>
      </w:r>
      <w:r w:rsidRPr="00AD2F44">
        <w:rPr>
          <w:i/>
          <w:iCs/>
        </w:rPr>
        <w:t>East Texas Motor Freight v. Rodriguez,</w:t>
      </w:r>
      <w:r w:rsidRPr="00AD2F44">
        <w:t xml:space="preserve"> 431 U.S. 395 (1977), for class membership in Rule 23 case to explain requirement that named plaintiff be member of class).</w:t>
      </w:r>
    </w:p>
  </w:footnote>
  <w:footnote w:id="98">
    <w:p w14:paraId="4B45970F" w14:textId="77777777" w:rsidR="004322B1" w:rsidRPr="00AD2F44" w:rsidRDefault="004322B1">
      <w:pPr>
        <w:pStyle w:val="14Footnote"/>
      </w:pPr>
      <w:r w:rsidRPr="00AD2F44">
        <w:rPr>
          <w:vertAlign w:val="superscript"/>
        </w:rPr>
        <w:footnoteRef/>
      </w:r>
      <w:r w:rsidRPr="00AD2F44">
        <w:rPr>
          <w:i/>
        </w:rPr>
        <w:t xml:space="preserve">See, e.g., </w:t>
      </w:r>
    </w:p>
    <w:p w14:paraId="47C0EED1" w14:textId="77777777" w:rsidR="004322B1" w:rsidRPr="00AD2F44" w:rsidRDefault="004322B1">
      <w:pPr>
        <w:pStyle w:val="14Footnote"/>
      </w:pPr>
      <w:r w:rsidRPr="00AD2F44">
        <w:rPr>
          <w:i/>
          <w:iCs/>
        </w:rPr>
        <w:t>First Circuit:</w:t>
      </w:r>
      <w:r w:rsidRPr="00AD2F44">
        <w:t xml:space="preserve"> Poreda v. Boise Cascade, LLC, 532 F. Supp. 2d 234, 239 (D. Mass. 2008); Trezvant v. Fidelity Emp. Servs. Corp., 434 F. Supp. 2d 40, 43–45 (D. Mass. 2006); Reeves v. Alliant Techsys., Inc., 77 F. Supp. 2d 242, 246 (D.R.I. 1999).</w:t>
      </w:r>
    </w:p>
    <w:p w14:paraId="4F96B5FF" w14:textId="77777777" w:rsidR="004322B1" w:rsidRPr="00AD2F44" w:rsidRDefault="004322B1">
      <w:pPr>
        <w:pStyle w:val="14Footnote"/>
        <w:rPr>
          <w:b/>
          <w:bCs/>
        </w:rPr>
      </w:pPr>
      <w:r w:rsidRPr="00AD2F44">
        <w:rPr>
          <w:i/>
          <w:iCs/>
        </w:rPr>
        <w:t>Second Circuit:</w:t>
      </w:r>
      <w:r w:rsidRPr="00AD2F44">
        <w:t xml:space="preserve"> Perez v. Escobar Constr. Inc., 540 F. Supp. 3d 395, 405</w:t>
      </w:r>
      <w:r w:rsidRPr="00AD2F44">
        <w:rPr>
          <w:b/>
          <w:bCs/>
        </w:rPr>
        <w:t xml:space="preserve"> </w:t>
      </w:r>
      <w:r w:rsidRPr="00AD2F44">
        <w:t>(S.D.N.Y. 2021) (granting conditional certification supported by two affidavits as sufficient for step one; reiterating court’s previous explanation that there are two broad methods for plaintiffs to meet lenient “similarly situated” standard—a “top-down” method of proof, where plaintiffs rely on evidence of defendants’ policy or practice of treating all employees similarly with respect to allegedly illegal labor practices, or a “bottom-up” method, where plaintiffs provide affidavits that draw inferences that illegal policies or practices existed) (quoting Contrera v. Langer, 278 F. Supp. 3d 702, 716 (S.D.N.Y. 2017)); Hart v. Crab Addison, Inc., 2015 WL 365785, at *2–3 (W.D.N.Y. Jan. 27, 2015) (granting nationwide certification based on 21 affidavits supporting the allegations of the complaint, noting that other courts had certified similar cases “based on far less proof”) (citing Flood v. Carlson Rests., Inc., 2015 WL 260436, at *2–4 (S.D.N.Y. Jan. 20, 2015) (granting certification of over 920 restaurants in 60 countries and territories based on six declarations across eight restaurants, and averments regarding policy)); Sharma v. Burberry Ltd., 52 F. Supp. 3d 443 (E.D.N.Y. 2014) (granting plaintiff’s motion for conditional certification (in a limited scope) based in part on plaintiffs’ declarations); Lynch v. United Servs. Auto. Ass’n, 491 F. Supp. 2d 237, 268 (S.D.N.Y. 2007); Harrington v. Education Mgmt. Corp., 2002 U.S. Dist. LEXIS 8823 (S.D.N.Y. May 17, 2002) (deeming affidavit of named plaintiff sufficient).</w:t>
      </w:r>
    </w:p>
    <w:p w14:paraId="63D0CAF5" w14:textId="77777777" w:rsidR="004322B1" w:rsidRPr="00AD2F44" w:rsidRDefault="004322B1">
      <w:pPr>
        <w:pStyle w:val="14Footnote"/>
      </w:pPr>
      <w:r w:rsidRPr="00AD2F44">
        <w:rPr>
          <w:i/>
          <w:iCs/>
        </w:rPr>
        <w:t>Fourth Circuit:</w:t>
      </w:r>
      <w:r w:rsidRPr="00AD2F44">
        <w:t xml:space="preserve"> Kirkpatrick v. Cardinal Innovations Healthcare Sols., 2017 U.S. Dist. LEXIS 141783 (M.D.N.C. Sept. 1, 2017) (granting conditional certification and noting that declarations serve as factual support for allegations); Quinteros v. Sparkle Cleaning, Inc., 532 F. Supp. 2d 762, 772 (D. Md. 2008) (deeming allegations in complaint insufficient—motion must be supported by affidavits).</w:t>
      </w:r>
    </w:p>
    <w:p w14:paraId="5C06F23E" w14:textId="77777777" w:rsidR="004322B1" w:rsidRPr="00AD2F44" w:rsidRDefault="004322B1">
      <w:pPr>
        <w:pStyle w:val="14Footnote"/>
      </w:pPr>
      <w:r w:rsidRPr="00AD2F44">
        <w:rPr>
          <w:i/>
          <w:iCs/>
        </w:rPr>
        <w:t xml:space="preserve">Fifth Circuit: </w:t>
      </w:r>
      <w:r w:rsidRPr="00AD2F44">
        <w:t>Davis v. Capital One Home Loans, LLC, 2018 U.S. Dist. LEXIS 130035 (N.D. Tex. Aug. 2, 2018) (granting conditional certification and noting that plaintiff’s quite similar declarations survive defendant’s attack due to the lenient level of analysis at conditional certification).</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1881B2E" w14:textId="77777777" w:rsidR="004322B1" w:rsidRPr="00AD2F44" w:rsidRDefault="004322B1">
      <w:pPr>
        <w:pStyle w:val="14Footnote"/>
      </w:pPr>
      <w:r w:rsidRPr="00AD2F44">
        <w:rPr>
          <w:i/>
          <w:iCs/>
        </w:rPr>
        <w:t>Sixth Circuit:</w:t>
      </w:r>
      <w:r w:rsidRPr="00AD2F44">
        <w:t xml:space="preserve"> Cowley v. Prudential Sec., Inc., 2022 BL 172385, 2022 WL 1567314 (E.D. Mich. May 18, 2022) (granting conditional certification based on dozen opt-in declarations of workers who stated that they worked in different locations over 10-year period and had suffered same practice of off-the-clock work); O’Neal v. Emery Fed. Credit Union, 2014 WL 842948 (S.D. Ohio Mar. 4, 2014) (granting second motion for conditional certification after plaintiff submitted additional witness declarations that satisfied “modest factual showing” requirement).</w:t>
      </w:r>
    </w:p>
    <w:p w14:paraId="2D876158" w14:textId="77777777" w:rsidR="004322B1" w:rsidRPr="00AD2F44" w:rsidRDefault="004322B1">
      <w:pPr>
        <w:pStyle w:val="14Footnote"/>
      </w:pPr>
      <w:r w:rsidRPr="00AD2F44">
        <w:rPr>
          <w:i/>
          <w:iCs/>
        </w:rPr>
        <w:t>Seventh Circuit:</w:t>
      </w:r>
      <w:r w:rsidRPr="00AD2F44">
        <w:t xml:space="preserve"> Ballou v. iTalk, LLC, 2013 WL 3944193 (N.D. Ill. July 31, 2013) (denying conditional certification motion on claim for withheld commissions or wages because plaintiff’s testimony insufficient to show other employees subject to same policy; granting motion on other claims based on plaintiff’s testimony and Rule 30(b)(6) deposition testimony); Dominguez v. Don Pedro Rest., 2007 WL 271567, at *7–8 (N.D. Ind. Jan. 25, 2007) (deeming allegations in complaint without affidavits insufficient).</w:t>
      </w:r>
    </w:p>
    <w:p w14:paraId="3DAE3832" w14:textId="77777777" w:rsidR="004322B1" w:rsidRPr="00AD2F44" w:rsidRDefault="004322B1">
      <w:pPr>
        <w:pStyle w:val="14Footnote"/>
      </w:pPr>
      <w:r w:rsidRPr="00AD2F44">
        <w:rPr>
          <w:i/>
          <w:iCs/>
        </w:rPr>
        <w:t>Eighth Circuit:</w:t>
      </w:r>
      <w:r w:rsidRPr="00AD2F44">
        <w:t xml:space="preserve"> Salazar v. Agriprocessors, Inc., 2008 WL 782803, at *18–19 (N.D. Iowa Mar. 17, 2008) (explaining that plaintiffs must provide “some evidence in addition to the allegations in the complaint” to warrant conditional certification).</w:t>
      </w:r>
    </w:p>
    <w:p w14:paraId="5FAEBE17" w14:textId="77777777" w:rsidR="004322B1" w:rsidRPr="00AD2F44" w:rsidRDefault="004322B1">
      <w:pPr>
        <w:pStyle w:val="14Footnote"/>
      </w:pPr>
      <w:r w:rsidRPr="00AD2F44">
        <w:rPr>
          <w:i/>
          <w:iCs/>
        </w:rPr>
        <w:t>Ninth Circuit:</w:t>
      </w:r>
      <w:r w:rsidRPr="00AD2F44">
        <w:t xml:space="preserve"> Lucas v. Bell Trans, 2010 WL 3895924, at *4 (D. Nev. Sept. 30, 2010) (relying on affidavits of human resources employee and named plaintiff); Edwards v. City of Long Beach, 467 F. Supp. 2d 986, 990 (C.D. Cal. 2006); Romero v. Producers Dairy Foods, Inc., 235 F.R.D. 474, 481–82 (E.D. Cal. 2006).</w:t>
      </w:r>
    </w:p>
    <w:p w14:paraId="4DBF4FB9" w14:textId="77777777" w:rsidR="004322B1" w:rsidRPr="00AD2F44" w:rsidRDefault="004322B1">
      <w:pPr>
        <w:pStyle w:val="14Footnote"/>
      </w:pPr>
      <w:r w:rsidRPr="00AD2F44">
        <w:rPr>
          <w:i/>
          <w:iCs/>
        </w:rPr>
        <w:t>Tenth Circuit:</w:t>
      </w:r>
      <w:r w:rsidRPr="00AD2F44">
        <w:t xml:space="preserve"> Underwood v. NMC Mortg. Corp., 245 F.R.D. 720, 722 n.1 (D. Kan. 2007).</w:t>
      </w:r>
    </w:p>
    <w:p w14:paraId="3F623E1B" w14:textId="77777777" w:rsidR="004322B1" w:rsidRPr="00AD2F44" w:rsidRDefault="004322B1">
      <w:pPr>
        <w:pStyle w:val="14Footnote"/>
      </w:pPr>
      <w:r w:rsidRPr="00AD2F44">
        <w:rPr>
          <w:i/>
          <w:iCs/>
        </w:rPr>
        <w:t>Eleventh Circuit:</w:t>
      </w:r>
      <w:r w:rsidRPr="00AD2F44">
        <w:t xml:space="preserve"> Grayson v. K Mart Corp., 79 F.3d 1086, 1097 (11th Cir. 1996).</w:t>
      </w:r>
    </w:p>
    <w:p w14:paraId="36F559BE" w14:textId="77777777" w:rsidR="004322B1" w:rsidRPr="00AD2F44" w:rsidRDefault="004322B1">
      <w:pPr>
        <w:pStyle w:val="14Footnote"/>
      </w:pPr>
      <w:r w:rsidRPr="00AD2F44">
        <w:rPr>
          <w:i/>
          <w:iCs/>
        </w:rPr>
        <w:t>D</w:t>
      </w:r>
      <w:r w:rsidRPr="00AD2F44">
        <w:t>.</w:t>
      </w:r>
      <w:r w:rsidRPr="00AD2F44">
        <w:rPr>
          <w:i/>
          <w:iCs/>
        </w:rPr>
        <w:t>C</w:t>
      </w:r>
      <w:r w:rsidRPr="00AD2F44">
        <w:t>.</w:t>
      </w:r>
      <w:r w:rsidRPr="00AD2F44">
        <w:rPr>
          <w:i/>
          <w:iCs/>
        </w:rPr>
        <w:t xml:space="preserve"> Circuit:</w:t>
      </w:r>
      <w:r w:rsidRPr="00AD2F44">
        <w:t xml:space="preserve"> Guzman v. GF, Inc., 2021 BL 222620, 2021 WL 2439277, at *3 (D.D.C. June 14, 2021) (finding plaintiffs “cleared the low hurdle” for conditional certification of their overtime claims based on two affidavits of employees who had worked in positions at issue); Galloway v. Chugach Gov’t Servs., Inc., 263 F. Supp. 3d 151, 156 (D.D.C. 2017) (noting that one of three named plaintiffs who submitted affidavits in support of conditional certification “skirts close to the line of what is minimally sufficient”). </w:t>
      </w:r>
    </w:p>
    <w:p w14:paraId="7D808FE2" w14:textId="77777777" w:rsidR="004322B1" w:rsidRPr="00AD2F44" w:rsidRDefault="004322B1">
      <w:pPr>
        <w:pStyle w:val="14Footnote"/>
      </w:pPr>
      <w:r w:rsidRPr="00AD2F44">
        <w:rPr>
          <w:i/>
          <w:iCs/>
        </w:rPr>
        <w:t>Federal Circuit:</w:t>
      </w:r>
      <w:r w:rsidRPr="00AD2F44">
        <w:t xml:space="preserve"> Dominick v. United States, 135 Fed. Cl. 714, 717 (2017) (holding that plaintiffs failed to meet low burden for conditional certification where they relied solely on allegations in complaint and failed to support allegations with any affidavits or other available evidence).</w:t>
      </w:r>
    </w:p>
  </w:footnote>
  <w:footnote w:id="99">
    <w:p w14:paraId="481CC457" w14:textId="77777777" w:rsidR="004322B1" w:rsidRPr="00AD2F44" w:rsidRDefault="004322B1">
      <w:pPr>
        <w:pStyle w:val="14Footnote"/>
      </w:pPr>
      <w:r w:rsidRPr="00AD2F44">
        <w:rPr>
          <w:vertAlign w:val="superscript"/>
        </w:rPr>
        <w:footnoteRef/>
      </w:r>
      <w:r w:rsidRPr="00AD2F44">
        <w:rPr>
          <w:i/>
        </w:rPr>
        <w:t>See, e.g.,</w:t>
      </w:r>
    </w:p>
    <w:p w14:paraId="12A52589" w14:textId="77777777" w:rsidR="004322B1" w:rsidRPr="00AD2F44" w:rsidRDefault="004322B1">
      <w:pPr>
        <w:pStyle w:val="14Footnote"/>
      </w:pPr>
      <w:r w:rsidRPr="00AD2F44">
        <w:rPr>
          <w:i/>
          <w:iCs/>
        </w:rPr>
        <w:t>Fifth Circuit:</w:t>
      </w:r>
      <w:r w:rsidRPr="00AD2F44">
        <w:t xml:space="preserve"> Neagley v. Atascosa Cnty. EMS, 2005 WL 354085 (W.D. Tex. Jan. 7, 2005) (granting sua sponte conditional certification based solely on allegations in complaint).</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649DA9C5" w14:textId="77777777" w:rsidR="004322B1" w:rsidRPr="00AD2F44" w:rsidRDefault="004322B1">
      <w:pPr>
        <w:pStyle w:val="14Footnote"/>
      </w:pPr>
      <w:r w:rsidRPr="00AD2F44">
        <w:rPr>
          <w:i/>
          <w:iCs/>
        </w:rPr>
        <w:t>Sixth Circuit:</w:t>
      </w:r>
      <w:r w:rsidRPr="00AD2F44">
        <w:t xml:space="preserve"> Smith v. Generations Healthcare Servs. LLC, 2017 U.S. Dist. LEXIS 106583 (S.D. Ohio July 11, 2017) (granting conditional certification based solely on complaint); Pritchard v. Dent Wizard Int’l Corp., 210 F.R.D. 591, 595–96 (S.D. Ohio 2002) (citing cases); Belcher v. Shoney’s, Inc., 927 F. Supp. 249, 251 (M.D. Tenn. 1996) (holding potential class members to be “similarly situated” for purposes of receiving notice based solely on allegations in complaint).</w:t>
      </w:r>
    </w:p>
    <w:p w14:paraId="0F86E2D4" w14:textId="77777777" w:rsidR="004322B1" w:rsidRPr="00AD2F44" w:rsidRDefault="004322B1">
      <w:pPr>
        <w:pStyle w:val="14Footnote"/>
      </w:pPr>
      <w:r w:rsidRPr="00AD2F44">
        <w:rPr>
          <w:i/>
          <w:iCs/>
        </w:rPr>
        <w:t>Seventh Circuit:</w:t>
      </w:r>
      <w:r w:rsidRPr="00AD2F44">
        <w:t xml:space="preserve"> Allen v. Marshall Field &amp; Co., 93 F.R.D. 438 (N.D. Ill. 1982) (granting conditional certification based on allegations in complaint).</w:t>
      </w:r>
    </w:p>
    <w:p w14:paraId="44B8A6F2" w14:textId="77777777" w:rsidR="004322B1" w:rsidRPr="00AD2F44" w:rsidRDefault="004322B1">
      <w:pPr>
        <w:pStyle w:val="14Footnote"/>
      </w:pPr>
      <w:r w:rsidRPr="00AD2F44">
        <w:rPr>
          <w:i/>
          <w:iCs/>
        </w:rPr>
        <w:t>Ninth Circuit:</w:t>
      </w:r>
      <w:r w:rsidRPr="00AD2F44">
        <w:t xml:space="preserve"> Singleton v. Adick</w:t>
      </w:r>
      <w:r w:rsidRPr="00AD2F44">
        <w:rPr>
          <w:i/>
          <w:iCs/>
        </w:rPr>
        <w:t>,</w:t>
      </w:r>
      <w:r w:rsidRPr="00AD2F44">
        <w:t xml:space="preserve"> 2009 WL 3710717 (D. Ariz. Nov. 2, 2009) (opt-in agreements of eight other employees who stated that they were similarly situated to named plaintiffs sufficient at first lenient stage of “similarly situated” analysis).</w:t>
      </w:r>
    </w:p>
    <w:p w14:paraId="7AE97A23" w14:textId="77777777" w:rsidR="004322B1" w:rsidRPr="00AD2F44" w:rsidRDefault="004322B1">
      <w:pPr>
        <w:pStyle w:val="14Footnote"/>
      </w:pPr>
      <w:r w:rsidRPr="00AD2F44">
        <w:rPr>
          <w:i/>
          <w:iCs/>
        </w:rPr>
        <w:t>Tenth Circuit:</w:t>
      </w:r>
      <w:r w:rsidRPr="00AD2F44">
        <w:t xml:space="preserve"> Shockey v. Huhtamaki, Inc., 730 F. Supp. 2d 1298, 1300 (D. Kan. 2010) (holding that Tenth Circuit uses lenient standard and requires only “substantial allegations that the putative class members were together the victims of a single decision, policy, or plan”); Vaszlavick v. Storage Tech. Corp., 175 F.R.D. 672, 678 (D. Colo. 1997) (holding that notice-stage burden only required “substantial allegations that the putative class members were together the victims of a single policy or plan”).</w:t>
      </w:r>
    </w:p>
    <w:p w14:paraId="69FF83F4" w14:textId="77777777" w:rsidR="004322B1" w:rsidRPr="00AD2F44" w:rsidRDefault="004322B1">
      <w:pPr>
        <w:pStyle w:val="14Footnote"/>
      </w:pPr>
      <w:r w:rsidRPr="00AD2F44">
        <w:rPr>
          <w:i/>
          <w:iCs/>
        </w:rPr>
        <w:t>Federal Circuit:</w:t>
      </w:r>
      <w:r w:rsidRPr="00AD2F44">
        <w:t xml:space="preserve"> Gayle v. United States, 85 Fed. Cl. 72 (2008) (deeming plaintiff’s allegations sufficient to support granting conditional certification to per diem nurses’ assistants).</w:t>
      </w:r>
    </w:p>
  </w:footnote>
  <w:footnote w:id="100">
    <w:p w14:paraId="0A760F92" w14:textId="77777777" w:rsidR="004322B1" w:rsidRPr="00AD2F44" w:rsidRDefault="004322B1">
      <w:pPr>
        <w:pStyle w:val="14Footnote"/>
      </w:pPr>
      <w:r w:rsidRPr="00AD2F44">
        <w:rPr>
          <w:vertAlign w:val="superscript"/>
        </w:rPr>
        <w:footnoteRef/>
      </w:r>
      <w:r w:rsidRPr="00AD2F44">
        <w:rPr>
          <w:i/>
        </w:rPr>
        <w:t>See, e.g.,</w:t>
      </w:r>
    </w:p>
    <w:p w14:paraId="6E40050A"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E62179">
        <w:t>2022 WL 17820139</w:t>
      </w:r>
      <w:r>
        <w:t xml:space="preserve"> (E.D.N.Y. Sept. 27, 2022) (rejecting argument that court could not rely on hearsay evidence in support of conditional certification); </w:t>
      </w:r>
      <w:r w:rsidRPr="00AD2F44">
        <w:t>Moore v. Eagle Sanitation, Inc., 276 F.R.D. 54, 59 (E.D.N.Y. 2011) (rejecting challenge to affidavits submitted in support of conditional certification, on grounds that they contained “conclusory allegations and hearsay,” because “courts in [the Second] Circuit regularly rely on such evidence to determine the propriety of sending a collective action notice”); Fasanelli v. Heartland Brewery, Inc., 516 F. Supp. 2d 317, 321–22 (S.D.N.Y. 2007).</w:t>
      </w:r>
    </w:p>
    <w:p w14:paraId="290E48E5" w14:textId="77777777" w:rsidR="004322B1" w:rsidRPr="00AD2F44" w:rsidRDefault="004322B1">
      <w:pPr>
        <w:pStyle w:val="14Footnote"/>
      </w:pPr>
      <w:r w:rsidRPr="00AD2F44">
        <w:rPr>
          <w:i/>
          <w:iCs/>
        </w:rPr>
        <w:t>Fourth Circuit</w:t>
      </w:r>
      <w:r w:rsidRPr="00AD2F44">
        <w:t xml:space="preserve">: Ricketts v. NV5, LLC, 2022 BL 107595, </w:t>
      </w:r>
      <w:r w:rsidRPr="004F4D61">
        <w:rPr>
          <w:lang w:val="es-ES"/>
        </w:rPr>
        <w:t xml:space="preserve">2022 WL 949947 (S.D. W. Va. Mar. 29, 2022) (granting conditional certification, recognizing that plaintiff’s affidavit included conversations with other workers, which supported common policy or plan, but limiting it to scope of workers on job sites where plaintiff had been able to speak to or observe other workers). </w:t>
      </w:r>
    </w:p>
    <w:p w14:paraId="240F4133" w14:textId="77777777" w:rsidR="004322B1" w:rsidRPr="00AD2F44" w:rsidRDefault="004322B1">
      <w:pPr>
        <w:pStyle w:val="14Footnote"/>
      </w:pPr>
      <w:r w:rsidRPr="00AD2F44">
        <w:rPr>
          <w:i/>
          <w:iCs/>
        </w:rPr>
        <w:t>Sixth Circuit:</w:t>
      </w:r>
      <w:r w:rsidRPr="00AD2F44">
        <w:t xml:space="preserve"> Brown v. Ak Lawncare, Inc., 2015 WL 5954811 (E.D. Mich. Oct. 14, 2015) (considering declarations that included hearsay, despite defendant’s objections); Fisher v. Michigan Bell Tel. Co., 665 F. Supp. 2d 819, 826 (E.D. Mich. 2009) (permitting declaration testimony not based on personal knowledge at notice stage, given two-stage process and need for discovery); Crawford v. Lexington-Fayette Urban Cnty. Gov’t, 2007 WL 293865 (E.D. Ky Jan. 26, 2007) (explaining that hearsay evidence admitted at the notice stage must be substantiated with admissible evidence at decertification stage); White v. MPW Ind. Serv., Inc., 236 F.R.D. 363, 368–69 (E.D. Tenn. 2006) (holding that information contained in affidavits filed in support of conditional certification need not meet all evidentiary requirements to be admissible at trial, but must be based on personal knowledge).</w:t>
      </w:r>
    </w:p>
    <w:p w14:paraId="78450A5B" w14:textId="77777777" w:rsidR="004322B1" w:rsidRPr="00AD2F44" w:rsidRDefault="004322B1">
      <w:pPr>
        <w:pStyle w:val="14Footnote"/>
      </w:pPr>
      <w:r w:rsidRPr="00AD2F44">
        <w:rPr>
          <w:i/>
          <w:iCs/>
        </w:rPr>
        <w:t xml:space="preserve">Seventh Circuit: </w:t>
      </w:r>
      <w:r w:rsidRPr="00AD2F44">
        <w:t>Fox v. Martin Transp. Sys., Inc., 2009 WL 3416021, at *1 (N.D. Ind. Oct. 19, 2009) (court may consider hearsay statements in affidavits at conditional certification stage).</w:t>
      </w:r>
    </w:p>
    <w:p w14:paraId="0BAB342E" w14:textId="77777777" w:rsidR="004322B1" w:rsidRPr="00AD2F44" w:rsidRDefault="004322B1">
      <w:pPr>
        <w:pStyle w:val="14Footnote"/>
      </w:pPr>
      <w:r w:rsidRPr="00AD2F44">
        <w:rPr>
          <w:i/>
          <w:iCs/>
        </w:rPr>
        <w:t>Eighth Circuit:</w:t>
      </w:r>
      <w:r w:rsidRPr="00AD2F44">
        <w:t xml:space="preserve"> Coan v. Nightingale Home Healthcare, Inc., 2005 U.S. Dist. LEXIS 15475, at *4, n.1 (S.D. Ind. June 29, 2005).</w:t>
      </w:r>
    </w:p>
    <w:p w14:paraId="41FD8A93" w14:textId="77777777" w:rsidR="004322B1" w:rsidRPr="00AD2F44" w:rsidRDefault="004322B1">
      <w:pPr>
        <w:pStyle w:val="14Footnote"/>
      </w:pPr>
      <w:r w:rsidRPr="00AD2F44">
        <w:rPr>
          <w:i/>
          <w:iCs/>
        </w:rPr>
        <w:t>Ninth Circuit:</w:t>
      </w:r>
      <w:r w:rsidRPr="00AD2F44">
        <w:t xml:space="preserve"> Beauperthuy v. 24 Hour Fitness, Inc., 2007 U.S. Dist. LEXIS 21315, at *25 n.5 (N.D. Cal. Mar. 6, 2007); Aguayo v. Oldenkamp Trucking, 2006 U.S. Dist. LEXIS 22190, at *12 (E.D. Cal. Mar. 31, 2006).</w:t>
      </w:r>
    </w:p>
    <w:p w14:paraId="36B9F648" w14:textId="77777777" w:rsidR="004322B1" w:rsidRPr="00AD2F44" w:rsidRDefault="004322B1">
      <w:pPr>
        <w:pStyle w:val="14Footnote"/>
      </w:pPr>
      <w:r w:rsidRPr="00AD2F44">
        <w:rPr>
          <w:i/>
          <w:iCs/>
        </w:rPr>
        <w:t>Tenth Circuit</w:t>
      </w:r>
      <w:r w:rsidRPr="00AD2F44">
        <w:t>: James v. Boyd Gaming Corp., 522 F. Supp. 3d 892, 911</w:t>
      </w:r>
      <w:r w:rsidRPr="00AD2F44">
        <w:rPr>
          <w:b/>
          <w:bCs/>
        </w:rPr>
        <w:t xml:space="preserve"> </w:t>
      </w:r>
      <w:r w:rsidRPr="00AD2F44">
        <w:t xml:space="preserve">(D. Kan. 2021) (rejecting defendant’s arguments that plaintiff had to provide admissible evidence in support of conditional certification, including tip credit notice). </w:t>
      </w:r>
    </w:p>
    <w:p w14:paraId="1729E992" w14:textId="77777777" w:rsidR="004322B1" w:rsidRPr="00AD2F44" w:rsidRDefault="004322B1">
      <w:pPr>
        <w:pStyle w:val="14Footnote"/>
      </w:pPr>
      <w:r w:rsidRPr="00AD2F44">
        <w:rPr>
          <w:i/>
          <w:iCs/>
        </w:rPr>
        <w:t xml:space="preserve">D.C. Circuit: </w:t>
      </w:r>
      <w:r w:rsidRPr="00AD2F44">
        <w:t>Guzman v. GF, Inc., 2021 BL 222620, 2021 WL 2439277 (D.D.C. June 14, 2021) (permitting reliance on affidavits that contained hearsay about experiences of other employees, given low standard at this early stage).</w:t>
      </w:r>
    </w:p>
  </w:footnote>
  <w:footnote w:id="101">
    <w:p w14:paraId="3DF24F78" w14:textId="77777777" w:rsidR="004322B1" w:rsidRPr="00AD2F44" w:rsidRDefault="004322B1">
      <w:pPr>
        <w:pStyle w:val="14Footnote"/>
      </w:pPr>
      <w:r w:rsidRPr="00AD2F44">
        <w:rPr>
          <w:vertAlign w:val="superscript"/>
        </w:rPr>
        <w:footnoteRef/>
      </w:r>
      <w:r w:rsidRPr="00AD2F44">
        <w:rPr>
          <w:i/>
        </w:rPr>
        <w:t xml:space="preserve">See, e.g., </w:t>
      </w:r>
    </w:p>
    <w:p w14:paraId="13DF88BC" w14:textId="77777777" w:rsidR="004322B1" w:rsidRPr="00AD2F44" w:rsidRDefault="004322B1">
      <w:pPr>
        <w:pStyle w:val="14Footnote"/>
      </w:pPr>
      <w:r w:rsidRPr="00AD2F44">
        <w:rPr>
          <w:i/>
          <w:iCs/>
        </w:rPr>
        <w:t>Second Circuit:</w:t>
      </w:r>
      <w:r w:rsidRPr="00AD2F44">
        <w:t xml:space="preserve"> Richards v. Computer Sci. Corp., 2004 U.S. Dist. LEXIS 19637, at *3–6 (D. Conn. Sept. 28, 2004).</w:t>
      </w:r>
    </w:p>
    <w:p w14:paraId="018D5B7C" w14:textId="77777777" w:rsidR="004322B1" w:rsidRPr="00AD2F44" w:rsidRDefault="004322B1">
      <w:pPr>
        <w:pStyle w:val="14Footnote"/>
      </w:pPr>
      <w:r w:rsidRPr="00AD2F44">
        <w:rPr>
          <w:i/>
          <w:iCs/>
        </w:rPr>
        <w:t xml:space="preserve">Third Circuit: </w:t>
      </w:r>
      <w:r w:rsidRPr="00AD2F44">
        <w:t>White v. Rick Bus Co., 743 F. Supp. 2d 380, 388 (D.N.J. 2010) (refusing to consider hearsay statements in support of conditional certification); Stanislaw v. Erie Indem. Co., 2009 WL 426641, at *2 (W.D. Pa. Feb. 20, 2009) (refusing to consider plaintiff’s hearsay evidence in support of conditional certification).</w:t>
      </w:r>
    </w:p>
    <w:p w14:paraId="26FB4697" w14:textId="77777777" w:rsidR="004322B1" w:rsidRPr="00AD2F44" w:rsidRDefault="004322B1">
      <w:pPr>
        <w:pStyle w:val="14Footnote"/>
      </w:pPr>
      <w:r w:rsidRPr="00AD2F44">
        <w:rPr>
          <w:i/>
          <w:iCs/>
        </w:rPr>
        <w:t>Fifth Circuit:</w:t>
      </w:r>
      <w:r w:rsidRPr="00AD2F44">
        <w:t xml:space="preserve"> Vogt v. Texas Instruments, Inc., 2006 WL 4660134, at *3 (N.D. Tex. Sept. 19, 2006) (finding plaintiff’s supplemental declaration inadmissible for lack of personal knowledge); Torres v. CSK Auto, Inc., 2003 WL 24330020, at *2 (W.D. Tex. Dec. 17, 2003) (finding affidavits merely restating concerns of distant employees without personal knowledge of underlying facts insufficient).</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0CFDE95" w14:textId="77777777" w:rsidR="004322B1" w:rsidRPr="00AD2F44" w:rsidRDefault="004322B1">
      <w:pPr>
        <w:pStyle w:val="14Footnote"/>
      </w:pPr>
      <w:r w:rsidRPr="00AD2F44">
        <w:rPr>
          <w:i/>
          <w:iCs/>
        </w:rPr>
        <w:t>Sixth Circuit:</w:t>
      </w:r>
      <w:r w:rsidRPr="00AD2F44">
        <w:t xml:space="preserve"> Combs v. Twins Grp., Inc., 2016 WL 7230854, at *2–3 (S.D. Ohio Dec. 14, 2016) (rejecting declaration in support of conditional certification because it was not based on personal knowledge); Harrison v. McDonald’s Corp., 411 F. Supp. 2d 862, 865 (S.D. Ohio 2005); Clark v. Dollar Gen. Corp., 2001 WL 878887 (M.D. Tenn. May 23, 2001).</w:t>
      </w:r>
    </w:p>
    <w:p w14:paraId="119AC34D" w14:textId="77777777" w:rsidR="004322B1" w:rsidRPr="00AD2F44" w:rsidRDefault="004322B1">
      <w:pPr>
        <w:pStyle w:val="14Footnote"/>
      </w:pPr>
      <w:r w:rsidRPr="00AD2F44">
        <w:rPr>
          <w:i/>
          <w:iCs/>
        </w:rPr>
        <w:t>Eighth Circuit:</w:t>
      </w:r>
      <w:r w:rsidRPr="00AD2F44">
        <w:t xml:space="preserve"> West v. Border Foods, Inc., 2006 WL 1892527, at *6 (D. Minn. July 10, 2006) (finding averments in support of motion for notice must be made on personal knowledge).</w:t>
      </w:r>
    </w:p>
    <w:p w14:paraId="79430F8A" w14:textId="77777777" w:rsidR="004322B1" w:rsidRPr="00AD2F44" w:rsidRDefault="004322B1">
      <w:pPr>
        <w:pStyle w:val="14Footnote"/>
      </w:pPr>
      <w:r w:rsidRPr="00AD2F44">
        <w:rPr>
          <w:i/>
          <w:iCs/>
        </w:rPr>
        <w:t>Eleventh Circuit:</w:t>
      </w:r>
      <w:r w:rsidRPr="00AD2F44">
        <w:t xml:space="preserve"> Tucker v. Labor Leasing, Inc., 872 F. Supp. 941, 948 (M.D. Fla. 1994) (finding testimony that plaintiff heard complaints from other employees working in other locations insufficient to grant notice to employees at the other locations).</w:t>
      </w:r>
    </w:p>
  </w:footnote>
  <w:footnote w:id="102">
    <w:p w14:paraId="1CB809EC" w14:textId="77777777" w:rsidR="004322B1" w:rsidRPr="00AD2F44" w:rsidRDefault="004322B1">
      <w:pPr>
        <w:pStyle w:val="14Footnote"/>
      </w:pPr>
      <w:r w:rsidRPr="00AD2F44">
        <w:rPr>
          <w:vertAlign w:val="superscript"/>
        </w:rPr>
        <w:footnoteRef/>
      </w:r>
      <w:r w:rsidRPr="00AD2F44">
        <w:rPr>
          <w:i/>
        </w:rPr>
        <w:t>See, e.g.,</w:t>
      </w:r>
    </w:p>
    <w:p w14:paraId="5B616A70" w14:textId="77777777" w:rsidR="004322B1" w:rsidRPr="00AD2F44" w:rsidRDefault="004322B1">
      <w:pPr>
        <w:pStyle w:val="14Footnote"/>
      </w:pPr>
      <w:r w:rsidRPr="00AD2F44">
        <w:rPr>
          <w:i/>
          <w:iCs/>
        </w:rPr>
        <w:t>Second Circuit:</w:t>
      </w:r>
      <w:r w:rsidRPr="00AD2F44">
        <w:t xml:space="preserve"> Hart v. Crab Addison, Inc., 2015 WL 365785, at *1–3 (W.D.N.Y. 2015) (noting that the defendants had submitted 95 rebuttal affidavits from current employees, but granting certification based on the plaintiffs’ 21 affidavits without discussing defendants’ rebuttal evidence); Aros v. United Rentals, Inc., 269 F.R.D. 176, 180 (D. Conn. 2010) (refusing to consider defendant’s declarations because inquiry is whether plaintiff has made requisite showing); Barrus v. Dick’s Sporting Goods, Inc., 465 F. Supp. 2d 224 (W.D.N.Y. 2006) (rejecting contradictory affidavits at notice stage).</w:t>
      </w:r>
    </w:p>
    <w:p w14:paraId="433D445F" w14:textId="77777777" w:rsidR="004322B1" w:rsidRPr="00AD2F44" w:rsidRDefault="004322B1">
      <w:pPr>
        <w:pStyle w:val="14Footnote"/>
      </w:pPr>
      <w:r w:rsidRPr="00AD2F44">
        <w:rPr>
          <w:i/>
          <w:iCs/>
        </w:rPr>
        <w:t>Third Circuit:</w:t>
      </w:r>
      <w:r w:rsidRPr="00AD2F44">
        <w:t xml:space="preserve"> Sperling v. Hoffman-La Roche, Inc., 118 F.R.D. 392, 406 (D.N.J. 1988) (explaining that plaintiffs’ affidavits successfully “engage[d] Defendant’s affidavit to the contrary”), </w:t>
      </w:r>
      <w:r w:rsidRPr="00AD2F44">
        <w:rPr>
          <w:i/>
          <w:iCs/>
        </w:rPr>
        <w:t>aff’d in part and appeal dismissed in part</w:t>
      </w:r>
      <w:r w:rsidRPr="00AD2F44">
        <w:t xml:space="preserve">, 862 F.2d 439 (3d Cir. 1988), </w:t>
      </w:r>
      <w:r w:rsidRPr="00AD2F44">
        <w:rPr>
          <w:i/>
          <w:iCs/>
        </w:rPr>
        <w:t>aff’d and remanded</w:t>
      </w:r>
      <w:r w:rsidRPr="00AD2F44">
        <w:t>, 493 U.S. 165 (1989).</w:t>
      </w:r>
    </w:p>
    <w:p w14:paraId="2074C9C1" w14:textId="77777777" w:rsidR="004322B1" w:rsidRPr="00AD2F44" w:rsidRDefault="004322B1">
      <w:pPr>
        <w:pStyle w:val="14Footnote"/>
      </w:pPr>
      <w:r w:rsidRPr="00AD2F44">
        <w:rPr>
          <w:i/>
          <w:iCs/>
        </w:rPr>
        <w:t>Fourth Circuit:</w:t>
      </w:r>
      <w:r w:rsidRPr="00AD2F44">
        <w:t xml:space="preserve"> Quinteros v. Sparkle Cleaning, Inc., 532 F. Supp. 2d 762, 772 (D. Md. 2008); Camper v. Home Quality Mgmt., Inc., 200 F.R.D. 516, 520 (D. Md. 2000).</w:t>
      </w:r>
    </w:p>
    <w:p w14:paraId="3B6CB167" w14:textId="77777777" w:rsidR="004322B1" w:rsidRPr="00AD2F44" w:rsidRDefault="004322B1">
      <w:pPr>
        <w:pStyle w:val="14Footnote"/>
      </w:pPr>
      <w:r w:rsidRPr="00AD2F44">
        <w:rPr>
          <w:i/>
          <w:iCs/>
        </w:rPr>
        <w:t xml:space="preserve">Sixth Circuit: </w:t>
      </w:r>
      <w:r w:rsidRPr="00AD2F44">
        <w:t>Ribby v. Liberty Health Care Corp.,</w:t>
      </w:r>
      <w:r w:rsidRPr="00AD2F44">
        <w:rPr>
          <w:i/>
          <w:iCs/>
        </w:rPr>
        <w:t xml:space="preserve"> </w:t>
      </w:r>
      <w:r w:rsidRPr="00AD2F44">
        <w:t>2013 WL 3187260, at *2 (N.D. Ohio June 20, 2013) (holding that once the plaintiffs meet their burden “a defendant cannot overcome their showing by arguing that individual issues predominate” at the initial notice stage); Fisher v. Michigan Bell Tel. Co., 665 F. Supp. 2d 819, 826 (E.D. Mich. 2009) (refusing to consider defendant’s declarations refuting 67 declarations and deposition testimony submitted by plaintiffs because “the Court does not resolve factual disputes, decide substantive issues on the merits, or make credibility determinations” at Stage I).</w:t>
      </w:r>
    </w:p>
    <w:p w14:paraId="53DE9069" w14:textId="77777777" w:rsidR="004322B1" w:rsidRPr="00AD2F44" w:rsidRDefault="004322B1">
      <w:pPr>
        <w:pStyle w:val="14Footnote"/>
      </w:pPr>
      <w:r w:rsidRPr="00AD2F44">
        <w:rPr>
          <w:i/>
          <w:iCs/>
        </w:rPr>
        <w:t>Eighth Circuit:</w:t>
      </w:r>
      <w:r w:rsidRPr="00AD2F44">
        <w:t xml:space="preserve"> Huang v. Gateway Hotel Holdings, 248 F.R.D. 225, 227 (E.D. Mo. 2008); Severtson v. Phillips Beverage Co., 141 F.R.D. 276, 280 (D. Minn. 1992).</w:t>
      </w:r>
    </w:p>
    <w:p w14:paraId="1C56FDBD" w14:textId="77777777" w:rsidR="004322B1" w:rsidRPr="00AD2F44" w:rsidRDefault="004322B1">
      <w:pPr>
        <w:pStyle w:val="14Footnote"/>
      </w:pPr>
      <w:r w:rsidRPr="00AD2F44">
        <w:rPr>
          <w:i/>
          <w:iCs/>
        </w:rPr>
        <w:t xml:space="preserve">Ninth Circuit: </w:t>
      </w:r>
      <w:r w:rsidRPr="00AD2F44">
        <w:t>Gonzales v. Charter Commc’ns, LLC, 2020 BL 514740, 2020 WL 8028108, at *4 (C.D. Cal. Dec. 4, 2020) (granting conditional certification despite defendants’ declarations in opposition, noting that at preliminary stage, such declarations were of “limited value” and to “afford them significant weight would otherwise contravene the lenient” standard);</w:t>
      </w:r>
      <w:r w:rsidRPr="00AD2F44">
        <w:rPr>
          <w:i/>
          <w:iCs/>
        </w:rPr>
        <w:t xml:space="preserve"> </w:t>
      </w:r>
      <w:r w:rsidRPr="00AD2F44">
        <w:t>Escobar v. Whiteside Constr. Corp., 2008 WL 3915715, at *4 (N.D. Cal. Aug. 21, 2008) (granting conditional certification despite defendants’ declarations that contradicted plaintiffs’ declarations of being required to work without being paid, reasoning that lenient standard at this stage permitted certification, even if evidence might “later negate plaintiffs’ claims”).</w:t>
      </w:r>
    </w:p>
    <w:p w14:paraId="5050FD39" w14:textId="77777777" w:rsidR="004322B1" w:rsidRPr="00AD2F44" w:rsidRDefault="004322B1">
      <w:pPr>
        <w:pStyle w:val="14Footnote"/>
      </w:pPr>
      <w:r w:rsidRPr="00AD2F44">
        <w:rPr>
          <w:i/>
          <w:iCs/>
        </w:rPr>
        <w:t>Tenth Circuit:</w:t>
      </w:r>
      <w:r w:rsidRPr="00AD2F44">
        <w:t xml:space="preserve"> Garcia v. Tyson Foods, Inc., 255 F.R.D. 678, 686–87 (D. Kan. 2009) (granting conditional certification based on plaintiffs’ substantial allegations that all putative class members were denied payment for work activities, including evidence from defendants’ corporate designees, and deferring analysis of differences in employee activities addressed in employer’s evidence until decertification stage).</w:t>
      </w:r>
    </w:p>
    <w:p w14:paraId="4E0F4B13" w14:textId="77777777" w:rsidR="004322B1" w:rsidRPr="00AD2F44" w:rsidRDefault="004322B1">
      <w:pPr>
        <w:pStyle w:val="14Footnote"/>
      </w:pPr>
      <w:r w:rsidRPr="00AD2F44">
        <w:rPr>
          <w:i/>
          <w:iCs/>
        </w:rPr>
        <w:t>Eleventh Circuit:</w:t>
      </w:r>
      <w:r w:rsidRPr="00AD2F44">
        <w:t xml:space="preserve"> </w:t>
      </w:r>
      <w:r w:rsidRPr="00AD2F44">
        <w:rPr>
          <w:i/>
          <w:iCs/>
        </w:rPr>
        <w:t>Grayson</w:t>
      </w:r>
      <w:r w:rsidRPr="00AD2F44">
        <w:t>, 79 F.3d at 1099 n.17.</w:t>
      </w:r>
    </w:p>
    <w:p w14:paraId="3BBFE9CD" w14:textId="77777777" w:rsidR="004322B1" w:rsidRPr="00AD2F44" w:rsidRDefault="004322B1">
      <w:pPr>
        <w:pStyle w:val="14Footnote"/>
      </w:pPr>
      <w:r w:rsidRPr="00AD2F44">
        <w:rPr>
          <w:i/>
          <w:iCs/>
        </w:rPr>
        <w:t>But see</w:t>
      </w:r>
      <w:r w:rsidRPr="00AD2F44">
        <w:t xml:space="preserve"> Pacheco v. Boar’s Head Provisions, Inc., 671 F. Supp. 2d 957 (W.D. Mich. 2009) (comparing plaintiff’s evidence of common policy or plan of FLSA violations with defendants’ evidence to contrary).</w:t>
      </w:r>
    </w:p>
  </w:footnote>
  <w:footnote w:id="103">
    <w:p w14:paraId="4C792567" w14:textId="77777777" w:rsidR="004322B1" w:rsidRPr="00AD2F44" w:rsidRDefault="004322B1">
      <w:pPr>
        <w:pStyle w:val="14Footnote"/>
      </w:pPr>
      <w:r w:rsidRPr="00AD2F44">
        <w:rPr>
          <w:vertAlign w:val="superscript"/>
        </w:rPr>
        <w:footnoteRef/>
      </w:r>
      <w:r w:rsidRPr="00AD2F44">
        <w:t>Chowdhury v. Duane Reade, Inc., 2007 U.S. Dist. LEXIS 73853, at *17 (S.D.N.Y. Oct. 2, 2007).</w:t>
      </w:r>
    </w:p>
  </w:footnote>
  <w:footnote w:id="104">
    <w:p w14:paraId="5E9CC8A4" w14:textId="77777777" w:rsidR="004322B1" w:rsidRPr="00AD2F44" w:rsidRDefault="004322B1">
      <w:pPr>
        <w:pStyle w:val="14Footnote"/>
      </w:pPr>
      <w:r w:rsidRPr="00AD2F44">
        <w:rPr>
          <w:vertAlign w:val="superscript"/>
        </w:rPr>
        <w:footnoteRef/>
      </w:r>
      <w:r w:rsidRPr="00AD2F44">
        <w:t>See Section III.B.3 [The Two-Stage Process Used to Determine if a Collective Action May Proceed to Trial; Stage I: Standard for Determining Whether Conditional Certification Should Be Granted; Scope of Discovery Prior to Conditional Certification] of this chapter for a discussion of discovery prior to conditional certification.</w:t>
      </w:r>
    </w:p>
  </w:footnote>
  <w:footnote w:id="105">
    <w:p w14:paraId="3FCA2ED1" w14:textId="77777777" w:rsidR="004322B1" w:rsidRPr="00AD2F44" w:rsidRDefault="004322B1">
      <w:pPr>
        <w:pStyle w:val="14Footnote"/>
      </w:pPr>
      <w:r w:rsidRPr="00AD2F44">
        <w:rPr>
          <w:vertAlign w:val="superscript"/>
        </w:rPr>
        <w:footnoteRef/>
      </w:r>
      <w:r w:rsidRPr="00AD2F44">
        <w:rPr>
          <w:i/>
          <w:iCs/>
        </w:rPr>
        <w:t xml:space="preserve">Second Circuit: </w:t>
      </w:r>
      <w:r>
        <w:t xml:space="preserve">Watterson v. RUI Mgmt. Servs., </w:t>
      </w:r>
      <w:r w:rsidRPr="00F57115">
        <w:t>2022 BL 305442</w:t>
      </w:r>
      <w:r>
        <w:t xml:space="preserve">, </w:t>
      </w:r>
      <w:r w:rsidRPr="00C43E6B">
        <w:t xml:space="preserve">2022 WL 3867755 </w:t>
      </w:r>
      <w:r>
        <w:t xml:space="preserve">(E.D.N.Y. Aug. 30, 2022) (employing a modest-plus standard based on some discovery, including document exchange and depositions); </w:t>
      </w:r>
      <w:r w:rsidRPr="00AD2F44">
        <w:t>Perkins v. Southern New Engl. Tel. Co., 669 F. Supp. 2d 212, 218 (D. Conn. 2009) (relying on higher standard of review at conditional certification stage and examining all evidence before it, rather than typical “pleadings and affidavits” standard, given that “extensive discovery” had already occurred).</w:t>
      </w:r>
    </w:p>
    <w:p w14:paraId="4A72EFB3" w14:textId="77777777" w:rsidR="004322B1" w:rsidRPr="00AD2F44" w:rsidRDefault="004322B1">
      <w:pPr>
        <w:pStyle w:val="14Footnote"/>
      </w:pPr>
      <w:r w:rsidRPr="00AD2F44">
        <w:rPr>
          <w:i/>
          <w:iCs/>
        </w:rPr>
        <w:t>Third Circuit:</w:t>
      </w:r>
      <w:r w:rsidRPr="00AD2F44">
        <w:t xml:space="preserve"> </w:t>
      </w:r>
      <w:r w:rsidRPr="00AD2F44">
        <w:rPr>
          <w:i/>
          <w:iCs/>
        </w:rPr>
        <w:t>In re</w:t>
      </w:r>
      <w:r w:rsidRPr="00AD2F44">
        <w:t xml:space="preserve"> Slone v. Gulf Interstate Field Servs., Inc.,</w:t>
      </w:r>
      <w:r w:rsidRPr="00AD2F44">
        <w:rPr>
          <w:b/>
          <w:bCs/>
        </w:rPr>
        <w:t xml:space="preserve"> </w:t>
      </w:r>
      <w:r w:rsidRPr="00AD2F44">
        <w:t>2017 WL 1105236, at *8–10 (M.D. Pa. Mar. 24, 2017)</w:t>
      </w:r>
      <w:r w:rsidRPr="00AD2F44">
        <w:rPr>
          <w:b/>
          <w:bCs/>
        </w:rPr>
        <w:t xml:space="preserve"> </w:t>
      </w:r>
      <w:r w:rsidRPr="00AD2F44">
        <w:t>(applying “intermediate” or “modest plus” standard given significant discovery that had occurred, there were six months of discovery in action, and plaintiff’s counsel had discovery from prior action, and utilizing traditional “decertification” factors to conduct modest plus analysis) (collecting cases); Enterprise Rent-A-Car Wage &amp; Hour Emp. Practices Litig., 2010 WL 3447783, at *19–20 (W.D. Pa. Aug. 13, 2010) (analyzing certification under both lenient and “intermediate” standard, latter of which considers decertification factors, but reviews evidence in light most favorable to plaintiffs because discovery is incomplete); Morisky v. Public Serv. Elec. &amp; Gas Co., 111 F. Supp. 2d 493, 497–98 (D.N.J. 2000) (noting discovery was completed “well before” motion for certification was filed).</w:t>
      </w:r>
    </w:p>
    <w:p w14:paraId="366295D2" w14:textId="77777777" w:rsidR="004322B1" w:rsidRPr="00AD2F44" w:rsidRDefault="004322B1">
      <w:pPr>
        <w:pStyle w:val="14Footnote"/>
      </w:pPr>
      <w:r w:rsidRPr="00AD2F44">
        <w:rPr>
          <w:i/>
          <w:iCs/>
        </w:rPr>
        <w:t>Fourth Circuit:</w:t>
      </w:r>
      <w:r w:rsidRPr="00AD2F44">
        <w:t xml:space="preserve"> Blaney v. Charlotte-Mecklenburg Hosp. Auth., 2011 WL 4351631, at *5 (W.D.N.C. Sept. 16, 2011) (adopting intermediate standard of review at conditional certification stage, where “some” discovery had occurred (written discovery and depositions), even if not “substantial,” but keeping in mind that plaintiffs were seeking conditional certification).</w:t>
      </w:r>
    </w:p>
    <w:p w14:paraId="7F1A736D" w14:textId="77777777" w:rsidR="004322B1" w:rsidRPr="00AD2F44" w:rsidRDefault="004322B1">
      <w:pPr>
        <w:pStyle w:val="14Footnote"/>
      </w:pPr>
      <w:r w:rsidRPr="00AD2F44">
        <w:rPr>
          <w:i/>
          <w:iCs/>
        </w:rPr>
        <w:t>Fifth Circuit:</w:t>
      </w:r>
      <w:r w:rsidRPr="00AD2F44">
        <w:t xml:space="preserve"> Parker v. Silverleaf Resorts, Inc., 2017 WL 1550522, at *8 (N.D. Tex. May 1, 2017) (following two-step approach but applying “intermediate” standard, i.e., “a heightened evidentiary standard commensurate with the opportunity to conduct discovery,” in light of amount of discovery conducted before conditional certification motion was filed) (citation omitted); St. John v. Nesco Serv. Co.,</w:t>
      </w:r>
      <w:r w:rsidRPr="00AD2F44">
        <w:rPr>
          <w:b/>
          <w:bCs/>
        </w:rPr>
        <w:t xml:space="preserve"> </w:t>
      </w:r>
      <w:r w:rsidRPr="00AD2F44">
        <w:t>2016 WL 7757388, at *3 (S.D. Tex. June 13, 2016) (applying stage two standard where certification motion came after close of discovery); Nieddu v. Lifetime Fitness, Inc., 977 F. Supp. 2d 686 (S.D. Tex. 2013) (applying intermediate standard because parties had already conducted three months of discovery); Valcho v. Dallas Cnty. Hosp. Dist., 574 F. Supp. 2d 618, 622 (N.D. Tex. 2008) (explaining that reasons for lenient standard disappear once discovery has been conducted); Basco v. Wal-Mart Stores Inc., 2004 WL 1497709, at *4 (E.D. La. July 2, 2004) (considering criteria for both first stage and second stage where substantial discovery was conducted prior to motion).</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4CB0A25" w14:textId="77777777" w:rsidR="004322B1" w:rsidRPr="00AD2F44" w:rsidRDefault="004322B1">
      <w:pPr>
        <w:pStyle w:val="14Footnote"/>
      </w:pPr>
      <w:r w:rsidRPr="00AD2F44">
        <w:rPr>
          <w:i/>
          <w:iCs/>
        </w:rPr>
        <w:t>Sixth Circuit:</w:t>
      </w:r>
      <w:r w:rsidRPr="00AD2F44">
        <w:t xml:space="preserve"> Smith v. Guidant Glob. Inc., 2021 BL 287709, 2021 WL 3240391, at *4–5 (E.D. Mich. July 30, 2021) (applying “modest-plus” standard where parties engaged in discovery related to conditional certification); Hall v. U.S. Cargo &amp; Courier Serv. LLC, 299 F. Supp. 3d 888, 896 (S.D. Ohio 2018) (granting conditional certification using “modest plus” standard where discovery commenced (which required elevated factual showing) because delivery drivers who claimed to be misclassified as independent contractors were all required to comply with grooming and appearance standards, received routes directly from defendant, were paid according to miles and stops at rate determined by defendant, and signed same independent contractor agreement); Adkins v. Phoenix Rising Behavioral Health Care &amp; Recovery, Inc.,</w:t>
      </w:r>
      <w:r w:rsidRPr="00AD2F44">
        <w:rPr>
          <w:b/>
          <w:bCs/>
        </w:rPr>
        <w:t xml:space="preserve"> </w:t>
      </w:r>
      <w:r w:rsidRPr="00AD2F44">
        <w:t>2016 WL 5661617, at *7 (N.D. Ohio Sept. 30, 2016) (applying “modest plus” evidentiary standard because parties had conducted discovery on issue of conditional certification); Neff v. U.S. XPRESS, Inc., 2013 WL 4479078 (S.D. Ohio Aug. 20, 2013) (applying “modest plus” standard where some discovery had been completed); Creely v. HCR ManorCare, Inc., 789 F. Supp. 2d 819, 826 (N.D. Ohio 2011) (because parties voluntarily engaged in some discovery, court used “modest plus” hybrid standard in deciding conditional certification by applying lenient standard, along with some consideration of stage-two factors, but did not evaluate merits of claims); Bowman v. Crossmark, Inc., 2010 WL 2837519, at *4–5 (E.D. Tenn. July 19, 2010) (applying “standard that goes beyond the lenient standard” and considers factors from second-stage decertification standard, in light of “substantial discovery” completed; collecting cases).</w:t>
      </w:r>
    </w:p>
    <w:p w14:paraId="6C50F67E" w14:textId="77777777" w:rsidR="004322B1" w:rsidRPr="00AD2F44" w:rsidRDefault="004322B1">
      <w:pPr>
        <w:pStyle w:val="14Footnote"/>
      </w:pPr>
      <w:r w:rsidRPr="00AD2F44">
        <w:rPr>
          <w:i/>
          <w:iCs/>
        </w:rPr>
        <w:t>Seventh Circuit:</w:t>
      </w:r>
      <w:r w:rsidRPr="00AD2F44">
        <w:t xml:space="preserve"> Miller v. ThedaCare, Inc.,</w:t>
      </w:r>
      <w:r w:rsidRPr="00AD2F44">
        <w:rPr>
          <w:b/>
          <w:bCs/>
        </w:rPr>
        <w:t xml:space="preserve"> </w:t>
      </w:r>
      <w:r w:rsidRPr="00AD2F44">
        <w:t>2016 WL 4532124, at *7 (E.D. Wis. Aug. 29, 2016) (employing “intermediate” standard given amount of discovery conducted, even though no employee list had been produced by defendants, reasoning that amount of discovery drives analysis, and whether list has been produced is one factor to consider); Armstrong v. Wheels Assured Delivery Sys., Inc., 2016 WL 1270208 (S.D. Ind. Mar. 30, 2016) (applying “intermediate” standard because significant amount of discovery had been conducted, including deposition of plaintiff and Rule 30(b)(6) depositions of defendant employers on certification issues); Bergman v. Kindred Health Care, Inc., 949 F. Supp. 2d 852, 856 (N.D. Ill. 2013) (requiring plaintiffs to make “modest ‘plus’ factual showing”); Boelk v. AT&amp;T Teleholdings, Inc., 2013 WL 261265, at *14–15 (W.D. Wis. Jan. 10, 2013) (applying more stringent standard because parties had conducted meaningful discovery, and denying certification after collapsing two stages of conditional certification analysis); Hawkins v. Alorica, Inc., 287 F.R.D. 431, 439 (S.D. Ind. 2012) (applying intermediate level of scrutiny where substantial discovery was taken); Scott v. NOW Courier, Inc., 2012 WL 1072751, at *7–8 (S.D. Ind. Mar. 29, 2012) (applying “intermediate level of scrutiny” to evaluate motion for conditional certification, given that substantial discovery had been conducted); Bunyan v. Spectrum Brands, Inc., 2008 WL 2959932, at *4, 7 (S.D. Ill. July 31, 2008) (adopting “intermediate standard” for evaluating conditional certification where significant but not complete discovery has occurred, which imposes more stringent “second stage” analysis to facts available in record at time, but which leaves defendant opportunity to move for decertification after completion of discovery (citing cases); nevertheless, denying conditional certification after applying more lenient “first stage” standard).</w:t>
      </w:r>
    </w:p>
    <w:p w14:paraId="790D43CB" w14:textId="77777777" w:rsidR="004322B1" w:rsidRPr="00AD2F44" w:rsidRDefault="004322B1">
      <w:pPr>
        <w:pStyle w:val="14Footnote"/>
      </w:pPr>
      <w:r w:rsidRPr="00AD2F44">
        <w:rPr>
          <w:i/>
          <w:iCs/>
        </w:rPr>
        <w:t>Eighth Circuit:</w:t>
      </w:r>
      <w:r w:rsidRPr="00AD2F44">
        <w:t xml:space="preserve"> Swank v. Wal-Mart Stores, Inc., 2018 WL 2684102, at *10 (W.D. Pa. June 5, 2018) (applying a heightened standard that would take into account “all the evidence … not just [Plaintiff’s] evidence” in light of the time the case had been pending (5 years) and extensive discovery); Howe v. Johnny’s Italian Steakhouse, LLC., 2018 WL 6521496 (S.D. Iowa Sept. 11, 2018) (applying the intermediate standard in light of the extensive discovery conducted in the matter); Kayser v. Southwestern Bell Tel. Co., 912 F. Supp. 2d 803, 813 (E.D. Mo. 2012) (applying intermediate standard because of amount of discovery taken, “compar[ing] the allegations made in plaintiffs’ complaint with the evidence submitted after the limited discovery,” and granting certification); Ray v. Motel 6 Operating, Ltd. P’ship, 1996 WL 938231, at *4 (D. Minn. Mar. 18, 1996) (declining to apply notice-stage standard because facts before court were extensive and discovery was unnecessary).</w:t>
      </w:r>
    </w:p>
    <w:p w14:paraId="0CEEC50D" w14:textId="77777777" w:rsidR="004322B1" w:rsidRPr="00AD2F44" w:rsidRDefault="004322B1">
      <w:pPr>
        <w:pStyle w:val="14Footnote"/>
      </w:pPr>
      <w:r w:rsidRPr="00AD2F44">
        <w:rPr>
          <w:i/>
          <w:iCs/>
        </w:rPr>
        <w:t>Ninth Circuit:</w:t>
      </w:r>
      <w:r w:rsidRPr="00AD2F44">
        <w:t xml:space="preserve"> Gessele v. Jack in the Box, Inc., 2013 WL 1326563, at *19–20 (D. Or. Jan. 28, 2013), </w:t>
      </w:r>
      <w:r w:rsidRPr="00AD2F44">
        <w:rPr>
          <w:i/>
          <w:iCs/>
        </w:rPr>
        <w:t>report and recommendation adopted,</w:t>
      </w:r>
      <w:r w:rsidRPr="00AD2F44">
        <w:t xml:space="preserve"> 2013 WL 1326538, at *3–4 (D. Or. Apr. 1, 2013) (granting certification on certain claims after applying heightened level of scrutiny where certification motion filed two years after complaint filing and significant discovery occurred); Luksza v. TJX Cos., Inc., 2012 WL 3277049, at *8–9 (D. Nev. Aug. 8, 2012) (denying certification after applying heightened, intermediate standard where substantial discovery occurred); Smith v. T-Mobile USA, Inc., 2007 WL 2385131 (C.D. Cal. Aug. 15, 2007) (applying second-stage analysis where discovery as to class issues had closed prior to court’s decision); Pfohl v. Farmers Ins. Group, 2004 U.S. Dist. LEXIS 6447, at *2–3 (C.D. Cal. Mar. 1, 2004) (employing more rigorous analysis where discovery had “been undertaken relating to the issues of certification of th[e] action as a collective action”).</w:t>
      </w:r>
    </w:p>
    <w:p w14:paraId="3F0A3267" w14:textId="77777777" w:rsidR="004322B1" w:rsidRPr="00AD2F44" w:rsidRDefault="004322B1">
      <w:pPr>
        <w:pStyle w:val="14Footnote"/>
      </w:pPr>
      <w:r w:rsidRPr="00AD2F44">
        <w:rPr>
          <w:i/>
          <w:iCs/>
        </w:rPr>
        <w:t>Eleventh Circuit:</w:t>
      </w:r>
      <w:r w:rsidRPr="00AD2F44">
        <w:t xml:space="preserve"> Walker v. Jefferson Cnty. Bd. of Educ., 2016 WL 1117643 (N.D. Ala. Mar. 22, 2016) (employing heightened standard because of extensive discovery, but not defining standard); Thedford v. Drive In of Evansville, Inc., 2014 WL 5520954, at *2 (N.D. Ala. Oct. 31, 2014) (applying “more searching” standard of review because plaintiffs and defendants had “opportunity” to conduct discovery before notice motion, even though plaintiffs failed to do so); Ide v. Neighborhood Rest. Partners, Inc., 32 F. Supp. 3d 1285, 1290–92 (N.D. Ga. 2014) (employing heightened standard because of extensive discovery, but not defining standard); Hardemon v. H&amp;R Block E. Enters., 2011 WL 3704746, at *3 (S.D. Fla. Aug. 23, 2011) (employing factors typically considered at decertification stage and denying certification, reasoning that “in cases where there has been substantial discovery, a court may bypass the suggested two-tier approach and decide whether to certify the class based on the evidence before it”); Davis v. Charoen Pokphand (USA), Inc., 303 F. Supp. 2d 1272, 1276 (M.D. Ala. 2004) (finding that “a more searching standard of review [wa]s appropriate” where plaintiffs “had time to conduct discovery and indeed … filed supplemental evidence in support of their motion”); Holt v. Rite Aid Corp., 333 F. Supp. 2d 1265, 1273–74 (M.D. Ala. 2004) (applying higher standard where court was “presented with fairly extensive evidence on the issue of whether putative class members are similarly situated”).</w:t>
      </w:r>
    </w:p>
    <w:p w14:paraId="053C797B" w14:textId="77777777" w:rsidR="004322B1" w:rsidRPr="00AD2F44" w:rsidRDefault="004322B1">
      <w:pPr>
        <w:pStyle w:val="14Footnote"/>
      </w:pPr>
      <w:r w:rsidRPr="00AD2F44">
        <w:rPr>
          <w:i/>
          <w:iCs/>
        </w:rPr>
        <w:t>Cf</w:t>
      </w:r>
      <w:r w:rsidRPr="00AD2F44">
        <w:t>. Davenport v. Charter Commc’ns, LLC, 2014 WL 2993739, at *6 (E.D. Mo. July 3, 2014) (refusing to apply heightened standard where defendant relied on discovery taken after</w:t>
      </w:r>
      <w:r w:rsidRPr="00AD2F44">
        <w:rPr>
          <w:i/>
          <w:iCs/>
        </w:rPr>
        <w:t xml:space="preserve"> </w:t>
      </w:r>
      <w:r w:rsidRPr="00AD2F44">
        <w:t>filing of motion for notice but before motion was decided).</w:t>
      </w:r>
    </w:p>
  </w:footnote>
  <w:footnote w:id="106">
    <w:p w14:paraId="7C0D11E9" w14:textId="77777777" w:rsidR="004322B1" w:rsidRPr="00AD2F44" w:rsidRDefault="004322B1">
      <w:pPr>
        <w:pStyle w:val="14Footnote"/>
      </w:pPr>
      <w:r w:rsidRPr="00AD2F44">
        <w:rPr>
          <w:vertAlign w:val="superscript"/>
        </w:rPr>
        <w:footnoteRef/>
      </w:r>
      <w:r w:rsidRPr="00AD2F44">
        <w:rPr>
          <w:i/>
          <w:iCs/>
        </w:rPr>
        <w:t>First Circuit:</w:t>
      </w:r>
      <w:r w:rsidRPr="00AD2F44">
        <w:t xml:space="preserve"> Prescott v. Prudential Ins. Co., 729 F. Supp. 2d 357, 366 (D. Me. 2010) (declining to apply stage-two analysis where five and one-half months of discovery had taken place but defendant refused to produce names and addresses of potential plaintiffs; defendant’s affidavits, along with plaintiff’s evidence, suggested defendant’s evidence might have been selective, not representative; potential opt-in plaintiffs otherwise might be deprived of opportunity to join suit and court otherwise deprived of facts supporting class treatment; and prejudice to defendant from notice was low in light of its ability to move for decertification after close of discovery; court granted partial conditional certification).</w:t>
      </w:r>
    </w:p>
    <w:p w14:paraId="1C751A9F" w14:textId="77777777" w:rsidR="004322B1" w:rsidRPr="00AD2F44" w:rsidRDefault="004322B1">
      <w:pPr>
        <w:pStyle w:val="14Footnote"/>
      </w:pPr>
      <w:r w:rsidRPr="00AD2F44">
        <w:rPr>
          <w:i/>
          <w:iCs/>
        </w:rPr>
        <w:t>Second Circuit:</w:t>
      </w:r>
      <w:r w:rsidRPr="00AD2F44">
        <w:t xml:space="preserve"> Amador v. Morgan Stanley &amp; Co., 2013 WL 494020, at *4 (S.D.N.Y. Feb. 7, 2013) (refusing to apply heightened level of scrutiny, recognizing that heightened standard is not appropriate until “entirety of discovery has been completed”) (quotation omitted); Karic v. Major Auto. Cos., 799 F. Supp. 2d 219, 225–26 (E.D.N.Y. 2011) (refusing to apply heightened level of scrutiny at conditional certification stage, despite several months of discovery, distinguishing cases applying intermediate standard as being from outside federal circuit and as factually inapposite, explaining that (1) discovery was “far from complete,” (2) plaintiffs still complained they had not received much of discovery they sought despite court ordering defendants to locate requested information, and (3) defendants had not presented evidence to contradict plaintiffs’ assertions); Toure v. Central Parking Sys., 2007 U.S. Dist. LEXIS 74056, at *7–8 (S.D.N.Y. Sept. 28, 2007) (explaining lenient standard applied when limited factual discovery had occurred); Neary v. Metropolitan Prop. &amp; Cas. Ins. Co., 517 F. Supp. 2d 606, 618–19 (D. Conn. 2007); Parks v. Dick’s Sporting Goods, Inc., 2007 U.S. Dist. LEXIS 20949, at *9 n.1 (W.D.N.Y. 2007) (determining second-stage analysis inappropriate where “certification-related discovery” had occurred); Cuzco v. Orion Builders, Inc., 477 F. Supp. 2d 628, 632 (S.D.N.Y. 2007) (determining that “even though discovery is underway, it would be inappropriate to make more than the first-step certification decision”).</w:t>
      </w:r>
    </w:p>
    <w:p w14:paraId="538B0CB8" w14:textId="77777777" w:rsidR="004322B1" w:rsidRPr="00AD2F44" w:rsidRDefault="004322B1">
      <w:pPr>
        <w:pStyle w:val="14Footnote"/>
      </w:pPr>
      <w:r w:rsidRPr="00AD2F44">
        <w:rPr>
          <w:i/>
          <w:iCs/>
        </w:rPr>
        <w:t>Third Circuit:</w:t>
      </w:r>
      <w:r w:rsidRPr="00AD2F44">
        <w:t xml:space="preserve"> McGhee v. TOMS King, LLC, 2021 BL 112484, 2021 WL 1176097, at *4 (W.D. Pa. Mar. 29, 2021) (rejecting defendant’s argument for intermediate, heightened scrutiny standard, finding discovery occurred over limited time period and was limited to conditional certification issues); Bowser v. Empyrean Servs., LLC, 324 F.R.D. 346, 352 (W.D. Pa. 2018) (refusing to adopt higher standard where court ordered preliminary class discovery period and parties engaged in some discovery);</w:t>
      </w:r>
      <w:r w:rsidRPr="00AD2F44">
        <w:rPr>
          <w:b/>
          <w:bCs/>
        </w:rPr>
        <w:t xml:space="preserve"> </w:t>
      </w:r>
      <w:r w:rsidRPr="00AD2F44">
        <w:t>Diabate v. MV Transp., Inc., 2015 WL 4496616 (E.D. Pa. July 20, 2015) (rejecting use of heightened standard where parties conducted substantial discovery, including 14 depositions and defendant’s production of 62,000 pages of documents and disclosure of 17,000 additional documents); Mueller v. CBS, Inc., 201 F.R.D. 425, 429 (W.D. Pa. 2001) (rejecting more stringent standard for conditional certification and notice because “it is impossible to determine whether the class members are similarly situated or not” before notice has been provided and plaintiffs have opted in).</w:t>
      </w:r>
    </w:p>
    <w:p w14:paraId="1873C936" w14:textId="77777777" w:rsidR="004322B1" w:rsidRPr="00AD2F44" w:rsidRDefault="004322B1">
      <w:pPr>
        <w:pStyle w:val="14Footnote"/>
      </w:pPr>
      <w:r w:rsidRPr="00AD2F44">
        <w:rPr>
          <w:i/>
          <w:iCs/>
        </w:rPr>
        <w:t>Fourth Circuit:</w:t>
      </w:r>
      <w:r w:rsidRPr="00AD2F44">
        <w:rPr>
          <w:b/>
          <w:bCs/>
        </w:rPr>
        <w:t xml:space="preserve"> </w:t>
      </w:r>
      <w:r w:rsidRPr="00AD2F44">
        <w:t>Allen v. Cogent Commc’ns, Inc., 2014 WL 4270077, at *5 (E.D. Va. Aug. 28, 2014) (rejecting heightened standard despite extensive discovery in prior, overlapping, decertified action in Texas, because discovery in Texas action seeking nationwide certification had not focused on Virginia-specific practices); Butler v. DirectSAT USA, LLC, 876 F. Supp. 2d 560, 567–68 (D. Md. 2012) (refusing to apply second-stage decertification standard to conditional certification motion, despite some discovery having taken place, reasoning that it would be inconsistent with remedial purposes of FLSA).</w:t>
      </w:r>
    </w:p>
    <w:p w14:paraId="2CFAD258" w14:textId="77777777" w:rsidR="004322B1" w:rsidRPr="00AD2F44" w:rsidRDefault="004322B1">
      <w:pPr>
        <w:pStyle w:val="14Footnote"/>
      </w:pPr>
      <w:r w:rsidRPr="00AD2F44">
        <w:rPr>
          <w:i/>
          <w:iCs/>
        </w:rPr>
        <w:t>Fifth Circuit:</w:t>
      </w:r>
      <w:r w:rsidRPr="00AD2F44">
        <w:t xml:space="preserve"> </w:t>
      </w:r>
      <w:r w:rsidRPr="00AD2F44">
        <w:rPr>
          <w:i/>
          <w:iCs/>
        </w:rPr>
        <w:t>In re</w:t>
      </w:r>
      <w:r w:rsidRPr="00AD2F44">
        <w:t xml:space="preserve"> Freeman v. Progress Residential Manager LLC, 2018 WL 1609577, at *3 (S.D. Tex. Apr. 3, 2018) (refusing to impose “a more exacting standard for review” on conditional certification determination where “minimal discovery has been undertaken by the parties” over 16-month period); Jesus v. Robert Dering Constr., LLC, 2016 WL 3032770 (S.D. Tex. May 27, 2016) (refusing to apply heightened standard where parties only presented affidavits and had not conducted discovery); Wells Fargo Wage &amp; Hour Emp. Practices Litig. (No. III), 2012 WL 3308880, at *20–21 (S.D. Tex. Aug. 10, 2012) (refusing to apply heightened level of scrutiny at conditional certification stage despite similar litigation filed in other courts where significant discovery was taken because instant case involved “different case with different plaintiffs”).</w:t>
      </w:r>
      <w:r w:rsidRPr="00836B46">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D643683" w14:textId="77777777" w:rsidR="004322B1" w:rsidRPr="00AD2F44" w:rsidRDefault="004322B1">
      <w:pPr>
        <w:pStyle w:val="14Footnote"/>
      </w:pPr>
      <w:r w:rsidRPr="00AD2F44">
        <w:rPr>
          <w:i/>
          <w:iCs/>
        </w:rPr>
        <w:t>Sixth Circuit:</w:t>
      </w:r>
      <w:r w:rsidRPr="00AD2F44">
        <w:t xml:space="preserve"> Penley v. NPC Int’l, Inc., 2016 WL 7228901, at *3 (W.D. Tenn. Dec. 13, 2016) (refusing to adopt intermediate, “modest plus” standard for evaluating conditional certification where discovery had not been conducted given protective order plaintiffs obtained to limit it, and rejecting argument that passage of time warranted higher standard, noting that delays were largely of defendant’s making); Freeman v. Total Sec. Mgmt., 2013 WL 4049542 (W.D. Wis. Aug. 9, 2013) (rejecting defendants’ argument for an “intermediate standard,” and granting certification).</w:t>
      </w:r>
    </w:p>
    <w:p w14:paraId="788C106F" w14:textId="77777777" w:rsidR="004322B1" w:rsidRPr="00AD2F44" w:rsidRDefault="004322B1">
      <w:pPr>
        <w:pStyle w:val="14Footnote"/>
      </w:pPr>
      <w:r w:rsidRPr="00AD2F44">
        <w:rPr>
          <w:i/>
          <w:iCs/>
        </w:rPr>
        <w:t>Seventh Circuit:</w:t>
      </w:r>
      <w:r w:rsidRPr="00AD2F44">
        <w:t xml:space="preserve"> Girolamo v. Community Physical Therapy &amp; Assocs., Ltd., 2016 WL 3693426 (N.D. Ill. July 12, 2016) (declining to apply “intermediate” standard, despite several depositions of defendant’s officials and one named plaintiff having occurred, because parties had not had opportunity to take discovery of potential class members and plaintiff’s counsel had not received list of names pre-notice); Perry v. National City Mortg., Inc., 2007 U.S. Dist. LEXIS 45115, at *8 n.3 (S.D. Ill. June 21, 2007).</w:t>
      </w:r>
    </w:p>
    <w:p w14:paraId="305F7227" w14:textId="77777777" w:rsidR="004322B1" w:rsidRPr="00AD2F44" w:rsidRDefault="004322B1">
      <w:pPr>
        <w:pStyle w:val="14Footnote"/>
      </w:pPr>
      <w:r w:rsidRPr="00AD2F44">
        <w:rPr>
          <w:i/>
          <w:iCs/>
        </w:rPr>
        <w:t>Eighth Circuit:</w:t>
      </w:r>
      <w:r w:rsidRPr="00AD2F44">
        <w:t xml:space="preserve"> Fast v. Applebee’s Int’l., Inc., 243 F.R.D. 360, 363 (W.D. Mo. 2007) (explaining notice-stage standard applied when some discovery had been conducted); Kautsch v. Premier Commc’ns, 504 F. Supp. 2d 685, 689 (W.D. Mo. 2007) (applying notice-stage standard where parties had conducted seven months of discovery).</w:t>
      </w:r>
    </w:p>
    <w:p w14:paraId="58AB1783" w14:textId="77777777" w:rsidR="004322B1" w:rsidRPr="00AD2F44" w:rsidRDefault="004322B1">
      <w:pPr>
        <w:pStyle w:val="14Footnote"/>
      </w:pPr>
      <w:r w:rsidRPr="00AD2F44">
        <w:rPr>
          <w:i/>
          <w:iCs/>
        </w:rPr>
        <w:t>Ninth Circuit:</w:t>
      </w:r>
      <w:r w:rsidRPr="00AD2F44">
        <w:t xml:space="preserve"> </w:t>
      </w:r>
      <w:r w:rsidRPr="003E2947">
        <w:t>Ward v. Sutter Valley Hosps.,</w:t>
      </w:r>
      <w:r>
        <w:t xml:space="preserve"> </w:t>
      </w:r>
      <w:r w:rsidRPr="001C34E9">
        <w:t>2022 BL 247672</w:t>
      </w:r>
      <w:r>
        <w:t xml:space="preserve">, </w:t>
      </w:r>
      <w:r w:rsidRPr="003E2947">
        <w:t>2022 WL 2805965 (E.D. Cal. July 18, 2022)</w:t>
      </w:r>
      <w:r>
        <w:t xml:space="preserve"> (</w:t>
      </w:r>
      <w:r w:rsidRPr="003E2947">
        <w:t>declin</w:t>
      </w:r>
      <w:r>
        <w:t>ing</w:t>
      </w:r>
      <w:r w:rsidRPr="003E2947">
        <w:t xml:space="preserve"> to </w:t>
      </w:r>
      <w:r>
        <w:t xml:space="preserve">skip to the second stage </w:t>
      </w:r>
      <w:r w:rsidRPr="003E2947">
        <w:t xml:space="preserve">heightened evidentiary standard, noting it was unclear whether the court retained the discretion to do so in light of the Ninth Circuit’s decision in </w:t>
      </w:r>
      <w:r w:rsidRPr="002F69CA">
        <w:rPr>
          <w:i/>
          <w:iCs/>
        </w:rPr>
        <w:t>Camp</w:t>
      </w:r>
      <w:r>
        <w:rPr>
          <w:i/>
          <w:iCs/>
        </w:rPr>
        <w:t>b</w:t>
      </w:r>
      <w:r w:rsidRPr="002F69CA">
        <w:rPr>
          <w:i/>
          <w:iCs/>
        </w:rPr>
        <w:t>ell v. City of Los Angeles</w:t>
      </w:r>
      <w:r w:rsidRPr="003E2947">
        <w:t>, 903 F.3d 1090 (</w:t>
      </w:r>
      <w:r>
        <w:t>9th</w:t>
      </w:r>
      <w:r w:rsidRPr="003E2947">
        <w:t xml:space="preserve"> Cir. 2018</w:t>
      </w:r>
      <w:r>
        <w:t>)</w:t>
      </w:r>
      <w:r w:rsidRPr="003E2947">
        <w:t>)</w:t>
      </w:r>
      <w:r>
        <w:t xml:space="preserve">; </w:t>
      </w:r>
      <w:r w:rsidRPr="00AD2F44">
        <w:t xml:space="preserve">Zissa v. County of L.A., 2019 WL 8953355, at *4 (C.D. Cal. Sept. 20, 2019) (rejecting defendant’s request to apply heightened level of scrutiny where “some discovery” had occurred, holding that no court in this circuit has applied heightened standard requirement for conditional certification since Ninth Circuit’s decision in </w:t>
      </w:r>
      <w:r w:rsidRPr="00AD2F44">
        <w:rPr>
          <w:i/>
          <w:iCs/>
        </w:rPr>
        <w:t>Campbell v. City of L.A.,</w:t>
      </w:r>
      <w:r w:rsidRPr="00AD2F44">
        <w:t xml:space="preserve"> 903 F.3d 1090 (9th Cir. 2018), which had clarified and lowered plaintiff’s burden at the first stage); Gerlach v. Wells Fargo &amp; Co., 2006 U.S. Dist. LEXIS 24823, at *9–12 (N.D. Cal. Mar. 28, 2006); Leuthold v. Destination Am., Inc., 224 F.R.D. 462, 467–68 (N.D. Cal. 2004) (applying first-stage standard, although discovery was nearly completed, where record was not complete, two-stage process should be complied with, and it was unclear who would seek to participate in the litigation).</w:t>
      </w:r>
    </w:p>
    <w:p w14:paraId="36B1D229" w14:textId="77777777" w:rsidR="004322B1" w:rsidRPr="00AD2F44" w:rsidRDefault="004322B1">
      <w:pPr>
        <w:pStyle w:val="14Footnote"/>
      </w:pPr>
      <w:r w:rsidRPr="00AD2F44">
        <w:rPr>
          <w:i/>
          <w:iCs/>
        </w:rPr>
        <w:t>Tenth Circuit:</w:t>
      </w:r>
      <w:r w:rsidRPr="00AD2F44">
        <w:t xml:space="preserve"> </w:t>
      </w:r>
      <w:r w:rsidRPr="009A6132">
        <w:t>Stoddard v. Love</w:t>
      </w:r>
      <w:r>
        <w:t>’</w:t>
      </w:r>
      <w:r w:rsidRPr="009A6132">
        <w:t xml:space="preserve">s Travel Stops &amp; Country Stores, Inc., </w:t>
      </w:r>
      <w:r w:rsidRPr="00C3359F">
        <w:t>2022 BL 259104</w:t>
      </w:r>
      <w:r>
        <w:t xml:space="preserve">, </w:t>
      </w:r>
      <w:r w:rsidRPr="009A6132">
        <w:t>2022 WL 2960131 (W.D. Ok</w:t>
      </w:r>
      <w:r>
        <w:t>la</w:t>
      </w:r>
      <w:r w:rsidRPr="009A6132">
        <w:t>. July 26, 2022) (declining to adopt a more stringent intermediate scrutiny after some discovery had proceeded</w:t>
      </w:r>
      <w:r>
        <w:t xml:space="preserve"> in a companion case, explaining that plaintiffs were precluded here from relying on it and had not conducted discovery</w:t>
      </w:r>
      <w:r w:rsidRPr="009A6132">
        <w:t xml:space="preserve">); </w:t>
      </w:r>
      <w:r w:rsidRPr="00AD2F44">
        <w:rPr>
          <w:i/>
          <w:iCs/>
        </w:rPr>
        <w:t xml:space="preserve">In re </w:t>
      </w:r>
      <w:r w:rsidRPr="00AD2F44">
        <w:t xml:space="preserve">Bank of Am. Wage &amp; Hour Emp. Litig., 286 F.R.D. 572, 577 (D. Kan. 2012) (refusing to apply heightened level of scrutiny at conditional certification stage despite defendant’s arguments that significant discovery had already occurred, noting that plaintiffs were entitled to complete merits discovery before standard for final certification need be met); Gieseke v. First Horizon Home Loan Corp., 408 F. Supp. 2d 1164, 1165–67 (D. Kan. 2006) (rejecting application of second-stage standard despite “extensive discovery,” noting that discovery not complete enough for court to “conclude that the evidence is representative of what plaintiffs would present given further discovery,” that the scheduling order contemplated application of the two-step process, and there was potential prejudice to plaintiffs of bypassing first stage because some potential plaintiffs might not learn of lawsuit or have opportunity to join); Reab v. Electronic Arts, Inc., 214 F.R.D. 623, 628 (D. Colo. 2002) (rejecting request to skip notice-stage inquiry because discovery was ongoing and because scheduling order “characterize[d] the pending motion as a motion for </w:t>
      </w:r>
      <w:r w:rsidRPr="00AD2F44">
        <w:rPr>
          <w:i/>
          <w:iCs/>
        </w:rPr>
        <w:t>conditional</w:t>
      </w:r>
      <w:r w:rsidRPr="00AD2F44">
        <w:t xml:space="preserve"> class certification”) (emphasis in original).</w:t>
      </w:r>
    </w:p>
    <w:p w14:paraId="5ED83301" w14:textId="77777777" w:rsidR="004322B1" w:rsidRPr="00AD2F44" w:rsidRDefault="004322B1">
      <w:pPr>
        <w:pStyle w:val="14Footnote"/>
      </w:pPr>
      <w:r w:rsidRPr="00AD2F44">
        <w:rPr>
          <w:i/>
          <w:iCs/>
        </w:rPr>
        <w:t>Eleventh Circuit:</w:t>
      </w:r>
      <w:r w:rsidRPr="00AD2F44">
        <w:t xml:space="preserve"> Robinson v. Ryla Teleservs., Inc., 2011 WL 6667338, at *2 (S.D. Ala. Dec. 21, 2011) (refusing to employ more than a “lenient” standard for determining whether to issue notice, even though some discovery had been permitted).</w:t>
      </w:r>
    </w:p>
    <w:p w14:paraId="27298B7A" w14:textId="77777777" w:rsidR="004322B1" w:rsidRPr="00AD2F44" w:rsidRDefault="004322B1">
      <w:pPr>
        <w:pStyle w:val="14Footnote"/>
      </w:pPr>
      <w:r w:rsidRPr="00AD2F44">
        <w:rPr>
          <w:i/>
          <w:iCs/>
        </w:rPr>
        <w:t>D.C. Circuit:</w:t>
      </w:r>
      <w:r w:rsidRPr="00AD2F44">
        <w:t xml:space="preserve"> Chase v. AIMCO Props., L.P., 374 F. Supp. 2d 196, 201 (D.D.C. 2005) (applying lower standard, despite 16 months of discovery prior to ruling on motion for notice and despite doubts court had about case ultimately surviving decertification, and finding no prejudice to defendant and that it furthers the goals of the FLSA to provide notice to workers of their claims, even if case is ultimately decertified).</w:t>
      </w:r>
    </w:p>
  </w:footnote>
  <w:footnote w:id="107">
    <w:p w14:paraId="7FD88030" w14:textId="77777777" w:rsidR="004322B1" w:rsidRPr="00AD2F44" w:rsidRDefault="004322B1">
      <w:pPr>
        <w:pStyle w:val="14Footnote"/>
      </w:pPr>
      <w:r w:rsidRPr="00AD2F44">
        <w:rPr>
          <w:vertAlign w:val="superscript"/>
        </w:rPr>
        <w:footnoteRef/>
      </w:r>
      <w:r w:rsidRPr="00AD2F44">
        <w:rPr>
          <w:i/>
          <w:iCs/>
        </w:rPr>
        <w:t>See, e.g., Hart</w:t>
      </w:r>
      <w:r w:rsidRPr="00AD2F44">
        <w:t>, 2015 WL 365785, at *2–3 (granting conditional certification before any discovery); Castillo v. P &amp; R Enters., Inc., 517 F. Supp. 2d 440, 444 (D.D.C. 2007) (explaining that court may conditionally certify collective action without discovery because the statute of limitations continues to run on claims of potential opt-in plaintiffs).</w:t>
      </w:r>
    </w:p>
  </w:footnote>
  <w:footnote w:id="108">
    <w:p w14:paraId="2FBAAC79" w14:textId="77777777" w:rsidR="004322B1" w:rsidRPr="00AD2F44" w:rsidRDefault="004322B1">
      <w:pPr>
        <w:pStyle w:val="14Footnote"/>
      </w:pPr>
      <w:r w:rsidRPr="00AD2F44">
        <w:rPr>
          <w:rStyle w:val="FootnoteReference"/>
        </w:rPr>
        <w:footnoteRef/>
      </w:r>
      <w:r w:rsidRPr="00AD2F44">
        <w:rPr>
          <w:i/>
          <w:iCs/>
        </w:rPr>
        <w:t>See, e.g.,</w:t>
      </w:r>
      <w:r w:rsidRPr="00AD2F44">
        <w:t xml:space="preserve"> Bailey v. Black Tie Mgmt. Co. LLC, 2019 WL 5884353, at *5 (S.D. Ohio Nov. 12, 2019) (rejecting defendants’ request to delay ruling on conditional certification motion pending discovery, holding “[i]n this district, conditional certification is regularly sought, and granted, prior to discovery”). </w:t>
      </w:r>
    </w:p>
  </w:footnote>
  <w:footnote w:id="109">
    <w:p w14:paraId="27775B53" w14:textId="77777777" w:rsidR="004322B1" w:rsidRPr="00AD2F44" w:rsidRDefault="004322B1">
      <w:pPr>
        <w:pStyle w:val="14Footnote"/>
      </w:pPr>
      <w:r w:rsidRPr="00AD2F44">
        <w:rPr>
          <w:vertAlign w:val="superscript"/>
        </w:rPr>
        <w:footnoteRef/>
      </w:r>
      <w:r w:rsidRPr="00AD2F44">
        <w:t>2007 WL 4554002 (M.D. Ala. Dec. 20, 2007).</w:t>
      </w:r>
    </w:p>
  </w:footnote>
  <w:footnote w:id="110">
    <w:p w14:paraId="28F74FED" w14:textId="77777777" w:rsidR="004322B1" w:rsidRPr="00AD2F44" w:rsidRDefault="004322B1">
      <w:pPr>
        <w:pStyle w:val="14Footnote"/>
      </w:pPr>
      <w:r w:rsidRPr="00AD2F44">
        <w:rPr>
          <w:vertAlign w:val="superscript"/>
        </w:rPr>
        <w:footnoteRef/>
      </w:r>
      <w:r w:rsidRPr="00AD2F44">
        <w:rPr>
          <w:i/>
          <w:iCs/>
        </w:rPr>
        <w:t>Id</w:t>
      </w:r>
      <w:r w:rsidRPr="00AD2F44">
        <w:t>. at *5–6 (citing Davis v. Charoen Pokphand (USA), Inc., 303 F. Supp. 2d 1272 (M.D. Ala. 2004)).</w:t>
      </w:r>
    </w:p>
  </w:footnote>
  <w:footnote w:id="111">
    <w:p w14:paraId="32C20998" w14:textId="77777777" w:rsidR="004322B1" w:rsidRDefault="004322B1">
      <w:pPr>
        <w:pStyle w:val="14Footnote"/>
      </w:pPr>
      <w:r w:rsidRPr="00AD2F44">
        <w:rPr>
          <w:vertAlign w:val="superscript"/>
        </w:rPr>
        <w:footnoteRef/>
      </w:r>
      <w:r w:rsidRPr="00AD2F44">
        <w:rPr>
          <w:i/>
          <w:iCs/>
        </w:rPr>
        <w:t>Id</w:t>
      </w:r>
      <w:r w:rsidRPr="00AD2F44">
        <w:t xml:space="preserve">. at *6 (citing Hipp v. Liberty Nat’l Life Ins. Co., 252 F.3d 1208 (11th Cir. 2001)); </w:t>
      </w:r>
      <w:r w:rsidRPr="00AD2F44">
        <w:rPr>
          <w:i/>
          <w:iCs/>
        </w:rPr>
        <w:t>see also</w:t>
      </w:r>
      <w:r w:rsidRPr="00AD2F44">
        <w:t xml:space="preserve"> </w:t>
      </w:r>
    </w:p>
    <w:p w14:paraId="58F6E588" w14:textId="77777777" w:rsidR="004322B1" w:rsidRDefault="004322B1">
      <w:pPr>
        <w:pStyle w:val="14Footnote"/>
      </w:pPr>
      <w:r>
        <w:rPr>
          <w:i/>
          <w:iCs/>
        </w:rPr>
        <w:t xml:space="preserve">Fifth Circuit: </w:t>
      </w:r>
      <w:r w:rsidRPr="00AD2F44">
        <w:t xml:space="preserve">Nieto v. Pizzati Enters., Inc., </w:t>
      </w:r>
      <w:r w:rsidRPr="001246D3">
        <w:t>2017 BL 98093</w:t>
      </w:r>
      <w:r>
        <w:t xml:space="preserve">, </w:t>
      </w:r>
      <w:r w:rsidRPr="00AD2F44">
        <w:t>2017 WL 1153375, at *7 (E.D. La. Mar. 27, 2017) (denying motion for stay to conduct limited discovery before responding to motion for conditional certification, reasoning that, at notice stage, although discovery may be permissible, “courts generally do not require more than ‘substantial allegations that the putative class members were together the victims of a single decision, policy, or plan,’ and only a modest factual basis is required”)</w:t>
      </w:r>
      <w: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t>
      </w:r>
    </w:p>
    <w:p w14:paraId="12D08008" w14:textId="77777777" w:rsidR="004322B1" w:rsidRPr="00AD2F44" w:rsidRDefault="004322B1">
      <w:pPr>
        <w:pStyle w:val="14Footnote"/>
      </w:pPr>
      <w:r>
        <w:rPr>
          <w:i/>
          <w:iCs/>
        </w:rPr>
        <w:t xml:space="preserve">Sixth Circuit: </w:t>
      </w:r>
      <w:r w:rsidRPr="00EA3391">
        <w:t>Cottrell v. Triple J Trucking, Inc.,</w:t>
      </w:r>
      <w:r w:rsidRPr="005E5777">
        <w:rPr>
          <w:rFonts w:ascii="Arial" w:hAnsi="Arial" w:cs="Arial"/>
          <w:color w:val="292E31"/>
          <w:sz w:val="24"/>
        </w:rPr>
        <w:t xml:space="preserve"> </w:t>
      </w:r>
      <w:r w:rsidRPr="005E5777">
        <w:t>2023 BL 148488</w:t>
      </w:r>
      <w:r>
        <w:t xml:space="preserve">, </w:t>
      </w:r>
      <w:r w:rsidRPr="00EA3391">
        <w:t>2023 WL 3216766</w:t>
      </w:r>
      <w:r>
        <w:t xml:space="preserve"> (</w:t>
      </w:r>
      <w:r w:rsidRPr="00EA3391">
        <w:t>W.D. Ky. May 2, 2023</w:t>
      </w:r>
      <w:r>
        <w:t xml:space="preserve">) (denying defendant’s motion to employ </w:t>
      </w:r>
      <w:r>
        <w:rPr>
          <w:i/>
          <w:iCs/>
        </w:rPr>
        <w:t>Swales</w:t>
      </w:r>
      <w:r>
        <w:t xml:space="preserve"> single step approach and for discovery prior to sending notice; finding sufficient evidence truck drivers were similarly situated and allowing notice to be sent); </w:t>
      </w:r>
      <w:r w:rsidRPr="00AD2F44">
        <w:t>Penley v. NPC Int’l, Inc., 2016 WL 4435256, at *4 (W.D. Tenn. Aug. 22, 2016) (upholding magistrate’s protective order blocking discovery of opt-ins by defendant until after notice issue resolved, relying on “the already lengthy delays in this case, the low bar to conditional certification, and the potentially heavy burden of responding to NPC’s individualized discovery requests of opt-in Plaintiffs”).</w:t>
      </w:r>
      <w:r w:rsidRPr="00AB110B">
        <w:rPr>
          <w:b/>
        </w:rPr>
        <w:t xml:space="preserve"> </w:t>
      </w:r>
    </w:p>
  </w:footnote>
  <w:footnote w:id="112">
    <w:p w14:paraId="63CC5C6A" w14:textId="77777777" w:rsidR="004322B1" w:rsidRPr="00AD2F44" w:rsidRDefault="004322B1">
      <w:pPr>
        <w:pStyle w:val="14Footnote"/>
      </w:pPr>
      <w:r w:rsidRPr="00AD2F44">
        <w:rPr>
          <w:vertAlign w:val="superscript"/>
        </w:rPr>
        <w:footnoteRef/>
      </w:r>
      <w:r w:rsidRPr="00AD2F44">
        <w:rPr>
          <w:i/>
          <w:iCs/>
        </w:rPr>
        <w:t>Anderson</w:t>
      </w:r>
      <w:r w:rsidRPr="00AD2F44">
        <w:t xml:space="preserve">, 2007 WL 4554002, at *2. </w:t>
      </w:r>
      <w:r w:rsidRPr="00AD2F44">
        <w:rPr>
          <w:i/>
          <w:iCs/>
        </w:rPr>
        <w:t>See also</w:t>
      </w:r>
      <w:r w:rsidRPr="00AD2F44">
        <w:t xml:space="preserve"> Adair v. Wisconsin Bell, Inc., 2008 WL 2690716, at *2 (E.D. Wis. July 2, 2008) (rejecting defendant’s request for time to take depositions of named plaintiffs to challenge factual allegations, in part because that would be merits-based issue inappropriate for court to address at notice stage); Belue v. Wayne Farms, 4:06-cv-2095-RDP, slip op. at n.5 (N.D. Ala. July 3, 2007) (“expressly declin[ing]” defendant’s invitation to “allow for discovery sufficient to apply the ‘more stringent’ [second-stage] standard to Plaintiffs’ motion”); Bolden v. Wayne Farms, LLC, 5:06-cv-2096-IPJ, slip op. at n.5 (N.D. Ala. July 3, 2007) (same).</w:t>
      </w:r>
    </w:p>
  </w:footnote>
  <w:footnote w:id="113">
    <w:p w14:paraId="3202407A" w14:textId="77777777" w:rsidR="004322B1" w:rsidRPr="00AD2F44" w:rsidRDefault="004322B1">
      <w:pPr>
        <w:pStyle w:val="14Footnote"/>
      </w:pPr>
      <w:r w:rsidRPr="00AD2F44">
        <w:rPr>
          <w:vertAlign w:val="superscript"/>
        </w:rPr>
        <w:footnoteRef/>
      </w:r>
      <w:r w:rsidRPr="00AD2F44">
        <w:rPr>
          <w:i/>
          <w:iCs/>
        </w:rPr>
        <w:t>See, e.g.</w:t>
      </w:r>
      <w:r w:rsidRPr="00AD2F44">
        <w:t>, Ornelas v. Hooper Holmes, Inc., 2013 WL 3146887 (D.N.J. June 19, 2013).</w:t>
      </w:r>
    </w:p>
  </w:footnote>
  <w:footnote w:id="114">
    <w:p w14:paraId="1B70465D" w14:textId="77777777" w:rsidR="004322B1" w:rsidRPr="00AD2F44" w:rsidRDefault="004322B1">
      <w:pPr>
        <w:pStyle w:val="14Footnote"/>
      </w:pPr>
      <w:r w:rsidRPr="00AD2F44">
        <w:rPr>
          <w:vertAlign w:val="superscript"/>
        </w:rPr>
        <w:footnoteRef/>
      </w:r>
      <w:r w:rsidRPr="00AD2F44">
        <w:rPr>
          <w:i/>
          <w:iCs/>
        </w:rPr>
        <w:t xml:space="preserve">See, e.g., </w:t>
      </w:r>
      <w:r w:rsidRPr="00AD2F44">
        <w:t xml:space="preserve">Doucoure v. Matlyn Food Inc., 554 F. Supp. 2d 369, 374 (E.D.N.Y. 2008) (denying defendant’s request for discovery because “early notice will help to preserve and effectuate the rights of potential plaintiffs whose claims might otherwise become time-barred during the discovery phase of the case” and because court found there is no prejudice to defendant since the decision will be revisited at second stage, after conclusion of discovery); </w:t>
      </w:r>
      <w:r w:rsidRPr="00AD2F44">
        <w:rPr>
          <w:i/>
          <w:iCs/>
        </w:rPr>
        <w:t>see also Adair</w:t>
      </w:r>
      <w:r w:rsidRPr="00AD2F44">
        <w:t xml:space="preserve">, 2008 WL 2690716, at *2 (rejecting defendant’s request for time to take depositions of named plaintiffs to challenge factual allegations, in part because that would impose additional delay and might cause additional claims to be time-barred); </w:t>
      </w:r>
      <w:r w:rsidRPr="00AD2F44">
        <w:rPr>
          <w:i/>
          <w:iCs/>
        </w:rPr>
        <w:t>In re</w:t>
      </w:r>
      <w:r w:rsidRPr="00AD2F44">
        <w:t xml:space="preserve"> Pilgrim’s Pride FLSA Litig., No. 1:07-cv-1832, slip op. (W.D. Ark. July 19, 2007) (denying defendant’s request for discovery, because that would delay resolution of notice motion, and sending notice early was critical because statute of limitations would continue to run until decision was made).</w:t>
      </w:r>
    </w:p>
  </w:footnote>
  <w:footnote w:id="115">
    <w:p w14:paraId="3D48208C" w14:textId="77777777" w:rsidR="004322B1" w:rsidRPr="00AD2F44" w:rsidRDefault="004322B1">
      <w:pPr>
        <w:pStyle w:val="14Footnote"/>
      </w:pPr>
      <w:r w:rsidRPr="00AD2F44">
        <w:rPr>
          <w:vertAlign w:val="superscript"/>
        </w:rPr>
        <w:footnoteRef/>
      </w:r>
      <w:r w:rsidRPr="00AD2F44">
        <w:rPr>
          <w:i/>
        </w:rPr>
        <w:t xml:space="preserve">See, e.g., </w:t>
      </w:r>
    </w:p>
    <w:p w14:paraId="13156EA2" w14:textId="77777777" w:rsidR="004322B1" w:rsidRPr="00AD2F44" w:rsidRDefault="004322B1">
      <w:pPr>
        <w:pStyle w:val="14Footnote"/>
      </w:pPr>
      <w:r w:rsidRPr="00AD2F44">
        <w:rPr>
          <w:i/>
          <w:iCs/>
        </w:rPr>
        <w:t>First Circuit:</w:t>
      </w:r>
      <w:r w:rsidRPr="00AD2F44">
        <w:t xml:space="preserve"> Trezvant v. Fidelity Emp. Servs. Corp., 434 F. Supp. 2d 40, 42, 43 (D. Mass. 2006) (explaining that “the court makes an initial determination of whether the potential class should receive notice of the pending action” before discovery is completed); Poreda v. Boise Cascade, LLC, 532 F. Supp. 2d 234 (D. Mass. 2008) (granting conditional certification before discovery complete); Kane v. Gage Merch. Servs. Inc., 138 F. Supp. 2d 212, 214 (D. Mass. 2001) (same).</w:t>
      </w:r>
    </w:p>
    <w:p w14:paraId="3841F32D" w14:textId="77777777" w:rsidR="004322B1" w:rsidRPr="00AD2F44" w:rsidRDefault="004322B1">
      <w:pPr>
        <w:pStyle w:val="14Footnote"/>
      </w:pPr>
      <w:r w:rsidRPr="00AD2F44">
        <w:rPr>
          <w:i/>
          <w:iCs/>
        </w:rPr>
        <w:t>Second Circuit:</w:t>
      </w:r>
      <w:r w:rsidRPr="00AD2F44">
        <w:t xml:space="preserve"> Forauer v. Vermont Country Store, Inc., 2013 WL 3967932, at *7 (D. Vt. July 31, 2013) (granting certification over the defendants’ objection that discovery should precede certification); Fasanelli v. Heartland Brewery, Inc., 516 F. Supp. 2d 317, 321 (S.D.N.Y. 2007) (referring to notice stage as “prediscovery phase” and stating that motion would therefore be decided based on pleadings and affidavits); Patton v. Thomson Corp., 364 F. Supp. 2d 263, 267–68 (E.D.N.Y. 2005) (finding it appropriate to issue notice early “rather than awaiting the completion of discovery” because it facilitates the broad remedial purpose of the FLSA and promotes efficient case management, permitting plaintiffs to preserve their rights that might otherwise become time-barred during the discovery phase); Hoffmann v. Sbarro, Inc., 982 F. Supp. 249, 261, 262 (S.D.N.Y. 1997) (“[n]or must this Court wait for defendant to complete its discovery before authorizing class notice,” noting that early notice facilitates the broad remedial purpose of the FLSA and efficient case management).</w:t>
      </w:r>
    </w:p>
    <w:p w14:paraId="551AD346" w14:textId="77777777" w:rsidR="004322B1" w:rsidRPr="00AD2F44" w:rsidRDefault="004322B1">
      <w:pPr>
        <w:pStyle w:val="14Footnote"/>
      </w:pPr>
      <w:r w:rsidRPr="00AD2F44">
        <w:rPr>
          <w:i/>
          <w:iCs/>
        </w:rPr>
        <w:t>Fifth Circuit:</w:t>
      </w:r>
      <w:r w:rsidRPr="00AD2F44">
        <w:t xml:space="preserve"> Clarke v. Convergys Customer Mgmt. Grp., Inc., 370 F. Supp. 2d 601, 605–06 (S.D. Tex. 2005) (explaining that “because little, if any, discovery has taken place” at the first stage, the standard is lenient and can be met with pleadings and affidavits).</w:t>
      </w:r>
      <w:r w:rsidRPr="00C06F3C">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127FAAD" w14:textId="77777777" w:rsidR="004322B1" w:rsidRPr="00AD2F44" w:rsidRDefault="004322B1">
      <w:pPr>
        <w:pStyle w:val="14Footnote"/>
      </w:pPr>
      <w:r w:rsidRPr="00AD2F44">
        <w:rPr>
          <w:i/>
          <w:iCs/>
        </w:rPr>
        <w:t>Sixth Circuit:</w:t>
      </w:r>
      <w:r w:rsidRPr="00AD2F44">
        <w:t xml:space="preserve"> Myers v. Marietta Mem’l Hosp., 201 F. Supp. 3d 884, 893 (S.D. Ohio 2016) (noting Sixth Circuit’s description of initial phase of §216(b) certification analysis as occurring “at the beginning of discovery” and rejecting defendant’s suggestion that plaintiffs should conduct discovery of individuals from whom defendant submitted affidavits, refusing to consider affidavits because they might be coerced, and explaining that defendant’s “remedy” to plaintiffs being permitted notice on “modest factual showing” was to move for decertification after discovery).</w:t>
      </w:r>
    </w:p>
    <w:p w14:paraId="75C874F1" w14:textId="77777777" w:rsidR="004322B1" w:rsidRPr="00AD2F44" w:rsidRDefault="004322B1">
      <w:pPr>
        <w:pStyle w:val="14Footnote"/>
      </w:pPr>
      <w:r w:rsidRPr="00AD2F44">
        <w:rPr>
          <w:i/>
          <w:iCs/>
        </w:rPr>
        <w:t>Seventh Circuit:</w:t>
      </w:r>
      <w:r w:rsidRPr="00AD2F44">
        <w:t xml:space="preserve"> Frebes v. Mask Rests., LLC, 2014 WL 1848461 (N.D. Ill. May 8, 2014) (granting certification over the defendants’ suggestion to equitably toll the statute of limitations and permit limited precertification discovery).</w:t>
      </w:r>
    </w:p>
  </w:footnote>
  <w:footnote w:id="116">
    <w:p w14:paraId="263B474D" w14:textId="77777777" w:rsidR="004322B1" w:rsidRPr="00AD2F44" w:rsidRDefault="004322B1">
      <w:pPr>
        <w:pStyle w:val="14Footnote"/>
      </w:pPr>
      <w:r w:rsidRPr="00AD2F44">
        <w:rPr>
          <w:vertAlign w:val="superscript"/>
        </w:rPr>
        <w:footnoteRef/>
      </w:r>
      <w:r w:rsidRPr="00AD2F44">
        <w:rPr>
          <w:i/>
        </w:rPr>
        <w:t>See, e.g.,</w:t>
      </w:r>
    </w:p>
    <w:p w14:paraId="4B2B1CD4" w14:textId="77777777" w:rsidR="004322B1" w:rsidRPr="00AD2F44" w:rsidRDefault="004322B1">
      <w:pPr>
        <w:pStyle w:val="14Footnote"/>
      </w:pPr>
      <w:r w:rsidRPr="00AD2F44">
        <w:rPr>
          <w:i/>
          <w:iCs/>
        </w:rPr>
        <w:t xml:space="preserve">Second Circuit: </w:t>
      </w:r>
      <w:r w:rsidRPr="00AD2F44">
        <w:t xml:space="preserve">Morales v. Plantworks, Inc., 2006 WL 278154, at *3 (S.D.N.Y. Feb. 2, 2006) (denying notice motion based on “conclusory allegation in their complaint” and “nothing of evidentiary value” but granting motion to compel production of names and addresses of potential class members, noting that discovery might provide plaintiffs opportunity to obtain evidence to support conditional certification) (citing </w:t>
      </w:r>
      <w:r w:rsidRPr="00AD2F44">
        <w:rPr>
          <w:smallCaps/>
        </w:rPr>
        <w:t>Wright, Miller &amp; Kane</w:t>
      </w:r>
      <w:r w:rsidRPr="00AD2F44">
        <w:t xml:space="preserve">, 7B </w:t>
      </w:r>
      <w:r w:rsidRPr="00AD2F44">
        <w:rPr>
          <w:smallCaps/>
        </w:rPr>
        <w:t>Federal Practice and Procedure</w:t>
      </w:r>
      <w:r w:rsidRPr="00AD2F44">
        <w:t xml:space="preserve"> §1807, at 495–96); Flores v. Osaka Health Spa, Inc., 2006 WL 695675 (S.D.N.Y. Mar. 16, 2006) (same).</w:t>
      </w:r>
    </w:p>
    <w:p w14:paraId="4FFDD246" w14:textId="77777777" w:rsidR="004322B1" w:rsidRPr="00AD2F44" w:rsidRDefault="004322B1">
      <w:pPr>
        <w:pStyle w:val="14Footnote"/>
      </w:pPr>
      <w:r w:rsidRPr="00AD2F44">
        <w:rPr>
          <w:i/>
          <w:iCs/>
        </w:rPr>
        <w:t>Third Circuit:</w:t>
      </w:r>
      <w:r w:rsidRPr="00AD2F44">
        <w:t xml:space="preserve"> Mueller v. CBS, Inc., 201 F.R.D. 425, 427 (W.D. Pa. 2001) (referring to fact that plaintiffs “moved for, and were granted, discovery regarding class certification issues only” prior to filing their motion for notice); Stanislaw v. Erie Indem. Co., 2009 WL 426641, at *3 (W.D. Pa. Feb. 20, 2009) (denying conditional certification without prejudice and granting plaintiff 90 days of discovery to gather evidence in support of such certification).</w:t>
      </w:r>
    </w:p>
    <w:p w14:paraId="5778986D" w14:textId="77777777" w:rsidR="004322B1" w:rsidRPr="00AD2F44" w:rsidRDefault="004322B1">
      <w:pPr>
        <w:pStyle w:val="14Footnote"/>
      </w:pPr>
      <w:r w:rsidRPr="00AD2F44">
        <w:rPr>
          <w:i/>
          <w:iCs/>
        </w:rPr>
        <w:t>Fourth Circuit:</w:t>
      </w:r>
      <w:r w:rsidRPr="00AD2F44">
        <w:t xml:space="preserve"> Carver v. Velocity Express Corp., 2008 U.S. Dist. LEXIS 35810, at *7 (W.D.N.C. Apr. 14, 2008) (entering scheduling order providing for pre-notice discovery “limited to all matters relevant to certification of a collective action under Section 216(b) and certification of a class under Rule 23” and specifically noting that the identities and job descriptions of potential class members were within the scope of potential discovery; authorizing defendant to depose each named plaintiff).</w:t>
      </w:r>
    </w:p>
    <w:p w14:paraId="487C7500" w14:textId="77777777" w:rsidR="004322B1" w:rsidRPr="00AD2F44" w:rsidRDefault="004322B1">
      <w:pPr>
        <w:pStyle w:val="14Footnote"/>
      </w:pPr>
      <w:r w:rsidRPr="00AD2F44">
        <w:rPr>
          <w:i/>
          <w:iCs/>
        </w:rPr>
        <w:t>Seventh Circuit:</w:t>
      </w:r>
      <w:r w:rsidRPr="00AD2F44">
        <w:t xml:space="preserve"> Sjoblom v. Charter Commc’ns, LLC, 2008 WL 4276928, at *2 (W.D. Wis. Jan. 4, 2008) (noting that some discovery is necessary prior to conditional certification, and that court “has reserved ruling on conditional certification until plaintiff has had the opportunity to produce further evidence that he is similarly situated to other employees of defendant nationwide”).</w:t>
      </w:r>
    </w:p>
    <w:p w14:paraId="69A14DF3" w14:textId="77777777" w:rsidR="004322B1" w:rsidRPr="00AD2F44" w:rsidRDefault="004322B1">
      <w:pPr>
        <w:pStyle w:val="14Footnote"/>
      </w:pPr>
      <w:r w:rsidRPr="00AD2F44">
        <w:rPr>
          <w:i/>
          <w:iCs/>
        </w:rPr>
        <w:t>Ninth Circuit:</w:t>
      </w:r>
      <w:r w:rsidRPr="00AD2F44">
        <w:t xml:space="preserve"> Morden v. T-Mobile USA, Inc., 2006 U.S. Dist. LEXIS 42047, at *13 (W.D. Wash. June 22, 2006) (explaining that “some limited discovery is necessary to assist plaintiffs in defining a proposed class” but “plaintiffs will not be given free reign for discovery on all aspects of the merits of the claims”).</w:t>
      </w:r>
    </w:p>
    <w:p w14:paraId="6C385205" w14:textId="77777777" w:rsidR="004322B1" w:rsidRPr="00AD2F44" w:rsidRDefault="004322B1">
      <w:pPr>
        <w:pStyle w:val="14Footnote"/>
      </w:pPr>
      <w:r w:rsidRPr="00AD2F44">
        <w:rPr>
          <w:i/>
          <w:iCs/>
        </w:rPr>
        <w:t>Tenth Circuit:</w:t>
      </w:r>
      <w:r w:rsidRPr="00AD2F44">
        <w:t xml:space="preserve"> Long v. Landvest Corp., 2006 U.S. Dist. LEXIS 16369, at *14–15 (D. Kan. Mar. 31, 2006) (“While the Court has yet to rule on Plaintiffs’ motion for provisional certification, that does not mean Plaintiffs are barred from conducting </w:t>
      </w:r>
      <w:r w:rsidRPr="00AD2F44">
        <w:rPr>
          <w:i/>
          <w:iCs/>
        </w:rPr>
        <w:t>any</w:t>
      </w:r>
      <w:r w:rsidRPr="00AD2F44">
        <w:t xml:space="preserve"> class-wide discovery at this juncture. Courts typically allow precertification discovery that relates to, or is necessary for, defining the proposed class, i.e., discovery which seeks ‘to identify those employees who may be similarly situated, and who may therefore ultimately seek to opt into the action.’”); Hammond v. Lowe’s Home Ctrs., Inc., 216 F.R.D. 666, 671 (D. Kan. Aug. 15, 2003) (holding “provisional certification is not necessarily a prerequisite for conducting limited discovery necessary for defining the proposed class” and rejecting defendant’s argument that discovery should be limited to employees in the same department or facility, ruling that collective actions “require a broader scope of discovery in order to identify those employees who may be similarly situated”); Tracy v. Dean Witter Reynolds, Inc., 185 F.R.D. 303, 304–05 (D. Colo. 1998) (permitting plaintiffs discovery of worksite of named plaintiffs, but denying discovery of other worksites sought to be included in proposed class because court had not yet found uniform policy covered both and no class had yet been certified).</w:t>
      </w:r>
    </w:p>
    <w:p w14:paraId="47AF757D" w14:textId="77777777" w:rsidR="004322B1" w:rsidRPr="00AD2F44" w:rsidRDefault="004322B1">
      <w:pPr>
        <w:pStyle w:val="14Footnote"/>
      </w:pPr>
      <w:r w:rsidRPr="00AD2F44">
        <w:rPr>
          <w:i/>
          <w:iCs/>
        </w:rPr>
        <w:t>Eleventh Circuit:</w:t>
      </w:r>
      <w:r w:rsidRPr="00AD2F44">
        <w:t xml:space="preserve"> Morgan v. Family Dollar Stores, Inc., 551 F.3d 1233 (11th Cir. 2008) (explaining that district court had denied plaintiffs’ motion for immediate notice and permitted parties to engage in limited discovery to identify claims and their factual basis); Robinson v. Ryla Teleservs., Inc., 2011 WL 6667338, at *2 (S.D. Ala. Dec. 21, 2011) (permitting limited precertification discovery); Smith v. Tradesmen Int’l, Inc., 289 F. Supp. 2d 1369, 1372 (S.D. Fla. 2003) (denying notice motion until more discovery completed; three declarations submitted in support of motion were not sufficient).</w:t>
      </w:r>
    </w:p>
  </w:footnote>
  <w:footnote w:id="117">
    <w:p w14:paraId="313B1700" w14:textId="77777777" w:rsidR="004322B1" w:rsidRPr="00AD2F44" w:rsidRDefault="004322B1">
      <w:pPr>
        <w:pStyle w:val="14Footnote"/>
      </w:pPr>
      <w:r w:rsidRPr="00AD2F44">
        <w:rPr>
          <w:vertAlign w:val="superscript"/>
        </w:rPr>
        <w:footnoteRef/>
      </w:r>
      <w:r w:rsidRPr="00AD2F44">
        <w:rPr>
          <w:i/>
        </w:rPr>
        <w:t>See, e.g.,</w:t>
      </w:r>
    </w:p>
    <w:p w14:paraId="42EE25A1" w14:textId="77777777" w:rsidR="004322B1" w:rsidRDefault="004322B1">
      <w:pPr>
        <w:pStyle w:val="14Footnote"/>
      </w:pPr>
      <w:r w:rsidRPr="00AD2F44">
        <w:rPr>
          <w:i/>
          <w:iCs/>
        </w:rPr>
        <w:t>Second Circuit:</w:t>
      </w:r>
      <w:r w:rsidRPr="00AD2F44">
        <w:t xml:space="preserve"> Strauch v. Computer Scis. Corp., 2015 WL 75884, at *2–4 (D. Conn. Jan. 6, 2015) (granting plaintiff’s motion requesting employer to produce information on job titles, levels, and locations of work for putative class members (but not yet names), and to produce for individuals who had already opted in information on job, pay, and employment dates, and not allowing production of Social Security numbers); Bachayeva v. Americare Certified Special Servs., 2013 WL 4495672 (E.D.N.Y. Aug. 20, 2013) (rejecting defendants’ challenge to magistrate judge’s order granting plaintiffs’ request to distribute a questionnaire to 20% of the putative class).</w:t>
      </w:r>
    </w:p>
    <w:p w14:paraId="45266808" w14:textId="77777777" w:rsidR="004322B1" w:rsidRPr="009A3AB0" w:rsidRDefault="004322B1">
      <w:pPr>
        <w:pStyle w:val="14Footnote"/>
      </w:pPr>
      <w:r>
        <w:rPr>
          <w:i/>
          <w:iCs/>
        </w:rPr>
        <w:t xml:space="preserve">Fifth Circuit: </w:t>
      </w:r>
      <w:r w:rsidRPr="009A3AB0">
        <w:t>Hunzelman v. Perry</w:t>
      </w:r>
      <w:r>
        <w:t>’</w:t>
      </w:r>
      <w:r w:rsidRPr="009A3AB0">
        <w:t>s Rests</w:t>
      </w:r>
      <w:r>
        <w:t>.</w:t>
      </w:r>
      <w:r w:rsidRPr="009A3AB0">
        <w:t xml:space="preserve"> LTD,</w:t>
      </w:r>
      <w:r w:rsidRPr="005E5777">
        <w:rPr>
          <w:rFonts w:ascii="Arial" w:hAnsi="Arial" w:cs="Arial"/>
          <w:color w:val="292E31"/>
          <w:sz w:val="24"/>
        </w:rPr>
        <w:t xml:space="preserve"> </w:t>
      </w:r>
      <w:r w:rsidRPr="005E5777">
        <w:t>2022 BL 429453</w:t>
      </w:r>
      <w:r>
        <w:t>,</w:t>
      </w:r>
      <w:r w:rsidRPr="009A3AB0">
        <w:t xml:space="preserve"> 2022 WL 17365266, at *3 (W.D. Tex. Nov. 30, 2022)</w:t>
      </w:r>
      <w:r>
        <w:t xml:space="preserve"> (in a decision post-dating </w:t>
      </w:r>
      <w:r>
        <w:rPr>
          <w:i/>
          <w:iCs/>
        </w:rPr>
        <w:t xml:space="preserve">Swales v. KLLM Transport Services, LLC, </w:t>
      </w:r>
      <w:r>
        <w:t>which imposed a requirement to “rigorously scrutinize” whether potential opt-ins are similarly situated from “from the outset of the case,” 985 F.3d 430, 434 (5th Cir. 2021), permitting discovery as to “</w:t>
      </w:r>
      <w:r w:rsidRPr="009A3AB0">
        <w:t>job duties performed, schedules worked, time-clock records, and compensation paid for each tip pool recipient</w:t>
      </w:r>
      <w:r>
        <w:t>”).</w:t>
      </w:r>
    </w:p>
    <w:p w14:paraId="6D71CCE0" w14:textId="77777777" w:rsidR="004322B1" w:rsidRPr="00AD2F44" w:rsidRDefault="004322B1">
      <w:pPr>
        <w:pStyle w:val="14Footnote"/>
      </w:pPr>
      <w:r w:rsidRPr="00AD2F44">
        <w:rPr>
          <w:i/>
          <w:iCs/>
        </w:rPr>
        <w:t>Seventh Circuit:</w:t>
      </w:r>
      <w:r w:rsidRPr="00AD2F44">
        <w:t xml:space="preserve"> Sjoblom v. Charter Commc’ns, LLC, 2008 U.S. Dist LEXIS 1001, at *2, 8 (W.D. Wis. Jan. 4, 2008) (granting motion to compel documents reflecting compensation and timekeeping policies regarding putative class members).</w:t>
      </w:r>
    </w:p>
    <w:p w14:paraId="41CDA2A3" w14:textId="77777777" w:rsidR="004322B1" w:rsidRPr="00AD2F44" w:rsidRDefault="004322B1">
      <w:pPr>
        <w:pStyle w:val="14Footnote"/>
      </w:pPr>
      <w:r w:rsidRPr="00AD2F44">
        <w:rPr>
          <w:i/>
          <w:iCs/>
        </w:rPr>
        <w:t>Ninth Circuit:</w:t>
      </w:r>
      <w:r w:rsidRPr="00AD2F44">
        <w:t xml:space="preserve"> Chen v. Ampco Sys. Parking, 2009 WL 2496729, at *1–2 (S.D. Cal. Aug. 14, 2009) (permitting pre-conditional certification discovery of evidence in state law wage and hour claims involving defendant, but limiting discovery to depositions of two named plaintiffs, given limited scope of discovery permitted before conditional certification, and overbreadth of requests); Morden v. T-Mobile USA, Inc., 2006 U.S. Dist. LEXIS 42047, at *13 (W.D. Wash. June 22, 2006) (granting motion to compel documents describing job duties for specific positions sought to be included in collective action, while denying motion to compel as to “policies, practices and procedures relating to the amount of overtime wages paid” to specified positions, or “relating to defendant’s classification of its employees as ‘exempt’ or ‘non-exempt’ from overtime pay” on grounds that this information is not needed to define proposed class given lenient standard for conditional certification).</w:t>
      </w:r>
    </w:p>
    <w:p w14:paraId="08E52B66" w14:textId="77777777" w:rsidR="004322B1" w:rsidRPr="00AD2F44" w:rsidRDefault="004322B1">
      <w:pPr>
        <w:pStyle w:val="14Footnote"/>
      </w:pPr>
      <w:r w:rsidRPr="00AD2F44">
        <w:rPr>
          <w:i/>
          <w:iCs/>
        </w:rPr>
        <w:t>Tenth Circuit:</w:t>
      </w:r>
      <w:r w:rsidRPr="00AD2F44">
        <w:t xml:space="preserve"> Florece v. Jose Pepper’s Rests., 2021 BL 35211, 2021 WL 351413 (D. Kan. Feb. 2, 2021) (granting motion to compel response to interrogatory to produce names, contact information, and dates of employment for all servers and lead managers for all restaurant locations but denied request for wage complaints of nonexempt hourly employees during previous five years as facially overbroad); Long v. Landvest Corp., 2006 U.S. Dist. LEXIS 16369, at *13–15, 29–30, 37–38 (D. Kan. Mar. 31, 2006) (granting motion to compel response to interrogatory seeking identification of any entity that had an ownership interest in any Security Self-Storage facility, overruling defendant’s objection that only facility where plaintiff was employed was relevant, because broader information was relevant to plaintiffs’ classwide claims; similarly requiring defendant to identify any management or operation agreements between Landvest and other defendants; refusing, however, to compel production of employment manuals used outside plaintiff’s region as not relevant to “determine the identities of any similarly situated Resident Managers”); </w:t>
      </w:r>
      <w:r w:rsidRPr="00AD2F44">
        <w:rPr>
          <w:i/>
          <w:iCs/>
        </w:rPr>
        <w:t>Hammond</w:t>
      </w:r>
      <w:r w:rsidRPr="00AD2F44">
        <w:t>, 216 F.R.D. at 670–72, 674, 675 (granting motion to compel response to interrogatories seeking identification of employer’s regions or districts in which particular overtime plan was used, identification of current or former employees who have provided deposition or trial testimony in any case involving claims of FLSA overtime violations, and identification of any judicial or administrative proceedings or investigations involving alleged violations of overtime provisions of FLSA as claimed in this case; declining to impose temporal limitations on discovery and refusing to compel response to plaintiff’s broader request for information about proceedings or investigations involving any type of FLSA violation).</w:t>
      </w:r>
    </w:p>
    <w:p w14:paraId="5ABE95E9" w14:textId="77777777" w:rsidR="004322B1" w:rsidRPr="00AD2F44" w:rsidRDefault="004322B1">
      <w:pPr>
        <w:pStyle w:val="14Footnote"/>
      </w:pPr>
      <w:r w:rsidRPr="00AD2F44">
        <w:rPr>
          <w:i/>
          <w:iCs/>
        </w:rPr>
        <w:t>Eleventh Circuit:</w:t>
      </w:r>
      <w:r w:rsidRPr="00AD2F44">
        <w:t xml:space="preserve"> Tucker v. Labor Leasing, Inc., 155 F.R.D. 687 (M.D. Fla. 1994) (granting motion to compel response to interrogatory seeking information on prior civil, criminal, or regulatory actions involving overtime compensation).</w:t>
      </w:r>
    </w:p>
  </w:footnote>
  <w:footnote w:id="118">
    <w:p w14:paraId="5C89EBC7" w14:textId="77777777" w:rsidR="004322B1" w:rsidRDefault="004322B1" w:rsidP="000B6C5F">
      <w:pPr>
        <w:pStyle w:val="FootnoteText"/>
      </w:pPr>
      <w:r>
        <w:rPr>
          <w:rStyle w:val="FootnoteReference"/>
        </w:rPr>
        <w:footnoteRef/>
      </w:r>
      <w:r w:rsidRPr="002F69CA">
        <w:t>Paschal v. Perry</w:t>
      </w:r>
      <w:r>
        <w:t>’</w:t>
      </w:r>
      <w:r w:rsidRPr="002F69CA">
        <w:t>s Rests. Ltd</w:t>
      </w:r>
      <w:r>
        <w:t>.</w:t>
      </w:r>
      <w:r w:rsidRPr="001934B1">
        <w:t>,</w:t>
      </w:r>
      <w:r w:rsidRPr="005E5777">
        <w:rPr>
          <w:rFonts w:ascii="Arial" w:hAnsi="Arial" w:cs="Arial"/>
          <w:color w:val="292E31"/>
          <w:sz w:val="24"/>
          <w:szCs w:val="24"/>
        </w:rPr>
        <w:t xml:space="preserve"> </w:t>
      </w:r>
      <w:r w:rsidRPr="005E5777">
        <w:t>2022 BL 429432</w:t>
      </w:r>
      <w:r>
        <w:t>,</w:t>
      </w:r>
      <w:r w:rsidRPr="001934B1">
        <w:t xml:space="preserve"> 2022 WL 17365273, at *3 (W.D. Tex. Nov. 30, 2022) (authorizing discovery to assist in determining whether employees at all of defendant’s restaurants were similarly situated, not just those locations where named plaintiffs and opt-ins worked).</w:t>
      </w:r>
      <w:r>
        <w:t xml:space="preserve"> </w:t>
      </w:r>
    </w:p>
  </w:footnote>
  <w:footnote w:id="119">
    <w:p w14:paraId="32270CDB" w14:textId="77777777" w:rsidR="004322B1" w:rsidRPr="00AD2F44" w:rsidRDefault="004322B1">
      <w:pPr>
        <w:pStyle w:val="14Footnote"/>
      </w:pPr>
      <w:r w:rsidRPr="00AD2F44">
        <w:rPr>
          <w:vertAlign w:val="superscript"/>
        </w:rPr>
        <w:footnoteRef/>
      </w:r>
      <w:r w:rsidRPr="00AD2F44">
        <w:rPr>
          <w:i/>
        </w:rPr>
        <w:t>See, e.g.,</w:t>
      </w:r>
    </w:p>
    <w:p w14:paraId="1F25060D" w14:textId="77777777" w:rsidR="004322B1" w:rsidRPr="00AD2F44" w:rsidRDefault="004322B1">
      <w:pPr>
        <w:pStyle w:val="14Footnote"/>
      </w:pPr>
      <w:r w:rsidRPr="00AD2F44">
        <w:rPr>
          <w:i/>
          <w:iCs/>
        </w:rPr>
        <w:t>Second Circuit:</w:t>
      </w:r>
      <w:r w:rsidRPr="00AD2F44">
        <w:t xml:space="preserve"> Guan Ming Lin v. Benihana Nat’l Corp., 755 F. Supp. 2d 504 (S.D.N.Y. 2010) (permitting discovery of names and addresses where plaintiffs failed to assert facts sufficient to meet §216(b) threshold so that discovery concerning collective action allegations can continue and plaintiffs can renew their motion for conditional certification); Fei v. West LB-AG, 2008 U.S. Dist. LEXIS 33310, at *2, 4–6 (S.D.N.Y. Apr. 23, 2008) (granting motion to compel production of information identifying potential opt-in plaintiffs, holding that “conditional certification is not a pre-requisite to the turnover of information concerning the identity of potential class members” and noting that information sought could “help the plaintiffs show that there are enough similarly-situated plaintiffs that the action should be conditionally certified”); Morales v. Plantworks, Inc., 2006 WL 278154 (S.D.N.Y. Feb. 2, 2006) (granting motion to compel production of names and addresses of potential class members, noting that discovery might provide plaintiffs opportunity to obtain evidence to support conditional certification).</w:t>
      </w:r>
    </w:p>
    <w:p w14:paraId="6A65E80D" w14:textId="77777777" w:rsidR="004322B1" w:rsidRPr="00AD2F44" w:rsidRDefault="004322B1">
      <w:pPr>
        <w:pStyle w:val="14Footnote"/>
      </w:pPr>
      <w:r w:rsidRPr="00AD2F44">
        <w:rPr>
          <w:i/>
          <w:iCs/>
        </w:rPr>
        <w:t>Third Circuit:</w:t>
      </w:r>
      <w:r w:rsidRPr="00AD2F44">
        <w:t xml:space="preserve"> Strauch v. Computer Scis. Corp., 2015 WL 75884, at *2–4 (D. Conn. Jan. 6, 2015) (granting plaintiffs’ motion requesting employer to produce information on job titles, levels, and locations of work for putative collective members but not yet names because of the significant size of the putative collection (approximately 3,000), and suggesting that the production may make reaching agreement on production of identifying information, or court’s task in crafting a further order, easier); Asirifi v. Omni Asset Mgmt., LLC, 2013 WL 5781479 (D.N.J. Oct. 25, 2013) (granting precertification motion to compel the identities and contact information of potential class members); Vivone v. Acme Mkts., Inc., 105 F.R.D. 65, 67–68 (E.D. Pa. 1985) (granting motion to compel name, address, and basic employment information on potential class members, as such information would be discoverable in support of plaintiffs’ individual ADEA claims).</w:t>
      </w:r>
    </w:p>
    <w:p w14:paraId="628437ED" w14:textId="77777777" w:rsidR="004322B1" w:rsidRPr="00AD2F44" w:rsidRDefault="004322B1">
      <w:pPr>
        <w:pStyle w:val="14Footnote"/>
      </w:pPr>
      <w:r w:rsidRPr="00AD2F44">
        <w:rPr>
          <w:i/>
          <w:iCs/>
        </w:rPr>
        <w:t xml:space="preserve">Fifth Circuit: </w:t>
      </w:r>
      <w:r w:rsidRPr="00AD2F44">
        <w:t>Briones v. Kinder Morgan, Inc., 2016 WL 6804862, at *2–5 (S.D. Tex. Nov. 17, 2016) (permitting precertification discovery of contact information because it was relevant to whether there were sufficient individuals who were subject to shift-differential pay at issue or whether there were “inadequacies” that would make certification improper; plaintiff’s “localized” position prevented him from obtaining information on putative class members, and defendant was in sole possession of information and had not shown that it would be unduly burdensome to produce; defendant’s complaints about potential improper use of information by plaintiff’s counsel were speculative).</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t>
      </w:r>
    </w:p>
    <w:p w14:paraId="05626CF2" w14:textId="77777777" w:rsidR="004322B1" w:rsidRPr="00AD2F44" w:rsidRDefault="004322B1">
      <w:pPr>
        <w:pStyle w:val="14Footnote"/>
      </w:pPr>
      <w:r w:rsidRPr="00AD2F44">
        <w:rPr>
          <w:i/>
          <w:iCs/>
        </w:rPr>
        <w:t>Sixth Circuit:</w:t>
      </w:r>
      <w:r w:rsidRPr="00AD2F44">
        <w:t xml:space="preserve"> Boykin v. Comerica Mgmt. Co., 2009 WL 2222899, at *4 (E.D. Mich. July 22, 2009) (granting narrowed geographic scope of request for names and addresses of other employees, because although information was relevant to plaintiffs’ collective action claims, their long-term status as employees but inability to identify any similarly situated employees made it an undue burden for defendant to have to produce names and addresses on statewide basis); Miklos v. Golman-Hayden Cos., Inc., 2000 WL 1617969 (S.D. Ohio Oct. 24, 2000) (granting motion to compel names and addresses of all persons performing same job duties as plaintiffs).</w:t>
      </w:r>
    </w:p>
    <w:p w14:paraId="2BFA3E55" w14:textId="77777777" w:rsidR="004322B1" w:rsidRPr="00AD2F44" w:rsidRDefault="004322B1">
      <w:pPr>
        <w:pStyle w:val="14Footnote"/>
      </w:pPr>
      <w:r w:rsidRPr="00AD2F44">
        <w:rPr>
          <w:i/>
          <w:iCs/>
        </w:rPr>
        <w:t>Seventh Circuit:</w:t>
      </w:r>
      <w:r w:rsidRPr="00AD2F44">
        <w:t xml:space="preserve"> Jenkins v. White Castle Mgmt. Co., 2013 WL 5663644 (N.D. Ill. Oct. 17, 2013) (granting plaintiff’s precertification motion to compel production of information related to putative class and collective action members); Sjoblom v. Charter Commc’ns, LLC, 2008 U.S. Dist. LEXIS 1001, at *7 (W.D. Wis. Jan. 4, 2008) (granting motion to compel production of identity of employees and practices related to those employees, as this information was “reasonably likely to yield support for plaintiff’s class allegations”).</w:t>
      </w:r>
    </w:p>
    <w:p w14:paraId="3A36021E" w14:textId="77777777" w:rsidR="004322B1" w:rsidRPr="00AD2F44" w:rsidRDefault="004322B1">
      <w:pPr>
        <w:pStyle w:val="14Footnote"/>
      </w:pPr>
      <w:r w:rsidRPr="00AD2F44">
        <w:rPr>
          <w:i/>
          <w:iCs/>
        </w:rPr>
        <w:t xml:space="preserve">Eighth Circuit: </w:t>
      </w:r>
      <w:r w:rsidRPr="00AD2F44">
        <w:t>Helmert v. Butterball, LLC, 2008 WL 5272959, at *2 (E.D. Ark. Dec. 15, 2008) (permitting discovery of employee contact information before conditional certification motion had been filed because it could help define putative class); Bailey v. Ameriquest Mortg. Co., 2002 WL 100388, at *2 (D. Minn. Jan. 23, 2002) (granting motion to compel list of names, addresses, and telephone numbers for potential class members in order to permit plaintiffs to “discover if there are additional plaintiffs who are similarly situated”; rejecting defendant’s argument that such production should not be permitted until conditional certification was granted; and noting that “[a]ttorney solicitation of potential clients through direct mail is protected speech under the First Amendment”).</w:t>
      </w:r>
    </w:p>
    <w:p w14:paraId="44FC1E6D" w14:textId="77777777" w:rsidR="004322B1" w:rsidRPr="00AD2F44" w:rsidRDefault="004322B1">
      <w:pPr>
        <w:pStyle w:val="14Footnote"/>
      </w:pPr>
      <w:r w:rsidRPr="00AD2F44">
        <w:rPr>
          <w:i/>
          <w:iCs/>
        </w:rPr>
        <w:t>Ninth Circuit:</w:t>
      </w:r>
      <w:r w:rsidRPr="00AD2F44">
        <w:t xml:space="preserve"> Chastain v. Cam, 2014 WL 3734368, at *11–12 (D. Or. July 28, 2014) (explaining that court had ordered production of names and addresses in defendant’s possession before plaintiff moved for conditional certification); Wiegele v. FedEx Ground Pkg. Sys., 2007 WL 628041, at *1, 4 (S.D. Cal. Feb. 8, 2007) (affirming magistrate judge’s ruling compelling production of names and addresses of potential class members and rejecting defendant’s argument that plaintiffs’ counsel should be barred from contacting putative class members); Morden v. T-Mobile USA, Inc., 2006 U.S. Dist. LEXIS 42047, at *4–8 (W.D. Wash. June 22, 2006) (holding that “[a]t a minimum, plaintiffs should be entitled to discover the names and addresses of other potentially similarly-situated employees of defendant” and granting motion to compel) (citing Hoffmann-La Roche v. Sperling, 493 U.S. 165, 170 (1989)).</w:t>
      </w:r>
    </w:p>
    <w:p w14:paraId="17281A29" w14:textId="77777777" w:rsidR="004322B1" w:rsidRPr="00AD2F44" w:rsidRDefault="004322B1">
      <w:pPr>
        <w:pStyle w:val="14Footnote"/>
      </w:pPr>
      <w:r w:rsidRPr="00AD2F44">
        <w:rPr>
          <w:i/>
          <w:iCs/>
        </w:rPr>
        <w:t>Tenth Circuit:</w:t>
      </w:r>
      <w:r w:rsidRPr="00AD2F44">
        <w:t xml:space="preserve"> Florece v. Jose Pepper’s Rests., 2021 BL 35211, 2021 WL 351413 (D. Kan. Feb. 2, 2021) (granting motion to compel response to interrogatory to produce names, contact information, and dates of employment for all servers and lead managers for all restaurant locations in three years prior to lawsuit filing); </w:t>
      </w:r>
      <w:r w:rsidRPr="00AD2F44">
        <w:rPr>
          <w:i/>
          <w:iCs/>
        </w:rPr>
        <w:t>Hammond</w:t>
      </w:r>
      <w:r w:rsidRPr="00AD2F44">
        <w:t>, 216 F.R.D. at 672–73 (noting “lower courts addressing whether to permit discovery of the names and addresses of other similarly-situated employees in section 216(b) FLSA actions have almost universally permitted discovery of this information” and granting plaintiffs motion to compel such information prior to the court’s ruling on notice) (citing Hoffmann-La Roche v. Sperling, 493 U.S. 165, 170 (1989)); Baldozier v. American Family Mut. Ins. Co., 375 F. Supp. 2d 1089, 1091–93 (D. Col. 2005) (issuing notice and equitably tolling limitations period where defendant would not produce contact information for putative class members).</w:t>
      </w:r>
    </w:p>
    <w:p w14:paraId="78805335" w14:textId="77777777" w:rsidR="004322B1" w:rsidRPr="00AD2F44" w:rsidRDefault="004322B1">
      <w:pPr>
        <w:pStyle w:val="14Footnote"/>
      </w:pPr>
      <w:r w:rsidRPr="00AD2F44">
        <w:rPr>
          <w:i/>
          <w:iCs/>
        </w:rPr>
        <w:t>Eleventh Circuit:</w:t>
      </w:r>
      <w:r w:rsidRPr="00AD2F44">
        <w:t xml:space="preserve"> Planner v. Bennett Auto Supply, Inc., 2006 WL 4937608, at *1–2 (S.D. Fla. Feb. 27, 2006) (denying, in FLSA collective action, employer’s motion for protective order concerning discovery of other employees’ information and rejecting employer’s argument that such discovery was “means of ‘stirring up’ litigation by enticing other employees to join” lawsuit); Titre v. S.W. Bach &amp; Co., 2005 WL 1692508, at *2 (S.D. Fla. July 20, 2005) (granting motion to compel defendant to provide interrogatory response identifying similarly situated employees after notice motion was fully briefed, but before it was ruled upon; noting that this information “may no longer be relevant in helping Plaintiff to define a proposed plaintiff ‘class’” but that it was discoverable because plaintiff could seek to learn whether defendant had previously paid overtime to any potential class members); Smith v. Tradesmen Int’l, Inc., 289 F. Supp. 2d 1369, 1372 (S.D. Fla. 2003) (granting motion to compel names and addresses of potential class members to permit plaintiffs to collect evidence sufficient to meet burden of proof on authorizing notice).</w:t>
      </w:r>
    </w:p>
  </w:footnote>
  <w:footnote w:id="120">
    <w:p w14:paraId="6E0520EC" w14:textId="77777777" w:rsidR="004322B1" w:rsidRPr="00AD2F44" w:rsidRDefault="004322B1">
      <w:pPr>
        <w:pStyle w:val="14Footnote"/>
      </w:pPr>
      <w:r w:rsidRPr="00AD2F44">
        <w:rPr>
          <w:vertAlign w:val="superscript"/>
        </w:rPr>
        <w:footnoteRef/>
      </w:r>
      <w:r w:rsidRPr="00AD2F44">
        <w:rPr>
          <w:i/>
        </w:rPr>
        <w:t>See, e.g.,</w:t>
      </w:r>
    </w:p>
    <w:p w14:paraId="55CCE390" w14:textId="77777777" w:rsidR="004322B1" w:rsidRPr="00AD2F44" w:rsidRDefault="004322B1">
      <w:pPr>
        <w:pStyle w:val="14Footnote"/>
      </w:pPr>
      <w:r w:rsidRPr="00AD2F44">
        <w:rPr>
          <w:i/>
          <w:iCs/>
        </w:rPr>
        <w:t>Second Circuit:</w:t>
      </w:r>
      <w:r w:rsidRPr="00AD2F44">
        <w:t xml:space="preserve"> Zheng v. Good Fortune Supermarket Grp., 2013 WL 5132023 (E.D.N.Y. Sept. 12, 2013) (denying motion to compel production of names of class members after denying motion for conditional certification).</w:t>
      </w:r>
    </w:p>
    <w:p w14:paraId="3042DF75" w14:textId="77777777" w:rsidR="004322B1" w:rsidRPr="00AD2F44" w:rsidRDefault="004322B1">
      <w:pPr>
        <w:pStyle w:val="14Footnote"/>
      </w:pPr>
      <w:r w:rsidRPr="00AD2F44">
        <w:rPr>
          <w:i/>
          <w:iCs/>
        </w:rPr>
        <w:t>Third Circuit:</w:t>
      </w:r>
      <w:r w:rsidRPr="00AD2F44">
        <w:t xml:space="preserve"> Burkhart-Deal v. Citifinancial, Inc., 2009 WL 3053718, at *1 (W.D. Pa. Sept. 18, 2009) (rejecting plaintiff’s motion for defendant to reveal names of employees who had complained about improper compensation practices, reasoning that information plaintiff needed was fact of complaints, and there was risk of abuse by giving plaintiff access to potential new clients).</w:t>
      </w:r>
    </w:p>
    <w:p w14:paraId="108364AC" w14:textId="77777777" w:rsidR="004322B1" w:rsidRPr="00AD2F44" w:rsidRDefault="004322B1">
      <w:pPr>
        <w:pStyle w:val="14Footnote"/>
      </w:pPr>
      <w:r w:rsidRPr="00AD2F44">
        <w:rPr>
          <w:i/>
          <w:iCs/>
        </w:rPr>
        <w:t>Fourth Circuit:</w:t>
      </w:r>
      <w:r w:rsidRPr="00AD2F44">
        <w:t xml:space="preserve"> Velasquez-Monterrosa v. Mi Casa Rests., 2015 WL 1964400, at *8 (E.D.N.C. May 1, 2015) (denying production of contact information pre-notice, reasoning that plaintiff had not made sufficient showing of need and there was “risk of recruitment of class members outside the bounds of court supervision and, at this point, unjustified intrusion on the employees’ privacy”); Barton v. The Pantry, Inc., 2006 U.S. Dist. LEXIS 62989, at *4–6 (M.D.N.C. Aug. 31, 2006) (ruling that defendant was required to produce names and addresses only to avoid delay in issuing notice if court approved notice, and thus ruling that defendant need not actually produce names until court ruled on notice).</w:t>
      </w:r>
    </w:p>
    <w:p w14:paraId="1BB9D3CF" w14:textId="77777777" w:rsidR="004322B1" w:rsidRPr="00AD2F44" w:rsidRDefault="004322B1">
      <w:pPr>
        <w:pStyle w:val="14Footnote"/>
      </w:pPr>
      <w:r w:rsidRPr="00AD2F44">
        <w:rPr>
          <w:i/>
          <w:iCs/>
        </w:rPr>
        <w:t xml:space="preserve">Fifth Circuit: </w:t>
      </w:r>
      <w:r w:rsidRPr="00AD2F44">
        <w:t>Laney v. Clements Fluids Mgmt., LLC, 2020 WL 1451739, at *4–5 (E.D. Tex. Mar. 25, 2020) (denying plaintiff’s request for employee list, noting that because request was not a formal discovery demand, it was akin to judicial assistance to find nonparties, which would diminish court’s perceived neutrality); Palmer v. Priority Healthcare, Inc., 2013 WL 5771662 (S.D. Miss. Oct. 24, 2013) (denying motion for preliminary injunction seeking to enjoin the defendants from withholding contact information, stating that the motion was an attempt to bypass the requirements for certification, and that it would wait for a motion for certification).</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2FF5DF4" w14:textId="77777777" w:rsidR="004322B1" w:rsidRPr="00AD2F44" w:rsidRDefault="004322B1">
      <w:pPr>
        <w:pStyle w:val="14Footnote"/>
      </w:pPr>
      <w:r w:rsidRPr="00AD2F44">
        <w:rPr>
          <w:i/>
          <w:iCs/>
        </w:rPr>
        <w:t xml:space="preserve">Tenth Circuit: </w:t>
      </w:r>
      <w:r w:rsidRPr="00AD2F44">
        <w:t>Saenz v. Erick Flowback Servs., 2014 WL 7005358, at *2 (W.D. Okla. Oct. 23, 2014) (denying as premature request to produce names and addresses of putative class members before ruling on conditional certification, explaining that it would require defendant to determine “what individuals are similarly situated” to plaintiff based on complaint allegations).</w:t>
      </w:r>
    </w:p>
    <w:p w14:paraId="59C4247E" w14:textId="77777777" w:rsidR="004322B1" w:rsidRPr="00AD2F44" w:rsidRDefault="004322B1">
      <w:pPr>
        <w:pStyle w:val="14Footnote"/>
      </w:pPr>
      <w:r w:rsidRPr="00AD2F44">
        <w:rPr>
          <w:i/>
          <w:iCs/>
        </w:rPr>
        <w:t>Eleventh Circuit:</w:t>
      </w:r>
      <w:r w:rsidRPr="00AD2F44">
        <w:t xml:space="preserve"> Levine v. Gunther Motor Co. of Plantation, 2010 WL 5140590, at *3 (S.D. Fla. Dec. 9, 2010) (rejecting plaintiff’s precertification request for putative collective action members’ contact information, reasoning that information simply for purposes of inviting others to join collective action is not discoverable precertification under post-2000 Federal Rule of Civil Procedure 26); Crawford v. Dothan City Board of Ed., 214 F.R.D. 694 (M.D. Ala. 2003) (holding it to be premature to permit discovery of potential class members’ names and addresses before conditional certification of collective action).</w:t>
      </w:r>
    </w:p>
  </w:footnote>
  <w:footnote w:id="121">
    <w:p w14:paraId="54B8E138" w14:textId="77777777" w:rsidR="004322B1" w:rsidRPr="00AD2F44" w:rsidRDefault="004322B1">
      <w:pPr>
        <w:pStyle w:val="14Footnote"/>
      </w:pPr>
      <w:r w:rsidRPr="00AD2F44">
        <w:rPr>
          <w:vertAlign w:val="superscript"/>
        </w:rPr>
        <w:footnoteRef/>
      </w:r>
      <w:r w:rsidRPr="00AD2F44">
        <w:rPr>
          <w:i/>
          <w:iCs/>
        </w:rPr>
        <w:t>See, e.g.,</w:t>
      </w:r>
      <w:r w:rsidRPr="00AD2F44">
        <w:t xml:space="preserve"> Palmer v. Convergys Corp., 2011 WL 1326183, at *3 (M.D. Ga. Apr. 6, 2011) (allowing discovery of contact information of putative class members who worked for same supervisors during time plaintiffs worked, because those are potentially relevant fact witnesses to plaintiffs’ overtime claims, but denying facility-wide discovery of contact information, given lack of relevance under Rule 26 and potential for stirring up litigation).</w:t>
      </w:r>
    </w:p>
  </w:footnote>
  <w:footnote w:id="122">
    <w:p w14:paraId="53A50D51" w14:textId="77777777" w:rsidR="004322B1" w:rsidRPr="00AD2F44" w:rsidRDefault="004322B1">
      <w:pPr>
        <w:pStyle w:val="14Footnote"/>
      </w:pPr>
      <w:r w:rsidRPr="00AD2F44">
        <w:rPr>
          <w:vertAlign w:val="superscript"/>
        </w:rPr>
        <w:footnoteRef/>
      </w:r>
      <w:r w:rsidRPr="00AD2F44">
        <w:t>Valdez v. Cox Commc’ns of Las Vegas, 557 F. App’x 655 (9th Cir. 2014) (affirming denial of cable installers’ request for putative class member names and addresses because plaintiff had previously accepted Rule 68 offer of judgment, which mooted his claim).</w:t>
      </w:r>
    </w:p>
  </w:footnote>
  <w:footnote w:id="123">
    <w:p w14:paraId="7DFCAC72" w14:textId="77777777" w:rsidR="004322B1" w:rsidRPr="00AD2F44" w:rsidRDefault="004322B1">
      <w:pPr>
        <w:pStyle w:val="14Footnote"/>
      </w:pPr>
      <w:r w:rsidRPr="00AD2F44">
        <w:rPr>
          <w:vertAlign w:val="superscript"/>
        </w:rPr>
        <w:footnoteRef/>
      </w:r>
      <w:r w:rsidRPr="00AD2F44">
        <w:rPr>
          <w:i/>
        </w:rPr>
        <w:t>See, e.g.,</w:t>
      </w:r>
    </w:p>
    <w:p w14:paraId="61709151" w14:textId="77777777" w:rsidR="004322B1" w:rsidRPr="00AD2F44" w:rsidRDefault="004322B1">
      <w:pPr>
        <w:pStyle w:val="14Footnote"/>
      </w:pPr>
      <w:r w:rsidRPr="00AD2F44">
        <w:rPr>
          <w:i/>
          <w:iCs/>
        </w:rPr>
        <w:t>Second Circuit:</w:t>
      </w:r>
      <w:r w:rsidRPr="00AD2F44">
        <w:t xml:space="preserve"> Mikityuk v. Cision US Inc., 2021 WL 1750370, at *6 (S.D.N.Y. May 4, 2021) (granting nationwide conditional certification, holding plaintiffs’ declarations sufficient to support nationwide notice given evidence that “managers tied their actions in some instances to an overarching policy by the defendant of minimizing the accrual of overtime” and finding no evidence that three offices where declarants worked were “idiosyncratic in their compensation practices”); Chen v. XpresSpa at Terminal 4 JFK,</w:t>
      </w:r>
      <w:r w:rsidRPr="00AD2F44">
        <w:rPr>
          <w:i/>
          <w:iCs/>
        </w:rPr>
        <w:t xml:space="preserve"> </w:t>
      </w:r>
      <w:r w:rsidRPr="00AD2F44">
        <w:t>LLC, 2016 WL 5338536, at *4 (E.D.N.Y. Sept. 22, 2016) (granting nationwide conditional certification for claim by purportedly commission-only employees, based on plaintiffs’ affidavits that they were subject to policies and that policy required them to transfer among stores, even though affidavits covered only some of defendant’s locations and were partially based on hearsay, and refusing to consider factual disputes raised by defendant, noting that other district courts in New York had granted certification on evidence “even thinner” than what plaintiffs provided); Flood v. Just Energy Mktg. Corp., 2016 WL 354078 (S.D.N.Y. Jan. 25, 2016) (certifying nationwide class although plaintiff worked at only two of defendant’s offices, and finding that plaintiff need not name specific employees who were similarly situated to obtain conditional certification); Morris v. Lettire Constr. Corp., 896 F. Supp. 2d 265, 270–71 (S.D.N.Y 2012) (granting certification across construction sites after finding sufficient proof of companywide policy across all sites);</w:t>
      </w:r>
      <w:r w:rsidRPr="00AD2F44">
        <w:rPr>
          <w:b/>
          <w:bCs/>
        </w:rPr>
        <w:t xml:space="preserve"> </w:t>
      </w:r>
      <w:r w:rsidRPr="00AD2F44">
        <w:t>Aponte v. Comprehensive Health Mgmt., Inc., 2011 WL 2207586, at *4–6 (S.D.N.Y. June 2, 2011) (granting nationwide conditional certification for benefits consultants challenging their exempt status, because declarations of plaintiffs and 17 opt-ins showed “similarity and uniformity” of job position; this evidence was bolstered by job descriptions and fact of uniform classification as exempt under outside sales exemption); Neary v. Metropolitan Prop. &amp; Cas. Ins. Co., 517 F. Supp. 2d 606, 618–19 (D. Conn. 2007) (holding that plaintiff’s evidence of the similarly situated nature of the proposed class suggests that geography does not matter; the documentary evidence of the job duties and positions, and testimony offered, does not provide any basis on which to impose geographic restrictions); Levy v. Verizon Info. Servs., Inc., 2007 U.S. Dist. LEXIS 43223 (E.D.N.Y. June 13, 2007) (granting three-state conditional certification for telephone sales representatives based on affidavits from 9 of 19 office locations in three states); Sherrill v. Sutherland Global Servs., 487 F. Supp. 2d 344, 349–50 (W.D.N.Y. 2007) (granting companywide certification based on eight affidavits submitted from 10 of the company’s 11 call centers); Barrus v. Dick’s Sporting Goods, Inc., 465 F. Supp. 2d 224 (W.D.N.Y. 2006) (granting companywide certification where plaintiffs alleged that company had improper automatic meal deduction plan, meals were interrupted, and “comp time” was provided in lieu of overtime compensation).</w:t>
      </w:r>
    </w:p>
    <w:p w14:paraId="3683ACAA" w14:textId="77777777" w:rsidR="004322B1" w:rsidRPr="00AD2F44" w:rsidRDefault="004322B1">
      <w:pPr>
        <w:pStyle w:val="14Footnote"/>
      </w:pPr>
      <w:r w:rsidRPr="00AD2F44">
        <w:rPr>
          <w:i/>
          <w:iCs/>
        </w:rPr>
        <w:t xml:space="preserve">Third Circuit: </w:t>
      </w:r>
      <w:r w:rsidRPr="00AD2F44">
        <w:t xml:space="preserve">Jordan v. Meridian Bank, 2019 U.S. Dist. LEXIS 44256 (E.D. Pa. Mar. 18, 2019) (rejecting defendant’s argument that conditional certification should be limited to one branch, instead certifying in all states where plaintiff provided evidence of FLSA violations); </w:t>
      </w:r>
      <w:r w:rsidRPr="00AD2F44">
        <w:rPr>
          <w:i/>
          <w:iCs/>
        </w:rPr>
        <w:t>In re</w:t>
      </w:r>
      <w:r w:rsidRPr="00AD2F44">
        <w:t xml:space="preserve"> Enterprise Rent-A-Car Wage &amp; Hour Emp. Practices Litig., 2010 WL 3447783 (W.D. Pa. Aug. 13, 2010) (granting conditional certification because evidence showed sufficient similarity of job duties, particularly given same job description used, to permit nationwide notice other than in California).</w:t>
      </w:r>
    </w:p>
    <w:p w14:paraId="7483C03C" w14:textId="77777777" w:rsidR="004322B1" w:rsidRPr="00AD2F44" w:rsidRDefault="004322B1">
      <w:pPr>
        <w:pStyle w:val="14Footnote"/>
      </w:pPr>
      <w:r w:rsidRPr="00AD2F44">
        <w:rPr>
          <w:i/>
          <w:iCs/>
        </w:rPr>
        <w:t>Fourth Circuit:</w:t>
      </w:r>
      <w:r w:rsidRPr="00AD2F44">
        <w:t xml:space="preserve"> </w:t>
      </w:r>
      <w:r w:rsidRPr="0063494E">
        <w:t>Stacy v. Jennmar Corp. of Va., Inc.</w:t>
      </w:r>
      <w:r>
        <w:t xml:space="preserve">, </w:t>
      </w:r>
      <w:r w:rsidRPr="005E5777">
        <w:t>2022 BL 299321</w:t>
      </w:r>
      <w:r>
        <w:t xml:space="preserve">, </w:t>
      </w:r>
      <w:r w:rsidRPr="0052265E">
        <w:t xml:space="preserve">342 F.R.D. 215 </w:t>
      </w:r>
      <w:r w:rsidRPr="0063494E">
        <w:t>(W.D. Va. 2022)</w:t>
      </w:r>
      <w:r>
        <w:t xml:space="preserve"> (certifying nationwide collective where </w:t>
      </w:r>
      <w:r w:rsidRPr="0063494E">
        <w:t xml:space="preserve">defendants’ corporate </w:t>
      </w:r>
      <w:r>
        <w:t xml:space="preserve">representative </w:t>
      </w:r>
      <w:r w:rsidRPr="0063494E">
        <w:t>testified the same timekeeping system and pre-shift requirements were used for workers across the country</w:t>
      </w:r>
      <w:r>
        <w:t xml:space="preserve">); </w:t>
      </w:r>
      <w:r w:rsidRPr="00AD2F44">
        <w:t>Giegerich v. Watershed, LLC, 2016 WL 1169948 (D. Md. Mar. 24, 2016) (granting notice to class of cooks across four different restaurants where manager testified that defendants used same pay practice for all cooks across all four restaurants); Alderoty v. Maxim Healthcare Servs., Inc., 2015 WL 5675527, at *1 (D. Md. Sept. 23, 2015) (conditionally certifying nationwide class of health care recruiters based on evidence from plaintiffs who worked in only handful of states because such evidence was sufficient to show nationwide decision to treat recruiters as exempt); Myles v. Prosperity Mortg. Co., 2012 WL 1963390, at *8 (D. Md. May 31, 2012) (refusing to limit conditional certification to states where individuals filing declarations worked, because employer classified all loan officers as exempt and evidence indicated job duties were same and outside sales exemption requirements may not have been met).</w:t>
      </w:r>
    </w:p>
    <w:p w14:paraId="7D72ACC3" w14:textId="77777777" w:rsidR="004322B1" w:rsidRPr="00AD2F44" w:rsidRDefault="004322B1">
      <w:pPr>
        <w:pStyle w:val="14Footnote"/>
      </w:pPr>
      <w:r w:rsidRPr="00AD2F44">
        <w:rPr>
          <w:i/>
          <w:iCs/>
        </w:rPr>
        <w:t>Fifth Circuit:</w:t>
      </w:r>
      <w:r w:rsidRPr="00AD2F44">
        <w:t xml:space="preserve"> Roche v. S-3 Pump Serv., Inc., 2015 WL 4164802 (W.D. Tex. July 9, 2015) (rejecting defendant’s efforts to limit only to locations where current plaintiffs worked, noting plaintiffs alleged that defendant had one corporate office, one human resources department, and centralized hierarchy for determining pay); Vargas v. Richardson Trident Co., 2010 WL 730155, at *10 (S.D. Tex. Feb. 22, 2010) (approving notice to employees at all facilities, because evidence showed common policy, plan, or practice of failing to pay proper overtime compensation to hourly laborers; finding that geographic differences were irrelevant); Ryan v. Staff Care, Inc., 497 F. Supp. 2d 820, 826 (N.D. Tex. 2007) (approving companywide notice where evidence showed company changed exempt status of all sales and recruiting consultants throughout company); Allen v. McWane, 2006 U.S. Dist. LEXIS 81543, at *15–16 (E.D. Tex. Nov. 7, 2006) (approving companywide notice where plaintiffs provided testimony from employees of six of the companies’ 13 facilities).</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35AB57E" w14:textId="77777777" w:rsidR="004322B1" w:rsidRPr="00AD2F44" w:rsidRDefault="004322B1">
      <w:pPr>
        <w:pStyle w:val="14Footnote"/>
      </w:pPr>
      <w:r w:rsidRPr="00AD2F44">
        <w:rPr>
          <w:i/>
          <w:iCs/>
        </w:rPr>
        <w:t>Sixth Circuit:</w:t>
      </w:r>
      <w:r w:rsidRPr="00AD2F44">
        <w:t xml:space="preserve"> Waggoner v. U.S. Bancorp, 110 F. Supp. 3d 759 (N.D. Ohio 2015) (nationwide conditional certification granted based on affidavits from workers in three distinct states); White v. MPW Indus. Serv., Inc., 236 F.R.D. 363, 375 (E.D. Tenn. 2006) (deeming affidavits from employees who worked in two locations sufficient to warrant companywide notice where the affidavits alleged a companywide practice of failure to compensate for travel time).</w:t>
      </w:r>
    </w:p>
    <w:p w14:paraId="39F177F8" w14:textId="77777777" w:rsidR="004322B1" w:rsidRPr="00AD2F44" w:rsidRDefault="004322B1">
      <w:pPr>
        <w:pStyle w:val="14Footnote"/>
      </w:pPr>
      <w:r w:rsidRPr="00AD2F44">
        <w:rPr>
          <w:i/>
          <w:iCs/>
        </w:rPr>
        <w:t>Seventh Circuit:</w:t>
      </w:r>
      <w:r w:rsidRPr="00AD2F44">
        <w:t xml:space="preserve"> Black v. P.F. Chang’s China Bistro, Inc., 2017 WL 2080408, at *5 (N.D. Ill. May 15, 2017) (granting conditional certification for claim of improper tip credit notice at all locations in Illinois and New York, based on uniform tip credit reporting agreement that allegedly stated improper information about cash and tipped minimum wages, but only for years when plaintiffs worked and received same tip reporting agreement as other employees); Kelly v. Bluegreen Corp., 256 F.R.D. 626, 630–31 (W.D. Wis. 2009) (granting conditional certification at all 26 facilities, based on six affidavits and evidence that company employed same policy at all 26 facilities); DeKeyser v. Thyssenkrupp Waupaca, Inc., 2008 WL 5263750, at *4 (E.D. Wis. Dec. 18, 2008) (granting conditional certification for nearly 4,000 employees at six plants in donning and doffing case based on affidavits from seven current or former employees, where affidavits included observations of hundreds of other employees’ practice of putting on and taking off protective clothing before and after their shifts).</w:t>
      </w:r>
    </w:p>
    <w:p w14:paraId="7F942CB9" w14:textId="77777777" w:rsidR="004322B1" w:rsidRPr="00AD2F44" w:rsidRDefault="004322B1">
      <w:pPr>
        <w:pStyle w:val="14Footnote"/>
      </w:pPr>
      <w:r w:rsidRPr="00AD2F44">
        <w:rPr>
          <w:i/>
          <w:iCs/>
        </w:rPr>
        <w:t>Eighth Circuit:</w:t>
      </w:r>
      <w:r w:rsidRPr="00AD2F44">
        <w:t xml:space="preserve"> Sutherland v. Centurion Sec., LLC, 2019 WL 4856003, at *2 (W.D. Ark. Oct. 2, 2019) (granting conditional certification where plaintiff worked at 7 of defendant’s 80 client locations); Burch v. Qwest, 500 F. Supp. 2d 1181 (D. Minn. 2007) (certifying companywide class of call center employees where plaintiffs established that all call center employees performed similar duties prior to logging into the payroll system and company operated a centralized “mission control” that supervised overall work performance of call center employees); Davis v. NovaStar Mortg., Inc., 408 F. Supp. 2d 811, 815 (W.D. Mo. 2005) (certifying nationwide class where company had a nationwide policy of classifying loan originators as exempt).</w:t>
      </w:r>
    </w:p>
    <w:p w14:paraId="7284A7EB" w14:textId="77777777" w:rsidR="004322B1" w:rsidRPr="00AD2F44" w:rsidRDefault="004322B1">
      <w:pPr>
        <w:pStyle w:val="14Footnote"/>
      </w:pPr>
      <w:r w:rsidRPr="00AD2F44">
        <w:rPr>
          <w:i/>
          <w:iCs/>
        </w:rPr>
        <w:t>Ninth Circuit:</w:t>
      </w:r>
      <w:r w:rsidRPr="00AD2F44">
        <w:t xml:space="preserve"> Cardoza v. Bloomin’ Brands, Inc., 2014 WL 5454178, at *2 (D. Nev. Oct. 24, 2014) (permitting notice to class in all states where defendant operated, citing declarations by plaintiffs covering nearly 40% of states where defendant operated and that alleged violations were not localized such that they should be limited to narrower geographic scope); Gamble v. Boyd Gaming Corp., 2014 WL 2573899, at *4–5 (D. Nev. June 6, 2014) (granting nationwide notice for improper rounding claim because defendant admitted that rounding practice operated nationwide, but limiting off-the-clock claim to two locations where plaintiffs worked, given lack of evidence that there was common policy nationwide); Hensley v. Eppendorf N.A., Inc., 2014 WL 2566144, at *5–7 (S.D. Cal. June 6, 2014) (granting conditional certification to nationwide putative class of technicians allegedly misclassified as exempt, relying on lenient standard, plaintiff’s declaration, and company job descriptions and policies, and noting lack of any contention by defendant that technicians performed different tasks or were not all classified as exempt); Adams v. Inter-Con Sec. Sys., 242 F.R.D. 530, 538–39 (N.D. Cal. 2007) (certifying nationwide class where company had alleged policy of not compensating security officers for pre-shift work, indicating that evidence need not be submitted for all facilities to warrant conditional certification).</w:t>
      </w:r>
    </w:p>
    <w:p w14:paraId="662AE62B" w14:textId="77777777" w:rsidR="004322B1" w:rsidRPr="00AD2F44" w:rsidRDefault="004322B1">
      <w:pPr>
        <w:pStyle w:val="14Footnote"/>
      </w:pPr>
      <w:r w:rsidRPr="00AD2F44">
        <w:rPr>
          <w:i/>
          <w:iCs/>
        </w:rPr>
        <w:t xml:space="preserve">Tenth Circuit: </w:t>
      </w:r>
      <w:r w:rsidRPr="00AD2F44">
        <w:t>McGlon v. Sprint Corp., 2016 WL 7103949, at *5 (D. Kan. Dec. 6, 2016) (granting conditional certification to companywide locations for “sales farmers,” finding sufficient complaint allegations by plaintiff, who was from Kansas, and declaration of another employee in Georgia location, both claiming existence of centralized human resources, payroll, and timekeeping function and failure to pay overtime to them as hourly workers).</w:t>
      </w:r>
    </w:p>
    <w:p w14:paraId="16CCECF2" w14:textId="77777777" w:rsidR="004322B1" w:rsidRPr="00AD2F44" w:rsidRDefault="004322B1">
      <w:pPr>
        <w:pStyle w:val="14Footnote"/>
      </w:pPr>
      <w:r w:rsidRPr="00AD2F44">
        <w:rPr>
          <w:i/>
          <w:iCs/>
        </w:rPr>
        <w:t>Eleventh Circuit:</w:t>
      </w:r>
      <w:r w:rsidRPr="00AD2F44">
        <w:t xml:space="preserve"> Palma v. MetroPCS Wireless, Inc., 2013 WL 6597079 (M.D. Fla. Dec. 16, 2013) (granting conditional certification for nationwide class based on eight declarations from current and former employees in three different states); Bobbitt v. Broadband Interactive, Inc., 2012 WL 1898636, at *6 (M.D. Fla. May 23, 2012) (granting notice across Florida for technicians claiming they were misclassified as independent contractors, because plaintiff demonstrated that work and pay provisions of declarants were similar); Vaccaro v. Candidates on Demand Group, Inc., 2008 U.S. Dist. LEXIS 29344, at *6–7 (S.D. Fla. Apr. 10, 2008) (granting conditional certification for nationwide class based on affidavits from plaintiffs employed in three states); Pendlebury v. Starbucks Coffee Co., 2005 U.S. Dist. LEXIS 574 (S.D. Fla. Jan. 3, 2005) (granting nationwide conditional certification based on allegations in verified complaint filed by two former store managers and affidavits from four former managers who worked at seven different Starbucks locations in four different states).</w:t>
      </w:r>
    </w:p>
    <w:p w14:paraId="4EAAB3EA" w14:textId="77777777" w:rsidR="004322B1" w:rsidRPr="00AD2F44" w:rsidRDefault="004322B1">
      <w:pPr>
        <w:pStyle w:val="14Footnote"/>
      </w:pPr>
      <w:r w:rsidRPr="00AD2F44">
        <w:rPr>
          <w:i/>
          <w:iCs/>
        </w:rPr>
        <w:t>D</w:t>
      </w:r>
      <w:r w:rsidRPr="00AD2F44">
        <w:t>.</w:t>
      </w:r>
      <w:r w:rsidRPr="00AD2F44">
        <w:rPr>
          <w:i/>
          <w:iCs/>
        </w:rPr>
        <w:t>C</w:t>
      </w:r>
      <w:r w:rsidRPr="00AD2F44">
        <w:t>.</w:t>
      </w:r>
      <w:r w:rsidRPr="00AD2F44">
        <w:rPr>
          <w:i/>
          <w:iCs/>
        </w:rPr>
        <w:t xml:space="preserve"> Circuit: </w:t>
      </w:r>
      <w:r w:rsidRPr="00AD2F44">
        <w:t>McKinney v. United Stor-All Ctrs., Inc., 585 F. Supp. 2d 6 (D.D.C. 2008) (granting conditional certification for facilities in District of Columbia, Maryland, and Northern Virginia, where plaintiff’s evidence showed that duties and responsibilities of putative class-member facility managers were same at facilities at issue and governed by same operations manual, and that all managers reported to same district manager).</w:t>
      </w:r>
    </w:p>
  </w:footnote>
  <w:footnote w:id="124">
    <w:p w14:paraId="05C4F419" w14:textId="77777777" w:rsidR="004322B1" w:rsidRPr="00AD2F44" w:rsidRDefault="004322B1">
      <w:pPr>
        <w:pStyle w:val="14Footnote"/>
      </w:pPr>
      <w:r w:rsidRPr="00AD2F44">
        <w:rPr>
          <w:vertAlign w:val="superscript"/>
        </w:rPr>
        <w:footnoteRef/>
      </w:r>
      <w:r w:rsidRPr="00AD2F44">
        <w:t>1998 U.S. Dist. LEXIS 13131 (M.D. Fla. July 1, 1998).</w:t>
      </w:r>
    </w:p>
  </w:footnote>
  <w:footnote w:id="125">
    <w:p w14:paraId="6FD51F9F" w14:textId="77777777" w:rsidR="004322B1" w:rsidRPr="00AD2F44" w:rsidRDefault="004322B1">
      <w:pPr>
        <w:pStyle w:val="14Footnote"/>
      </w:pPr>
      <w:r w:rsidRPr="00AD2F44">
        <w:rPr>
          <w:vertAlign w:val="superscript"/>
        </w:rPr>
        <w:footnoteRef/>
      </w:r>
      <w:r w:rsidRPr="00AD2F44">
        <w:t>2019 WL 1499158 (S.D. Tex. Apr. 3, 2018).</w:t>
      </w:r>
    </w:p>
  </w:footnote>
  <w:footnote w:id="126">
    <w:p w14:paraId="5E2B0DF9" w14:textId="77777777" w:rsidR="004322B1" w:rsidRPr="00AD2F44" w:rsidRDefault="004322B1">
      <w:pPr>
        <w:pStyle w:val="14Footnote"/>
      </w:pPr>
      <w:r w:rsidRPr="00AD2F44">
        <w:rPr>
          <w:vertAlign w:val="superscript"/>
        </w:rPr>
        <w:footnoteRef/>
      </w:r>
      <w:r w:rsidRPr="00AD2F44">
        <w:rPr>
          <w:i/>
        </w:rPr>
        <w:t>See, e.g.,</w:t>
      </w:r>
    </w:p>
    <w:p w14:paraId="34C3E2FF" w14:textId="77777777" w:rsidR="004322B1" w:rsidRPr="00AD2F44" w:rsidRDefault="004322B1">
      <w:pPr>
        <w:pStyle w:val="14Footnote"/>
      </w:pPr>
      <w:r w:rsidRPr="00AD2F44">
        <w:rPr>
          <w:i/>
          <w:iCs/>
        </w:rPr>
        <w:t>First Circuit:</w:t>
      </w:r>
      <w:r w:rsidRPr="00AD2F44">
        <w:t xml:space="preserve"> Trezvant v. Fidelity Emp. Servs. Corp., 434 F. Supp. 2d 40, 48 (D. Mass. 2006) (limiting certification to offices in one city because none of the affiants “purported to know the policies of other branches of the company”); O’Donnell v. Robert Half Int’l, Inc., 429 F. Supp. 2d 246, 250 (D. Mass. 2006) (deeming affidavits from two plaintiffs insufficient to certify nationwide class where plaintiffs presented no personal knowledge of company practices in other offices or divisions).</w:t>
      </w:r>
    </w:p>
    <w:p w14:paraId="59E82CCC" w14:textId="77777777" w:rsidR="004322B1" w:rsidRPr="00AD2F44" w:rsidRDefault="004322B1">
      <w:pPr>
        <w:pStyle w:val="14Footnote"/>
      </w:pPr>
      <w:r w:rsidRPr="00AD2F44">
        <w:rPr>
          <w:i/>
          <w:iCs/>
        </w:rPr>
        <w:t>Second Circuit:</w:t>
      </w:r>
      <w:r w:rsidRPr="00AD2F44">
        <w:t xml:space="preserve"> Liz v. 5 Tellers Assocs., 2021 BL 120704, 2021 WL 1224518, at *6 (E.D.N.Y. Apr. 1, 2021) (limiting conditional certification to Bronx locations, finding declarations insufficient to support finding that employees at Manhattan or Brooklyn buildings suffered same wage violations); Huang v Shanghai City Corp., 2020 BL 377858, 2020 WL 5849099 (S.D.N.Y. Oct. 19, 2020) (limiting certification to one restaurant location where plaintiffs worked, given different management and practices at second restaurant and the lack of evidence by anyone with timely FLSA claim of unlawful common policy or plan at second restaurant); Brown v. Avalonbay Cmtys., Inc., 2019 US Dist. Lexis 58954 (E.D.N.Y. Mar. 18, 2019) (granting conditional certification, but limiting putative class to states where plaintiffs made sufficient showing); Anjum v. J.C. Penney Co., 2015 WL 3603973, at *1, 9 (E.D.N.Y. June 5, 2015) (conditional certification limited to stores where current plaintiffs had worked); Apolinar v. R.J. 49 Rest., LLC, 2016 WL 2903278 (S.D.N.Y. 2016) (same); McGlone v. Contract Callers, Inc., 867 F. Supp. 2d 438, 444–45 (S.D.N.Y. 2012) (limiting certification to New York division where employer offered evidence showing that divisions were stand-alone and divided geographically and countervailing evidence presented by plaintiff was based on “information and belief”); Macpherson v. Firth Rixson Ltd., 2012 WL 2522881, at *4–5 (W.D.N.Y. June 28, 2012) (limiting class to individuals who worked in one facility, rejecting proposed nationwide class, reasoning that contentions regarding practices at defendants’ other facilities were unsupported and contradicted by defendants’ affidavits); D’Antuono v. C &amp; G of Groton, Inc., 2011 WL 5878045, at *5–6 (D. Conn. Nov. 23, 2011) (limiting conditional certification and notice to one location in Connecticut, where plaintiff introduced no evidence from individuals at other location, and did not show that two locations were subdivisions of same company rather than autonomous entities); Laroque v. Domino’s Pizza, LLC, 557 F. Supp. 2d 346, 353 (E.D.N.Y. 2008) (deeming affidavits by four employees of the Coney Island location insufficient to certify claims for Brooklyn stores).</w:t>
      </w:r>
    </w:p>
    <w:p w14:paraId="3B0B77FC" w14:textId="77777777" w:rsidR="004322B1" w:rsidRPr="00AD2F44" w:rsidRDefault="004322B1">
      <w:pPr>
        <w:pStyle w:val="14Footnote"/>
      </w:pPr>
      <w:r w:rsidRPr="00AD2F44">
        <w:rPr>
          <w:i/>
          <w:iCs/>
        </w:rPr>
        <w:t>Third Circuit:</w:t>
      </w:r>
      <w:r w:rsidRPr="00AD2F44">
        <w:t xml:space="preserve"> Naicker v. Warrior Energy Servs., Inc., 2015 WL 1642209, at *3–4 (W.D. Pa. Apr. 9, 2015) (permitting notice for Pennsylvania location on claim of misclassification under Motor Carrier Act, but denying it to North Dakota and Texas locations, given lack of evidence based on personal knowledge of allegedly unlawful practice at those locations); Bredbenner v. Liberty Travel, Inc., 2009 WL 2391279, at *3 (D.N.J. July 31, 2009) (granting conditional certification on “diminishing overtime” claim covering four states from which plaintiffs had provided affiants or employment agreements signed by chief operating officer, but denying nationwide certification absent similar evidence, though allowing that plaintiffs could renew motion if they obtained such evidence).</w:t>
      </w:r>
    </w:p>
    <w:p w14:paraId="4206CB46" w14:textId="77777777" w:rsidR="004322B1" w:rsidRPr="00AD2F44" w:rsidRDefault="004322B1">
      <w:pPr>
        <w:pStyle w:val="14Footnote"/>
      </w:pPr>
      <w:r w:rsidRPr="00AD2F44">
        <w:rPr>
          <w:i/>
          <w:iCs/>
        </w:rPr>
        <w:t>Fourth Circuit:</w:t>
      </w:r>
      <w:r w:rsidRPr="00AD2F44">
        <w:t xml:space="preserve"> Graham v. Famous Dave’s of Am., Inc., 2020 BL 364487, 2020 WL 5653231, at *9 (D. Md. Sept. 23, 2020) (limiting conditional certification to Maryland restaurants only where evidence suggested managerial policies might differ in other locations); Sodekson v. East Coast Rest. &amp; Nightclubs, LLC, 2016 WL 4613386, at *8 (D.S.C. Sept. 6, 2016) (denying conditional certification, rejecting as insufficient claims that same payment policy existed at company’s clubs across country, given lack of evidence beyond single declaration by another employee, some screen shots from club websites, and plaintiff’s allegations in her complaint); Bernard v. Household Int’l, Inc., 231 F. Supp. 2d 433, 435–36 (E.D. Va. 2004) (limiting class to two offices where only “a scintilla of evidence of company-wide policy” of central processing of payroll); Camper v. Home Quality Mgmt., Inc., 200 F.R.D. 516, 520 (D. Md. 2000) (limiting scope of class of plaintiffs subjected to lunch break and preliminary and postliminary time deductions to one location because plaintiffs failed to allege knowledge of such deductions in other locations).</w:t>
      </w:r>
    </w:p>
    <w:p w14:paraId="19B11645" w14:textId="77777777" w:rsidR="004322B1" w:rsidRPr="00AD2F44" w:rsidRDefault="004322B1">
      <w:pPr>
        <w:pStyle w:val="14Footnote"/>
      </w:pPr>
      <w:r w:rsidRPr="00AD2F44">
        <w:rPr>
          <w:i/>
          <w:iCs/>
        </w:rPr>
        <w:t>Fifth Circuit:</w:t>
      </w:r>
      <w:r w:rsidRPr="00AD2F44">
        <w:t xml:space="preserve"> McCloud v. McClinton Energy Grp., LLC, 2015 WL 737024, at *8 (W.D. Tex. Feb. 20, 2015) (granting certification at two locations where affidavits showed allegedly unlawful policy employed, but not to all locations given lack of such evidence); Huaman v. Ojos Locos Sports Cantina, LLC, 2014 WL 4081554, at *6 (N.D. Tex. Aug. 19, 2014) (limiting notice to employees who worked at one store in Texas, and denying it statewide, because of lack of evidence that alleged unlawful practices occurred other than at store where plaintiffs worked); Baricuatro v. Industrial Pers. &amp; Mgmt. Servs., Inc., 2012 WL 5472302, at *3 (E.D. La. Nov. 9, 2012) (granting certification for Louisiana worksites but holding action limited to that state because no evidence put forth that similarly situated persons were employed outside Louisiana); Flowers v. MGTI, LLC, 2012 WL 1941755, at *4 (S.D. Tex. May 29, 2012) (granting certification as to Houston location, but denying it as to Milwaukee location, where there was no evidence that policies at issue in Houston applied in Milwaukee and companies were separately owned LLCs).</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9B026BD" w14:textId="77777777" w:rsidR="004322B1" w:rsidRPr="00AD2F44" w:rsidRDefault="004322B1">
      <w:pPr>
        <w:pStyle w:val="14Footnote"/>
      </w:pPr>
      <w:r w:rsidRPr="00AD2F44">
        <w:rPr>
          <w:i/>
          <w:iCs/>
        </w:rPr>
        <w:t>Sixth Circuit:</w:t>
      </w:r>
      <w:r w:rsidRPr="00AD2F44">
        <w:t xml:space="preserve"> Loschiavo v. Advanced Drainage Sys., Inc., 2022 BL 206383, 2022 WL 1749049, at *1 (S.D. Ohio May 2, 2022) (limiting conditional certification to eight worksites where declarants worked, denying nationwide certification for all 50 locations); Bernardez v. Firstsource Sols. USA, LLC, 2019 U.S. Dist. LEXIS 155918 (W.D. Ky. Sept. 11, 2019) (limiting conditional certification to locations where plaintiffs/declarants worked); Tyler v. Taco Bell Corp., 2016 WL 2344229 (W.D. Tenn. May 3, 2016) (conditional certification limited to two locations where plaintiff worked); Roberts v. Corrections Corp. of Am., 2015 WL 3905088 (M.D. Tenn. June 25, 2015) (limiting conditional certification to Tennessee where all but one plaintiff worked); Neff v. U.S. XPRESS, Inc., 2013 WL 4479078 (S.D. Ohio Aug. 20, 2013) (certifying collective of employees from single distribution center rather than nationwide class because plaintiff’s evidence limited to her facility); Shabazz v. Asurion Ins. Serv., 2008 U.S. Dist. LEXIS 29696, at *13–14 (M.D. Tenn. Apr. 10, 2008) (limiting certification to one of two call centers at issue because plaintiffs provided no declarations from any employee who worked in the second call center); Clark v. Dollar Gen. Corp., 2001 U.S. Dist. LEXIS 25976 (M.D. Tenn. May 23, 2001) (limiting certification to same district where affiants worked).</w:t>
      </w:r>
    </w:p>
    <w:p w14:paraId="35CAFA0D" w14:textId="77777777" w:rsidR="004322B1" w:rsidRPr="00AD2F44" w:rsidRDefault="004322B1">
      <w:pPr>
        <w:pStyle w:val="14Footnote"/>
      </w:pPr>
      <w:r w:rsidRPr="00AD2F44">
        <w:rPr>
          <w:i/>
          <w:iCs/>
        </w:rPr>
        <w:t>Seventh Circuit:</w:t>
      </w:r>
      <w:r w:rsidRPr="00AD2F44">
        <w:t xml:space="preserve"> Hannah v. Huntington Nat’l Bank, 2020 BL 190514, 2020 WL 2571898, at *10 (N.D. Ill. May 21, 2020) (limiting conditional certification to employees who reported to same supervisor at single bank branch where plaintiff mortgage loan officer worked for failure to introduce any evidence that other branches or other supervisors’ mortgage loan officers experienced similar pay compensation practices); Black v. P.F. Chang’s China Bistro, Inc., 2017 WL 2080408, at *7–11 (N.D. Ill. May 15, 2017) (limiting conditional certification on tip claims because two declarations provided insufficient evidence to support broader certification, and rejecting claim that alleged centralized control of company was sufficient to permit broader notice); Brand v. Comcast Corp., 2012 WL 4482124, at *4 (N.D. Ill. Sept. 26, 2012) (granting certification but limiting to facility in which plaintiffs worked because none of plaintiffs’ declarations contained information about practices at other facilities); Collazzo v. Forefront Educ., Inc., 2010 WL 335327, at *5 (N.D. Ill. Jan. 28, 2010) (granting conditional certification of class as to Illinois locations, but denying it as to Florida locations, where none of named plaintiffs had worked in Florida, and named plaintiffs lacked any personal knowledge of Florida work practices, reasoning that although standard is low for certification, it is “not a mere formality”).</w:t>
      </w:r>
    </w:p>
    <w:p w14:paraId="46E792F3" w14:textId="77777777" w:rsidR="004322B1" w:rsidRPr="00AD2F44" w:rsidRDefault="004322B1">
      <w:pPr>
        <w:pStyle w:val="14Footnote"/>
      </w:pPr>
      <w:r w:rsidRPr="00AD2F44">
        <w:rPr>
          <w:i/>
          <w:iCs/>
        </w:rPr>
        <w:t>Eighth Circuit:</w:t>
      </w:r>
      <w:r w:rsidRPr="00AD2F44">
        <w:t xml:space="preserve"> Norris v. Bluestem Brands, Inc., 2018 WL 1972473, at *7–8 (D. Minn. Apr. 26, 2018) (holding conditional certification of collective that included employees from call centers outside particular call center where named plaintiffs worked was inappropriate because plaintiffs failed to make any factual showing that employees at other call centers were similarly situated to them or subject to similar policies); McLendon v. Schlumberger Tech. Corp., 2016 WL 3911897, at *3 (E.D. Ark. July 15, 2016) (denying nationwide certification of misclassification case, given plaintiff’s vague and conclusory statements, and lack of personal knowledge or evidence, about what others with same job position did outside areas where he worked); Harris v. Chipotle Mexican Grill, Inc., 49 F. Supp. 3d 564, 578–79 (D. Minn. 2014) (limiting notice of alleged off-the-clock work claim to single location where plaintiffs worked, given lack of evidence for notice nationwide; all but one declaration was from same store, one mentioned a few stores in Colorado, and there were some Internet postings about two stores in Illinois, which was insufficient for nationwide notice); Jost v. Commonwealth Land Title Ins. Co., 2009 WL 211943, at *4 (E.D. Mo. Jan. 27, 2009) (limiting conditional certification to facilities in five-state region, but not nationwide, where there was evidence that certain regional management officials permitted off-the-clock work, but no evidence that this practice occurred nationwide and company policy prohibited off-the-clock work).</w:t>
      </w:r>
    </w:p>
    <w:p w14:paraId="3CFD4008" w14:textId="77777777" w:rsidR="004322B1" w:rsidRPr="00AD2F44" w:rsidRDefault="004322B1">
      <w:pPr>
        <w:pStyle w:val="14Footnote"/>
      </w:pPr>
      <w:r w:rsidRPr="00AD2F44">
        <w:rPr>
          <w:i/>
          <w:iCs/>
        </w:rPr>
        <w:t>Ninth Circuit:</w:t>
      </w:r>
      <w:r w:rsidRPr="00AD2F44">
        <w:t xml:space="preserve"> Kesley v. Entertainment U.S.A., Inc., 67 F. Supp. 3d 1061, 1069 (D. Ariz. 2014) (limiting notice to exotic dancers of alleged minimum wage and overtime violations to locations where named plaintiffs worked, where they failed to show knowledge of practices at other locations); </w:t>
      </w:r>
      <w:r w:rsidRPr="00AD2F44">
        <w:rPr>
          <w:i/>
          <w:iCs/>
        </w:rPr>
        <w:t>Gamble</w:t>
      </w:r>
      <w:r w:rsidRPr="00AD2F44">
        <w:t>, 2014 WL 2573899, at *4–5 (granting nationwide notice for improper rounding claim because defendant admitted that rounding practice operated nationwide, but limiting off-the-clock claim to two locations where plaintiffs worked, given lack of evidence that there was common policy nationwide); Young v. Beard, 2014 WL 66706 (E.D. Cal. Jan. 8, 2014) (denying motion to amend certification order because declaration from correctional officer at another prison insufficient to expand class to all corrections officers throughout state of California).</w:t>
      </w:r>
    </w:p>
    <w:p w14:paraId="5A8E3EE2" w14:textId="77777777" w:rsidR="004322B1" w:rsidRPr="00AD2F44" w:rsidRDefault="004322B1">
      <w:pPr>
        <w:pStyle w:val="14Footnote"/>
      </w:pPr>
      <w:r w:rsidRPr="00AD2F44">
        <w:rPr>
          <w:i/>
          <w:iCs/>
        </w:rPr>
        <w:t>Tenth Circuit:</w:t>
      </w:r>
      <w:r w:rsidRPr="00AD2F44">
        <w:t xml:space="preserve"> Avendano v. Averus, Inc., 2015 WL 1529354, at *5–8 (D. Colo. Mar. 31, 2015) (limiting certification to Denver location and certain employees, and denying it at other company locations, because plaintiff submitted insufficient evidence of allegedly unlawful policy or plan not to pay overtime to warrant broader notice).</w:t>
      </w:r>
    </w:p>
    <w:p w14:paraId="1E0F44FC" w14:textId="77777777" w:rsidR="004322B1" w:rsidRPr="00AD2F44" w:rsidRDefault="004322B1">
      <w:pPr>
        <w:pStyle w:val="14Footnote"/>
      </w:pPr>
      <w:r w:rsidRPr="00AD2F44">
        <w:rPr>
          <w:i/>
          <w:iCs/>
        </w:rPr>
        <w:t>Eleventh Circuit:</w:t>
      </w:r>
      <w:r w:rsidRPr="00AD2F44">
        <w:t xml:space="preserve"> Villarino v. Pacesetter Pers. Serv., Inc., 2021 WL 8946184 (S.D. Fla. Sept. 24, 2021) (denying plaintiffs’ renewed conditional certification motion after discovery for nationwide collective, finding insufficient evidence of common policy implemented across nationwide worksites); Harapeti v. CBS Television Stations Inc., 2020 BL 501432, 2020 WL 8083695 (S.D. Fla. Dec. 21, 2020) (granting conditional certification but declining to extend scope nationwide and instead limited to geographical location of named plaintiff given lack of evidence regarding individuals with claims or any common allegedly unlawful policy beyond her location); Reese v. Florida Bc Holdings, LLC, 2018 U.S. Dist. LEXIS 73343 (M.D. Fla. Mar. 16, 2018) (limiting geographic scope to only locations for which plaintiffs provided evidence of employee interest in opting in); Holmes v. Swissport Fueling, Inc., 2017 WL 8794900, at *9 (M.D. Fla. Sept. 1, 2017) (limiting notice to aircraft fuelers employed by defendants only at location where plaintiffs worked, finding plaintiffs’ evidence did not justify companywide notice in light of evidence offered by defendants that fuelers at other locations had different job duties, schedules, and timekeeping systems, and also were subject to collective bargaining agreements as to pay rates); Campbell v. Pincher’s Beach Bar Grill Inc., 2016 WL 3626219, at *4 (M.D. Fla. July 7, 2016) (limiting conditional certification in tip credit and pooling notice case to one restaurant, where plaintiff’s evidence of lack of notice at other restaurants consisted of only previously dismissed lawsuit against same defendant, and fact that restaurants shared website and email address, and had same officers); Pomareda v. Homebridge Mortg. Bankers Corp., 2007 U.S. Dist. LEXIS 12572, at *5–7 (S.D. Fla. Feb. 22, 2007) (limiting certification to same location where the named plaintiffs and opt-in plaintiffs were employed where no evidence was submitted linking defendant’s policies in other locations); Robbins-Pagel v. WM. F. Puckett, Inc., 2006 U.S. Dist. LEXIS 85253 (M.D. Fla. Nov. 22, 2006) (limiting notice to same county as plaintiff where no evidence was provided outside of the county); Reed v. Mobile Cnty. Sch. Sys., 246 F. Supp. 2d 1227, 1332–33 (S.D. Ala. 2003) (denying certification based on plaintiffs’ failure to prove that schools within the district court’s geographic boundaries did not have autonomy regarding alleged wage violations); Harper v. Lovett’s Buffet, Inc., 185 F.R.D. 358, 363 (M.D. Ala. 1999) (refusing to recognize an FLSA class extending beyond the plaintiffs’ restaurant absent evidence that other restaurants handled overtime compensation issues similarly); Tucker v. Labor Leasing, Inc., 872 F. Supp. 941 (M.D. Fla. 1994) (deeming testimony of two clerical employees who worked within the company’s Jacksonville terminal insufficient to establish that other employees in other terminals were similarly situated where the company provided testimony that wage rates and shift decisions were made on a terminal-by-terminal basis).</w:t>
      </w:r>
    </w:p>
    <w:p w14:paraId="4AD64C11" w14:textId="77777777" w:rsidR="004322B1" w:rsidRPr="00AD2F44" w:rsidRDefault="004322B1">
      <w:pPr>
        <w:pStyle w:val="14Footnote"/>
      </w:pPr>
      <w:r w:rsidRPr="00AD2F44">
        <w:rPr>
          <w:i/>
          <w:iCs/>
        </w:rPr>
        <w:t xml:space="preserve">See also </w:t>
      </w:r>
      <w:r w:rsidRPr="00AD2F44">
        <w:t>Bowman v. Crossmark, Inc., 2010 WL 2837519, at *3 (E.D. Tenn. July 19, 2010) (rejecting notice and finding that proposed nationwide class of 12,000 covering vast geographical area would “present a multitude of management and logistical problems”).</w:t>
      </w:r>
    </w:p>
    <w:p w14:paraId="1A30FDD2" w14:textId="77777777" w:rsidR="004322B1" w:rsidRPr="00AD2F44" w:rsidRDefault="004322B1">
      <w:pPr>
        <w:pStyle w:val="14Footnote"/>
      </w:pPr>
      <w:r w:rsidRPr="00AD2F44">
        <w:rPr>
          <w:i/>
          <w:iCs/>
        </w:rPr>
        <w:t>Cf</w:t>
      </w:r>
      <w:r w:rsidRPr="00AD2F44">
        <w:t>.</w:t>
      </w:r>
      <w:r w:rsidRPr="00AD2F44">
        <w:rPr>
          <w:i/>
          <w:iCs/>
        </w:rPr>
        <w:t xml:space="preserve"> </w:t>
      </w:r>
      <w:r w:rsidRPr="00AD2F44">
        <w:t>Yerger v. Liberty Mut. Group, Inc., 2011 WL 5593151, at *5 (E.D.N.C. Nov. 15, 2011) (denying certification, but explaining that, at most, certification might be appropriate for a single region of employees in the same job position and business line, not for the nationwide collective action proposed, based on the six declarations from plaintiff, which all came from one business unit)</w:t>
      </w:r>
    </w:p>
  </w:footnote>
  <w:footnote w:id="127">
    <w:p w14:paraId="64862C5E" w14:textId="77777777" w:rsidR="004322B1" w:rsidRPr="00AD2F44" w:rsidRDefault="004322B1">
      <w:pPr>
        <w:pStyle w:val="14Footnote"/>
      </w:pPr>
      <w:r w:rsidRPr="00AD2F44">
        <w:rPr>
          <w:vertAlign w:val="superscript"/>
        </w:rPr>
        <w:footnoteRef/>
      </w:r>
      <w:r w:rsidRPr="00AD2F44">
        <w:t>2007 U.S. Dist. LEXIS 26160 (M.D. Fla. Oct. 10, 2008).</w:t>
      </w:r>
    </w:p>
  </w:footnote>
  <w:footnote w:id="128">
    <w:p w14:paraId="0A60EC24" w14:textId="77777777" w:rsidR="004322B1" w:rsidRPr="00AD2F44" w:rsidRDefault="004322B1">
      <w:pPr>
        <w:pStyle w:val="14Footnote"/>
      </w:pPr>
      <w:r w:rsidRPr="00AD2F44">
        <w:rPr>
          <w:vertAlign w:val="superscript"/>
        </w:rPr>
        <w:footnoteRef/>
      </w:r>
      <w:r w:rsidRPr="00AD2F44">
        <w:rPr>
          <w:i/>
          <w:iCs/>
        </w:rPr>
        <w:t>Id.</w:t>
      </w:r>
      <w:r w:rsidRPr="00AD2F44">
        <w:t xml:space="preserve"> at *10. </w:t>
      </w:r>
    </w:p>
  </w:footnote>
  <w:footnote w:id="129">
    <w:p w14:paraId="434FDA53" w14:textId="77777777" w:rsidR="004322B1" w:rsidRPr="00AD2F44" w:rsidRDefault="004322B1">
      <w:pPr>
        <w:pStyle w:val="14Footnote"/>
      </w:pPr>
      <w:r w:rsidRPr="00AD2F44">
        <w:rPr>
          <w:vertAlign w:val="superscript"/>
        </w:rPr>
        <w:footnoteRef/>
      </w:r>
      <w:r w:rsidRPr="00AD2F44">
        <w:rPr>
          <w:i/>
          <w:iCs/>
        </w:rPr>
        <w:t>See, e.g.,</w:t>
      </w:r>
    </w:p>
    <w:p w14:paraId="6977734C" w14:textId="77777777" w:rsidR="004322B1" w:rsidRPr="00AD2F44" w:rsidRDefault="004322B1">
      <w:pPr>
        <w:pStyle w:val="14Footnote"/>
      </w:pPr>
      <w:r w:rsidRPr="00AD2F44">
        <w:rPr>
          <w:i/>
          <w:iCs/>
        </w:rPr>
        <w:t>Second Circuit:</w:t>
      </w:r>
      <w:r w:rsidRPr="00AD2F44">
        <w:t xml:space="preserve"> Glatt v. Fox Searchlight Pictures, Inc., 811 F.3d 528 (2d Cir. 2016) (vacating conditional certification by district court because question of intern’s employment status is affected by variance in duties, and such highly context-specific inquiry that requires individualized proof precludes conditional certification); Puglisi v. T.D. Bank, NA, 998 F. Supp. 2d 95 (E.D.N.Y. 2014) (13 affidavits from assistant store managers, copies of job openings, and employee handbook showed assistant store managers primarily performed nonexempt, nonmanagerial duties).</w:t>
      </w:r>
    </w:p>
    <w:p w14:paraId="268F1FF3" w14:textId="77777777" w:rsidR="004322B1" w:rsidRPr="00AD2F44" w:rsidRDefault="004322B1">
      <w:pPr>
        <w:pStyle w:val="14Footnote"/>
      </w:pPr>
      <w:r w:rsidRPr="00AD2F44">
        <w:rPr>
          <w:i/>
          <w:iCs/>
        </w:rPr>
        <w:t>Third Circuit:</w:t>
      </w:r>
      <w:r w:rsidRPr="00AD2F44">
        <w:t xml:space="preserve"> Slone v. Gulf Interstate Field Servs., Inc., 2017 WL 1105236, at *11 (M.D. Pa. Mar. 24, 2017) (denying certification, applying “intermediate” or “modest plus” standard, because, among other reasons, putative class members had “different qualifications, expertise, and perform[] different job duties”); Chandler v. Heartland Emp. Servs., LLC, 2014 WL 1681989 (E.D. Pa. Apr. 28, 2014) (denying conditional certification in uniform maintenance case where plaintiff failed to show similarity in job duties because such cases hinge on whether uniform maintenance is integral and indispensable part of principal job duties).</w:t>
      </w:r>
    </w:p>
    <w:p w14:paraId="5BC971FC" w14:textId="77777777" w:rsidR="004322B1" w:rsidRPr="00AD2F44" w:rsidRDefault="004322B1">
      <w:pPr>
        <w:pStyle w:val="14Footnote"/>
      </w:pPr>
      <w:r w:rsidRPr="00AD2F44">
        <w:rPr>
          <w:i/>
          <w:iCs/>
        </w:rPr>
        <w:t>Fourth Circuit</w:t>
      </w:r>
      <w:r w:rsidRPr="00AD2F44">
        <w:t xml:space="preserve">: </w:t>
      </w:r>
      <w:r>
        <w:t>Njoroge v. PrimaCare Partners, LLC,</w:t>
      </w:r>
      <w:r w:rsidRPr="00486191">
        <w:rPr>
          <w:rFonts w:ascii="Arial" w:hAnsi="Arial" w:cs="Arial"/>
          <w:color w:val="292E31"/>
          <w:sz w:val="24"/>
        </w:rPr>
        <w:t xml:space="preserve"> </w:t>
      </w:r>
      <w:r w:rsidRPr="00486191">
        <w:t>2022 BL 342131</w:t>
      </w:r>
      <w:r>
        <w:t xml:space="preserve">, </w:t>
      </w:r>
      <w:r w:rsidRPr="0001082D">
        <w:t xml:space="preserve">2022 WL 4465894 </w:t>
      </w:r>
      <w:r>
        <w:t xml:space="preserve">(D. Md. Sept. 26, 2022) (granting conditional certification where evidence at initial stage was that all putative plaintiffs performed same basic duties and followed the same timekeeping process); </w:t>
      </w:r>
      <w:r w:rsidRPr="00AD2F44">
        <w:t xml:space="preserve">Hunt v. Aldi, Inc., 2020 WL 1248944, at *4–5 (D. Md. Mar. 16, 2020) (denying conditional certification where declarations submitted by defendant showed duties of store managers varied from store to store, reasoning that it was not making credibility determinations to recognize that duties vary too much to provide efficiencies associated with certification); Danford v. Lowe’s Home Ctrs., LLC, 2019 WL 4874823, at *6 (W.D.N.C. Oct. 2, 2019) (granting conditional certification of “hourly managers” that had “virtually identical” job descriptions and substantially similar job responsibilities; noting that fact-intensive inquiry into specifics tasks at this stage was inappropriate). </w:t>
      </w:r>
    </w:p>
    <w:p w14:paraId="5A26C00A" w14:textId="77777777" w:rsidR="004322B1" w:rsidRPr="00AD2F44" w:rsidRDefault="004322B1">
      <w:pPr>
        <w:pStyle w:val="14Footnote"/>
      </w:pPr>
      <w:r w:rsidRPr="00AD2F44">
        <w:rPr>
          <w:i/>
          <w:iCs/>
        </w:rPr>
        <w:t>Fifth Circuit:</w:t>
      </w:r>
      <w:r w:rsidRPr="00AD2F44">
        <w:t xml:space="preserve"> Marquis v. Sadeghian, 2021 BL 504542, 2021 WL 6621686 (E.D. Tex. Dec. 30, 2021) (relying on </w:t>
      </w:r>
      <w:r w:rsidRPr="00AD2F44">
        <w:rPr>
          <w:i/>
          <w:iCs/>
        </w:rPr>
        <w:t xml:space="preserve">Swales </w:t>
      </w:r>
      <w:r w:rsidRPr="00AD2F44">
        <w:t>standard, denying conditional certification for failure to provide more than generalized allegations of job duties, and failing to demonstrate that putative collective members had same job duties or were similarly compensated); Ryan v. Staff Care, Inc., 497 F. Supp. 2d 820, 825 (N.D. Tex. 2007) (limiting class to three job positions represented by named plaintiffs).</w:t>
      </w:r>
    </w:p>
    <w:p w14:paraId="1BA22444" w14:textId="77777777" w:rsidR="004322B1" w:rsidRPr="00AD2F44" w:rsidRDefault="004322B1">
      <w:pPr>
        <w:pStyle w:val="14Footnote"/>
      </w:pPr>
      <w:r w:rsidRPr="00AD2F44">
        <w:rPr>
          <w:i/>
          <w:iCs/>
        </w:rPr>
        <w:t>Eleventh Circuit:</w:t>
      </w:r>
      <w:r w:rsidRPr="00AD2F44">
        <w:t xml:space="preserve"> Dybach v. State of Fla. Dep’t of Corrs., 942 F.2d 1562, 1567–68 (11th Cir. 1991).</w:t>
      </w:r>
    </w:p>
    <w:p w14:paraId="3655F602" w14:textId="77777777" w:rsidR="004322B1" w:rsidRPr="00AD2F44" w:rsidRDefault="004322B1">
      <w:pPr>
        <w:pStyle w:val="14Footnote"/>
      </w:pPr>
      <w:r w:rsidRPr="00AD2F44">
        <w:rPr>
          <w:i/>
        </w:rPr>
        <w:t>See also</w:t>
      </w:r>
    </w:p>
    <w:p w14:paraId="1ACB7223" w14:textId="77777777" w:rsidR="004322B1" w:rsidRPr="00AD2F44" w:rsidRDefault="004322B1">
      <w:pPr>
        <w:pStyle w:val="14Footnote"/>
      </w:pPr>
      <w:r w:rsidRPr="00AD2F44">
        <w:rPr>
          <w:i/>
          <w:iCs/>
        </w:rPr>
        <w:t>Second Circuit:</w:t>
      </w:r>
      <w:r w:rsidRPr="00AD2F44">
        <w:t xml:space="preserve"> Jenkins v. TJX Cos., 853 F. Supp. 2d 317, 324–25 (E.D.N.Y. 2012) (refusing to grant conditional certification where plaintiff did not provide evidence that anyone other than himself primarily performed nonexempt duties).</w:t>
      </w:r>
    </w:p>
    <w:p w14:paraId="09E6602A" w14:textId="77777777" w:rsidR="004322B1" w:rsidRPr="00AD2F44" w:rsidRDefault="004322B1">
      <w:pPr>
        <w:pStyle w:val="14Footnote"/>
      </w:pPr>
      <w:r w:rsidRPr="00AD2F44">
        <w:rPr>
          <w:i/>
          <w:iCs/>
        </w:rPr>
        <w:t>Third Circuit:</w:t>
      </w:r>
      <w:r w:rsidRPr="00AD2F44">
        <w:t xml:space="preserve"> Bramble v. Wal-Mart Stores, Inc., 2011 WL 1389510, at *8 (E.D. Pa. Apr. 12, 2011) (denying conditional certification where plaintiffs’ evidence was limited to their own experiences, and defendant’s evidence showed that putative class members’ duties varied based on variety of factors and that plaintiffs’ experiences were not reflective of putative class members as a group).</w:t>
      </w:r>
    </w:p>
    <w:p w14:paraId="6603EE9E" w14:textId="77777777" w:rsidR="004322B1" w:rsidRPr="00AD2F44" w:rsidRDefault="004322B1">
      <w:pPr>
        <w:pStyle w:val="14Footnote"/>
      </w:pPr>
      <w:r w:rsidRPr="00AD2F44">
        <w:rPr>
          <w:i/>
          <w:iCs/>
        </w:rPr>
        <w:t>Fourth Circuit:</w:t>
      </w:r>
      <w:r w:rsidRPr="00AD2F44">
        <w:t xml:space="preserve"> Stone v. SRA Int’l, Inc., 2014 WL 5410628, at *7–8 (E.D. Va. Oct. 22, 2014) (denying nationwide certification, but granting conditional certification, in exemption misclassification case for systems and network administrators working on single military contract where employees at issue were uniformly classified as exempt and shared “same core responsibilities and duties”).</w:t>
      </w:r>
    </w:p>
    <w:p w14:paraId="3FE6088D" w14:textId="77777777" w:rsidR="004322B1" w:rsidRPr="00AD2F44" w:rsidRDefault="004322B1">
      <w:pPr>
        <w:pStyle w:val="14Footnote"/>
      </w:pPr>
      <w:r w:rsidRPr="00AD2F44">
        <w:rPr>
          <w:i/>
          <w:iCs/>
        </w:rPr>
        <w:t>Fifth Circuit:</w:t>
      </w:r>
      <w:r w:rsidRPr="00AD2F44">
        <w:t xml:space="preserve"> Cruz</w:t>
      </w:r>
      <w:r w:rsidRPr="00AD2F44">
        <w:rPr>
          <w:i/>
          <w:iCs/>
        </w:rPr>
        <w:t xml:space="preserve"> </w:t>
      </w:r>
      <w:r w:rsidRPr="00AD2F44">
        <w:t>v.</w:t>
      </w:r>
      <w:r w:rsidRPr="00AD2F44">
        <w:rPr>
          <w:i/>
          <w:iCs/>
        </w:rPr>
        <w:t xml:space="preserve"> </w:t>
      </w:r>
      <w:r w:rsidRPr="00AD2F44">
        <w:t>ConocoPhillips, 208 F. Supp. 3d 811, 817 (S.D. Tex. 2016) (conditionally certifying class of project leads claiming unpaid overtime, even though they worked in different components of business, where they had some common job duties and were all paid under day-rate system); Tamez v. BHP Billiton Petroleum (Ams.), Inc., 2015 WL 7075971 (W.D. Tex. Oct. 5, 2015) (conditionally certifying class of workers compensated on day-rate pay system irrespective of duties performed because day-rate pay system allegedly violated FLSA); Watson v. Travis Software Corp., 2008 WL 5068806, at *6 (S.D. Tex. Nov. 21, 2008) (granting conditional certification of class of support representatives, but clarifying that plaintiffs could not include period when they were serving in team leader or training and support liaison positions, because their duties in those positions, although still including support representative duties, included other duties that made them not similarly situated to support representatives).</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76E2EB4D" w14:textId="77777777" w:rsidR="004322B1" w:rsidRPr="00AD2F44" w:rsidRDefault="004322B1">
      <w:pPr>
        <w:pStyle w:val="14Footnote"/>
      </w:pPr>
      <w:r w:rsidRPr="00AD2F44">
        <w:rPr>
          <w:i/>
          <w:iCs/>
        </w:rPr>
        <w:t>Eighth Circuit:</w:t>
      </w:r>
      <w:r w:rsidRPr="00AD2F44">
        <w:t xml:space="preserve"> McLendon v. Schlumberger Tech. Corp., 2016 WL 3911897, at *4–6 (E.D. Ark. July 15, 2016) (denying certification in exemption misclassification case at locations in four states where plaintiff worked because his evidence of others’ duties suggested that his duties were different than theirs, and evidence was too vague and conclusory to meet lenient burden for initial notice); Chin v. Tile Shop, LLC, 2014 WL 5461891, at *5 (D. Minn. Oct. 27, 2014) (granting certification of class of assistant store managers and sales associates where evidence from six stores across three states showed that two jobs had uniform job duties).</w:t>
      </w:r>
    </w:p>
    <w:p w14:paraId="7A69E041" w14:textId="77777777" w:rsidR="004322B1" w:rsidRPr="00AD2F44" w:rsidRDefault="004322B1">
      <w:pPr>
        <w:pStyle w:val="14Footnote"/>
      </w:pPr>
      <w:r w:rsidRPr="00AD2F44">
        <w:rPr>
          <w:i/>
          <w:iCs/>
        </w:rPr>
        <w:t>Ninth Circuit:</w:t>
      </w:r>
      <w:r w:rsidRPr="00AD2F44">
        <w:t xml:space="preserve"> Pataky v. Brigantine, Inc., 2017 WL 1855762, at *4 (S.D. Cal. May 8, 2017) (granting conditional certification in tip pooling case across restaurants where duties of individuals working in “server” function were similar); Syed v. M-I, LLC, 2014 WL 6685966, at *4–5 (E.D. Cal. Nov. 26, 2014) (granting conditional certification for five positions allegedly misclassified as exempt where job duties in job descriptions were identical for four jobs, fifth differed only as to one duty, and evidence from plaintiffs showed that job duties were largely same; thus, certification was not based merely on single decision to classify as exempt, which Ninth Circuit has cautioned against); Longnecker v. American Express Co., 2014 WL 4071662, at *4–5 (D. Ariz. Aug. 18, 2014) (granting conditional certification at one call center because plaintiff’s evidence, at initial notice stage, established that she and other call center workers whose primary function was to handle calls with clients, vendors, or public were all subject to same policy given that their duties allegedly required uncompensated work pre- and post-shift and during meal breaks); Hensley v. Eppendorf N.A., Inc., 2014 WL 2566144, at *5–7 (S.D. Cal. June 6, 2014) (granting conditional certification to putative class of technicians allegedly misclassified as exempt, given lenient standard and evidence that technicians performed same tasks and were all classified as exempt); Campanelli v. Hershey Co., 2010 WL 3219501, at *3 (N.D. Cal. Aug. 13, 2010) (granting conditional certification despite some variation in job duties where putative class members shared same job title, job description, compensation plan, and sales guidelines, and were all classified as exempt).</w:t>
      </w:r>
    </w:p>
    <w:p w14:paraId="4ACD2469" w14:textId="77777777" w:rsidR="004322B1" w:rsidRPr="00AD2F44" w:rsidRDefault="004322B1">
      <w:pPr>
        <w:pStyle w:val="14Footnote"/>
      </w:pPr>
      <w:r w:rsidRPr="00AD2F44">
        <w:rPr>
          <w:i/>
          <w:iCs/>
        </w:rPr>
        <w:t>Tenth Circuit</w:t>
      </w:r>
      <w:r w:rsidRPr="00AD2F44">
        <w:t>: Quint v. Vail Resorts, Inc., 2022 BL 248850, 2022 WL 2753637 (D. Colo. Feb. 21, 2022) (denying conditional certification for plaintiffs’ failure to allege substantial similarities between 36,000 seasonal employees with varied job titles working across 33 resorts).</w:t>
      </w:r>
    </w:p>
  </w:footnote>
  <w:footnote w:id="130">
    <w:p w14:paraId="3AFAA14B" w14:textId="77777777" w:rsidR="004322B1" w:rsidRPr="00AD2F44" w:rsidRDefault="004322B1">
      <w:pPr>
        <w:pStyle w:val="14Footnote"/>
      </w:pPr>
      <w:r w:rsidRPr="00AD2F44">
        <w:rPr>
          <w:vertAlign w:val="superscript"/>
        </w:rPr>
        <w:footnoteRef/>
      </w:r>
      <w:r w:rsidRPr="00AD2F44">
        <w:t>246 F. Supp. 2d 1227 (S.D. Ala. 2003).</w:t>
      </w:r>
    </w:p>
  </w:footnote>
  <w:footnote w:id="131">
    <w:p w14:paraId="3C0A8939" w14:textId="77777777" w:rsidR="004322B1" w:rsidRPr="00AD2F44" w:rsidRDefault="004322B1">
      <w:pPr>
        <w:pStyle w:val="14Footnote"/>
      </w:pPr>
      <w:r w:rsidRPr="00AD2F44">
        <w:rPr>
          <w:vertAlign w:val="superscript"/>
        </w:rPr>
        <w:footnoteRef/>
      </w:r>
      <w:r w:rsidRPr="00AD2F44">
        <w:rPr>
          <w:i/>
          <w:iCs/>
        </w:rPr>
        <w:t>Id</w:t>
      </w:r>
      <w:r w:rsidRPr="00AD2F44">
        <w:t>. at 1232.</w:t>
      </w:r>
    </w:p>
  </w:footnote>
  <w:footnote w:id="132">
    <w:p w14:paraId="7B3F146A" w14:textId="77777777" w:rsidR="004322B1" w:rsidRPr="00AD2F44" w:rsidRDefault="004322B1">
      <w:pPr>
        <w:pStyle w:val="14Footnote"/>
      </w:pPr>
      <w:r w:rsidRPr="00AD2F44">
        <w:rPr>
          <w:vertAlign w:val="superscript"/>
        </w:rPr>
        <w:footnoteRef/>
      </w:r>
      <w:r w:rsidRPr="00AD2F44">
        <w:rPr>
          <w:i/>
        </w:rPr>
        <w:t>See, e.g.,</w:t>
      </w:r>
    </w:p>
    <w:p w14:paraId="3DFF1600" w14:textId="77777777" w:rsidR="004322B1" w:rsidRPr="00AD2F44" w:rsidRDefault="004322B1">
      <w:pPr>
        <w:pStyle w:val="14Footnote"/>
      </w:pPr>
      <w:r w:rsidRPr="00AD2F44">
        <w:rPr>
          <w:i/>
          <w:iCs/>
        </w:rPr>
        <w:t>Second Circuit:</w:t>
      </w:r>
      <w:r w:rsidRPr="00AD2F44">
        <w:rPr>
          <w:b/>
          <w:bCs/>
          <w:i/>
          <w:iCs/>
        </w:rPr>
        <w:t xml:space="preserve"> </w:t>
      </w:r>
      <w:r w:rsidRPr="00AD2F44">
        <w:t>Jacob v. Duane Reade, Inc., 2012 WL 260230, at *8 (S.D.N.Y. Jan. 27, 2012) (granting conditional certification despite some differences in duties shown through competing evidence; plaintiffs need not be “identical” and differences were not so stark that they prevented employer from classifying all putative class members as exempt).</w:t>
      </w:r>
    </w:p>
    <w:p w14:paraId="7DFBE2A0" w14:textId="77777777" w:rsidR="004322B1" w:rsidRPr="00AD2F44" w:rsidRDefault="004322B1">
      <w:pPr>
        <w:pStyle w:val="14Footnote"/>
      </w:pPr>
      <w:r w:rsidRPr="00AD2F44">
        <w:rPr>
          <w:i/>
          <w:iCs/>
        </w:rPr>
        <w:t>Third Circuit:</w:t>
      </w:r>
      <w:r w:rsidRPr="00AD2F44">
        <w:t xml:space="preserve"> Mott v. Driveline Retail Merch., Inc., 23 F. Supp. 3d 483 (E.D. Pa. 2014) (defendant’s evidence of differences among employees’ duties relevant to stage two decertification after discovery); Hoffmann-La Roche, Inc., 118 F.R.D. 392, 407 (D.N.J. 1988), </w:t>
      </w:r>
      <w:r w:rsidRPr="00AD2F44">
        <w:rPr>
          <w:i/>
          <w:iCs/>
        </w:rPr>
        <w:t>aff’d in part and repealed and dismissed in part</w:t>
      </w:r>
      <w:r w:rsidRPr="00AD2F44">
        <w:t xml:space="preserve">, 862 F.2d 439 (3d Cir. 1988), </w:t>
      </w:r>
      <w:r w:rsidRPr="00AD2F44">
        <w:rPr>
          <w:i/>
          <w:iCs/>
        </w:rPr>
        <w:t>aff’d</w:t>
      </w:r>
      <w:r w:rsidRPr="00AD2F44">
        <w:t>, 493 U.S. 165 (1989); Ritzer v. UBS Fin. Servs., 2008 U.S. Dist. LEXIS 71635, at *4 (D.N.J. Sept. 22, 2008).</w:t>
      </w:r>
    </w:p>
    <w:p w14:paraId="43321228" w14:textId="77777777" w:rsidR="004322B1" w:rsidRPr="00AD2F44" w:rsidRDefault="004322B1">
      <w:pPr>
        <w:pStyle w:val="14Footnote"/>
      </w:pPr>
      <w:r w:rsidRPr="00AD2F44">
        <w:rPr>
          <w:i/>
          <w:iCs/>
        </w:rPr>
        <w:t>Fifth Circuit:</w:t>
      </w:r>
      <w:r w:rsidRPr="00AD2F44">
        <w:t xml:space="preserve"> Alford v. Freedom Oilfield Servs., LLC, 2016 WL 8673858, at *5 (W.D. Tex. Aug. 17, 2016) (rejecting argument that differences in certain work experiences by some class members was sufficient to deny conditional certification, given that they were all classified as exempt and paid salary, and worked more than 40 hours, reasoning that job positions had to be similar but not identical); Lee v. Metrocare Servs., 980 F. Supp. 2d 754 (N.D. Tex. 2013) (employees’ duties sufficiently similar for collective certification; alleged differences not material or significant enough to reject collective certification); Mateos v. Select Energy Servs., LLC, 977 F. Supp. 2d 640, 645 (W.D. Tex. 2013) (duties of plaintiffs and putative collective class members sufficiently similar because they established “two overarching themes” that their tasks required performance of safety observations and investigations of accidents, and that they worked more than 40 hours per week without overtime compensation); Tice v. AOC Senior Home Health Corp., 826 F. Supp. 2d 990, 996 (E.D. Tex. 2011) (granting conditional certification to nurses in light of evidence that they “shared the same basic job duties and were subject to the same pay practices,” refusing to focus on potential differences in job duties and work schedules identified by defendants in light of lenient standard at conditional certification stage); Tolentino v. C &amp; J Spec-Rent Servs., Inc., 716 F. Supp. 2d 642, 651–52 (S.D. Tex. 2010) (granting conditional certification to nonsupervisory employees in one division, despite different job titles, where plaintiffs’ evidence showed that job duties were similar and overlapped; “slight differences in job duties or functions do not run afoul of the similarly situated requirement”); Ryan v. Staff Care, Inc., 497 F. Supp. 2d 820, 825 (N.D. Tex. 2007).</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72EF5016" w14:textId="77777777" w:rsidR="004322B1" w:rsidRPr="00AD2F44" w:rsidRDefault="004322B1">
      <w:pPr>
        <w:pStyle w:val="14Footnote"/>
      </w:pPr>
      <w:r w:rsidRPr="00AD2F44">
        <w:rPr>
          <w:i/>
          <w:iCs/>
        </w:rPr>
        <w:t>Sixth Circuit:</w:t>
      </w:r>
      <w:r w:rsidRPr="00AD2F44">
        <w:t xml:space="preserve"> Colley v. Scherzinger Corp., 176 F. Supp. 3d 730, 732 (S.D. Ohio 2016) (granting conditional certification under “fairly lenient standard” and finding that Sixth Circuit requires plaintiffs to be similarly, but not identically, situated with putative class members).</w:t>
      </w:r>
    </w:p>
    <w:p w14:paraId="61E047BD" w14:textId="77777777" w:rsidR="004322B1" w:rsidRPr="00AD2F44" w:rsidRDefault="004322B1">
      <w:pPr>
        <w:pStyle w:val="14Footnote"/>
      </w:pPr>
      <w:r w:rsidRPr="00AD2F44">
        <w:rPr>
          <w:i/>
          <w:iCs/>
        </w:rPr>
        <w:t>Seventh Circuit:</w:t>
      </w:r>
      <w:r w:rsidRPr="00AD2F44">
        <w:t xml:space="preserve"> Russell v. Illinois Bell Tel. Co., 575 F. Supp. 2d 930, 937–38 (N.D. Ill. 2008) (granting conditional certification where plaintiffs did not occupy all job titles covered by notice, because there was evidence of common unlawful policy or plan and potential class members performed similar primary duties that subjected them to that policy); DeKeyser v. Thyssenkrupp Waupaca, Inc., 2008 WL 5263750, at *4 (E.D. Wis. Dec. 18, 2008) (granting conditional certification based on lenient standard at first stage in donning and doffing case for nearly 4,000 employees in 142 job titles, even though evidence suggested many jobs did not include donning and doffing of protective equipment at issue; class could be narrowed later); Perry v. National City Mortg. Inc., 2007 U.S. Dist. LEXIS 45115 (S.D. Ill. June 21, 2007) (granting conditional certification to class of 5,500 loan originators over defendant’s objection that there were four levels of loan originators in the putative class where each level of originator was found to have the same overall mission of generating sales).</w:t>
      </w:r>
    </w:p>
    <w:p w14:paraId="742CFF4A" w14:textId="77777777" w:rsidR="004322B1" w:rsidRPr="00AD2F44" w:rsidRDefault="004322B1">
      <w:pPr>
        <w:pStyle w:val="14Footnote"/>
      </w:pPr>
      <w:r w:rsidRPr="00AD2F44">
        <w:rPr>
          <w:i/>
          <w:iCs/>
        </w:rPr>
        <w:t>Eighth Circuit:</w:t>
      </w:r>
      <w:r w:rsidRPr="00AD2F44">
        <w:t xml:space="preserve"> Smith v. Frac Tech Servs., Ltd., 2009 WL 4251017, at *7 (E.D. Ark. Nov. 24, 2009) (reasoning under lenient notice standard, “class members’ duties must only be similar, not identical”); Burch v. Qwest Commc’ns Int’l, Inc., 500 F. Supp. 2d 1181, 1187 (D. Minn. 2007) (deciding that “at this stage, Plaintiffs are not required to provide evidence showing Qwest’s illegal practice at every location or that Plaintiffs are identically situated to putative class members in all respects”).</w:t>
      </w:r>
    </w:p>
    <w:p w14:paraId="7D4AADB8" w14:textId="77777777" w:rsidR="004322B1" w:rsidRPr="00AD2F44" w:rsidRDefault="004322B1">
      <w:pPr>
        <w:pStyle w:val="14Footnote"/>
      </w:pPr>
      <w:r w:rsidRPr="00AD2F44">
        <w:rPr>
          <w:i/>
          <w:iCs/>
        </w:rPr>
        <w:t>Ninth Circuit:</w:t>
      </w:r>
      <w:r w:rsidRPr="00AD2F44">
        <w:t xml:space="preserve"> Kellgren v. Petco Animal Supplies, Inc., 2015 WL 5167144 (S.D. Cal. Sept. 3, 2015) (finding that conditional certification only requires showing that putative members are similarly, not identically, situated); Davis v. Westgate Planet Hollywood Las Vegas, LLC, 2009 U.S. Dist. LEXIS 5941, at *27 (D. Nev. Jan. 12, 2009).</w:t>
      </w:r>
    </w:p>
    <w:p w14:paraId="34F76527" w14:textId="77777777" w:rsidR="004322B1" w:rsidRPr="00AD2F44" w:rsidRDefault="004322B1">
      <w:pPr>
        <w:pStyle w:val="14Footnote"/>
      </w:pPr>
      <w:r w:rsidRPr="00AD2F44">
        <w:rPr>
          <w:i/>
          <w:iCs/>
        </w:rPr>
        <w:t>Eleventh Circuit:</w:t>
      </w:r>
      <w:r w:rsidRPr="00AD2F44">
        <w:t xml:space="preserve"> Morgan v. Family Dollar Stores, Inc., 551 F.3d 1233, 1243 (11th Cir. 2008); Grayson v. K Mart Corp., 79 F.3d 1086, 1096 (11th Cir. 1996); Moxley v. OS Rest. Servs., LLC, 2022 BL 163649, 2022 WL 1487589, at *3 (M.D. Fla. May 11, 2022) (granting conditional certification despite variance in assistant manager job duties, recognizing, under </w:t>
      </w:r>
      <w:r w:rsidRPr="00AD2F44">
        <w:rPr>
          <w:i/>
          <w:iCs/>
        </w:rPr>
        <w:t>Hipp</w:t>
      </w:r>
      <w:r w:rsidRPr="00AD2F44">
        <w:t>, that standard is “similar, not identical”); Metzler v. Medical Mgmt. Int’l Inc., 2020 WL 1674310, at *5 (M.D. Fla. Mar. 4, 2020) (granting conditional certification, relying on plaintiffs’ declarations showing that positions were similar, not identical, despite defendant’s argument that individualized assessment was required).</w:t>
      </w:r>
    </w:p>
    <w:p w14:paraId="11F06602" w14:textId="77777777" w:rsidR="004322B1" w:rsidRPr="00AD2F44" w:rsidRDefault="004322B1">
      <w:pPr>
        <w:pStyle w:val="14Footnote"/>
      </w:pPr>
      <w:r w:rsidRPr="00AD2F44">
        <w:rPr>
          <w:i/>
          <w:iCs/>
        </w:rPr>
        <w:t>D.C. Circuit:</w:t>
      </w:r>
      <w:r w:rsidRPr="00AD2F44">
        <w:t xml:space="preserve"> Castillo v. P &amp; R Enters., Inc., 517 F. Supp. 2d 440, 446–47 (D.D.C. 2007) (granting conditional certification in spite of union and non-union employees holding different job titles when all employees were classified as nonexempt and performed cleaning duties in commercial office buildings).</w:t>
      </w:r>
    </w:p>
  </w:footnote>
  <w:footnote w:id="133">
    <w:p w14:paraId="4E86103A" w14:textId="77777777" w:rsidR="004322B1" w:rsidRPr="00AD2F44" w:rsidRDefault="004322B1">
      <w:pPr>
        <w:pStyle w:val="14Footnote"/>
      </w:pPr>
      <w:r w:rsidRPr="00AD2F44">
        <w:rPr>
          <w:vertAlign w:val="superscript"/>
        </w:rPr>
        <w:footnoteRef/>
      </w:r>
      <w:r w:rsidRPr="00AD2F44">
        <w:t>1998 U.S. Dist. LEXIS 13131 (M.D. Fla. 1998).</w:t>
      </w:r>
    </w:p>
  </w:footnote>
  <w:footnote w:id="134">
    <w:p w14:paraId="08294F13" w14:textId="77777777" w:rsidR="004322B1" w:rsidRPr="00AD2F44" w:rsidRDefault="004322B1">
      <w:pPr>
        <w:pStyle w:val="14Footnote"/>
      </w:pPr>
      <w:r w:rsidRPr="00AD2F44">
        <w:rPr>
          <w:vertAlign w:val="superscript"/>
        </w:rPr>
        <w:footnoteRef/>
      </w:r>
      <w:r w:rsidRPr="00AD2F44">
        <w:rPr>
          <w:i/>
          <w:iCs/>
        </w:rPr>
        <w:t>Id.</w:t>
      </w:r>
      <w:r w:rsidRPr="00AD2F44">
        <w:t xml:space="preserve"> at *12. </w:t>
      </w:r>
    </w:p>
  </w:footnote>
  <w:footnote w:id="135">
    <w:p w14:paraId="33CB42C0"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36">
    <w:p w14:paraId="17CC9818" w14:textId="77777777" w:rsidR="004322B1" w:rsidRPr="00AD2F44" w:rsidRDefault="004322B1">
      <w:pPr>
        <w:pStyle w:val="14Footnote"/>
      </w:pPr>
      <w:r w:rsidRPr="00AD2F44">
        <w:rPr>
          <w:vertAlign w:val="superscript"/>
        </w:rPr>
        <w:footnoteRef/>
      </w:r>
      <w:r w:rsidRPr="00AD2F44">
        <w:rPr>
          <w:i/>
        </w:rPr>
        <w:t>See, e.g.,</w:t>
      </w:r>
    </w:p>
    <w:p w14:paraId="1EF38A1E" w14:textId="77777777" w:rsidR="004322B1" w:rsidRPr="00AD2F44" w:rsidRDefault="004322B1">
      <w:pPr>
        <w:pStyle w:val="14Footnote"/>
      </w:pPr>
      <w:r w:rsidRPr="00AD2F44">
        <w:rPr>
          <w:i/>
          <w:iCs/>
        </w:rPr>
        <w:t>Second Circuit:</w:t>
      </w:r>
      <w:r w:rsidRPr="00AD2F44">
        <w:t xml:space="preserve"> Kucker v. Petco Animal Supplies Stores, Inc., 2016 WL 237425 (S.D.N.Y. Jan. 1, 2016) (conditional certification granted for pet store grooming assistants and pet stylists who alleged common requirement to purchase their own job-related equipment); Ack v. Manhattan Beer Distribs., Inc., 2012 WL 1710985, at *3–4 (E.D.N.Y. May 15, 2012) (rejecting defendant’s argument that variance in job duties precluded conditional certification, explaining that is a merits determination, and finding conditional certification appropriate nationally where defendant failed to refute plaintiffs’ evidence that company did not pay overtime); Alli v. Boston Mkt. Co., 2011 WL 4006691, at *2–4 (D. Conn. Sept. 8, 2011) (granting conditional certification in misclassification case across several managerial titles where evidence, such as defendant’s written polices and guidelines, showed “consistent responsibilities” and “no relevant difference” between job functions; refusing to consider defendant’s declarations stating that the job duties varied); Scholtisek v. The Eldre Corp., 229 F.R.D. 381, 388–90 (W.D.N.Y. 2005) (granting conditional certification for all employees who were classified as exempt and were subjected to allegedly improper deduction policy, even though they “had different duties and performed different types of work”); Gjurovich v. Emmanuel’s Marketplace, Inc., 282 F. Supp. 2d 91, 94 (S.D.N.Y. 2003) (class certified where named plaintiff meat cutter and supervisor alleged that he and other employees who worked in the meat, dairy, produce, frozen foods, grocery, bakery, deli, and front end departments were misclassified as exempt because their primary duty was “production/sales work”); Realite v. Ark Rests. Corp., 7 F. Supp. 2d 303 (S.D.N.Y. 1998) (conditional certification granted for class including all hourly paid, nonmanagerial employees (e.g., waitstaff, bartenders, servers, busboys, back waitstaff, kitchen workers, porters, dishwashers, cooks, assistant cooks, salad makers, mixers-bakers, pizza makers, prep cooks, security guards, or any equivalent) where plaintiffs and putative class were paid fixed rates regardless of the number of hours actually worked and company did not track hours worked).</w:t>
      </w:r>
    </w:p>
    <w:p w14:paraId="000659A0" w14:textId="77777777" w:rsidR="004322B1" w:rsidRPr="00AD2F44" w:rsidRDefault="004322B1">
      <w:pPr>
        <w:pStyle w:val="14Footnote"/>
      </w:pPr>
      <w:r w:rsidRPr="00AD2F44">
        <w:rPr>
          <w:i/>
          <w:iCs/>
        </w:rPr>
        <w:t>Third Circuit:</w:t>
      </w:r>
      <w:r w:rsidRPr="00AD2F44">
        <w:t xml:space="preserve"> Hively v. Allis-Chalmers Energy, Inc., 2013 WL 5936418 (W.D. Pa. Nov. 5, 2013) (granting conditional certification despite different job titles where employer’s Rule 30(b)(6) designee testified that employees had basically same responsibilities, had similarly determined salaries, and were similarly classified as exempt).</w:t>
      </w:r>
    </w:p>
    <w:p w14:paraId="0EA8EF7F" w14:textId="77777777" w:rsidR="004322B1" w:rsidRPr="00AD2F44" w:rsidRDefault="004322B1">
      <w:pPr>
        <w:pStyle w:val="14Footnote"/>
      </w:pPr>
      <w:r w:rsidRPr="00AD2F44">
        <w:rPr>
          <w:i/>
          <w:iCs/>
        </w:rPr>
        <w:t>Fourth Circuit:</w:t>
      </w:r>
      <w:r w:rsidRPr="00AD2F44">
        <w:rPr>
          <w:b/>
          <w:bCs/>
        </w:rPr>
        <w:t xml:space="preserve"> </w:t>
      </w:r>
      <w:r w:rsidRPr="00AD2F44">
        <w:t>Faust v. Comcast Cable Commc’ns Mgmt., LLC, 2011 WL 5244421, at *4 (D. Md. Nov. 1, 2011) (granting conditional certification; evidence showed that putative class members all had to boot up computer, log in, and upload software, even if order varied, before shift started); McLaurin v. Prestage Foods, Inc., 271 F.R.D. 465, 470 (E.D.N.C. 2010) (granting conditional certification and rejecting defendant’s argument that differences in job duties precluded conditional certification, but limiting class to only production employees who were paid on “line time basis”; excluding employees paid on different basis).</w:t>
      </w:r>
    </w:p>
    <w:p w14:paraId="01F8A09A" w14:textId="77777777" w:rsidR="004322B1" w:rsidRPr="00AD2F44" w:rsidRDefault="004322B1">
      <w:pPr>
        <w:pStyle w:val="14Footnote"/>
      </w:pPr>
      <w:r w:rsidRPr="00AD2F44">
        <w:rPr>
          <w:i/>
          <w:iCs/>
        </w:rPr>
        <w:t>Fifth Circuit:</w:t>
      </w:r>
      <w:r w:rsidRPr="00AD2F44">
        <w:t xml:space="preserve"> Jones v. Cretic Energy Servs., 149 F. Supp. 3d 761, 773 (S.D. Tex. 2015) (conditional certification granted for group of equipment operators and service supervisors who directed their work, finding day-to-day job duties for both groups did not exhibit “vast” differences alleged by defendant, even though operators performed some administrative duties, whereas service supervisors did not); Smith v. Manhattan Mgmt. Co. LLC, 2015 WL 4097267 (E.D. La. July 7, 2015) (conditionally certifying class of dispatchers, security personnel, and other employees who worked and lived at defendant’s apartment complex and received fixed-rate “rent credit” compensation system, but excluding pool staff employees paid on hourly rate); Mateos v. Select Energy Servs., LLC, 977 F. Supp. 2d 640, 645 (W.D. Tex. 2013) (holding that job duties of plaintiffs and putative collective class members sufficiently similar because they established “two overarching themes” that tasks required performance of safety observations and investigation of accidents, and they worked more than 40 hours per week without overtime compensation); Gonzalez v. Ridgewood Landscaping, Inc., 2010 WL 1903602, at *7 (S.D. Tex. May 10, 2010) (conditionally certifying class involving employees with different supervisors and jobs, where one payroll administrator was responsible for preparing all time records and there was no time clock or other similar method for timekeeping); Aguilar v. Complete Landsculpture, Inc., 2004 U.S. Dist. LEXIS 20265, at *10–11 (N.D. Tex. Oct. 7, 2004) (foreman and laborers were included in same case where they each complained of being denied overtime by being paid a “block rate”); Donohue v. Francis Servs., Inc., 2004 U.S. Dist. LEXIS 9355, at *5 (E.D. La. May 25, 2004) (certification included multiple jobs that were allegedly affected by failure to include bonuses in regular rate; court stated, “collective action certification is not precluded by the fact that the putative plaintiffs performed various jobs in differing departments and locations”).</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A35DD53" w14:textId="77777777" w:rsidR="004322B1" w:rsidRPr="00AD2F44" w:rsidRDefault="004322B1">
      <w:pPr>
        <w:pStyle w:val="14Footnote"/>
      </w:pPr>
      <w:r w:rsidRPr="00AD2F44">
        <w:rPr>
          <w:i/>
          <w:iCs/>
        </w:rPr>
        <w:t>Sixth Circuit:</w:t>
      </w:r>
      <w:r w:rsidRPr="00AD2F44">
        <w:rPr>
          <w:b/>
          <w:bCs/>
        </w:rPr>
        <w:t xml:space="preserve"> </w:t>
      </w:r>
      <w:r w:rsidRPr="00AD2F44">
        <w:t>Hall v. Gannett, 2021 BL 22364, 2021 WL 231310 (W.D. Ky. Jan. 22, 2021) (granting conditional certification for all categories of hourly call center employees subject to defendant’s clocking-in policy);</w:t>
      </w:r>
      <w:r w:rsidRPr="00AD2F44">
        <w:rPr>
          <w:b/>
          <w:bCs/>
        </w:rPr>
        <w:t xml:space="preserve"> </w:t>
      </w:r>
      <w:r w:rsidRPr="00AD2F44">
        <w:t>Richardson v. Vizion One Inc., 2018 WL 3912805 (S.D. Ohio Aug. 16, 2018) (granting conditional certification of subclasses of home and non-home health care workers, even though plaintiffs were only employed as non-home health care workers, reasoning that plaintiffs need not work in the same position, but instead only show the positions to be similar); Lutz v. Huntington Bancshares Inc., 2013 WL 1703361, at *4–5 (S.D. Ohio Apr. 19, 2013) (granting conditional certification of home loan underwriters with different job titles because their job duties were similar, but excluding business banking underwriters where evidence showed their job duties differed from home lending underwriters and involved more discretion, making them too different from home lending underwriters for conditional certification); Shipes v. Amurcon Corp., 2012 WL 995362, at *6–11 (E.D. Mich. Mar. 23, 2012) (granting conditional certification to hourly employees, explaining that difference in job duties, at least at this stage, did not overcome the unifying allegations of time-record alteration, but denying (without prejudice) conditional certification to salaried employees because of lack of evidence that other salaried employees’ job duties were similar to plaintiff’s duties).</w:t>
      </w:r>
    </w:p>
    <w:p w14:paraId="3F789556" w14:textId="77777777" w:rsidR="004322B1" w:rsidRPr="00AD2F44" w:rsidRDefault="004322B1">
      <w:pPr>
        <w:pStyle w:val="14Footnote"/>
      </w:pPr>
      <w:r w:rsidRPr="00AD2F44">
        <w:rPr>
          <w:i/>
          <w:iCs/>
        </w:rPr>
        <w:t>Seventh Circuit:</w:t>
      </w:r>
      <w:r w:rsidRPr="00AD2F44">
        <w:t xml:space="preserve"> Heckler v. DK Funding, LLC, 502 F. Supp. 2d 777, 781 (N.D. Ill. 2007) (including all hourly employees where evidence was presented that employer had a practice of editing employee timesheets to remove overtime hours that had not been preapproved by managers); Boyd v. Jupiter Aluminum Corp., 2006 U.S. Dist. LEXIS 35654, at *13–14 (N.D. Ind. May 31, 2006) (holding that conditional certification included all hourly employees although plaintiffs were employed in only two of 11 departments where plaintiffs asserted that the plant paid all hourly employees based on the scheduled length of their shift regardless of their hours actually worked).</w:t>
      </w:r>
    </w:p>
    <w:p w14:paraId="1005D6E4" w14:textId="77777777" w:rsidR="004322B1" w:rsidRPr="00AD2F44" w:rsidRDefault="004322B1">
      <w:pPr>
        <w:pStyle w:val="14Footnote"/>
      </w:pPr>
      <w:r w:rsidRPr="00AD2F44">
        <w:rPr>
          <w:i/>
          <w:iCs/>
        </w:rPr>
        <w:t>Ninth Circuit:</w:t>
      </w:r>
      <w:r w:rsidRPr="00AD2F44">
        <w:t xml:space="preserve"> Pataky v. Brigantine, Inc., 2017 WL 1855762, at *4–5 (S.D. Cal. May 8, 2017) (granting conditional certification in tip pooling case across multiple restaurants where there was evidence that nature of work performed and tip practices were similar across locations and multiple job titles of individuals working as “servers,” and declining to consider defendants’ contrary evidence that went to merits at conditional certification stage); Coates v. Farmers Grp., Inc., 2015 WL 8477918, at *9 (N.D. Cal. Dec. 9, 2015) (granting conditional certification for individuals within defendant’s Claims Litigation Department that encompassed 11 job titles and 40 locations, concluding that whether variations in duties made case unmanageable “is more appropriate on a case-by-case basis” at second stage of analysis); Cardoza v. Bloomin’ Brands, Inc., 2014 WL 5454178, at *3 (D. Nev. Oct. 24, 2014) (variation in job titles did not preclude certification given that allegations of off-the-clock work were sufficiently similar at conditional certification stage); Davis v. Social Serv. Coordinators, Inc., 2012 WL 5361746, at *16 (E.D. Cal. Oct. 30, 2012), </w:t>
      </w:r>
      <w:r w:rsidRPr="00AD2F44">
        <w:rPr>
          <w:i/>
          <w:iCs/>
        </w:rPr>
        <w:t>report and recommendation adopted as modified,</w:t>
      </w:r>
      <w:r w:rsidRPr="00AD2F44">
        <w:t xml:space="preserve"> 2012 WL 5838825 (E.D. Cal. Nov. 15, 2012) (conditionally certifying class of remote case managers and employees with similar job duties because, although primary job duties varied slightly, differences did not preclude notice at this stage); Gee v. Suntrust Mortg., Inc., 2011 WL 722111, at *3 (N.D. Cal. Feb. 18, 2011) (granting conditional certification for mortgage underwriters, despite class encompassing three different levels of underwriter, because evidence showed, at least for purposes of notice at initial certification stage, that their primary duty was reviewing loan applications and that variations were about loan size they could approve); White v. Rakhra Mushroom Farm Corp., 2009 WL 971857, at *4 (D. Or. Apr. 8, 2009) (conditionally certifying class involving multiple job positions where evidence at early stage showed that employer uniformly applied agricultural exemption even though some employees may have performed work that might have taken them outside exemption).</w:t>
      </w:r>
    </w:p>
    <w:p w14:paraId="4B11A9B7" w14:textId="77777777" w:rsidR="004322B1" w:rsidRPr="00AD2F44" w:rsidRDefault="004322B1">
      <w:pPr>
        <w:pStyle w:val="14Footnote"/>
      </w:pPr>
      <w:r w:rsidRPr="00AD2F44">
        <w:rPr>
          <w:i/>
          <w:iCs/>
        </w:rPr>
        <w:t>Tenth Circuit</w:t>
      </w:r>
      <w:r w:rsidRPr="00AD2F44">
        <w:t xml:space="preserve">: Mayhew v. Angmar Med. Holdings, Inc., 2019 WL 6255109, at *2 (D. Kan. Nov. 22, 2019) (granting conditional certification of both licensed practical nurses (LPNs) and licensed vocational nurses (LVNs) despite defendant’s argument that absence of policy showed lack of a common plan for both job titles, noting that arguments about plaintiff’s failure to complete timesheets was merits-related and therefore premature, and there was evidence of a policy not to compensate LPNs or LVNs for drive time even when performing job-related tasks). </w:t>
      </w:r>
    </w:p>
    <w:p w14:paraId="7FA8B6DB" w14:textId="77777777" w:rsidR="004322B1" w:rsidRPr="00AD2F44" w:rsidRDefault="004322B1">
      <w:pPr>
        <w:pStyle w:val="14Footnote"/>
      </w:pPr>
      <w:r w:rsidRPr="00AD2F44">
        <w:rPr>
          <w:i/>
          <w:iCs/>
        </w:rPr>
        <w:t>Eleventh Circuit:</w:t>
      </w:r>
      <w:r w:rsidRPr="00AD2F44">
        <w:t xml:space="preserve"> Pena v. Handy Wash, Inc., 28 F. Supp. 3d 1289, 1296–98 (S.D. Fla. 2014) (granting conditional certification of paratransit drivers allegedly misclassified as independent contractors where they performed similar duties, even if there was some variation, because they were subject to same policy or practice of classification as independent contractors); Lawson v. Bell S. Telecomm., Inc., 2011 WL 3608462, at *7–10 (N.D. Ga. Aug. 16, 2011) (granting conditional certification in misclassification case despite argument, supported by declarations and survey, that there were variations in job duties, where corporate representative admitted job duties were similar across country, company uniformly classified employees in job position as exempt, and declarations of plaintiffs showed similarity in functions); Maudlin v. Johnny Kynard Logging, Inc., 2009 WL 455479, at *4 (S.D. Ala. Feb. 20, 2009) (granting conditional certification despite multiple job positions, where evidence indicated all employees were paid flat daily rate regardless of hours worked); Brown v. Maximum Efficiency Squared, LLC, 2008 U.S. Dist. LEXIS 35608, at *5–6 (M.D. Ala. Apr. 30, 2008) (granting conditional certification where employees had “variety of job titles” but were “subject to the same automatic deduction policy” of deducting 30 minutes for lunch regardless of whether the employees were able to take lunch); Garrison v. Chuck, Carol &amp; Co., 2007 U.S. Dist. LEXIS 26737, at *13 (M.D. Fla. Sept. 21, 2007) (approving notice to be sent to all “current and former, hourly paid, construction workers and manual laborers” based on court-ordered interrogatories filed by the named plaintiff who worked as a welder, shop supervisor, and groundskeeper and five named plaintiffs who were manual laborers and construction workers); Barron v. Henry Cnty. Sch. Sys., 242 F. Supp. 2d 1096, 1105 (M.D. Ala. 2003) (certifying class to include bus drivers, custodians, assistant teachers, janitors, cafeteria workers, maintenance workers, bus barn employees, secretaries, cafeteria managers, mechanics, maids, and security guards based on expert evidence that “systemic FLSA abuses” were occurring in the school system).</w:t>
      </w:r>
    </w:p>
  </w:footnote>
  <w:footnote w:id="137">
    <w:p w14:paraId="067BE68C" w14:textId="77777777" w:rsidR="004322B1" w:rsidRPr="00AD2F44" w:rsidRDefault="004322B1">
      <w:pPr>
        <w:pStyle w:val="14Footnote"/>
      </w:pPr>
      <w:r w:rsidRPr="00AD2F44">
        <w:rPr>
          <w:vertAlign w:val="superscript"/>
        </w:rPr>
        <w:footnoteRef/>
      </w:r>
      <w:r w:rsidRPr="00AD2F44">
        <w:t>185 F.R.D. 358 (M.D. Ala. 1999).</w:t>
      </w:r>
    </w:p>
  </w:footnote>
  <w:footnote w:id="138">
    <w:p w14:paraId="5A484D6B" w14:textId="77777777" w:rsidR="004322B1" w:rsidRPr="00AD2F44" w:rsidRDefault="004322B1">
      <w:pPr>
        <w:pStyle w:val="14Footnote"/>
      </w:pPr>
      <w:r w:rsidRPr="00AD2F44">
        <w:rPr>
          <w:vertAlign w:val="superscript"/>
        </w:rPr>
        <w:footnoteRef/>
      </w:r>
      <w:r w:rsidRPr="00AD2F44">
        <w:rPr>
          <w:i/>
          <w:iCs/>
        </w:rPr>
        <w:t>Id</w:t>
      </w:r>
      <w:r w:rsidRPr="00AD2F44">
        <w:t xml:space="preserve">. at 364; </w:t>
      </w:r>
      <w:r w:rsidRPr="00AD2F44">
        <w:rPr>
          <w:i/>
          <w:iCs/>
        </w:rPr>
        <w:t>see also</w:t>
      </w:r>
      <w:r w:rsidRPr="00AD2F44">
        <w:t xml:space="preserve"> Marcus v. American Contract Bridge League, 254 F.R.D. 44, 48 (D. Conn. 2008) (granting conditional certification despite evidence of differences in responsibilities among potential class members, because there was sufficient evidence of similar “baseline responsibilities” at notice stage to warrant certification).</w:t>
      </w:r>
    </w:p>
  </w:footnote>
  <w:footnote w:id="139">
    <w:p w14:paraId="22CEE36E" w14:textId="77777777" w:rsidR="004322B1" w:rsidRPr="00AD2F44" w:rsidRDefault="004322B1">
      <w:pPr>
        <w:pStyle w:val="14Footnote"/>
      </w:pPr>
      <w:r w:rsidRPr="00AD2F44">
        <w:rPr>
          <w:vertAlign w:val="superscript"/>
        </w:rPr>
        <w:footnoteRef/>
      </w:r>
      <w:r w:rsidRPr="00AD2F44">
        <w:rPr>
          <w:i/>
        </w:rPr>
        <w:t>See, e.g.,</w:t>
      </w:r>
    </w:p>
    <w:p w14:paraId="75F7B977" w14:textId="77777777" w:rsidR="004322B1" w:rsidRPr="00AD2F44" w:rsidRDefault="004322B1">
      <w:pPr>
        <w:pStyle w:val="14Footnote"/>
      </w:pPr>
      <w:r w:rsidRPr="00AD2F44">
        <w:rPr>
          <w:i/>
          <w:iCs/>
        </w:rPr>
        <w:t>Second Circuit:</w:t>
      </w:r>
      <w:r w:rsidRPr="00AD2F44">
        <w:t xml:space="preserve"> Aguilo v. Vails Gate Cleaners Inc., 2020 BL 243206, 2020 WL 3545558 (S.D.N.Y. June 30, 2020) (limiting conditional certification to jobs similar in function and duties as named plaintiff where plaintiff’s declaration failed to establish how all nonmanagerial employees of defendant were similarly situated); Sherrill v. Sutherland Global Servs., 487 F. Supp. 2d 344, 350 (W.D.N.Y. 2007); Anglada v. Linens ‘n Things, Inc., 2007 U.S. Dist. LEXIS 39105, at *21–22 (S.D.N.Y. Apr. 26, 2007), </w:t>
      </w:r>
      <w:r w:rsidRPr="00AD2F44">
        <w:rPr>
          <w:i/>
          <w:iCs/>
        </w:rPr>
        <w:t>adopted by</w:t>
      </w:r>
      <w:r w:rsidRPr="00AD2F44">
        <w:t xml:space="preserve"> 2007 U.S. Dist. LEXIS 38918 (S.D.N.Y. May 22, 2007).</w:t>
      </w:r>
    </w:p>
    <w:p w14:paraId="3B930783" w14:textId="77777777" w:rsidR="004322B1" w:rsidRPr="00AD2F44" w:rsidRDefault="004322B1">
      <w:pPr>
        <w:pStyle w:val="14Footnote"/>
      </w:pPr>
      <w:r w:rsidRPr="00AD2F44">
        <w:rPr>
          <w:i/>
          <w:iCs/>
        </w:rPr>
        <w:t>Third Circuit</w:t>
      </w:r>
      <w:r w:rsidRPr="00AD2F44">
        <w:t xml:space="preserve">: Kyem v. Merakey USA, 2021 BL 161280, 2021 WL 1732501 (E.D. Pa. Apr. 30, 2021) (limiting conditional certification to plaintiff’s position of behavioral specialist consultant (BSC) and licensed BSC for failure to provide sufficient evidence to establish that his position was similar to others, such as mobile therapists and therapeutic support staff). </w:t>
      </w:r>
    </w:p>
    <w:p w14:paraId="1293FB0B" w14:textId="77777777" w:rsidR="004322B1" w:rsidRPr="00AD2F44" w:rsidRDefault="004322B1">
      <w:pPr>
        <w:pStyle w:val="14Footnote"/>
      </w:pPr>
      <w:r w:rsidRPr="00AD2F44">
        <w:rPr>
          <w:i/>
          <w:iCs/>
        </w:rPr>
        <w:t>Fifth Circuit:</w:t>
      </w:r>
      <w:r w:rsidRPr="00AD2F44">
        <w:t xml:space="preserve"> Tolentino v. C &amp; J Spec-Rent Servs., Inc., 716 F. Supp. 2d 642, 652 (S.D. Tex. 2010) (limiting conditional certification to nonsupervisory employees in one division, and excluding supervisor and employees outside the same division, because supervisor’s duties were too dissimilar, defendant’s evidence was that other division’s employees performed different duties with different equipment and in differently structured working units, and plaintiff had provided no evidence that those employees were similarly situated); Ryan v. Staff Care, Inc., 497 F. Supp. 2d 820, 825 (N.D. Tex. 2007) (limiting class to employees holding the same three positions as the named plaintiffs).</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52128F4A" w14:textId="77777777" w:rsidR="004322B1" w:rsidRPr="00AD2F44" w:rsidRDefault="004322B1">
      <w:pPr>
        <w:pStyle w:val="14Footnote"/>
      </w:pPr>
      <w:r w:rsidRPr="00AD2F44">
        <w:rPr>
          <w:i/>
          <w:iCs/>
        </w:rPr>
        <w:t xml:space="preserve">Seventh Circuit: </w:t>
      </w:r>
      <w:r w:rsidRPr="00AD2F44">
        <w:t>North v. Board of Trs. of Ill. State Univ., 676 F. Supp. 2d 690, 697–98 (C.D. Ill. 2009) (granting conditional certification as to job positions represented by named plaintiffs, because defendants admitted work agreement applied to all individuals in that job position and that records showed they sometimes worked over 40 hours, but denying conditional certification as to remaining job positions because plaintiffs presented only allegations, and no evidence, precluding them from making modest factual showing that putative collective action members were similarly situated).</w:t>
      </w:r>
    </w:p>
    <w:p w14:paraId="2D0FEFDD" w14:textId="77777777" w:rsidR="004322B1" w:rsidRPr="00AD2F44" w:rsidRDefault="004322B1">
      <w:pPr>
        <w:pStyle w:val="14Footnote"/>
      </w:pPr>
      <w:r w:rsidRPr="00AD2F44">
        <w:rPr>
          <w:i/>
          <w:iCs/>
        </w:rPr>
        <w:t>Eighth Circuit:</w:t>
      </w:r>
      <w:r w:rsidRPr="00AD2F44">
        <w:t xml:space="preserve"> Smith v. Frac Tech Servs., Ltd., 2009 WL 4251017, at *7 (E.D. Ark. Nov. 24, 2009) (granting conditional certification as to one job position in exemption case where plaintiffs had submitted nine affidavits for that job position and majority of putative class came from that job position, because affidavits showed similarity among job duties sufficient for initial notice, but denying certification for remaining two job positions because evidence did not show sufficient similarity of duties in other job positions); Young v. Cerner Corp., 503 F. Supp. 2d 1226, 1231–32 (W.D. Mo. 2007) (job responsibilities of proposed class varied widely and no common policy alleged); Freeman v. Wal-Mart Stores, Inc., 256 F. Supp. 2d 941, 945 (W.D. Ark. 2003) (class denied where plaintiff sought to include all salaried non-officer positions in same case).</w:t>
      </w:r>
    </w:p>
    <w:p w14:paraId="5771ACED" w14:textId="77777777" w:rsidR="004322B1" w:rsidRPr="00AD2F44" w:rsidRDefault="004322B1">
      <w:pPr>
        <w:pStyle w:val="14Footnote"/>
      </w:pPr>
      <w:r w:rsidRPr="00AD2F44">
        <w:rPr>
          <w:i/>
          <w:iCs/>
        </w:rPr>
        <w:t>Ninth Circuit:</w:t>
      </w:r>
      <w:r w:rsidRPr="00AD2F44">
        <w:t xml:space="preserve"> Beauperthuy v. 24 Hour Fitness, Inc., 2007 U.S. Dist. LEXIS 21315, at *21–23 (N.D. Cal. Mar. 6, 2007) (conditional certification denied in part and granted in part where putative class consisted of managers, commission-based employees, and hourly paid personal trainers where plaintiffs failed to submit evidence of a unifying decision, policy, or plan); Sheffield v. Orius Corp., 211 F.R.D. 411, 413 (D. Or. 2002) (conditional certification denied where putative class contained individuals who held different job titles, worked at different worksites, and were paid under different pay systems).</w:t>
      </w:r>
    </w:p>
    <w:p w14:paraId="3F03F06A" w14:textId="77777777" w:rsidR="004322B1" w:rsidRPr="00AD2F44" w:rsidRDefault="004322B1">
      <w:pPr>
        <w:pStyle w:val="14Footnote"/>
      </w:pPr>
      <w:r w:rsidRPr="00AD2F44">
        <w:rPr>
          <w:i/>
          <w:iCs/>
        </w:rPr>
        <w:t>Tenth Circuit:</w:t>
      </w:r>
      <w:r w:rsidRPr="00AD2F44">
        <w:t xml:space="preserve"> Stubbs v. McDonald’s Corp, 227 F.R.D. 661, 665 (D. Kan. 2005) (plaintiff who only held position of second assistant manager did not have standing to represent individuals who held the first assistant manager position).</w:t>
      </w:r>
    </w:p>
    <w:p w14:paraId="152AF711" w14:textId="77777777" w:rsidR="004322B1" w:rsidRPr="00AD2F44" w:rsidRDefault="004322B1">
      <w:pPr>
        <w:pStyle w:val="14Footnote"/>
      </w:pPr>
      <w:r w:rsidRPr="00AD2F44">
        <w:rPr>
          <w:i/>
          <w:iCs/>
        </w:rPr>
        <w:t xml:space="preserve">See also </w:t>
      </w:r>
      <w:r w:rsidRPr="00AD2F44">
        <w:t>Smith v. Frac Tech Servs., Ltd., 2010 WL 743296, at *4 (E.D. Ark. Feb. 26, 2010) (extending initial notice to another job classification where plaintiffs submitted supplemental affidavits from the second job position, but still not extending certification decision to third job position).</w:t>
      </w:r>
    </w:p>
  </w:footnote>
  <w:footnote w:id="140">
    <w:p w14:paraId="2C54F183" w14:textId="77777777" w:rsidR="004322B1" w:rsidRPr="00AD2F44" w:rsidRDefault="004322B1">
      <w:pPr>
        <w:pStyle w:val="14Footnote"/>
      </w:pPr>
      <w:r w:rsidRPr="00AD2F44">
        <w:rPr>
          <w:vertAlign w:val="superscript"/>
        </w:rPr>
        <w:footnoteRef/>
      </w:r>
      <w:r w:rsidRPr="00AD2F44">
        <w:t>487 F. Supp. 2d 344 (W.D.N.Y. 2007).</w:t>
      </w:r>
    </w:p>
  </w:footnote>
  <w:footnote w:id="141">
    <w:p w14:paraId="51C1FA1E" w14:textId="77777777" w:rsidR="004322B1" w:rsidRPr="00AD2F44" w:rsidRDefault="004322B1">
      <w:pPr>
        <w:pStyle w:val="14Footnote"/>
      </w:pPr>
      <w:r w:rsidRPr="00AD2F44">
        <w:rPr>
          <w:vertAlign w:val="superscript"/>
        </w:rPr>
        <w:footnoteRef/>
      </w:r>
      <w:r w:rsidRPr="00AD2F44">
        <w:rPr>
          <w:i/>
          <w:iCs/>
        </w:rPr>
        <w:t>Id.</w:t>
      </w:r>
      <w:r w:rsidRPr="00AD2F44">
        <w:t xml:space="preserve"> at 350. </w:t>
      </w:r>
    </w:p>
  </w:footnote>
  <w:footnote w:id="142">
    <w:p w14:paraId="19A52E56" w14:textId="77777777" w:rsidR="004322B1" w:rsidRPr="00AD2F44" w:rsidRDefault="004322B1">
      <w:pPr>
        <w:pStyle w:val="14Footnote"/>
      </w:pPr>
      <w:r w:rsidRPr="00AD2F44">
        <w:rPr>
          <w:vertAlign w:val="superscript"/>
        </w:rPr>
        <w:footnoteRef/>
      </w:r>
      <w:r w:rsidRPr="00AD2F44">
        <w:rPr>
          <w:i/>
        </w:rPr>
        <w:t xml:space="preserve">See, e.g., </w:t>
      </w:r>
    </w:p>
    <w:p w14:paraId="70EF601F" w14:textId="77777777" w:rsidR="004322B1" w:rsidRPr="00AD2F44" w:rsidRDefault="004322B1">
      <w:pPr>
        <w:pStyle w:val="14Footnote"/>
      </w:pPr>
      <w:r w:rsidRPr="00AD2F44">
        <w:rPr>
          <w:i/>
          <w:iCs/>
        </w:rPr>
        <w:t>Second Circuit:</w:t>
      </w:r>
      <w:r w:rsidRPr="00AD2F44">
        <w:t xml:space="preserve"> Ahmed v. TJ Maxx Corp., 103 F. Supp. 3d 343, 355–56 (E.D.N.Y. 2015) (affirming magistrate judge’s decision to deny nationwide certification to putative class of assistant store managers where plaintiff’s evidence compared to opt-in plaintiffs who testified that they performed significantly different duties than plaintiff, including many managerial duties; uniform classification as exempt was not sufficient for certification); Klein v. Octagon, Inc., 2015 WL 5821629, at *2–3 (S.D.N.Y. Sept. 30, 2015) (conditional certification denied for unpaid interns because plaintiffs submitted only “generalized proof” through allegations that they knew of others not compensated for performing similar work); Guillen v. Marshalls of MA, Inc., 841 F. Supp. 2d 797, 800–01 (S.D.N.Y. 2012) (denying nationwide conditional certification in manager misclassification case where plaintiffs failed to provide evidence that putative class members were performing nonexempt tasks that plaintiffs alleged they were performing; simply being classified as exempt and sharing same job description is not enough to warrant notice).</w:t>
      </w:r>
    </w:p>
    <w:p w14:paraId="2A477F06" w14:textId="77777777" w:rsidR="004322B1" w:rsidRPr="00AD2F44" w:rsidRDefault="004322B1">
      <w:pPr>
        <w:pStyle w:val="14Footnote"/>
      </w:pPr>
      <w:r w:rsidRPr="00AD2F44">
        <w:rPr>
          <w:i/>
          <w:iCs/>
        </w:rPr>
        <w:t>Third Circuit:</w:t>
      </w:r>
      <w:r w:rsidRPr="00AD2F44">
        <w:rPr>
          <w:b/>
          <w:bCs/>
          <w:i/>
          <w:iCs/>
        </w:rPr>
        <w:t xml:space="preserve"> </w:t>
      </w:r>
      <w:r w:rsidRPr="00AD2F44">
        <w:t>Swank v. Wal-Mart Stores, Inc., 2018 WL 2684102, at *10 (W.D. Pa. June 5, 2018) (refusing to grant conditional certification under a “modest plus” or “more searching standard,” with the court noting that it found evidence in the record reflecting differences in decision-making authority, supervision, and tasks performed by employees in the same position); Slone v. Gulf Interstate Field Servs., Inc.,</w:t>
      </w:r>
      <w:r w:rsidRPr="00AD2F44">
        <w:rPr>
          <w:b/>
          <w:bCs/>
        </w:rPr>
        <w:t xml:space="preserve"> </w:t>
      </w:r>
      <w:r w:rsidRPr="00AD2F44">
        <w:t>2017 WL 1105236, at *11 (M.D. Pa. Mar. 24, 2017)</w:t>
      </w:r>
      <w:r w:rsidRPr="00AD2F44">
        <w:rPr>
          <w:b/>
          <w:bCs/>
        </w:rPr>
        <w:t xml:space="preserve"> </w:t>
      </w:r>
      <w:r w:rsidRPr="00AD2F44">
        <w:t>(explaining that, even within job title “pipeline inspectors,” job duties varied widely and certification was not appropriate).</w:t>
      </w:r>
    </w:p>
    <w:p w14:paraId="13E0C31A" w14:textId="77777777" w:rsidR="004322B1" w:rsidRPr="00AD2F44" w:rsidRDefault="004322B1">
      <w:pPr>
        <w:pStyle w:val="14Footnote"/>
      </w:pPr>
      <w:r w:rsidRPr="00AD2F44">
        <w:rPr>
          <w:i/>
          <w:iCs/>
        </w:rPr>
        <w:t>Fourth Circuit:</w:t>
      </w:r>
      <w:r w:rsidRPr="00AD2F44">
        <w:t xml:space="preserve"> Yerger v. Liberty Mut. Grp., Inc., 2011 WL 5593151, at *6 (E.D.N.C. Nov. 15, 2011) (denying conditional certification, despite lenient standard, where evidence showed that plaintiff’s “individual work was substantially different from the class members that she seeks to represent”); Blaney v. Charlotte-Mecklenburg Hosp. Auth., 2011 WL 4351631, at *8 (W.D.N.C. Sept. 16, 2011) (denying conditional certification in claim alleging improper auto-deductions and failure to pay for time spent on call, where evidence showed that there was wide variation among putative class members (nurses and nurse assistants) as to on-call requirements and how meal breaks and accounting for meal breaks were handled).</w:t>
      </w:r>
    </w:p>
    <w:p w14:paraId="30A97F95" w14:textId="77777777" w:rsidR="004322B1" w:rsidRPr="00AD2F44" w:rsidRDefault="004322B1">
      <w:pPr>
        <w:pStyle w:val="14Footnote"/>
      </w:pPr>
      <w:r w:rsidRPr="00AD2F44">
        <w:rPr>
          <w:i/>
          <w:iCs/>
        </w:rPr>
        <w:t>Sixth Circuit:</w:t>
      </w:r>
      <w:r w:rsidRPr="00AD2F44">
        <w:t xml:space="preserve"> Shipes v. Amurcon Corp., 2012 WL 995362, at *10–11 (E.D. Mich. Mar. 23, 2012) (denying (without prejudice) conditional certification to salaried employees because of lack of evidence that putative class members’ job duties were similar to plaintiff’s even within her own job title).</w:t>
      </w:r>
    </w:p>
    <w:p w14:paraId="71904760" w14:textId="77777777" w:rsidR="004322B1" w:rsidRPr="00AD2F44" w:rsidRDefault="004322B1">
      <w:pPr>
        <w:pStyle w:val="14Footnote"/>
      </w:pPr>
      <w:r w:rsidRPr="00AD2F44">
        <w:rPr>
          <w:i/>
          <w:iCs/>
        </w:rPr>
        <w:t>Seventh Circuit:</w:t>
      </w:r>
      <w:r w:rsidRPr="00AD2F44">
        <w:t xml:space="preserve"> Steger v. Life Time Fitness, Inc., 2016 WL 245899 (N.D. Ill. Jan. 21, 2016) (applying intermediate certification standard; conditional certification of personal trainer employees denied where court found that performance of plaintiffs’ job duties and impact of alleged uniform corporate policies were subject to individual variation based on work location, individual supervisors’ practices, and each employee’s personal decisions and conduct).</w:t>
      </w:r>
    </w:p>
    <w:p w14:paraId="470F1C52" w14:textId="77777777" w:rsidR="004322B1" w:rsidRPr="00AD2F44" w:rsidRDefault="004322B1">
      <w:pPr>
        <w:pStyle w:val="14Footnote"/>
      </w:pPr>
      <w:r w:rsidRPr="00AD2F44">
        <w:rPr>
          <w:i/>
          <w:iCs/>
        </w:rPr>
        <w:t>Eleventh Circuit:</w:t>
      </w:r>
      <w:r w:rsidRPr="00AD2F44">
        <w:t xml:space="preserve"> Walker v. Jefferson Cnty. Bd. of Educ., 2016 WL 1117643 (N.D. Ala. Mar. 22, 2016) (denying class certification because plaintiffs, 10 hourly workers claiming overtime miscalculations, failed to demonstrate similarity and commonality among themselves as well as with respect to other plaintiffs after extensive discovery showed 1,500 various types of workers with different work schedules, duties, responsibilities, schedules, and classifications); Lovett v. SJAC Fulton Ind. I, LLC, 2015 WL 3889719, at *13–14 (N.D. Ga. June 23, 2015) (overruling magistrate judge’s grant of conditional certification of class of assistant managers allegedly misclassified as exempt, because evidence showed that duties of assistant managers differed significantly from plaintiff’s claimed duties).</w:t>
      </w:r>
    </w:p>
  </w:footnote>
  <w:footnote w:id="143">
    <w:p w14:paraId="29BE45BD" w14:textId="77777777" w:rsidR="004322B1" w:rsidRPr="00AD2F44" w:rsidRDefault="004322B1">
      <w:pPr>
        <w:pStyle w:val="14Footnote"/>
      </w:pPr>
      <w:r w:rsidRPr="00AD2F44">
        <w:rPr>
          <w:vertAlign w:val="superscript"/>
        </w:rPr>
        <w:footnoteRef/>
      </w:r>
      <w:r w:rsidRPr="00AD2F44">
        <w:t xml:space="preserve">See the discussion of the application of </w:t>
      </w:r>
      <w:r w:rsidRPr="00AD2F44">
        <w:rPr>
          <w:i/>
          <w:iCs/>
        </w:rPr>
        <w:t>Wal-Mart Stores, Inc</w:t>
      </w:r>
      <w:r w:rsidRPr="00AD2F44">
        <w:t>.</w:t>
      </w:r>
      <w:r w:rsidRPr="00AD2F44">
        <w:rPr>
          <w:i/>
          <w:iCs/>
        </w:rPr>
        <w:t xml:space="preserve"> v</w:t>
      </w:r>
      <w:r w:rsidRPr="00AD2F44">
        <w:t>.</w:t>
      </w:r>
      <w:r w:rsidRPr="00AD2F44">
        <w:rPr>
          <w:i/>
          <w:iCs/>
        </w:rPr>
        <w:t xml:space="preserve"> Dukes</w:t>
      </w:r>
      <w:r w:rsidRPr="00AD2F44">
        <w:t>, 564 U.S. 338 (2011), in III.B.1 [The Two-Stage Process Used to Determine if a Collective Action May Proceed to Trial; Stage I: Standard for Determining Whether Conditional Certifications Should Be Granted; The “Modest Factual Showing” Standard] of this chapter when courts decide conditional certification.</w:t>
      </w:r>
    </w:p>
  </w:footnote>
  <w:footnote w:id="144">
    <w:p w14:paraId="0386363C" w14:textId="77777777" w:rsidR="004322B1" w:rsidRPr="00AD2F44" w:rsidRDefault="004322B1">
      <w:pPr>
        <w:pStyle w:val="14Footnote"/>
      </w:pPr>
      <w:r w:rsidRPr="00AD2F44">
        <w:rPr>
          <w:vertAlign w:val="superscript"/>
        </w:rPr>
        <w:footnoteRef/>
      </w:r>
      <w:r w:rsidRPr="00AD2F44">
        <w:rPr>
          <w:i/>
        </w:rPr>
        <w:t>See, e.g.,</w:t>
      </w:r>
    </w:p>
    <w:p w14:paraId="4EDB55B7" w14:textId="77777777" w:rsidR="004322B1" w:rsidRPr="00AD2F44" w:rsidRDefault="004322B1">
      <w:pPr>
        <w:pStyle w:val="14Footnote"/>
      </w:pPr>
      <w:r w:rsidRPr="00AD2F44">
        <w:rPr>
          <w:i/>
          <w:iCs/>
        </w:rPr>
        <w:t xml:space="preserve">First Circuit: </w:t>
      </w:r>
      <w:r w:rsidRPr="00AD2F44">
        <w:t>Pugliese v. Gov’t Emps. Ins. Co., 2022 BL 131755, 2022 WL 1129341 (D. Mass. Apr. 15, 2022) (rejecting defendant’s arguments that claims were too individualized for collective treatment, finding plaintiffs met modest showing that they were subject to common practice of off-the-clock work); Saunders v. Getchell Agency, 2014 WL 580153 (D. Me. Feb. 12, 2014) (rejecting employer’s argument that off-the-clock violations inappropriate for collective treatment and finding that employees suffered from common illegal practice, nonpayment of overtime compensation).</w:t>
      </w:r>
    </w:p>
    <w:p w14:paraId="4F7436FB" w14:textId="77777777" w:rsidR="004322B1" w:rsidRPr="00AD2F44" w:rsidRDefault="004322B1">
      <w:pPr>
        <w:pStyle w:val="14Footnote"/>
      </w:pPr>
      <w:r w:rsidRPr="00AD2F44">
        <w:rPr>
          <w:i/>
          <w:iCs/>
        </w:rPr>
        <w:t>Second Circuit:</w:t>
      </w:r>
      <w:r w:rsidRPr="00AD2F44">
        <w:t xml:space="preserve"> Alcantara-Flores v. Vlad Restoration Ltd., 2017 WL 1655187, at *3 (E.D.N.Y. May 2, 2017) (conditionally certifying class claiming unpaid overtime and refusing to consider defendant’s argument that majority of class members had waived their claims; reasoning that, “[b]ecause of the nature of the two-step process, a court will not consider a defendant’s objection that individual defenses exist against certain potential class members as a basis to deny certification at the first step”) (collecting cases); Jeong Woo Kim v. 511 E. 5th Street, LLC, 985 F. Supp. 2d 439 (S.D.N.Y. 2012) (holding defendant’s argument about individualized fact disputes premature at motion for conditional certification stage); Ack v. Manhattan Beer Distribs., Inc., 2012 WL 1710985, at *5–6 (E.D.N.Y. May 15, 2012) (rejecting argument that individualized inquiry into outside sales exemption was necessary or precluded conditional certification); Fasanelli v. Heartland Brewery, Inc., 516 F. Supp. 2d 317, 322 (S.D.N.Y. 2007) (detailed factual disputes over an allegedly illegal off-the-clock practice not evaluated at the notice stage); Lynch v. United Servs. Auto. Ass’n, 491 F. Supp. 2d 357 (S.D.N.Y. 2007) (factual disputes not resolved at notice stage); Neary v. Metropolitan Prop. &amp; Cas. Ins. Co., 517 F. Supp. 2d 606, 618–19 (D. Conn. 2007) (rejecting defendants’ claim that an individualized inquiry would be needed to determine applicability of administrative exemption); Barrus v. Dick’s Sporting Goods, Inc., 465 F. Supp. 2d 224, 231 (W.D.N.Y. 2006) (rejecting claim of individualized determinations at notice stage).</w:t>
      </w:r>
    </w:p>
    <w:p w14:paraId="386E0B6F" w14:textId="77777777" w:rsidR="004322B1" w:rsidRPr="00AD2F44" w:rsidRDefault="004322B1">
      <w:pPr>
        <w:pStyle w:val="14Footnote"/>
      </w:pPr>
      <w:r w:rsidRPr="00AD2F44">
        <w:rPr>
          <w:i/>
          <w:iCs/>
        </w:rPr>
        <w:t>Third Circuit:</w:t>
      </w:r>
      <w:r w:rsidRPr="00AD2F44">
        <w:t xml:space="preserve"> Stone v. Troy Constr. LLC, 2015 WL 7736827, at *3 (M.D. Pa. Dec. 1, 2015) (conditional certification granted where nationwide compensation policies, testimony of company’s corporate designee, defendant’s interrogatory responses, and plaintiff’s affidavit and payroll records established required “nexus of facts common to herself and the putative class”); Goldman v. RadioShack Corp., 2003 U.S. Dist. LEXIS 7611, at *8 (E.D. Pa. Apr. 16, 2003) (“A fact-specific inquiry is conducted only after discovery and a formal motion to decertify the class is brought by the defendant.”); De Asencio v. Tyson Foods, Inc., 130 F. Supp. 2d 660, 663 (E.D. Pa. 2001) (“While this information [submitted by Defendant] may play a more significant role after discovery and during an analysis of the second and final similarly situated tier, Plaintiffs have advanced sufficient evidence to meet their low burden at this first tier of the similarly situated question.”).</w:t>
      </w:r>
    </w:p>
    <w:p w14:paraId="70B96967" w14:textId="77777777" w:rsidR="004322B1" w:rsidRPr="00AD2F44" w:rsidRDefault="004322B1">
      <w:pPr>
        <w:pStyle w:val="14Footnote"/>
      </w:pPr>
      <w:r w:rsidRPr="00AD2F44">
        <w:rPr>
          <w:i/>
          <w:iCs/>
        </w:rPr>
        <w:t>Fourth Circuit:</w:t>
      </w:r>
      <w:r w:rsidRPr="00AD2F44">
        <w:t xml:space="preserve"> Reynolds v. Wyndham Vacation Resorts, Inc., 2015 WL 8042021 (D.S.C. Dec. 4, 2015) (granting conditional certification for sales representatives who worked in three job positions in six locations, finding that differences in who supervised them, where they worked, and how sales were made did not establish factual differences warranting individual actions in lieu of collective action); Faust v. Comcast Cable Comm’cns Mgmt., LLC, 2011 WL 5244421, at *5 (D. Md. Nov. 1, 2011) (rejecting argument that individualized inquiries prevented conditional certification of call center employees, given standard at conditional certification stage, fact that much of discovery would focus on common issues regarding pay practices and performance metrics, evidence would be largely computerized, and that some individualized inquiries were acceptable, particularly because otherwise plaintiffs would be deprived of “an opportunity to vindicate their rights by joining together to challenge apparent illegal policies of their employer”).</w:t>
      </w:r>
    </w:p>
    <w:p w14:paraId="140D8A95" w14:textId="77777777" w:rsidR="004322B1" w:rsidRPr="00AD2F44" w:rsidRDefault="004322B1">
      <w:pPr>
        <w:pStyle w:val="14Footnote"/>
      </w:pPr>
      <w:r w:rsidRPr="00AD2F44">
        <w:rPr>
          <w:i/>
          <w:iCs/>
        </w:rPr>
        <w:t>Fifth Circuit:</w:t>
      </w:r>
      <w:r w:rsidRPr="00AD2F44">
        <w:t xml:space="preserve"> Richard v. Flower Foods, Inc.,</w:t>
      </w:r>
      <w:r w:rsidRPr="00AD2F44">
        <w:rPr>
          <w:i/>
          <w:iCs/>
        </w:rPr>
        <w:t xml:space="preserve"> </w:t>
      </w:r>
      <w:r w:rsidRPr="00AD2F44">
        <w:t>222 F. Supp. 3d 516, 524–25 (W.D. La. 2016) (refusing to consider evidence in independent contractor misclassification case about classification status of class members, or about whether some class members were subject to Motor Carrier Act or outside sales exemption, or subject to individual arbitration agreements, because those issues should be addressed at second stage); Parrish v. Premier Directional Drilling, L.P.,</w:t>
      </w:r>
      <w:r w:rsidRPr="00AD2F44">
        <w:rPr>
          <w:i/>
          <w:iCs/>
        </w:rPr>
        <w:t xml:space="preserve"> </w:t>
      </w:r>
      <w:r w:rsidRPr="00AD2F44">
        <w:t>2016 WL 8673862, at *4 (W.D. Tex. Oct. 14, 2016) (holding that arguments about application of economic realities test, which defendant contended required fact-intensive individualized inquiries, were generally left to decertification stage) (collecting cases); Akins v. Worley Catastrophe Response, LLC, 2013 WL 1412371, at *7 (E.D. La. Apr. 8, 2013) (rejecting defendant’s argument that conditional certification was not appropriate because each class member’s alleged damages and status as exempt or not would require individualized assessment, reasoning that such inquiries are better addressed at decertification stage); Clarke v. Convergys Customer Mgmt. Grp., Inc., 370 F. Supp. 2d 601, 606–07 (S.D. Tex. 2005) (individualized factual issues should be considered during second-stage analysis, not initial “notice” stage).</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668A3AD6" w14:textId="77777777" w:rsidR="004322B1" w:rsidRPr="00AD2F44" w:rsidRDefault="004322B1">
      <w:pPr>
        <w:pStyle w:val="14Footnote"/>
      </w:pPr>
      <w:r w:rsidRPr="00AD2F44">
        <w:rPr>
          <w:i/>
          <w:iCs/>
        </w:rPr>
        <w:t>Sixth Circuit:</w:t>
      </w:r>
      <w:r w:rsidRPr="00AD2F44">
        <w:t xml:space="preserve"> Arends v. Family Sols. of Ohio, Inc., 2019 WL 4417674 (N.D. Ohio Sept. 16, 2019) (granting conditional certification and rejecting as premature at notice stage defendant’s argument that claims require individualized inquiries); Shabazz v. Asurion Ins. Serv., 2008 U.S. Dist. LEXIS 29696 (M.D. Tenn. Apr. 10, 2008) (employer’s assertions regarding difference in its call centers and the different types of classifications given to employees who handle calls from customers are arguments more appropriately raised at the decertification stage of a collective action); Crawford v. Lexington-Fayette Urban Cnty. Gov’t, 2007 U.S. Dist. LEXIS 6711, at *21–22 (E.D. Ky. Jan. 26, 2007) (the prospect of individual defenses does not defeat certification at the notice stage as such arguments are appropriate at the decertification stage); White v. MPW Indus. Serv., Inc., 236 F.R.D. 363, 372–73 (E.D. Tenn. 2006) (allegation that Motor Carrier Act exemption required individual analysis).</w:t>
      </w:r>
    </w:p>
    <w:p w14:paraId="6000133C" w14:textId="77777777" w:rsidR="004322B1" w:rsidRPr="00AD2F44" w:rsidRDefault="004322B1">
      <w:pPr>
        <w:pStyle w:val="14Footnote"/>
      </w:pPr>
      <w:r w:rsidRPr="00AD2F44">
        <w:rPr>
          <w:i/>
          <w:iCs/>
        </w:rPr>
        <w:t>Seventh Circuit:</w:t>
      </w:r>
      <w:r w:rsidRPr="00AD2F44">
        <w:t xml:space="preserve"> Clugston v. Shamrock Cartage &amp; Spotting Servs., 2014 WL 5502455, at *4–5 (S.D. Ind. Oct. 30, 2014) (refusing to consider as premature in conditional certification analysis alleged individual inquiries regarding Motor Carrier Act exemption as to certain putative class members); Binissia v. ABM Indus., Inc., 2014 WL 793111 (N.D. Ill. Feb. 26, 2014) (granting conditional certification, finding that individualized differences exist in all FLSA cases involving rounding practices, and that courts routinely grant certification in such cases); Boyd v. Jupiter Aluminum Corp., 2006 U.S. Dist. LEXIS 35654, at *13–14 (N.D. Ind. May 31, 2006) (conditional certification granted over defendant’s assertion that individualized issues would “overwhelm any collective action and destroy any efficiencies of scale”); Austin v. CUNA Mut. Ins. Soc., 232 F.R.D. 601, 606 (W.D. Wis. 2006) (collective certification granted despite defendants’ assertion that a “fact-intensive inquiry” was required to determine if class members were exempt because these arguments are reserved for the decertification stage after discovery); Persin v. Career Builder, LLC, 2005 U.S. Dist. LEXIS 29727, at *13–14 (N.D. Ill. Nov. 23, 2005) (granting conditional certification over employer’s assertion that the FLSA claims would require evidence unique to each employee); Gambo v. Lucent Techs., Inc., 2005 U.S. Dist. LEXIS 37998, at *17 (N.D. Ill. Dec. 22, 2005) (conditional certification granted over defendant’s assertion that individualized determinations predominated).</w:t>
      </w:r>
    </w:p>
    <w:p w14:paraId="7DEEC96C" w14:textId="77777777" w:rsidR="004322B1" w:rsidRPr="00AD2F44" w:rsidRDefault="004322B1">
      <w:pPr>
        <w:pStyle w:val="14Footnote"/>
      </w:pPr>
      <w:r w:rsidRPr="00AD2F44">
        <w:rPr>
          <w:i/>
          <w:iCs/>
        </w:rPr>
        <w:t xml:space="preserve">Eighth Circuit: </w:t>
      </w:r>
      <w:r w:rsidRPr="00AD2F44">
        <w:t xml:space="preserve">Haworth v. New Prime, Inc., 2020 WL 1430478, at *9 (W.D. Mo. Mar. 23, 2020) (granting conditional certification despite defendant’s argument that individualized questions regarding amount of off-duty time prevented certification, noting evidence of corporate practice supporting plaintiffs’ theory and defendant’s lack of evidence to the contrary); Ondes v. Monsanto Co., 2011 WL 6152858, at *5–6 (E.D. Mo. Dec. 12, 2011) (rejecting argument that conditional certification should be denied because of need for individual inquiries into whether employees worked off the clock as allegedly instructed by managers, reasoning that arguments about “individualized inquiries and the merits” were not appropriate at conditional certification stage); </w:t>
      </w:r>
      <w:r w:rsidRPr="00AD2F44">
        <w:rPr>
          <w:i/>
          <w:iCs/>
        </w:rPr>
        <w:t>In re</w:t>
      </w:r>
      <w:r w:rsidRPr="00AD2F44">
        <w:t xml:space="preserve"> Pilgrim’s Pride Fair Labor Standards Litig., 2008 U.S. Dist. LEXIS 93966, at *10–12 (W.D. Ark. Mar. 13, 2008) (employer’s assertions that significant differences exist between the company’s facilities, departments, and workers found to be “premature” at the initial certification stage); Burch v. Qwest, 500 F. Supp. 2d 1181, 1190 (D. Minn. 2007) (individualized defenses best raised during second stage of certification process); Fast v. Applebee’s Int’l, Inc., 243 F.R.D. 360, 364 (W.D. Mo. 2007) (disparate factual and employment settings analyzed during second stage, not notice stage).</w:t>
      </w:r>
    </w:p>
    <w:p w14:paraId="4CB23243" w14:textId="77777777" w:rsidR="004322B1" w:rsidRPr="00AD2F44" w:rsidRDefault="004322B1">
      <w:pPr>
        <w:pStyle w:val="14Footnote"/>
      </w:pPr>
      <w:r w:rsidRPr="00AD2F44">
        <w:rPr>
          <w:i/>
          <w:iCs/>
        </w:rPr>
        <w:t>Ninth Circuit:</w:t>
      </w:r>
      <w:r w:rsidRPr="00AD2F44">
        <w:t xml:space="preserve"> Chastain v. Cam, 2014 WL 3734368, at *6–7 (D. Or. July 28, 2014) (granting conditional certification of off-the-clock claim and refusing to consider alleged variations at notice stage, especially as to damages); Taylor v. Autozone, Inc., 2011 WL 2038514 (D. Ariz. May 24, 2011) (permitting conditional certification where defendant argued that individual managers would have to be disregarding job description to be nonexempt and finding that such arguments address merits of case and not standards for conditional certification); Wren v. RGIS Inventory Specialists, 2007 U.S. Dist. LEXIS 95439, at *18 (N.D. Cal. Dec. 19, 2007) (“‘[T]he potentially individualized nature of determining damages is irrelevant in considering conditional certification [because] [t]he threshold inquiry does not require that the extent of the plaintiffs’ damages be identical or even similar.’”) (quoting Adams v. Inter-Con Sec. Sys., Inc., 242 F.R.D. 530, 537 (N.D. Cal. 2007)); Leuthold v. Destination Am., 224 F.R.D. 462, 468 (N.D. Cal. 2004) (“Defendants’ arguments in their opposition brief focus on the more stringent second-tier analysis and raise issues that may be more appropriately addressed on a motion for decertification after notice is given to the proposed class.”).</w:t>
      </w:r>
    </w:p>
    <w:p w14:paraId="6B3F2242" w14:textId="77777777" w:rsidR="004322B1" w:rsidRPr="00AD2F44" w:rsidRDefault="004322B1">
      <w:pPr>
        <w:pStyle w:val="14Footnote"/>
      </w:pPr>
      <w:r w:rsidRPr="00AD2F44">
        <w:rPr>
          <w:i/>
          <w:iCs/>
        </w:rPr>
        <w:t>Tenth Circuit:</w:t>
      </w:r>
      <w:r w:rsidRPr="00AD2F44">
        <w:t xml:space="preserve"> James v. Boyd Gaming Corp., 522 F. Supp. 3d 892</w:t>
      </w:r>
      <w:r w:rsidRPr="00AD2F44">
        <w:rPr>
          <w:b/>
          <w:bCs/>
        </w:rPr>
        <w:t xml:space="preserve"> </w:t>
      </w:r>
      <w:r w:rsidRPr="00AD2F44">
        <w:t>(D. Kan. 2021) (rejecting defendant’s arguments that individualized inquiries prevented conditional certification); Underwood v. NMC Mortg. Corp., 245 F.R.D. 720, 723 (D. Kan. 2007) (“Any disparate employment settings among putative class members is a factor to be considered at the second stage … .”); Gieseke v. First Horizon Home Loan Corp., 408 F. Supp. 2d 1164, 1168 (D. Kan. 2006) (“Individual differences in damages are not to be considered when ruling on conditional certification … .”); Reab v. Electronic Arts, Inc., 214 F.R.D. 623, 627 (D. Colo. 2002) (factors such as “disparate factual and employment settings of the individual plaintiffs” and “various defenses available to defendant which appear to be individual to each plaintiff” are considered during the second, and stricter, stage of the similarly situated analysis).</w:t>
      </w:r>
    </w:p>
    <w:p w14:paraId="701229B9" w14:textId="77777777" w:rsidR="004322B1" w:rsidRPr="00AD2F44" w:rsidRDefault="004322B1">
      <w:pPr>
        <w:pStyle w:val="14Footnote"/>
      </w:pPr>
      <w:r w:rsidRPr="00AD2F44">
        <w:rPr>
          <w:i/>
          <w:iCs/>
        </w:rPr>
        <w:t>Eleventh Circuit:</w:t>
      </w:r>
      <w:r w:rsidRPr="00AD2F44">
        <w:t xml:space="preserve"> Devries v. Morgan Stanley &amp; Co., 2014 WL 505157 (S.D. Fla. Feb. 7, 2014) (finding that defendant’s proposed “individualized inquiry” required detailed fact finding inappropriate for first stage of conditional certification); Robbins-Pagel v. WM. F. Puckett, Inc., 2006 U.S. Dist. LEXIS 85253 (M.D. Fla. Nov. 22, 2006) (court rejected defendant’s assertion that individualized questions regarding plaintiffs’ job duties or hours worked precluded conditional certification and held that the court should not make factual determinations or take into account individualized defenses at the notice stage); Scott v. Heartland Home Fin., Inc., 2006 U.S. Dist. LEXIS 28839, at *12–13 (N.D. Ga. May 3, 2006) (variations in specific duties, job locations, working hours, or the availability of various defenses are examples of factual issues that are not considered at the notice stage); Pendlebury v. Starbucks Coffee Co., 2005 U.S. Dist. LEXIS 574, 2005 WL 84500, at *3 (S.D. Fla. Jan. 3, 2005) (factual matters regarding the applicability of exemptions to employees not appropriate at notice stage).</w:t>
      </w:r>
    </w:p>
    <w:p w14:paraId="03D77FD8" w14:textId="77777777" w:rsidR="004322B1" w:rsidRPr="00AD2F44" w:rsidRDefault="004322B1">
      <w:pPr>
        <w:pStyle w:val="14Footnote"/>
      </w:pPr>
      <w:r w:rsidRPr="00AD2F44">
        <w:rPr>
          <w:i/>
          <w:iCs/>
        </w:rPr>
        <w:t>D.C. Circuit:</w:t>
      </w:r>
      <w:r w:rsidRPr="00AD2F44">
        <w:t xml:space="preserve"> Blount v. United States Sec. Assocs., 945 F. Supp. 2d 88, 95 (D.D.C. 2013) (granting conditional certification, rejecting argument that possibility that some members may not belong in class or be entitled to relief warranted denial, because some differences at initial certification stage did not preclude certification, and could be dealt with after discovery); Castillo v. P &amp; R Enters., Inc., 517 F. Supp. 2d 440, 447–48 (D.D.C. 2007) (conditional certification granted in spite of plaintiffs working in different buildings under different managers)</w:t>
      </w:r>
    </w:p>
  </w:footnote>
  <w:footnote w:id="145">
    <w:p w14:paraId="7D5028A7" w14:textId="77777777" w:rsidR="004322B1" w:rsidRPr="00AD2F44" w:rsidRDefault="004322B1">
      <w:pPr>
        <w:pStyle w:val="14Footnote"/>
      </w:pPr>
      <w:r w:rsidRPr="00AD2F44">
        <w:rPr>
          <w:vertAlign w:val="superscript"/>
        </w:rPr>
        <w:footnoteRef/>
      </w:r>
      <w:r w:rsidRPr="00AD2F44">
        <w:rPr>
          <w:i/>
          <w:iCs/>
        </w:rPr>
        <w:t>See., e.g.,</w:t>
      </w:r>
    </w:p>
    <w:p w14:paraId="07348ECD" w14:textId="77777777" w:rsidR="004322B1" w:rsidRPr="00AD2F44" w:rsidRDefault="004322B1">
      <w:pPr>
        <w:pStyle w:val="14Footnote"/>
      </w:pPr>
      <w:r w:rsidRPr="00AD2F44">
        <w:rPr>
          <w:i/>
          <w:iCs/>
        </w:rPr>
        <w:t>First Circuit:</w:t>
      </w:r>
      <w:r w:rsidRPr="00AD2F44">
        <w:t xml:space="preserve"> O’Donnell v. Robert Half Int’l, Inc., 534 F. Supp. 2d 173, 179 (D. Mass. 2008) (finding that plaintiffs failed to identify common policy of impermissible deductions).</w:t>
      </w:r>
    </w:p>
    <w:p w14:paraId="0656F2F7" w14:textId="77777777" w:rsidR="004322B1" w:rsidRPr="00AD2F44" w:rsidRDefault="004322B1">
      <w:pPr>
        <w:pStyle w:val="14Footnote"/>
      </w:pPr>
      <w:r w:rsidRPr="00AD2F44">
        <w:rPr>
          <w:i/>
          <w:iCs/>
        </w:rPr>
        <w:t>Second Circuit:</w:t>
      </w:r>
      <w:r w:rsidRPr="00AD2F44">
        <w:t xml:space="preserve"> Gillian v. Starjem Rest. Corp., 2011 WL 4639842, at *6 (S.D.N.Y. Oct. 4, 2011) (denying conditional certification in tip-credit and tip-pool case because, among other reasons, minimum wage and overtime claims required examination of each individual’s hours worked each shift and each week); Myers v. Hertz Corp., 2007 U.S. Dist. LEXIS 53572, at *3–4 (E.D.N.Y. July 24, 2007) (holding that determination under executive exemption required fact intensive determination).</w:t>
      </w:r>
    </w:p>
    <w:p w14:paraId="50B3B2D0" w14:textId="77777777" w:rsidR="004322B1" w:rsidRPr="00AD2F44" w:rsidRDefault="004322B1">
      <w:pPr>
        <w:pStyle w:val="14Footnote"/>
      </w:pPr>
      <w:r w:rsidRPr="00AD2F44">
        <w:rPr>
          <w:i/>
          <w:iCs/>
        </w:rPr>
        <w:t>Third Circuit:</w:t>
      </w:r>
      <w:r w:rsidRPr="00AD2F44">
        <w:t xml:space="preserve"> Kane v. Ollie’s Bargain Outlet, Inc., 2020 BL 457638, 2020 WL 6889195, at *12 (M.D. Pa. Nov. 24, 2020) (denying conditional certification in retail misclassification case where plaintiffs had varying levels of responsibility between stores and different store staffing pressures, noting that in misclassification cases “individualized factual determinations are almost always present”); Bamgbose v. Delta-T Grp., Inc., 684 F. Supp. 2d 660, 668–69 (E.D. Pa. 2010) (rejecting conditional certification, without prejudice, for class of independent contractors, reasoning that uniform classification, common payment procedures, intranet, and telephone systems did not establish that common proof could be used to evaluate independent contractor status of class as whole); Evancho v. Sanofi-Aventis U.S., Inc., 2007 U.S. Dist. LEXIS 93215 (D.N.J. Dec. 19, 2007); Morisky v. Public Serv. Elec. &amp; Co., 111 F. Supp. 2d 493 (D.N.J. 2000) (considering conditional certification after discovery period had concluded).</w:t>
      </w:r>
    </w:p>
    <w:p w14:paraId="18DFC189" w14:textId="77777777" w:rsidR="004322B1" w:rsidRPr="00AD2F44" w:rsidRDefault="004322B1">
      <w:pPr>
        <w:pStyle w:val="14Footnote"/>
      </w:pPr>
      <w:r w:rsidRPr="00AD2F44">
        <w:rPr>
          <w:i/>
          <w:iCs/>
        </w:rPr>
        <w:t>Fourth Circuit:</w:t>
      </w:r>
      <w:r w:rsidRPr="00AD2F44">
        <w:t xml:space="preserve"> Sodekson v. East Coast Rest. &amp; Nightclubs, LLC, 2016 WL 4613386, at *6–7 (D.S.C. Sept. 6, 2016) (denying conditional certification, citing, among other reasons, fact that sole opt-in plaintiff had arbitration agreement, which presented individualized issue, and named plaintiff’s claims were either time-barred or limited to three-month period, making it “difficult for this Court to accept that she is ‘similarly situated’ to the individuals she seeks to represent”); Pelczynski v. Orange Lake Country Club, 284 F.R.D. 364, 369 (D.S.C. 2012) (rejecting conditional certification of timeshare sales agents, finding numerous individualized issues because of disputes over hours worked and lack of any time records and only small number of putative class members);</w:t>
      </w:r>
      <w:r w:rsidRPr="00AD2F44">
        <w:rPr>
          <w:b/>
          <w:bCs/>
        </w:rPr>
        <w:t xml:space="preserve"> </w:t>
      </w:r>
      <w:r w:rsidRPr="00AD2F44">
        <w:t>Purdham v. Fairfax Cnty. Pub. Schs., 629 F. Supp. 2d 544, 552 (E.D. Va. 2009) (rejecting conditional certification of class seeking overtime and minimum wage on behalf of employees who “volunteered” at athletic events and received some kind of monetary supplement; variations between schools, varying practices and pay of individuals who did “volunteer” work, and question of whether work at athletic events was in role of volunteer or employee all would require individual inquiries that made collective action treatment inappropriate).</w:t>
      </w:r>
    </w:p>
    <w:p w14:paraId="5B1074CB" w14:textId="77777777" w:rsidR="004322B1" w:rsidRPr="00AD2F44" w:rsidRDefault="004322B1">
      <w:pPr>
        <w:pStyle w:val="14Footnote"/>
      </w:pPr>
      <w:r w:rsidRPr="00AD2F44">
        <w:rPr>
          <w:i/>
          <w:iCs/>
        </w:rPr>
        <w:t>Fifth Circuit:</w:t>
      </w:r>
      <w:r w:rsidRPr="00AD2F44">
        <w:t xml:space="preserve"> Shanks v. Carrizo Oil &amp; Gas, Inc., 2013 WL 6564636 (S.D. Tex. Dec. 11, 2013) (finding that inclusion of both exempt and nonexempt employees in proposed class precluded class members from being similarly situated); Andel v. Patterson-UTI Drilling Co., 280 F.R.D. 287, 290 (S.D. Tex. 2012) (denying conditional certification in independent contractor misclassification case, because analysis of classification would require individualized inquiries in light of differences in hours, days, and length of time worked; method used to invoice company; and each worker’s investment and opportunity for profit or loss); Dudley v. Texas Waste Sys., Inc., 2005 U.S. Dist. LEXIS 9168, at *7 (W.D. Tex. May 16, 2005) (certification denied where plaintiff failed to present any evidence “refuting [the defendant’s] written policy that employees were admonished to take their lunch breaks”); Basco v. Wal-Mart Stores, Inc., 2004 U.S. Dist. LEXIS 12441, 2004 WL 1497709, at *8 (E.D. La. July 2, 2004) (denying conditional certification where the plaintiffs sought to notify over 100,000 current or former employees of all Wal-Mart and Sam’s Club stores in Louisiana even though the court found that they “performed different jobs at different geographic locations and were subject to different managerial requirements”).</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15D694A" w14:textId="77777777" w:rsidR="004322B1" w:rsidRPr="00AD2F44" w:rsidRDefault="004322B1">
      <w:pPr>
        <w:pStyle w:val="14Footnote"/>
      </w:pPr>
      <w:r w:rsidRPr="00AD2F44">
        <w:rPr>
          <w:i/>
          <w:iCs/>
        </w:rPr>
        <w:t>Sixth Circuit:</w:t>
      </w:r>
      <w:r w:rsidRPr="00AD2F44">
        <w:t xml:space="preserve"> Harrison v. McDonald’s Corp., 411 F. Supp. 2d 862, 871 (S.D. Ohio 2005) (noting that case would require analysis of voluminous time records to determine whether each correction made to electronic time records was improper cautioned against certification).</w:t>
      </w:r>
    </w:p>
    <w:p w14:paraId="179CF1AF" w14:textId="77777777" w:rsidR="004322B1" w:rsidRPr="00AD2F44" w:rsidRDefault="004322B1">
      <w:pPr>
        <w:pStyle w:val="14Footnote"/>
      </w:pPr>
      <w:r w:rsidRPr="00AD2F44">
        <w:rPr>
          <w:i/>
          <w:iCs/>
        </w:rPr>
        <w:t>Seventh Circuit:</w:t>
      </w:r>
      <w:r w:rsidRPr="00AD2F44">
        <w:t xml:space="preserve"> </w:t>
      </w:r>
      <w:r w:rsidRPr="00AD2F44">
        <w:rPr>
          <w:i/>
          <w:iCs/>
        </w:rPr>
        <w:t>Steger</w:t>
      </w:r>
      <w:r w:rsidRPr="00AD2F44">
        <w:t>, 2016 WL 245899 (denying conditional certification for group of “Personal Trainer” employees with variety of job titles and positions where defendant asserted §207(i) affirmative defense, because resolution of defendant’s affirmative defense could not be accomplished collectively and would necessitate highly individualized inquiries); Strait v. Belcan Eng’g Grp., Inc., 911 F. Supp. 2d 709, 723 (N.D. Ill. 2012) (holding that plaintiffs failed to show by preponderance of evidence that defendant applied same pay deductions across class and finding court would have to perform individualized inquiry into pay practices); Bunyan v. Spectrum Brands, Inc., 2008 WL 2959932, at *4 (S.D. Ill. July 31, 2008) (articulating “intermediate standard” because significant but not complete discovery had occurred, and denying conditional certification in part to putative class of allegedly misclassified managers, because plaintiffs and putative class members, though having same job title, worked “at different locations, on different shifts, and on different production lines,” which caused them to perform different tasks and spend different amounts of time on those tasks).</w:t>
      </w:r>
    </w:p>
    <w:p w14:paraId="7AF08A15" w14:textId="77777777" w:rsidR="004322B1" w:rsidRPr="00AD2F44" w:rsidRDefault="004322B1">
      <w:pPr>
        <w:pStyle w:val="14Footnote"/>
      </w:pPr>
      <w:r w:rsidRPr="00AD2F44">
        <w:rPr>
          <w:i/>
          <w:iCs/>
        </w:rPr>
        <w:t>Eighth Circuit:</w:t>
      </w:r>
      <w:r w:rsidRPr="00AD2F44">
        <w:t xml:space="preserve"> Ray v. Motel 6 Operating, Ltd. P’ship, 1996 U.S. Dist. LEXIS 22565 (D. Minn. Feb. 16, 1996) (certification of companywide case of assistant managers denied because of manageability concerns where plaintiffs worked in different regions, under area managers who had discretion to approve overtime, in different size hotels, and performed different amounts of overtime).</w:t>
      </w:r>
    </w:p>
    <w:p w14:paraId="78EE3AB7" w14:textId="77777777" w:rsidR="004322B1" w:rsidRPr="00AD2F44" w:rsidRDefault="004322B1">
      <w:pPr>
        <w:pStyle w:val="14Footnote"/>
      </w:pPr>
      <w:r w:rsidRPr="00AD2F44">
        <w:rPr>
          <w:i/>
          <w:iCs/>
        </w:rPr>
        <w:t>Ninth Circuit:</w:t>
      </w:r>
      <w:r w:rsidRPr="00AD2F44">
        <w:t xml:space="preserve"> Kesley v. Entertainment U.S.A., Inc., 67 F. Supp. 3d 1061, 1071–73 (D. Ariz. 2014) (declining to extend notice to Ohio and North Carolina and beyond locations in Arizona where plaintiffs worked, in part because court determined it lacked personal jurisdiction over separate corporate entities affiliated with Arizona defendant through owner, and suggesting that plaintiffs in those states could pursue their claims there); Gessele v. Jack in the Box, Inc., 2013 WL 1326563, at *27–28 (D. Or. Jan. 28, 2013), </w:t>
      </w:r>
      <w:r w:rsidRPr="00AD2F44">
        <w:rPr>
          <w:i/>
          <w:iCs/>
        </w:rPr>
        <w:t>report and recommendation adopted</w:t>
      </w:r>
      <w:r w:rsidRPr="00AD2F44">
        <w:t>, 2013 WL 1326538 (D. Or. Apr. 1, 2013) (applying intermediate scrutiny and denying conditional certification where despite defendant’s uniform nationwide employee break policy and timekeeping system, whether employee whose break had been interrupted was underpaid under FLSA depended on individualized assessment based on particular circumstances involved, length and type of break, nature and extent of any interruption, and varying operational and time card editing practices of hundreds of different supervisors); Ellerd v. County of L.A., 2009 WL 982077, at *5 (C.D. Cal. Apr. 9, 2009) (denying conditional certification based on conflict in class, where putative class included social workers and supervisors who allegedly instructed them to violate the law, but making denial without prejudice so that plaintiffs could move for class of either supervisors or social workers); Trinh v. JP Morgan Chase &amp; Co., 2008 U.S. Dist. LEXIS 33016 (S.D. Cal. Apr. 22, 2008) (conditional certification denied where plaintiffs provided no real evidence, beyond their own speculative beliefs, suggesting that all loan officers across the country, regardless of location or experience, receive the same compensation and are required to work in the same manner and plaintiffs failed to show common evidence that would be used to establish they were misclassified as exempt by the employer); Sheffield v. Orius Corp., 211 F.R.D. 411, 413 (D. Or. 2002) (denying conditional certification where the employees in the proposed class were employed by different subsidiaries and affiliates of the defendant, they worked at nine different job sites, and their method of compensation ranged from piece rate to hourly to salaried; court noted an action dominated by individualized issues cannot be administered efficiently).</w:t>
      </w:r>
    </w:p>
    <w:p w14:paraId="664F7EAE" w14:textId="77777777" w:rsidR="004322B1" w:rsidRPr="00AD2F44" w:rsidRDefault="004322B1">
      <w:pPr>
        <w:pStyle w:val="14Footnote"/>
      </w:pPr>
      <w:r w:rsidRPr="00AD2F44">
        <w:rPr>
          <w:i/>
          <w:iCs/>
        </w:rPr>
        <w:t>Eleventh Circuit:</w:t>
      </w:r>
      <w:r w:rsidRPr="00AD2F44">
        <w:t xml:space="preserve"> </w:t>
      </w:r>
      <w:r w:rsidRPr="00184277">
        <w:t>Green v. Atlas Senior Living, LLC,</w:t>
      </w:r>
      <w:r>
        <w:t xml:space="preserve"> </w:t>
      </w:r>
      <w:r w:rsidRPr="00486191">
        <w:t>2022 BL 194582</w:t>
      </w:r>
      <w:r>
        <w:t xml:space="preserve">, </w:t>
      </w:r>
      <w:r w:rsidRPr="0052265E">
        <w:t xml:space="preserve">2022 WL 2007398 </w:t>
      </w:r>
      <w:r w:rsidRPr="00184277">
        <w:t>(S.D. Ga. June 6, 2022)</w:t>
      </w:r>
      <w:r>
        <w:t xml:space="preserve"> (denying conditional certification where defendant sufficiently demonstrated</w:t>
      </w:r>
      <w:r w:rsidRPr="00184277">
        <w:t xml:space="preserve"> there were wide variances in whether plaintiffs were paid for missed meal breaks and extent </w:t>
      </w:r>
      <w:r>
        <w:t xml:space="preserve">to which </w:t>
      </w:r>
      <w:r w:rsidRPr="00184277">
        <w:t>defendant knew of unpaid missed meal breaks</w:t>
      </w:r>
      <w:r>
        <w:t xml:space="preserve">); </w:t>
      </w:r>
      <w:r w:rsidRPr="00AD2F44">
        <w:t>Balassiano v. Fogo de Chao Churrascaria (Orlando) LLC, 2020 BL 489957, 2020 WL 7365264 (M.D. Fla. Dec. 15, 2020) (denying conditional certification; finding one group of plaintiffs (gauchos) had two legal grounds for minimum wage violations and another group (servers and bartenders) had one legal ground, that including three categories of tipped workers in a collective had been rejected in at least one other case and that even plaintiffs’ job position required individual inquiry into whether and what shifts gauchos had worked as “kitchen gauchos,” a position that would allegedly invalidate tip pool); Udo v. Lincare, Inc., 2014 WL 5354589, at *11 (M.D. Fla. Sept. 14, 2014) (denying nationwide certification of delivery drivers because of too many individualized inquiries surrounding claims of interrupted meal breaks with auto-deduction for time because of wide variations in schedules worked, meal breaks, and deliveries); Lockman v. Youme Windyhill, LLC, 2014 WL 3908590, at *2 (N.D. Ga. Aug. 11, 2014) (denying certification where differences in job duties, pay provisions, theories of relief, and claim of “certain instances” of failure to pay minimum wage meant that any liability determination would require individualized inquiries); Tyler v. Payless Shoe Source, Inc., 2005 U.S. Dist. LEXIS 31682 (M.D. Ala. Nov. 22, 2005) (a determination of similarly situated would require fact-specific case-by-case analysis of average job duties, number of employees supervised, and classification of each employee); Holt v. Rite Aid Corp., 333 F. Supp. 2d 1265, 1274 (M.D. Ala. 2004) (certification denied after extensive discovery had been conducted and court found that in order to address exemption defense the court would need to examine the job duties actually performed by all of the store managers and assistant managers); Horne v. United Serv. Auto. Ass’n, 279 F. Supp. 2d 1231, 1235–36 (M.D. Ala. 2003) (conditional certification denied despite plaintiff’s assertion that all appraisers were subject to same production goals that could not be completed without working more than 40 hours per week where plaintiff provided no supporting affidavits from other appraisers and record established that some overtime compensation was paid to plaintiff).</w:t>
      </w:r>
    </w:p>
  </w:footnote>
  <w:footnote w:id="146">
    <w:p w14:paraId="12BBD153" w14:textId="77777777" w:rsidR="004322B1" w:rsidRPr="00AD2F44" w:rsidRDefault="004322B1">
      <w:pPr>
        <w:pStyle w:val="14Footnote"/>
      </w:pPr>
      <w:r w:rsidRPr="00AD2F44">
        <w:rPr>
          <w:vertAlign w:val="superscript"/>
        </w:rPr>
        <w:footnoteRef/>
      </w:r>
      <w:r w:rsidRPr="00AD2F44">
        <w:rPr>
          <w:i/>
          <w:iCs/>
        </w:rPr>
        <w:t>See, e.g.,</w:t>
      </w:r>
    </w:p>
    <w:p w14:paraId="4A5A1726" w14:textId="77777777" w:rsidR="004322B1" w:rsidRPr="00AD2F44" w:rsidRDefault="004322B1">
      <w:pPr>
        <w:pStyle w:val="14Footnote"/>
      </w:pPr>
      <w:r w:rsidRPr="00AD2F44">
        <w:rPr>
          <w:i/>
          <w:iCs/>
        </w:rPr>
        <w:t>First Circuit:</w:t>
      </w:r>
      <w:r w:rsidRPr="00AD2F44">
        <w:t xml:space="preserve"> Johnson v. VCG Holding Corp., 802 F. Supp. 2d 227, 238–39 (D. Me. 2011) (denying conditional certification where two plaintiffs failed to show interest by others in joining class, explaining that while the named plaintiffs need not demonstrate the existence of similarly situated persons at every location in the proposed class, they must demonstrate that there existed at least one similarly situated person at a facility other than their own); O’Donnell v. Robert Half Int’l, Inc., 429 F. Supp. 2d 246, 250–51 (D. Mass. 2006) (conditional certification denied where two plaintiffs merely stated that they believed others would opt in and only one opt-in plaintiff had joined the action during the year period following the filing of the complaint).</w:t>
      </w:r>
    </w:p>
    <w:p w14:paraId="7D36D6E8" w14:textId="77777777" w:rsidR="004322B1" w:rsidRPr="00AD2F44" w:rsidRDefault="004322B1">
      <w:pPr>
        <w:pStyle w:val="14Footnote"/>
      </w:pPr>
      <w:r w:rsidRPr="00AD2F44">
        <w:rPr>
          <w:i/>
          <w:iCs/>
        </w:rPr>
        <w:t>Second Circuit:</w:t>
      </w:r>
      <w:r w:rsidRPr="00AD2F44">
        <w:t xml:space="preserve"> Khan v. Airport Mgmt. Servs., LLC, 2011 WL 5597371, at *5 (S.D.N.Y. Nov. 16, 2011) (denying issuance of notice because plaintiff failed to identify others interested in joining lawsuit).</w:t>
      </w:r>
    </w:p>
    <w:p w14:paraId="3BDF74C6" w14:textId="77777777" w:rsidR="004322B1" w:rsidRDefault="004322B1">
      <w:pPr>
        <w:pStyle w:val="14Footnote"/>
      </w:pPr>
      <w:r w:rsidRPr="00AD2F44">
        <w:rPr>
          <w:i/>
          <w:iCs/>
        </w:rPr>
        <w:t>Fifth Circuit:</w:t>
      </w:r>
      <w:r w:rsidRPr="00AD2F44">
        <w:t xml:space="preserve"> Cervantez v. TDT Consulting, LLC, 2019 WL 3948355, at *6–7, 9 (N.D. Tex. July 22, 2019) (recognizing split of authority in district courts in Fifth Circuit on whether plaintiffs must show similarly situated employees want to opt in to suit; holding fact that one other employee filed consent to join supports conditional certification); Clemons v. PHB, Inc., 2018 WL 4539116 (N.D. Tex. Sept. 21, 2018) (granting conditional certification for only the locations where employees expressed interest, and refusing to grant conditional certification as to locations where plaintiff did not provide evidence of interest); Solis v. Baylor Scott &amp; White Health Care, 2018 WL 4076484 (N.D. Tex. July 16, 2018) (refusing to grant conditional certification for a collective of all nurses spanning 12 facilities when plaintiff provided only one affidavit (her own) demonstrating interest in joining the collective action); Shaffer v. M-I, LLC, 2015 WL 7313415 (S.D. Tex. Nov. 19, 2015) (denying conditional certification because plaintiff made only vague statement that others may exist and therefore failed to establish that other individuals wanted to opt in to action); Perez v. Guardian Equity Mgmt., LLC, 2011 WL 2672431, at *8 (S.D. Tex. July 7, 2011) (relaxing the requirement that plaintiff show there are others who wish to join the lawsuit where the plaintiff had limited contact with other potential opt-ins, defendant refused to disclose their identities, and plaintiff testified that other employees were interested in joining but feared retaliation); Songer v. Dillon Res., Inc., 569 F. Supp. 2d 703, 707 (N.D. Tex. 2008) (denying conditional certification, in part, because plaintiffs’ evidence did not show that other similarly situated employees sought to opt in); Simmons v. T-Mobile USA, Inc., 2007 U.S. Dist. LEXIS 5002, at *33–34 (S.D. Tex. Jan. 24, 2007) (“a showing is necessary that at least a few similarly situated individuals seek to join the lawsuit”); Aguirre v. SBC Commc’ns, Inc., 2006 U.S. Dist. LEXIS 22211, at *19 (S.D. Tex. Apr. 11, 2006).</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68F9864" w14:textId="77777777" w:rsidR="004322B1" w:rsidRPr="00E069BA" w:rsidRDefault="004322B1">
      <w:pPr>
        <w:pStyle w:val="14Footnote"/>
      </w:pPr>
      <w:r>
        <w:rPr>
          <w:i/>
          <w:iCs/>
        </w:rPr>
        <w:t>Sixth Circuit</w:t>
      </w:r>
      <w:r>
        <w:t xml:space="preserve">: </w:t>
      </w:r>
      <w:r w:rsidRPr="00E069BA">
        <w:t>St. Cloud v. Estes Express Lines, Inc.,</w:t>
      </w:r>
      <w:r>
        <w:t xml:space="preserve"> </w:t>
      </w:r>
      <w:r w:rsidRPr="00645E6B">
        <w:t>2022 BL 215773</w:t>
      </w:r>
      <w:r>
        <w:t xml:space="preserve">, </w:t>
      </w:r>
      <w:r w:rsidRPr="0052265E">
        <w:t xml:space="preserve">2022 WL 2252957 </w:t>
      </w:r>
      <w:r w:rsidRPr="00E069BA">
        <w:t>(M.D. Tenn. June 22, 2022)</w:t>
      </w:r>
      <w:r>
        <w:t xml:space="preserve"> (denying certification where plaintiffs failed to </w:t>
      </w:r>
      <w:r w:rsidRPr="00E069BA">
        <w:t>demonstrate a likelihood of additional similarly situated individuals</w:t>
      </w:r>
      <w:r>
        <w:t xml:space="preserve">, recognizing </w:t>
      </w:r>
      <w:r w:rsidRPr="00E069BA">
        <w:t>one opt-in with two named plaintiffs</w:t>
      </w:r>
      <w:r>
        <w:t xml:space="preserve"> was insufficient). </w:t>
      </w:r>
    </w:p>
    <w:p w14:paraId="4DD5DA3E" w14:textId="77777777" w:rsidR="004322B1" w:rsidRPr="00AD2F44" w:rsidRDefault="004322B1">
      <w:pPr>
        <w:pStyle w:val="14Footnote"/>
      </w:pPr>
      <w:r w:rsidRPr="00AD2F44">
        <w:rPr>
          <w:i/>
          <w:iCs/>
        </w:rPr>
        <w:t>Seventh Circuit:</w:t>
      </w:r>
      <w:r w:rsidRPr="00AD2F44">
        <w:t xml:space="preserve"> DeKeyser v. Thyssenkrupp Waupaca, Inc., 2008 WL 5263750, at *4 (E.D. Wis. Dec. 18, 2008) (holding that 67 opt-ins demonstrated sufficient interest in litigation to support conditional certification); Lance v. The Scotts Co., 2005 U.S. Dist. LEXIS 14949, at *26–27 (N.D. Ill. July 21, 2005).</w:t>
      </w:r>
    </w:p>
    <w:p w14:paraId="202252EB" w14:textId="77777777" w:rsidR="004322B1" w:rsidRPr="00AD2F44" w:rsidRDefault="004322B1">
      <w:pPr>
        <w:pStyle w:val="14Footnote"/>
      </w:pPr>
      <w:r w:rsidRPr="00AD2F44">
        <w:rPr>
          <w:i/>
          <w:iCs/>
        </w:rPr>
        <w:t>Eighth Circuit:</w:t>
      </w:r>
      <w:r w:rsidRPr="00AD2F44">
        <w:t xml:space="preserve"> Butcher v. Delta Mem’l Hosp., 2013 WL 1668998, at *3 (E.D. Ark. Apr. 17, 2013) (denying certification where plaintiffs failed to offer evidence that any similarly situated individuals were interested in joining litigation); Parker v. Rowland Express, Inc., 492 F. Supp. 2d 1159, 1165 (D. Minn. 2007).</w:t>
      </w:r>
    </w:p>
    <w:p w14:paraId="5FD3C568" w14:textId="77777777" w:rsidR="004322B1" w:rsidRDefault="004322B1">
      <w:pPr>
        <w:pStyle w:val="14Footnote"/>
      </w:pPr>
      <w:r w:rsidRPr="00AD2F44">
        <w:rPr>
          <w:i/>
          <w:iCs/>
        </w:rPr>
        <w:t>Ninth Circuit:</w:t>
      </w:r>
      <w:r w:rsidRPr="00AD2F44">
        <w:t xml:space="preserve"> Hargrove v. Sykes Enters., Inc., 2009 U.S. Dist. LEXIS 20141, at *13 (D. Or. June 30, 1999).</w:t>
      </w:r>
    </w:p>
    <w:p w14:paraId="5A48FDEC" w14:textId="77777777" w:rsidR="004322B1" w:rsidRPr="00E069BA" w:rsidRDefault="004322B1">
      <w:pPr>
        <w:pStyle w:val="14Footnote"/>
      </w:pPr>
      <w:r>
        <w:rPr>
          <w:i/>
          <w:iCs/>
        </w:rPr>
        <w:t>Tenth Circuit</w:t>
      </w:r>
      <w:r>
        <w:t xml:space="preserve">: </w:t>
      </w:r>
      <w:r w:rsidRPr="00E069BA">
        <w:t>Silva v. Agave Transp. Servs.,</w:t>
      </w:r>
      <w:r>
        <w:t xml:space="preserve"> </w:t>
      </w:r>
      <w:r w:rsidRPr="00DA6A39">
        <w:t>2023 BL 53263</w:t>
      </w:r>
      <w:r>
        <w:t xml:space="preserve">, </w:t>
      </w:r>
      <w:r w:rsidRPr="0052265E">
        <w:t xml:space="preserve">2023 WL 2087955 </w:t>
      </w:r>
      <w:r w:rsidRPr="00E069BA">
        <w:t>(D.N.M. Feb. 18, 2023)</w:t>
      </w:r>
      <w:r>
        <w:t xml:space="preserve"> (holding there was</w:t>
      </w:r>
      <w:r w:rsidRPr="00E069BA">
        <w:t xml:space="preserve"> insufficient evidence</w:t>
      </w:r>
      <w:r>
        <w:t xml:space="preserve"> of</w:t>
      </w:r>
      <w:r w:rsidRPr="00E069BA">
        <w:t xml:space="preserve"> other putative plaintiffs likely to </w:t>
      </w:r>
      <w:r>
        <w:t>opt in</w:t>
      </w:r>
      <w:r w:rsidRPr="00E069BA">
        <w:t xml:space="preserve">, </w:t>
      </w:r>
      <w:r>
        <w:t>with no further</w:t>
      </w:r>
      <w:r w:rsidRPr="00E069BA">
        <w:t xml:space="preserve"> corroborat</w:t>
      </w:r>
      <w:r>
        <w:t>ion to</w:t>
      </w:r>
      <w:r w:rsidRPr="00E069BA">
        <w:t xml:space="preserve"> plaintiff’s declaration</w:t>
      </w:r>
      <w:r>
        <w:t xml:space="preserve">, holding such evidence failed </w:t>
      </w:r>
      <w:r w:rsidRPr="00E069BA">
        <w:t>to establish plaintiff</w:t>
      </w:r>
      <w:r>
        <w:t>’s</w:t>
      </w:r>
      <w:r w:rsidRPr="00E069BA">
        <w:t xml:space="preserve"> knowledge regarding pay </w:t>
      </w:r>
      <w:r>
        <w:t>of</w:t>
      </w:r>
      <w:r w:rsidRPr="00E069BA">
        <w:t xml:space="preserve"> other oilfield drivers</w:t>
      </w:r>
      <w:r>
        <w:t xml:space="preserve">; allowing </w:t>
      </w:r>
      <w:r w:rsidRPr="00E069BA">
        <w:t xml:space="preserve">plaintiff sixty days to conduct discovery </w:t>
      </w:r>
      <w:r>
        <w:t>to show</w:t>
      </w:r>
      <w:r w:rsidRPr="00E069BA">
        <w:t xml:space="preserve"> other putative plaintiffs were likely to exist</w:t>
      </w:r>
      <w:r>
        <w:t xml:space="preserve">). </w:t>
      </w:r>
    </w:p>
    <w:p w14:paraId="3D422A17" w14:textId="77777777" w:rsidR="004322B1" w:rsidRPr="00AD2F44" w:rsidRDefault="004322B1">
      <w:pPr>
        <w:pStyle w:val="14Footnote"/>
      </w:pPr>
      <w:r w:rsidRPr="00AD2F44">
        <w:rPr>
          <w:i/>
          <w:iCs/>
        </w:rPr>
        <w:t>Eleventh Circuit:</w:t>
      </w:r>
      <w:r w:rsidRPr="00AD2F44">
        <w:t xml:space="preserve"> Dybach v. Fla. Dep’t of Corr., 942 F.2d 1562, 1567–68 (11th Cir. 1991); Haynes v. Singer Co., Inc., 696 F.2d 884, 887 (11th Cir. 1983); Dix v. RCSH Operations, LLC, 2020 BL 489957, 2020 WL 6915046 (M.D. Fla. Nov. 24, 2020) (denying conditional certification where only one other employee opted in during nine months since lawsuit filing); Metzler v. Medical Mgmt. Int’l Inc., 2020 WL 1674310, at *3 (M.D. Fla. Mar. 4, 2020) (granting conditional certification, finding plaintiffs met their “light” burden to demonstrate “reasonable basis” to claim that others desired to participate where 10 individuals had opted in to the suit); Morris v. Trugreeb Ltd. P’ship, 2018 WL 3651384 (M.D. Fla. June 14, 2018) (refusing to grant conditional certification when plaintiff provided only one opt-in); Holmes v. Swissport Fueling, Inc., 2017 WL 8794900, at *6 (M.D. Fla. Sept. 1, 2017) (granting conditional certification; “Evidence of similarly situated employees who desire to opt in may be based on affidavits of other employees, consents to join the lawsuit filed by other employees, or expert evidence on the existence of other similarly situated employees. … A court must keep in mind that a ‘plaintiff’s or counsel’s belief in the existence of other employees who desire to opt in and unsupported expectations that additional plaintiffs will subsequently come forward are insufficient to justify certification of a collective action and notice to a potential class.’”) (citation omitted); Walker v. Jefferson Cnty. Bd. of Educ., 2016 WL 1117643, at *6 (N.D. Ala. Mar. 22, 2016) (denying conditional certification in part because only two persons had filed consent forms to opt in); Gonzalez v. TZ Ins. Sols., LLC, 2014 WL 1248154, at *2 (M.D. Fla. Mar. 26, 2014) (finding no “magic number requirement for the notice stage,” but that presence of five opt-in plaintiffs, who had filed declarations regarding their working conditions and desire to join suit, was sufficient); Louis-Chares v. Sun-Sentinel Co., 2008 U.S. Dist. LEXIS 20030 (S.D. Fla. Mar. 14, 2008) (plaintiff’s anticipation that others would seek to join the case insufficient); Robinson v. Dolgencorp, Inc., 2006 U.S. Dist. LEXIS 85471 (M.D. Fla. Nov. 20, 2006) (certification denied where affidavits submitted for the two opt-in plaintiffs did not address whether other employees desired to join the case and the affidavit submitted by the named plaintiff only identified three potential opt-in plaintiffs who were interested in joining the case, whereas the employer had provided numerous affidavits indicating that employees were not interested in joining the action).</w:t>
      </w:r>
    </w:p>
    <w:p w14:paraId="2E5588A7" w14:textId="77777777" w:rsidR="004322B1" w:rsidRPr="00AD2F44" w:rsidRDefault="004322B1">
      <w:pPr>
        <w:pStyle w:val="14Footnote"/>
      </w:pPr>
      <w:r w:rsidRPr="00AD2F44">
        <w:rPr>
          <w:i/>
          <w:iCs/>
        </w:rPr>
        <w:t>Cf</w:t>
      </w:r>
      <w:r w:rsidRPr="00AD2F44">
        <w:t>.</w:t>
      </w:r>
      <w:r w:rsidRPr="00AD2F44">
        <w:rPr>
          <w:i/>
          <w:iCs/>
        </w:rPr>
        <w:t xml:space="preserve"> </w:t>
      </w:r>
      <w:r w:rsidRPr="00AD2F44">
        <w:t xml:space="preserve">Martin v. Psalms, Inc., 2011 WL 2882387, at *8 (W.D. Tenn. July 15, 2011) (recognizing that Sixth Circuit had not decided whether plaintiff must show interest by other potential class members in opting in, and that Eleventh Circuit required some interest be shown but had not defined how much, and finding that one opt-in was sufficient to demonstrate interest for conditional certification). </w:t>
      </w:r>
    </w:p>
  </w:footnote>
  <w:footnote w:id="147">
    <w:p w14:paraId="22682F68" w14:textId="77777777" w:rsidR="004322B1" w:rsidRPr="00AD2F44" w:rsidRDefault="004322B1">
      <w:pPr>
        <w:pStyle w:val="14Footnote"/>
      </w:pPr>
      <w:r w:rsidRPr="00AD2F44">
        <w:rPr>
          <w:vertAlign w:val="superscript"/>
        </w:rPr>
        <w:footnoteRef/>
      </w:r>
      <w:r w:rsidRPr="00AD2F44">
        <w:rPr>
          <w:i/>
          <w:iCs/>
        </w:rPr>
        <w:t>See, e.g.,</w:t>
      </w:r>
    </w:p>
    <w:p w14:paraId="11EF803A" w14:textId="77777777" w:rsidR="004322B1" w:rsidRPr="00AD2F44" w:rsidRDefault="004322B1">
      <w:pPr>
        <w:pStyle w:val="14Footnote"/>
      </w:pPr>
      <w:r w:rsidRPr="00AD2F44">
        <w:rPr>
          <w:i/>
          <w:iCs/>
        </w:rPr>
        <w:t>First Circuit:</w:t>
      </w:r>
      <w:r w:rsidRPr="00AD2F44">
        <w:t xml:space="preserve"> Giguere v. Port Res., Inc., 2016 WL 6996133, at *5 (D. Me. Nov. 30, 2016) (granting conditional certification and declining to require plaintiff to identify other individuals with interest in joining suit, where plaintiff was former employee and facilities were scattered throughout Maine, making it difficult for him to find such workers; defendant admitted that other employees followed plaintiff’s schedule that was at issue, and that plaintiff had personal knowledge of work hours and policy at issue in case); Rossello v. Avon Prods., Inc., 2015 WL 3890403 (D.P.R. June 24, 2015) (concluding that conditional certification should not hinge on showing that other employees are interested in joining suit); Trezvant v. Fidelity Emp. Servs. Corp., 434 F. Supp. 2d 40, 45 (D. Mass. 2006) (affidavits beyond the named plaintiffs are not necessary to meet the similarly situated requirement).</w:t>
      </w:r>
    </w:p>
    <w:p w14:paraId="2C16E393" w14:textId="77777777" w:rsidR="004322B1" w:rsidRPr="00AD2F44" w:rsidRDefault="004322B1">
      <w:pPr>
        <w:pStyle w:val="14Footnote"/>
      </w:pPr>
      <w:r w:rsidRPr="00AD2F44">
        <w:rPr>
          <w:i/>
          <w:iCs/>
        </w:rPr>
        <w:t>Second Circuit:</w:t>
      </w:r>
      <w:r w:rsidRPr="00AD2F44">
        <w:t xml:space="preserve"> Amendola v. Bristol-Myers Squibb Co., 558 F. Supp. 2d 459, 466 (S.D.N.Y. 2008) (“FLSA plaintiffs are not required to show that putative members of the collective action are interested in the lawsuit in order to obtain authorization for notice of the collective action to be sent to potential plaintiffs.”); Doucoure v. Matlyn Food, Inc., 554 F. Supp. 2d 369, 374 (E.D.N.Y. 2008) (allegations in complaint sufficient to support collective action); Iriarte v. Redwood Deli &amp; Catering, Inc., 2008 WL 2622929, at *3 (E.D.N.Y. June 30, 2008) (rejecting defendant’s argument that plaintiff’s failure to identify others interested in opting in undermined conditional certification, where employer admitted it kept no records of hours worked or wages paid, and plaintiff had testified about observing fellow employees who were not paid overtime); Neary v. Metropolitan Prop. &amp; Cas. Ins. Co., 517 F. Supp. 2d 606, 622 (D. Conn. 2007) (identification of individuals who seek to opt in to the action not required in Second Circuit).</w:t>
      </w:r>
    </w:p>
    <w:p w14:paraId="05254237" w14:textId="77777777" w:rsidR="004322B1" w:rsidRPr="00AD2F44" w:rsidRDefault="004322B1">
      <w:pPr>
        <w:pStyle w:val="14Footnote"/>
      </w:pPr>
      <w:r w:rsidRPr="00AD2F44">
        <w:rPr>
          <w:i/>
          <w:iCs/>
        </w:rPr>
        <w:t xml:space="preserve">Third Circuit: </w:t>
      </w:r>
      <w:r w:rsidRPr="00AD2F44">
        <w:t>Potoski v. Wyoming Valley Health Care Sys., 2013 WL 6731035 (M.D. Pa. Dec. 19, 2013) (finding that defendants’ eight declarations from plaintiffs’ co-workers expressing disinterest in joining litigation not relevant on motion for conditional certification).</w:t>
      </w:r>
    </w:p>
    <w:p w14:paraId="0169FA39" w14:textId="77777777" w:rsidR="004322B1" w:rsidRPr="00AD2F44" w:rsidRDefault="004322B1">
      <w:pPr>
        <w:pStyle w:val="14Footnote"/>
      </w:pPr>
      <w:r w:rsidRPr="00AD2F44">
        <w:rPr>
          <w:i/>
          <w:iCs/>
        </w:rPr>
        <w:t>Fourth Circuit:</w:t>
      </w:r>
      <w:r w:rsidRPr="00AD2F44">
        <w:rPr>
          <w:b/>
          <w:bCs/>
        </w:rPr>
        <w:t xml:space="preserve"> </w:t>
      </w:r>
      <w:r w:rsidRPr="00AD2F44">
        <w:t>Govan v. Whiting-Turner Contracting Co., 146 F. Supp. 3d 763, 769 (D.S.C. 2015) (surveying cases within Fourth Circuit and concluding that FLSA plaintiff need not show that others are interested in joining case to obtain conditional certification); Butler v. DirectSAT USA, LLC, 876 F. Supp. 2d 560, 572 (D. Md. 2012) (rejecting argument that plaintiffs had to show other potential opt-ins were interested in joining case).</w:t>
      </w:r>
    </w:p>
    <w:p w14:paraId="59B0FFB3" w14:textId="77777777" w:rsidR="004322B1" w:rsidRPr="00AD2F44" w:rsidRDefault="004322B1">
      <w:pPr>
        <w:pStyle w:val="14Footnote"/>
      </w:pPr>
      <w:r w:rsidRPr="00AD2F44">
        <w:rPr>
          <w:i/>
          <w:iCs/>
        </w:rPr>
        <w:t>Fifth Circuit:</w:t>
      </w:r>
      <w:r w:rsidRPr="00AD2F44">
        <w:t xml:space="preserve"> Gremillion v. Cox Commc’ns La., 2017 WL 2688217, at *4 (E.D. La. June 22, 2017) (“[I]t is enough for the plaintiff to present evidence that there </w:t>
      </w:r>
      <w:r w:rsidRPr="00AD2F44">
        <w:rPr>
          <w:i/>
          <w:iCs/>
        </w:rPr>
        <w:t>may</w:t>
      </w:r>
      <w:r w:rsidRPr="00AD2F44">
        <w:t xml:space="preserve"> be other aggrieved individuals to whom a class action notice should be sent, without requiring evidence that those individuals actually intend to join the lawsuit.”) (emphasis in original); Page v. Nova Healthcare Mgmt., LLP, 2013 WL 4782749 (S.D. Tex. Sept. 6, 2013); Villarreal v. St. Luke’s Hosp., 751 F. Supp. 2d 902 (S.D. Tex. 2010) (rejecting requirement that plaintiffs show that others are interested in opting in because it is not statutory requirement, no higher court requires it, there is no numerosity requirement, and it is at odds with liberal construction that must be given to FLSA).</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764E4932" w14:textId="77777777" w:rsidR="004322B1" w:rsidRPr="00AD2F44" w:rsidRDefault="004322B1">
      <w:pPr>
        <w:pStyle w:val="14Footnote"/>
      </w:pPr>
      <w:r w:rsidRPr="00AD2F44">
        <w:rPr>
          <w:i/>
          <w:iCs/>
        </w:rPr>
        <w:t>Sixth Circuit:</w:t>
      </w:r>
      <w:r w:rsidRPr="00AD2F44">
        <w:t xml:space="preserve"> Ware v. T-Mobile USA, 828 F. Supp. 2d 948, 954–55 (M.D. Tenn. 2011) (rejecting argument that plaintiff must demonstrate others have interest in joining action before approving notice); Jesiek v. Fire Pros, Inc., 275 F.R.D. 242, 247 (W.D. Mich. 2011) (excusing plaintiffs from submitting evidence from other opt-ins showing interest to join, noting Sixth Circuit had not adopted such requirement; plaintiffs introduced evidence that potential opt-ins feared retaliation based on comments from company owner singling out plaintiffs and describing lawsuit as “frivolous,” and had amended complaint to allege retaliation); Douglas v. GE Energy Reuter Stokes, 2007 U.S. Dist. LEXIS 32449, at *24 (N.D. Ohio Apr. 30, 2007).</w:t>
      </w:r>
    </w:p>
    <w:p w14:paraId="345B004C" w14:textId="77777777" w:rsidR="004322B1" w:rsidRPr="00AD2F44" w:rsidRDefault="004322B1">
      <w:pPr>
        <w:pStyle w:val="14Footnote"/>
      </w:pPr>
      <w:r w:rsidRPr="00AD2F44">
        <w:rPr>
          <w:i/>
          <w:iCs/>
        </w:rPr>
        <w:t>Seventh Circuit:</w:t>
      </w:r>
      <w:r w:rsidRPr="00AD2F44">
        <w:t xml:space="preserve"> Fox v. Martin Transp. Sys., Inc., 2009 WL 3416021, at *2 (N.D. Ind. Oct. 19, 2009) (rejecting requirement that plaintiff show interest in joining case by other putative collective action members at conditional certification stage); Garcia v. Salamanca Grp., Ltd., 2008 U.S. Dist. LEXIS 22852, at *7–11 (N.D. Ill. Mar. 24, 2008); Heckler v. DK Funding, LLC, 502 F. Supp. 2d 777, 780 (N.D. Ill. 2007) (requirement of showing interest does not make sense because it would require plaintiffs or their counsel to solicit opt-in plaintiffs without the benefit of court-approved notice).</w:t>
      </w:r>
    </w:p>
    <w:p w14:paraId="22272446" w14:textId="77777777" w:rsidR="004322B1" w:rsidRPr="00AD2F44" w:rsidRDefault="004322B1">
      <w:pPr>
        <w:pStyle w:val="14Footnote"/>
      </w:pPr>
      <w:r w:rsidRPr="00AD2F44">
        <w:rPr>
          <w:i/>
          <w:iCs/>
        </w:rPr>
        <w:t>Eighth Circuit:</w:t>
      </w:r>
      <w:r w:rsidRPr="00AD2F44">
        <w:t xml:space="preserve"> Arnold v. DirecTV, 2012 WL 4480723, at *6 (E.D. Mo. Sept. 28, 2012) (rejecting argument that plaintiffs were required to show “desire to opt-in” by potential opt-in plaintiffs); Ondes v. Monsanto Co., 2011 WL 6152858, at *5 (E.D. Mo. Dec. 12, 2011) (rejecting argument that plaintiff must show interest of others in joining the case for case to be conditionally certified); Kautsch v. Premier Commc’ns, 504 F. Supp. 2d 685, 690 n.1 (W.D. Mo. 2007).</w:t>
      </w:r>
    </w:p>
    <w:p w14:paraId="52A761E7" w14:textId="77777777" w:rsidR="004322B1" w:rsidRPr="00AD2F44" w:rsidRDefault="004322B1">
      <w:pPr>
        <w:pStyle w:val="14Footnote"/>
      </w:pPr>
      <w:r w:rsidRPr="00AD2F44">
        <w:rPr>
          <w:i/>
          <w:iCs/>
        </w:rPr>
        <w:t>Ninth Circuit:</w:t>
      </w:r>
      <w:r w:rsidRPr="00AD2F44">
        <w:t xml:space="preserve"> Barrera v. US Airways Grp., Inc., 2013 WL 4654567, at *7 (D. Ariz. Aug. 30, 2013) (noting that requirement of demonstrating interest puts the “cart before the horse” and has almost never applied outside the Eleventh Circuit); Delgado v. Ortho-McNeil, Inc., 2007 WL 2847238, at *2 (C.D. Cal. Aug. 7, 2007) (declining to apply interest requirement because the notice stage is designed to provide notice to potential opt-in plaintiffs who are unaware of the case).</w:t>
      </w:r>
    </w:p>
    <w:p w14:paraId="7A63B7E7" w14:textId="77777777" w:rsidR="004322B1" w:rsidRPr="00AD2F44" w:rsidRDefault="004322B1">
      <w:pPr>
        <w:pStyle w:val="14Footnote"/>
      </w:pPr>
      <w:r w:rsidRPr="00AD2F44">
        <w:rPr>
          <w:i/>
          <w:iCs/>
        </w:rPr>
        <w:t>Tenth Circuit:</w:t>
      </w:r>
      <w:r w:rsidRPr="00AD2F44">
        <w:t xml:space="preserve"> McCaffrey v. Mortgage Sources, Corp., 2009 WL 2778085, at *4 (D. Kan. Aug. 27, 2009) (refusing to require plaintiff to identify other opt-ins for conditional certification, relying on </w:t>
      </w:r>
      <w:r w:rsidRPr="00AD2F44">
        <w:rPr>
          <w:i/>
          <w:iCs/>
        </w:rPr>
        <w:t>Courtright</w:t>
      </w:r>
      <w:r w:rsidRPr="00AD2F44">
        <w:t xml:space="preserve"> and </w:t>
      </w:r>
      <w:r w:rsidRPr="00AD2F44">
        <w:rPr>
          <w:i/>
          <w:iCs/>
        </w:rPr>
        <w:t>Reab</w:t>
      </w:r>
      <w:r w:rsidRPr="00AD2F44">
        <w:t xml:space="preserve">); Courtwright v. Board of Cnty. Comm’rs of Payne Cnty., 2009 WL 1076778, at *3–4 (W.D. Okla. Apr. 21, 2009) (rejecting requirement that plaintiff identify other potential opt-ins as condition to conditional certification, because it would encourage communications not supervised by court between plaintiff or his counsel and defendant’s employees, raising risks of improperly obtained consents that court is supposed to help avoid in supervising notice under </w:t>
      </w:r>
      <w:r w:rsidRPr="00AD2F44">
        <w:rPr>
          <w:i/>
          <w:iCs/>
        </w:rPr>
        <w:t>Hoffman-La Roche v. Sperling,</w:t>
      </w:r>
      <w:r w:rsidRPr="00AD2F44">
        <w:t xml:space="preserve"> 493 U.S. 165, 170 (1989)); Reab v. Electronic Arts, Inc., 214 F.R.D. 623, 629 (D. Colo. 2002).</w:t>
      </w:r>
    </w:p>
  </w:footnote>
  <w:footnote w:id="148">
    <w:p w14:paraId="5E9302B7" w14:textId="77777777" w:rsidR="004322B1" w:rsidRPr="00AD2F44" w:rsidRDefault="004322B1">
      <w:pPr>
        <w:pStyle w:val="14Footnote"/>
      </w:pPr>
      <w:r w:rsidRPr="00AD2F44">
        <w:rPr>
          <w:vertAlign w:val="superscript"/>
        </w:rPr>
        <w:footnoteRef/>
      </w:r>
      <w:r w:rsidRPr="00AD2F44">
        <w:rPr>
          <w:i/>
        </w:rPr>
        <w:t>See, e.g.,</w:t>
      </w:r>
    </w:p>
    <w:p w14:paraId="48DC129A" w14:textId="77777777" w:rsidR="004322B1" w:rsidRPr="00AD2F44" w:rsidRDefault="004322B1">
      <w:pPr>
        <w:pStyle w:val="14Footnote"/>
      </w:pPr>
      <w:r w:rsidRPr="00AD2F44">
        <w:rPr>
          <w:i/>
          <w:iCs/>
        </w:rPr>
        <w:t>Third Circuit:</w:t>
      </w:r>
      <w:r w:rsidRPr="00AD2F44">
        <w:t xml:space="preserve"> Mott v. Driveline Retail Merch., Inc., 23 F. Supp. 3d 483 (E.D. Pa. 2014) (seven affirmations describing similar work responsibilities and consents filed by 40 opt-in plaintiffs from across the country sufficient to show similarly situated plaintiffs).</w:t>
      </w:r>
    </w:p>
    <w:p w14:paraId="3DC27BE8" w14:textId="77777777" w:rsidR="004322B1" w:rsidRPr="00AD2F44" w:rsidRDefault="004322B1">
      <w:pPr>
        <w:pStyle w:val="14Footnote"/>
      </w:pPr>
      <w:r w:rsidRPr="00AD2F44">
        <w:rPr>
          <w:i/>
          <w:iCs/>
        </w:rPr>
        <w:t xml:space="preserve">Fifth Circuit: </w:t>
      </w:r>
      <w:r w:rsidRPr="00AD2F44">
        <w:t>Lee v. Metrocare Servs., 980 F. Supp. 2d 754 (N.D. Tex. 2013) (eight filed written consents and five declarations showed potential class members who desired to opt in).</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69184494" w14:textId="77777777" w:rsidR="004322B1" w:rsidRPr="00AD2F44" w:rsidRDefault="004322B1">
      <w:pPr>
        <w:pStyle w:val="14Footnote"/>
      </w:pPr>
      <w:r w:rsidRPr="00AD2F44">
        <w:rPr>
          <w:i/>
          <w:iCs/>
        </w:rPr>
        <w:t>Eleventh Circuit:</w:t>
      </w:r>
      <w:r w:rsidRPr="00AD2F44">
        <w:t xml:space="preserve"> Davis v. Charoen Pokphand (USA), Inc., 303 F. Supp. 2d 1272, 1277 (M.D. Ala. 2004).</w:t>
      </w:r>
    </w:p>
  </w:footnote>
  <w:footnote w:id="149">
    <w:p w14:paraId="630BBEAD" w14:textId="77777777" w:rsidR="004322B1" w:rsidRPr="00AD2F44" w:rsidRDefault="004322B1" w:rsidP="000B6C5F">
      <w:pPr>
        <w:pStyle w:val="FootnoteText"/>
      </w:pPr>
      <w:r w:rsidRPr="00AD2F44">
        <w:rPr>
          <w:rStyle w:val="FootnoteReference"/>
        </w:rPr>
        <w:footnoteRef/>
      </w:r>
      <w:r w:rsidRPr="00AD2F44">
        <w:rPr>
          <w:i/>
        </w:rPr>
        <w:t xml:space="preserve">See </w:t>
      </w:r>
      <w:r w:rsidRPr="00AD2F44">
        <w:t xml:space="preserve">Deutsch v. My Pillow Inc., 2020 BL 487304, 2020 WL 7351556 (D. Minn. Dec. 15, 2020) (estimating three plaintiffs represented 1–3% of total putative FLSA collective and that percentage was similar to or higher than percentage of interested persons in other cases where courts found sufficient interest for conditional certification; noting that named plaintiff’s relatively short job tenure suggested that he may not know many employees to identify at this stage, distinguishing cases with longer-tenured employees and cases where employees had limited number of opt ins because others had declined affirmatively to join). </w:t>
      </w:r>
    </w:p>
  </w:footnote>
  <w:footnote w:id="150">
    <w:p w14:paraId="549ED5AD" w14:textId="77777777" w:rsidR="004322B1" w:rsidRPr="00AD2F44" w:rsidRDefault="004322B1">
      <w:pPr>
        <w:pStyle w:val="14Footnote"/>
      </w:pPr>
      <w:r w:rsidRPr="00AD2F44">
        <w:rPr>
          <w:vertAlign w:val="superscript"/>
        </w:rPr>
        <w:footnoteRef/>
      </w:r>
      <w:r w:rsidRPr="00AD2F44">
        <w:t>2006 U.S. Dist. LEXIS 23272 (M.D. Fla. Mar. 23, 2006).</w:t>
      </w:r>
    </w:p>
  </w:footnote>
  <w:footnote w:id="151">
    <w:p w14:paraId="6C783E16" w14:textId="77777777" w:rsidR="004322B1" w:rsidRPr="00AD2F44" w:rsidRDefault="004322B1">
      <w:pPr>
        <w:pStyle w:val="14Footnote"/>
      </w:pPr>
      <w:r w:rsidRPr="00AD2F44">
        <w:rPr>
          <w:vertAlign w:val="superscript"/>
        </w:rPr>
        <w:footnoteRef/>
      </w:r>
      <w:r w:rsidRPr="00AD2F44">
        <w:t>Romero v. La Revise Assocs., 968 F. Supp. 2d 639 (S.D.N.Y. 2013) (affidavit of plaintiff attesting to existence of similarly situated plaintiffs sufficient); Daniel v. Quail Int’l, Inc., 2008 WL 3538564, at *3 (M.D. Ga. Aug. 11, 2008) (sufficient interest demonstrated where one employee besides plaintiff had opted in and plaintiff had pointed court to “some evidence” that others would likely join if they received notice); Tyler v. Payless Shoe Source, Inc., 2005 U.S. Dist. LEXIS 31682 (M.D. Ala. Nov. 23, 2005) (plaintiff established that other store managers and store managers in training were interested in joining the action based on the filing of three consents to join and five affidavits); Holt v. Rite Aid Corp., 333 F. Supp. 2d 1265, 1269–70 (M.D. Ala. 2004) (plaintiffs established that store managers and assistant managers were interested in joining the action because some of these individuals had filed consents to join the case).</w:t>
      </w:r>
    </w:p>
  </w:footnote>
  <w:footnote w:id="152">
    <w:p w14:paraId="5BF2D5F1" w14:textId="77777777" w:rsidR="004322B1" w:rsidRPr="00AD2F44" w:rsidRDefault="004322B1">
      <w:pPr>
        <w:pStyle w:val="14Footnote"/>
      </w:pPr>
      <w:r w:rsidRPr="00AD2F44">
        <w:rPr>
          <w:vertAlign w:val="superscript"/>
        </w:rPr>
        <w:footnoteRef/>
      </w:r>
      <w:r w:rsidRPr="00AD2F44">
        <w:t>2006 U.S. Dist. LEXIS 58484 (S.D. Fla. May 17, 2006).</w:t>
      </w:r>
    </w:p>
  </w:footnote>
  <w:footnote w:id="153">
    <w:p w14:paraId="0E065373" w14:textId="77777777" w:rsidR="004322B1" w:rsidRPr="00AD2F44" w:rsidRDefault="004322B1">
      <w:pPr>
        <w:pStyle w:val="14Footnote"/>
      </w:pPr>
      <w:r w:rsidRPr="00AD2F44">
        <w:rPr>
          <w:vertAlign w:val="superscript"/>
        </w:rPr>
        <w:footnoteRef/>
      </w:r>
      <w:r w:rsidRPr="00AD2F44">
        <w:rPr>
          <w:i/>
          <w:iCs/>
        </w:rPr>
        <w:t xml:space="preserve">Id. </w:t>
      </w:r>
      <w:r w:rsidRPr="00AD2F44">
        <w:t>at *10.</w:t>
      </w:r>
    </w:p>
  </w:footnote>
  <w:footnote w:id="154">
    <w:p w14:paraId="23BC0E8A" w14:textId="77777777" w:rsidR="004322B1" w:rsidRPr="00AD2F44" w:rsidRDefault="004322B1">
      <w:pPr>
        <w:pStyle w:val="14Footnote"/>
      </w:pPr>
      <w:r w:rsidRPr="00AD2F44">
        <w:rPr>
          <w:vertAlign w:val="superscript"/>
        </w:rPr>
        <w:footnoteRef/>
      </w:r>
      <w:r w:rsidRPr="00AD2F44">
        <w:rPr>
          <w:i/>
        </w:rPr>
        <w:t>See, e.g.,</w:t>
      </w:r>
    </w:p>
    <w:p w14:paraId="00867A9C" w14:textId="77777777" w:rsidR="004322B1" w:rsidRPr="00AD2F44" w:rsidRDefault="004322B1">
      <w:pPr>
        <w:pStyle w:val="14Footnote"/>
      </w:pPr>
      <w:r w:rsidRPr="00AD2F44">
        <w:rPr>
          <w:i/>
          <w:iCs/>
        </w:rPr>
        <w:t>First Circuit:</w:t>
      </w:r>
      <w:r w:rsidRPr="00AD2F44">
        <w:t xml:space="preserve"> Montoya v. CRST Expedited, Inc.,</w:t>
      </w:r>
      <w:r w:rsidRPr="00AD2F44">
        <w:rPr>
          <w:b/>
          <w:bCs/>
        </w:rPr>
        <w:t xml:space="preserve"> </w:t>
      </w:r>
      <w:r w:rsidRPr="00AD2F44">
        <w:t>311 F. Supp. 3d 411 (D. Mass. 2018) (granting conditional certification because truck drivers were subject to standard policies and practices, and finding that individualized damages were not a basis for denying conditional certification so long as damages emanated from standard policies and practices); Levecque v. Argo Mktg. Grp., 2015 WL 3672647 (D. Me. June 12, 2015) (granting conditional certification, finding that plaintiffs submitted sufficient evidence that customer service representatives and sales personnel at multiple locations worked off the clock and were not paid minimum wage and overtime for such work); Norceide v. Cambridge Health Alliance, 814 F. Supp. 2d 17, 29 (D. Mass. 2011) (granting conditional certification based on evidence that putative class members were all subject to policy of implicitly or explicitly discouraging them from recording time worked pre- and post-shift and during meal breaks, instead paying based on “theoretical schedules”);</w:t>
      </w:r>
      <w:r w:rsidRPr="00AD2F44">
        <w:rPr>
          <w:b/>
          <w:bCs/>
        </w:rPr>
        <w:t xml:space="preserve"> </w:t>
      </w:r>
      <w:r w:rsidRPr="00AD2F44">
        <w:t>Scovil v. FedEx Ground Package Sys., Inc., 811 F. Supp. 2d 516, 519–20 (D. Me. 2011) (granting conditional certification in independent contractor misclassification case where, among other similarities, drivers were subject to same pay-per-package delivered plan with no discretion to adjust rates, which packages they delivered, or delivery dates).</w:t>
      </w:r>
    </w:p>
    <w:p w14:paraId="421A682C" w14:textId="77777777" w:rsidR="004322B1" w:rsidRPr="00AD2F44" w:rsidRDefault="004322B1">
      <w:pPr>
        <w:pStyle w:val="14Footnote"/>
      </w:pPr>
      <w:r w:rsidRPr="00AD2F44">
        <w:rPr>
          <w:i/>
          <w:iCs/>
        </w:rPr>
        <w:t>Second Circuit:</w:t>
      </w:r>
      <w:r w:rsidRPr="00AD2F44">
        <w:t xml:space="preserve"> Chen v. XpresSpa at Terminal 4 JFK, LLC, 2016 WL 5338536, at *4 (E.D.N.Y. Sept. 22, 2016) (granting nationwide conditional certification for claim by purportedly commission-only employees, based on plaintiffs’ affidavits that they were subject to policies and that policy required them to transfer among stores, even though affidavits covered only some of defendant’s locations and were partially based on hearsay, and refusing to consider factual disputes raised by defendant, noting that other district courts in New York had granted certification on evidence “even thinner” than what plaintiffs provided); Hart v. Crab Addison, Inc., 2015 WL 365785, at *3 (W.D.N.Y. Jan. 27, 2015) (evidence consisting of 21 affidavits from tipped servers working at 16 restaurants in 12 different states, all alleging that they were required to spend excessive time on nontipped work, and that corporate trainers had instructed them on completing such work before leaving each day, was sufficient to allow nationwide conditional certification of collective claiming violation of tip-credit rules); Morris v. Lettire Constr. Corp., 896 F. Supp. 2d 265 (S.D.N.Y. 2012) (evidence, including declarations regarding manner of payment and statement by CEO, suggested policy across work locations); Guzelgurgenli v. Prime Time Specials Inc., 883 F. Supp. 2d 340, 351 (E.D.N.Y. 2012) (finding statements of single regional manager and employees of three of seven stores sufficient to “infer the same pattern of behavior” at all of defendant’s locations); Rosario v. Valentine Ave. Discount Store Co., 828 F. Supp. 2d 508, 515–18 (E.D.N.Y. 2011) (finding plaintiffs met modest factual showing of common policy or plan of failing to pay minimum wage and overtime at 27 stores under same ownership, where plaintiffs submitted evidence about experiences at eight stores, including being paid fixed salary regardless of hours worked, being required to clock out at set time regardless of how late they worked, and being charged $4 per week to pay for bathroom to be cleaned; and evidence was that same person owned all stores, controlled all payroll, and actively operated seven stores where plaintiffs worked; that employees transferred regularly among stores; that allegedly unlawful pay policies were the same; and that owner controlled all payroll through central location in Brooklyn); Alonso v. Uncle Jack’s Steakhouse, Inc., 648 F. Supp. 2d 484, 488 (S.D.N.Y. 2009) (approving notice where affidavits from waitstaff alleged that employer had policy to withhold part of employees’ tips while paying less than minimum wage, not paying fully for overtime work, and retaliating against complaining employees).</w:t>
      </w:r>
    </w:p>
    <w:p w14:paraId="0A1B2DFD" w14:textId="77777777" w:rsidR="004322B1" w:rsidRPr="00AD2F44" w:rsidRDefault="004322B1">
      <w:pPr>
        <w:pStyle w:val="14Footnote"/>
      </w:pPr>
      <w:r w:rsidRPr="00AD2F44">
        <w:rPr>
          <w:i/>
          <w:iCs/>
        </w:rPr>
        <w:t>Third Circuit:</w:t>
      </w:r>
      <w:r w:rsidRPr="00AD2F44">
        <w:t xml:space="preserve"> Stone v. Troy Constr. LLC, 2015 WL 7736827, at *3 (M.D. Pa. Dec. 1, 2015) (conditional certification granted where plaintiff presented evidence concerning company’s relevant, nationwide compensation policies sufficient to establish required “nexus of facts common to herself and the putative class”); Aboud v. City of Wildwood, 2013 WL 2156248, at *4 (D.N.J. May 17, 2013) (granting conditional certification where plaintiffs sufficiently demonstrated they are similarly situated to putative class because claims pertained to key employment terms and, although class members may have different jobs, they were all police officers, members of same bargaining unit, and subject to same collective bargaining agreement that required they report 15 minutes early for unpaid reporting period); Titchenell v. Apria Healthcare, Inc., 2011 WL 5428559, at *4–6 (E.D. Pa. Nov. 8, 2011) (granting conditional certification based on “unofficial” policy of tacitly endorsing off-the-clock work despite official policy to the contrary; there was evidence that supervisors at several facilities were aware of off-the-clock overtime work and did not correct or discourage it).</w:t>
      </w:r>
    </w:p>
    <w:p w14:paraId="4FC00539" w14:textId="77777777" w:rsidR="004322B1" w:rsidRPr="00AD2F44" w:rsidRDefault="004322B1">
      <w:pPr>
        <w:pStyle w:val="14Footnote"/>
      </w:pPr>
      <w:r w:rsidRPr="00AD2F44">
        <w:rPr>
          <w:i/>
          <w:iCs/>
        </w:rPr>
        <w:t xml:space="preserve">Fourth Circuit: </w:t>
      </w:r>
      <w:r>
        <w:t xml:space="preserve">Njoroge v. PrimaCare Partners, LLC, </w:t>
      </w:r>
      <w:r w:rsidRPr="00A815AC">
        <w:t>2022 BL 342131</w:t>
      </w:r>
      <w:r>
        <w:t xml:space="preserve">, </w:t>
      </w:r>
      <w:r w:rsidRPr="002E55FE">
        <w:t xml:space="preserve">2022 WL 4465894 </w:t>
      </w:r>
      <w:r>
        <w:t xml:space="preserve">(D. Md. Sept. 26, 2022) (granting conditional certification where evidence was that plaintiffs and putative plaintiffs used same timekeeping system to clock in and out and the same person was in charge of their schedules and pay); </w:t>
      </w:r>
      <w:r w:rsidRPr="00AD2F44">
        <w:t>Cummins v. Ascellon Corp., 2020 BL 431387, 2020 WL 6544822 (D. Md. Nov. 6, 2020) (granting conditional certification; finding defendant’s answer, admitting that it did not pay overtime wages for hours worked over 40, may be sufficient to establish common policy and that answer, amended complaint, and two declarations submitted by plaintiff were sufficient to establish common compensation policy);</w:t>
      </w:r>
      <w:r w:rsidRPr="00AD2F44">
        <w:rPr>
          <w:i/>
          <w:iCs/>
        </w:rPr>
        <w:t xml:space="preserve"> </w:t>
      </w:r>
      <w:r w:rsidRPr="00AD2F44">
        <w:t>Butler v. DirectSAT USA, LLC, 876 F. Supp. 2d 560, 568 (D. Md. 2012) (granting conditional certification where evidence showed that company subjected putative class members to same timekeeping policies and compensation plans, and had common policy of directing workers not to record more than 40 hours of work, not to record any pre- or post-shift time, or both); McLaurin v. Prestage Foods, Inc., 271 F.R.D. 465, 470 (E.D.N.C. 2010) (granting notice as to production line employees paid on “line time” basis, but rejecting notice for employees near production line not paid on that basis).</w:t>
      </w:r>
    </w:p>
    <w:p w14:paraId="14952C08" w14:textId="77777777" w:rsidR="004322B1" w:rsidRPr="00AD2F44" w:rsidRDefault="004322B1">
      <w:pPr>
        <w:pStyle w:val="14Footnote"/>
      </w:pPr>
      <w:r w:rsidRPr="00AD2F44">
        <w:rPr>
          <w:i/>
          <w:iCs/>
        </w:rPr>
        <w:t>Fifth Circuit:</w:t>
      </w:r>
      <w:r w:rsidRPr="00AD2F44">
        <w:t xml:space="preserve"> Tamez v. BHP Billiton Petroleum (Ams.), Inc., 2015 WL 7075971 (W.D. Tex. Oct. 5, 2015) (conditionally certifying class of all of defendant’s workers who were paid on day-rate system, over defendant’s opposition that some members of proposed class were dissimilar from plaintiffs because they were classified as independent contractors); Behnken v. Luminant Mining Co. LLC, 997 F. Supp. 2d 511 (N.D. Tex. 2014) (employees subject to same shift agreement and collective bargaining agreement were subject to common policy concerning meal breaks); Vargas v. Richardson Trident Co., 2010 WL 730155, at *10 (S.D. Tex. Feb. 22, 2010) (approving notice to employees at all facilities, because evidence showed common policy, plan, or practice of failing to pay proper overtime compensation to hourly laborers); Gandhi v. Dell Inc., 2009 WL 1940144, at *6 (W.D. Tex. July 2, 2009) (granting conditional certification as to business sales representatives in light of uniform compensation structure and job classification).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9C6FDF5" w14:textId="77777777" w:rsidR="004322B1" w:rsidRPr="00AD2F44" w:rsidRDefault="004322B1">
      <w:pPr>
        <w:pStyle w:val="14Footnote"/>
      </w:pPr>
      <w:r w:rsidRPr="00AD2F44">
        <w:rPr>
          <w:i/>
          <w:iCs/>
        </w:rPr>
        <w:t>Sixth Circuit:</w:t>
      </w:r>
      <w:r w:rsidRPr="00AD2F44">
        <w:t xml:space="preserve"> Boyd v. Schwebel Baking Co., 2016 WL 3555351, at *7 (N.D. Ohio June 30, 2016) (conditionally certifying class of route sales drivers, using “modest plus” standard, given similarity of compensation scheme, including companywide exemption classification); Brown v. Consolidated Rest. Operations, Inc., 2013 WL 4804780 (M.D. Tenn. Sept. 6, 2013) (conditionally certifying collective action of employees at different restaurants based on common uniform policy that could reduce wages below the minimum); Knispel v. Chrysler Grp., LLC, 2012 WL 553722, at *6 (E.D. Mich. Feb. 21, 2012) (granting conditional certification where evidence showed common practices of requiring contract nonunion employees to (1) submit time records that excluded overtime hours worked; (2) take compensatory time in lieu of overtime; (3) work without breaks or lunch; and (4) travel during workday and overnight without properly compensating for hourly pay); Lindberg v. UHS of Lakeside, LLC, 761 F. Supp. 2d 752, 760 (W.D. Tenn. 2011) (granting notice where plaintiffs presented evidence that defendants (1) used automatic meal deduction policy that put burden on employees to make corrections, (2) allowed or forced employees to work unpaid meal period, and (3) ignored or discouraged corrections); Jackson v. Papa John’s USA, Inc., 2009 WL 385580, at *5 (N.D. Ohio Feb. 13, 2009) (granting conditional certification of nationwide misclassification case where training manuals supported plaintiff’s three declarations that assistant managers did not perform sufficient managerial functions to qualify as exempt); Yanni v. Red Brick Mortg., 2008 WL 4619772, at *3 (S.D. Ohio Oct. 16, 2008) (ordering notice issued where evidence showed all mortgage loan officers at location were paid purely on commission basis during relevant time period).</w:t>
      </w:r>
    </w:p>
    <w:p w14:paraId="22096BAF" w14:textId="77777777" w:rsidR="004322B1" w:rsidRPr="00AD2F44" w:rsidRDefault="004322B1">
      <w:pPr>
        <w:pStyle w:val="14Footnote"/>
      </w:pPr>
      <w:r w:rsidRPr="00AD2F44">
        <w:rPr>
          <w:i/>
          <w:iCs/>
        </w:rPr>
        <w:t>Seventh Circuit:</w:t>
      </w:r>
      <w:r w:rsidRPr="00AD2F44">
        <w:t xml:space="preserve"> Brabazon v. Aurora Health Care, Inc., 2011 WL 1131097, at *3 (E.D. Wis. Mar. 28, 2011) (granting notice where evidence showed that opt-in plaintiffs were subject to automatic meal deduction policy despite being forced to monitor radios and be ready to respond, raising potential FLSA violation); Gambo v. Lucent Techs., Inc., 2005 U.S. Dist. LEXIS 37998, at *17 (N.D. Ill. Dec. 22, 2005) (similar payment scheme for on-call work); Garza v. Chicago Transit Auth., 2001 U.S. Dist. LEXIS 6132, at *10 (N.D. Ill. May 11, 2001) (failure to pay for training time).</w:t>
      </w:r>
    </w:p>
    <w:p w14:paraId="5E74DD95" w14:textId="77777777" w:rsidR="004322B1" w:rsidRPr="00AD2F44" w:rsidRDefault="004322B1">
      <w:pPr>
        <w:pStyle w:val="14Footnote"/>
      </w:pPr>
      <w:r w:rsidRPr="00AD2F44">
        <w:rPr>
          <w:i/>
          <w:iCs/>
        </w:rPr>
        <w:t>Eighth Circuit:</w:t>
      </w:r>
      <w:r w:rsidRPr="00AD2F44">
        <w:t xml:space="preserve"> Tegtmeier v. PJ Iowa, L.C., 208 F. Supp. 3d 1012, 1019–21 (S.D. Iowa 2016) (granting conditional certification on minimum wage claim regarding alleged policy of inadequate reimbursement for delivery drivers, given common policy, despite disputes over nature and application of policy, and change in fact allegations by plaintiff following his deposition, reasoning that disputes raised were better addressed at decertification stage);</w:t>
      </w:r>
      <w:r w:rsidRPr="00AD2F44">
        <w:rPr>
          <w:i/>
          <w:iCs/>
        </w:rPr>
        <w:t xml:space="preserve"> </w:t>
      </w:r>
      <w:r w:rsidRPr="00AD2F44">
        <w:t>Trogdon v. Kleenco Maint. &amp; Constr., Inc., 2015 WL 2345590, at *2 (W.D. Ark. May 15, 2015) (granting certification where allegations of single plan to treat travel and regular hourly compensation separately to avoid overtime and to automatically deduct meal breaks even if they were not taken, and refusing to consider potential individualized fact issues at conditional certification stage); Bowman v. Doe Run Res. Corp., 2014 WL 3579885, at *4 (E.D. Mo. July 21, 2014) (granting conditional certification in donning and doffing case because putative class members were all subject to same allegedly unlawful practice of donning and doffing clothing and equipment, and relieving co-workers without being paid for it); Le v. Regency Corp., 957 F. Supp. 2d 1079 (D. Minn. 2013) (granting conditional certification where members of proposed class performed same or similar job duties, worked at same location, and were subject to the same timekeeping system and one manner of compensation); Burch v. Qwest, 500 F. Supp. 2d 1181, 1189 (D. Minn. 2007) (certifying companywide class of call center employees where plaintiffs established that all call center employees performed similar duties prior to logging into payroll system and company operated centralized “mission control” that oversaw all work performance of call center employees).</w:t>
      </w:r>
    </w:p>
    <w:p w14:paraId="44658222" w14:textId="77777777" w:rsidR="004322B1" w:rsidRPr="00AD2F44" w:rsidRDefault="004322B1">
      <w:pPr>
        <w:pStyle w:val="14Footnote"/>
      </w:pPr>
      <w:r w:rsidRPr="00AD2F44">
        <w:rPr>
          <w:i/>
          <w:iCs/>
        </w:rPr>
        <w:t>Ninth Circuit:</w:t>
      </w:r>
      <w:r w:rsidRPr="00AD2F44">
        <w:t xml:space="preserve"> Hernandez v. Sephora USA, Inc., 2017 WL 6209308, at *3–4 (N.D. Cal. Dec. 8, 2017) (granting conditional certification; holding that cosmetic employees established sufficient common policy or plan where defendant required them to apply their own makeup during off hours and take breaks “off the clock”); Pataky v. Brigantine, Inc., 2017 WL 1855762, at *4 (S.D. Cal. May 8, 2017) (granting conditional certification in tip pooling case across restaurants, despite lack of uniform tip pooling policy in handbook, because existence of handbook, other employment policies, and “tip declaration policy” guidelines issued at all restaurants sufficed, at conditional certification stage, to suggest uniform tip policy at all locations); Longnecker v. American Express Co., 2014 WL 4071662, at *4–5 (D. Ariz. Aug. 18, 2014) (granting conditional certification at one call center because plaintiff’s evidence, at initial notice stage, established that she and other call center workers whose primary function was to handle calls with clients, vendors, or public, were all subject to same policy given that their duties allegedly required uncompensated work pre- and post-shift and during meal breaks); Davis v. Social Serv. Coordinators, Inc., 2012 WL 5361746, at *23 (E.D. Cal. Oct. 30, 2012), </w:t>
      </w:r>
      <w:r w:rsidRPr="00AD2F44">
        <w:rPr>
          <w:i/>
          <w:iCs/>
        </w:rPr>
        <w:t>report and recommendation adopted as modified,</w:t>
      </w:r>
      <w:r w:rsidRPr="00AD2F44">
        <w:t xml:space="preserve"> 2012 WL 5838825 (E.D. Cal. Nov. 15, 2012) (recommending conditional certification where plaintiff presented sufficient evidence of common, centralized policy requiring every class member to meet hours quota of outreach to clients using script that afforded little discretion; issue of discretion and exercise of independent judgment became common to class by virtue of defendant’s policy); Bollinger v. Residential Capital, LLC, 761 F. Supp. 2d 1114, 1120 (W.D. Wash. 2011) (approving nationwide notice to underwriters in exemption case in light of evidence of same job duties, same compensation, and uniform reclassification of employees in wake of Second Circuit decision on underwriters); Schemkes v. Presidential Limousine, 2011 WL 868182, at *3 (D. Nev. Mar. 10, 2011) (granting notice to drivers who alleged they were paid fixed amount per trip, despite multiple defendants, because evidence showed that practices were same across companies, only rate differed); Wren v. RGIS Inventory Specialists, 2007 U.S. Dist. LEXIS 95439, at *6–7 (N.D. Cal. Dec. 19, 2007) (granting conditional certification for various practices common to the putative class: (1) time spent donning required equipment; (2) time spent “engaged to wait” for inventories to begin; (3) time spent waiting for transportation to inventory even after workday had begun; and (4) time spent in work-related transportation to and from inventory sites in single work day).</w:t>
      </w:r>
    </w:p>
    <w:p w14:paraId="053E2680" w14:textId="77777777" w:rsidR="004322B1" w:rsidRPr="00AD2F44" w:rsidRDefault="004322B1">
      <w:pPr>
        <w:pStyle w:val="14Footnote"/>
      </w:pPr>
      <w:r w:rsidRPr="00AD2F44">
        <w:rPr>
          <w:i/>
          <w:iCs/>
        </w:rPr>
        <w:t>Tenth Circuit:</w:t>
      </w:r>
      <w:r w:rsidRPr="00AD2F44">
        <w:t xml:space="preserve"> Robertson v. REP Processing, LLC, 2021 BL 353240, 2021 WL 4255027 (D. Colo. Sept. 16, 2021) (granting conditional certification where plaintiffs presented substantial allegations of single rate schedule policy applied to putative collective); </w:t>
      </w:r>
      <w:r w:rsidRPr="00AD2F44">
        <w:rPr>
          <w:i/>
          <w:iCs/>
        </w:rPr>
        <w:t xml:space="preserve">In re </w:t>
      </w:r>
      <w:r w:rsidRPr="00AD2F44">
        <w:t>Bank of Am. Wage &amp; Hour Emp. Litig., 286 F.R.D. 572, 586 (D. Kan. 2012) (concluding that plaintiffs satisfied their minimal burden for conditional certification of providing substantial allegations that defendant had maintained unofficial policy that required plaintiffs to perform off-the-clock work); Darrow v. WKRP Mgmt., LLC, 18 WH Cases2d 1595, 2012 WL 638119, at *3–4 (D. Colo. Feb. 28, 2012) (granting notice to delivery drivers whose evidence showed, at lenient stage, drivers were required to maintain operational and insured vehicles but were paid same fixed amount per delivery and that amount reimbursed could be insufficient to ensure they received at least minimum wage); Underwood v. NMC Mortg. Corp., 245 F.R.D. 720, 723 (D. Kan. 2007) (“Generally, where putative class members are employed in similar positions, the allegation that defendants engaged in a pattern or practice of not paying overtime is sufficient to allege that plaintiffs were together the victims of a single decision, policy or plan.”); Brown v. Money Tree Mortg., Inc., 222 F.R.D. 676, 680 (D. Kan. 2004) (granting conditional certification where plaintiff alleged that he and other similarly situated employees were paid “flex time” in lieu of overtime compensation even though they were classified as nonexempt under FLSA).</w:t>
      </w:r>
    </w:p>
    <w:p w14:paraId="3C57AF4D" w14:textId="77777777" w:rsidR="004322B1" w:rsidRPr="00AD2F44" w:rsidRDefault="004322B1">
      <w:pPr>
        <w:pStyle w:val="14Footnote"/>
      </w:pPr>
      <w:r w:rsidRPr="00AD2F44">
        <w:rPr>
          <w:i/>
          <w:iCs/>
        </w:rPr>
        <w:t>Eleventh Circuit:</w:t>
      </w:r>
      <w:r w:rsidRPr="00AD2F44">
        <w:t xml:space="preserve"> Brown v. 1888 Mills, LLC, 339 F.R.D. 692 (N.D. Ga. 2021) (granting conditional certification, recognizing that putative collective was subject to common timekeeping practice); Thomas v. Waste Pro USA, Inc., 360 F. Supp. 3d 1313 (M.D. Fla. 2018) (granting companywide conditional certification for a class that spanned five regional subsidiaries even though the subsidiaries had hybrid policies, some local and some national, with the court reasoning that the company’s uniform pay practices (i.e., paying daily rates and bonus) met the “fairly lenient” standard for conditional certification); Sala v. St. Petersburg Kennel Club, Inc., 2010 WL 746703, at *2–3 (M.D. Fla. Mar. 2, 2010) (granting conditional certification where plaintiffs had ten opt-ins, and submitted five affidavits, all attesting to alleged policy of taking improper tip credit and forcing tipped employees to share tips with “non-tipped” employees); Ackley v. City of Fort Lauderdale, 2008 U.S. Dist. LEXIS 5214 (S.D. Fla. Jan. 24, 2008) (granting conditional certification where code enforcement employees were not being paid for drive time).</w:t>
      </w:r>
    </w:p>
    <w:p w14:paraId="0AECFCA9" w14:textId="77777777" w:rsidR="004322B1" w:rsidRPr="00AD2F44" w:rsidRDefault="004322B1">
      <w:pPr>
        <w:pStyle w:val="14Footnote"/>
      </w:pPr>
      <w:r w:rsidRPr="00AD2F44">
        <w:rPr>
          <w:i/>
          <w:iCs/>
        </w:rPr>
        <w:t>D.C. Circuit:</w:t>
      </w:r>
      <w:r w:rsidRPr="00AD2F44">
        <w:t xml:space="preserve"> Blount v. United States Sec. Assocs., 945 F. Supp. 2d 88, 93 (D.D.C. 2013) (granting conditional certification; explaining that plaintiffs sufficiently pled uniform policy of unlawful meal breaks that were calculated in centralized manner using uniform deductions; holding plaintiffs need not show that policy was uniformly applied for purposes of conditional certification); Cryer v. Intersolutions, Inc., 2007 U.S. Dist. LEXIS 29339 (D.D.C. Apr. 20, 2007) (granting conditional certification for class including all temporary nonexempt employees who performed concierge, leasing, and maintenance services based on allegation that employer refused to pay overtime unless employee worked more than 40 hours at one worksite)</w:t>
      </w:r>
    </w:p>
  </w:footnote>
  <w:footnote w:id="155">
    <w:p w14:paraId="40A59126" w14:textId="77777777" w:rsidR="004322B1" w:rsidRPr="00AD2F44" w:rsidRDefault="004322B1">
      <w:pPr>
        <w:pStyle w:val="14Footnote"/>
      </w:pPr>
      <w:r w:rsidRPr="00AD2F44">
        <w:rPr>
          <w:vertAlign w:val="superscript"/>
        </w:rPr>
        <w:footnoteRef/>
      </w:r>
      <w:r w:rsidRPr="00AD2F44">
        <w:t>2006 U.S. Dist. LEXIS 81640 (S.D. Fla. Nov. 6, 2006).</w:t>
      </w:r>
    </w:p>
  </w:footnote>
  <w:footnote w:id="156">
    <w:p w14:paraId="2ABE29A9" w14:textId="77777777" w:rsidR="004322B1" w:rsidRPr="00AD2F44" w:rsidRDefault="004322B1">
      <w:pPr>
        <w:pStyle w:val="14Footnote"/>
      </w:pPr>
      <w:r w:rsidRPr="00AD2F44">
        <w:rPr>
          <w:vertAlign w:val="superscript"/>
        </w:rPr>
        <w:footnoteRef/>
      </w:r>
      <w:r w:rsidRPr="00AD2F44">
        <w:t>2006 U.S. Dist. LEXIS 58484, at *10 (S.D. Fla. May 17, 2006).</w:t>
      </w:r>
    </w:p>
  </w:footnote>
  <w:footnote w:id="157">
    <w:p w14:paraId="5C50FD7A" w14:textId="77777777" w:rsidR="004322B1" w:rsidRPr="00AD2F44" w:rsidRDefault="004322B1">
      <w:pPr>
        <w:pStyle w:val="14Footnote"/>
      </w:pPr>
      <w:r w:rsidRPr="00AD2F44">
        <w:rPr>
          <w:vertAlign w:val="superscript"/>
        </w:rPr>
        <w:footnoteRef/>
      </w:r>
      <w:r w:rsidRPr="00AD2F44">
        <w:t>2018 WL 3539443 (N.D. Okla. July 23, 2018).</w:t>
      </w:r>
    </w:p>
  </w:footnote>
  <w:footnote w:id="158">
    <w:p w14:paraId="2A191D4B" w14:textId="77777777" w:rsidR="004322B1" w:rsidRPr="00AD2F44" w:rsidRDefault="004322B1">
      <w:pPr>
        <w:pStyle w:val="14Footnote"/>
      </w:pPr>
      <w:r w:rsidRPr="00AD2F44">
        <w:rPr>
          <w:vertAlign w:val="superscript"/>
        </w:rPr>
        <w:footnoteRef/>
      </w:r>
      <w:r w:rsidRPr="00AD2F44">
        <w:rPr>
          <w:i/>
        </w:rPr>
        <w:t>See, e.g.,</w:t>
      </w:r>
    </w:p>
    <w:p w14:paraId="20859646" w14:textId="77777777" w:rsidR="004322B1" w:rsidRPr="00AD2F44" w:rsidRDefault="004322B1">
      <w:pPr>
        <w:pStyle w:val="14Footnote"/>
      </w:pPr>
      <w:r w:rsidRPr="00AD2F44">
        <w:rPr>
          <w:i/>
          <w:iCs/>
        </w:rPr>
        <w:t>First Circuit:</w:t>
      </w:r>
      <w:r w:rsidRPr="00AD2F44">
        <w:t xml:space="preserve"> O’Donnell v. Robert Half Int’l, Inc., 429 F. Supp. 2d 246 (D. Mass. 2006) (finding that plaintiffs’ conclusory assertion that employees throughout the country and corporate structure were subject to same “policy” insufficient).</w:t>
      </w:r>
    </w:p>
    <w:p w14:paraId="3FE2AE9B" w14:textId="77777777" w:rsidR="004322B1" w:rsidRPr="00AD2F44" w:rsidRDefault="004322B1">
      <w:pPr>
        <w:pStyle w:val="14Footnote"/>
      </w:pPr>
      <w:r w:rsidRPr="00AD2F44">
        <w:rPr>
          <w:i/>
          <w:iCs/>
        </w:rPr>
        <w:t>Second Circuit:</w:t>
      </w:r>
      <w:r w:rsidRPr="00AD2F44">
        <w:t xml:space="preserve"> Rosario v. Valentino U.S.A., Inc., 2021 BL 355017, 2021 WL 4267634 (S.D.N.Y. Sept. 20, 2021) (denying conditional certification for failure to present evidence of common policy of exemption misclassification where plaintiffs relied solely on reclassification of their position from exempt to nonexempt and presented no evidence about jobs held or duties performed by putative collective); Balverde v. Lunella Ristorante, Inc., 2016 WL 2757430, at *4 (S.D.N.Y. May 11, 2016) (granting former servers’ motion for conditional certification as to “front of the house” servers, bartenders, and runners, but denying inclusion of “back of the house” employees because plaintiffs failed to show that alleged failure to pay overtime was “a corporate policy” that applied to “back of the house” employees); Flores v. Osaka Health Spa, Inc., 2006 WL 695675, at *2 (S.D.N.Y. Mar. 16, 2006) (finding plaintiff’s definition of proposed class inconsistent where she alleged in her complaint class composed of masseuses who worked over 40 hours in a week but were not paid overtime, at another time alleged a class composed of all current and former employees who were not paid overtime and whose tips were misappropriated, and yet another time alleged a class composed of all nonexempt current and former employees who were not paid overtime); Diaz v. Electronics Boutique of Am., Inc., 2005 WL 2654270, at *3 (W.D.N.Y. Oct. 17, 2005) (finding insufficient factual nexus between employees where one group of employees alleged they were misclassified as exempt and another group of employees were nonexempt but were not paid overtime because the two types of claims involved analysis of different factors).</w:t>
      </w:r>
    </w:p>
    <w:p w14:paraId="76514C78" w14:textId="77777777" w:rsidR="004322B1" w:rsidRPr="00AD2F44" w:rsidRDefault="004322B1">
      <w:pPr>
        <w:pStyle w:val="14Footnote"/>
      </w:pPr>
      <w:r w:rsidRPr="00AD2F44">
        <w:rPr>
          <w:i/>
          <w:iCs/>
        </w:rPr>
        <w:t xml:space="preserve">Third Circuit: </w:t>
      </w:r>
      <w:r w:rsidRPr="00AD2F44">
        <w:t>Hunt v. McKesson Corp., 2018 WL 4092065 (W.D. Pa. Aug. 28, 2018) (rejecting plaintiff’s request that the court conditionally certify a collective of all employees in her pay grade based on a showing that her position</w:t>
      </w:r>
      <w:r w:rsidRPr="00AD2F44">
        <w:rPr>
          <w:i/>
          <w:iCs/>
        </w:rPr>
        <w:t xml:space="preserve"> </w:t>
      </w:r>
      <w:r w:rsidRPr="00AD2F44">
        <w:t>was not properly classified as exempt, and instead granting conditional certification as to only plaintiff’s position grade); Blaney v. Charlotte-Mecklenburg Hosp. Auth., 2011 WL 4351631, at *9–10 (W.D.N.C. Sept. 16, 2011) (denying conditional certification in case alleging unpaid or interrupted meal breaks, because common policies of automatic meal break deductions and, separately, not being paid while on call were not unlawful, and alleged unlawful common policy—unwritten rule to pay only for missed as opposed to interrupted breaks, overriding policy to pay for all work—relied on individual violations by supervisors).</w:t>
      </w:r>
    </w:p>
    <w:p w14:paraId="27EF8178" w14:textId="77777777" w:rsidR="004322B1" w:rsidRPr="00AD2F44" w:rsidRDefault="004322B1">
      <w:pPr>
        <w:pStyle w:val="14Footnote"/>
      </w:pPr>
      <w:r w:rsidRPr="00AD2F44">
        <w:rPr>
          <w:i/>
          <w:iCs/>
        </w:rPr>
        <w:t>Fifth Circuit:</w:t>
      </w:r>
      <w:r w:rsidRPr="00AD2F44">
        <w:t xml:space="preserve"> Virgen v. Conrad Indus., Inc., 2015 WL 6692120 (W.D. La. Nov. 2, 2015) (denying conditional certification because plaintiff failed to identify existence of uniform pay policy or plan applicable to any staffing companies as each had a different contractual relationship with defendant and each maintained its own payroll); Lay v. Gold’s Gym Int’l, Inc., 2013 WL 5595956 (W.D. Tex. Oct. 4, 2013) (finding evidence of de facto policy among San Antonio-area gyms that encouraged off-the-clock work, but not finding similar national policy and refusing to infer such policy from similar job descriptions and compensation plans applicable nationwide); Songer v. Dillon Res., Inc., 569 F. Supp. 2d 703, 707 (N.D. Tex. 2008) (denying conditional certification in part because plaintiffs failed to provide “substantial allegations” that putative class members were victims of single decision, policy, or plan, where they submitted conclusory affidavits that did not establish personal knowledge beyond their own individual circumstances); Simmons v. T-Mobile USA, Inc., 2007 U.S. Dist. LEXIS 5002, at *33–34 (S.D. Tex. Jan. 24, 2007) (off-the-clock case in which there was no evidence of common policy or practice of requiring off-the-clock work and employer had centralized policy prohibiting such work); Aguirre v. SBC Commc’ns, Inc., 2006 U.S. Dist. LEXIS 22211, at *19 (S.D. Tex. Apr. 11, 2006) (conditional certification denied where extensive record showed employees’ duties and time spent performing them varied across employees and across time).</w:t>
      </w:r>
      <w:r w:rsidRPr="00A5319D">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A46A566" w14:textId="77777777" w:rsidR="004322B1" w:rsidRPr="00AD2F44" w:rsidRDefault="004322B1">
      <w:pPr>
        <w:pStyle w:val="14Footnote"/>
      </w:pPr>
      <w:r w:rsidRPr="00AD2F44">
        <w:rPr>
          <w:i/>
          <w:iCs/>
        </w:rPr>
        <w:t>Sixth Circuit:</w:t>
      </w:r>
      <w:r w:rsidRPr="00AD2F44">
        <w:t xml:space="preserve"> Turner v. Utiliquest, LLC, 2019 WL 7461197 (M.D. Tenn. July 16, 2019) (denying conditional certification where defendant argued that plaintiff’s claim was based on deviation from company’s written policies against off-the-clock work and plaintiff offered no evidence of policy or plan, but only plaintiff’s and another potential opt-in’s declaration that they had been required to work off the clock); Medley v. Southern Health Partners, Inc., 2017 WL 3485641, at *7 (M.D. Tenn. Aug. 15, 2017) (denying conditional certification of nurses’ off-the-clock work claim where employee’s conclusory statements in declaration that she “personally knew” and was “aware of other employees” who worked off the clock were implausible given that she was the only full-time nurse; also denying conditional certification as to employee’s challenge of employer’s use of fluctuating workweek (FWW) pay method because there was no evidence presented that leave policies resulting in deductions were applied to any other employees paid under FWW pay method); Harrison v. McDonald’s Corp., 411 F. Supp. 2d 862 (S.D. Ohio 2005) (affidavits submitted by single plaintiff and one opt-in plaintiff insufficient to establish storewide policy of deleting time from electronic time clock records).</w:t>
      </w:r>
    </w:p>
    <w:p w14:paraId="7343F47F" w14:textId="77777777" w:rsidR="004322B1" w:rsidRPr="00AD2F44" w:rsidRDefault="004322B1">
      <w:pPr>
        <w:pStyle w:val="14Footnote"/>
      </w:pPr>
      <w:r w:rsidRPr="00AD2F44">
        <w:rPr>
          <w:i/>
          <w:iCs/>
        </w:rPr>
        <w:t>Seventh Circuit:</w:t>
      </w:r>
      <w:r w:rsidRPr="00AD2F44">
        <w:t xml:space="preserve"> Hadley v. Journal Broad. Grp., Inc., 2012 WL 523752, at *2–4 (E.D. Wis. Feb. 16, 2012) (denying conditional certification where allegations about time shaving were vague, inconsistent, and not suggestive of a company policy, and off-the-clock allegations related to time spent outside of office “thinking” about story ideas would result in individualized inquiries not suitable for collective treatment); Flores v. Lifeway Foods, Inc., 289 F. Supp. 2d 1042 (N.D. Ill. 2003) (evidence that one plaintiff was not paid for one hour and another was not paid for one-half hour does not demonstrate a common policy for 50 employees where evidence only related to named plaintiffs).</w:t>
      </w:r>
    </w:p>
    <w:p w14:paraId="1107A00E" w14:textId="77777777" w:rsidR="004322B1" w:rsidRPr="00AD2F44" w:rsidRDefault="004322B1">
      <w:pPr>
        <w:pStyle w:val="14Footnote"/>
      </w:pPr>
      <w:r w:rsidRPr="00AD2F44">
        <w:rPr>
          <w:i/>
          <w:iCs/>
        </w:rPr>
        <w:t xml:space="preserve">Eighth Circuit: </w:t>
      </w:r>
      <w:r w:rsidRPr="00AD2F44">
        <w:t>Saleen v. Waste Mgmt., Inc., 649 F. Supp. 2d 937, 941–43 (D. Minn. 2009) (denying conditional certification where plaintiffs offered no direct evidence of companywide policy to deny pay for worked meal breaks, plaintiffs’ evidence of working through breaks was minor considering size of company, because mistakes can be expected, and defendants’ evidence of individuals who were paid for worked meal breaks further undermined plaintiffs’ position).</w:t>
      </w:r>
    </w:p>
    <w:p w14:paraId="6C93EC8F" w14:textId="77777777" w:rsidR="004322B1" w:rsidRPr="00AD2F44" w:rsidRDefault="004322B1" w:rsidP="000117E7">
      <w:pPr>
        <w:pStyle w:val="14Footnote"/>
      </w:pPr>
      <w:r w:rsidRPr="00AD2F44">
        <w:rPr>
          <w:i/>
          <w:iCs/>
        </w:rPr>
        <w:t>Ninth Circuit:</w:t>
      </w:r>
      <w:r w:rsidRPr="00AD2F44">
        <w:t xml:space="preserve"> Edmonds v. Amazon.com, Inc., 2020 BL 391794, 2020 WL 5993908 (W.D. Wash. Oct. 9, 2020) (denying conditional certification to putative nationwide collective of drivers for third-party delivery service to Amazon for failure to allege common policy or plan to deny overtime pay; holding allegations that Amazon violated FLSA by acting as joint employer were insufficient); Bishop v. Petro-Chem. Transp., LLC, 582 F. Supp. 2d 1290, 1296–97 (E.D. Cal. 2008) (denying conditional certification where there was no evidence of companywide policy to deny overtime, there were no facts about other potential class members, and there were differences in duties among potential class members); Sheffield v. Orius Corp., 211 F.R.D. 411, 417 (D. Or. 2002) (denying notice where plaintiffs were paid differently, held various job classifications, and did not work at same job site).</w:t>
      </w:r>
    </w:p>
    <w:p w14:paraId="01E721FD" w14:textId="77777777" w:rsidR="004322B1" w:rsidRPr="00AD2F44" w:rsidRDefault="004322B1">
      <w:pPr>
        <w:pStyle w:val="14Footnote"/>
      </w:pPr>
      <w:r w:rsidRPr="00AD2F44">
        <w:rPr>
          <w:i/>
          <w:iCs/>
        </w:rPr>
        <w:t>Tenth Circuit:</w:t>
      </w:r>
      <w:r w:rsidRPr="00AD2F44">
        <w:t xml:space="preserve"> Stubbs v. McDonald’s Corp, 227 F.R.D. 661, 665 (D. Kan. 2005) (plaintiff’s attempt to compare his job duties to those of other second assistant managers rebutted by defendant’s affidavits where plaintiff gave only vague description of being required to perform duties of hourly employees).</w:t>
      </w:r>
    </w:p>
    <w:p w14:paraId="1B0F9A17" w14:textId="77777777" w:rsidR="004322B1" w:rsidRPr="00AD2F44" w:rsidRDefault="004322B1">
      <w:pPr>
        <w:pStyle w:val="14Footnote"/>
      </w:pPr>
      <w:r w:rsidRPr="00AD2F44">
        <w:rPr>
          <w:i/>
          <w:iCs/>
        </w:rPr>
        <w:t>Eleventh Circuit:</w:t>
      </w:r>
      <w:r w:rsidRPr="00AD2F44">
        <w:t xml:space="preserve"> Harapeti v. CBS Television Stations Inc., 2020 BL 501432, 2020 WL 8083695 (S.D. Fla. Dec. 21, 2020) (granting conditional certification but declining to extend scope nationwide, finding plaintiff’s allegation of common nationwide practice of misclassification was insufficient as to employees outside her location); Walker v. Jefferson Cnty. Bd. of Educ., 2016 WL 1117643 (N.D. Ala. Mar. 22, 2016) (denying conditional certification because evidence failed to demonstrate similarity and commonality among plaintiffs as well as with respect to other potential plaintiffs, and no alleged particular pay practice or denial of overtime compensation was evident for either class or potential opt-ins); Saxton v. Title Max of Ala., Inc., 431 F. Supp. 2d 1185, 1188 (N.D. Ala. 2006) (conditional certification denied to class of assistant managers where the plaintiffs failed to provide “any detailed sworn statements or point to any ‘single decision, policy, or plan’” that allegedly resulted in the assistant managers not receiving overtime wages).</w:t>
      </w:r>
    </w:p>
    <w:p w14:paraId="40971A28" w14:textId="77777777" w:rsidR="004322B1" w:rsidRPr="00AD2F44" w:rsidRDefault="004322B1">
      <w:pPr>
        <w:pStyle w:val="14Footnote"/>
      </w:pPr>
      <w:r w:rsidRPr="00AD2F44">
        <w:rPr>
          <w:i/>
          <w:iCs/>
        </w:rPr>
        <w:t>D.C. Circuit:</w:t>
      </w:r>
      <w:r w:rsidRPr="00AD2F44">
        <w:t xml:space="preserve"> Dinkel v. MedStar Health, Inc., 880 F. Supp. 2d 49, 54–56 (D.D.C. 2012) (limiting certification of meal break class to hourly employees in two departments where plaintiffs worked, and excluding eight of nine hospitals and all other departments at one hospital that plaintiff sought to include, finding automatic deduction policy itself was not unlawful and therefore did not constitute uniform policy that violates FLSA).</w:t>
      </w:r>
    </w:p>
  </w:footnote>
  <w:footnote w:id="159">
    <w:p w14:paraId="7FD34B0B" w14:textId="77777777" w:rsidR="004322B1" w:rsidRPr="00AD2F44" w:rsidRDefault="004322B1">
      <w:pPr>
        <w:pStyle w:val="14Footnote"/>
      </w:pPr>
      <w:r w:rsidRPr="00AD2F44">
        <w:rPr>
          <w:vertAlign w:val="superscript"/>
        </w:rPr>
        <w:footnoteRef/>
      </w:r>
      <w:r w:rsidRPr="00AD2F44">
        <w:t>431 F. Supp. 2d 1185 (N.D. Ala. 2006).</w:t>
      </w:r>
    </w:p>
  </w:footnote>
  <w:footnote w:id="160">
    <w:p w14:paraId="67F2CF04" w14:textId="77777777" w:rsidR="004322B1" w:rsidRPr="00AD2F44" w:rsidRDefault="004322B1">
      <w:pPr>
        <w:pStyle w:val="14Footnote"/>
      </w:pPr>
      <w:r w:rsidRPr="00AD2F44">
        <w:rPr>
          <w:vertAlign w:val="superscript"/>
        </w:rPr>
        <w:footnoteRef/>
      </w:r>
      <w:r w:rsidRPr="00AD2F44">
        <w:rPr>
          <w:i/>
          <w:iCs/>
        </w:rPr>
        <w:t>Id</w:t>
      </w:r>
      <w:r w:rsidRPr="00AD2F44">
        <w:t>. at 1188 (emphasis added).</w:t>
      </w:r>
    </w:p>
  </w:footnote>
  <w:footnote w:id="161">
    <w:p w14:paraId="68FCCD8D" w14:textId="77777777" w:rsidR="004322B1" w:rsidRPr="00AD2F44" w:rsidRDefault="004322B1">
      <w:pPr>
        <w:pStyle w:val="14Footnote"/>
      </w:pPr>
      <w:r w:rsidRPr="00AD2F44">
        <w:rPr>
          <w:vertAlign w:val="superscript"/>
        </w:rPr>
        <w:footnoteRef/>
      </w:r>
      <w:r w:rsidRPr="00AD2F44">
        <w:rPr>
          <w:i/>
        </w:rPr>
        <w:t>See, e.g.,</w:t>
      </w:r>
    </w:p>
    <w:p w14:paraId="45669927" w14:textId="77777777" w:rsidR="004322B1" w:rsidRPr="00AD2F44" w:rsidRDefault="004322B1">
      <w:pPr>
        <w:pStyle w:val="14Footnote"/>
      </w:pPr>
      <w:r w:rsidRPr="00AD2F44">
        <w:rPr>
          <w:i/>
          <w:iCs/>
        </w:rPr>
        <w:t>First Circuit:</w:t>
      </w:r>
      <w:r w:rsidRPr="00AD2F44">
        <w:t xml:space="preserve"> Roberts v. TJX Cos., Inc., 2017 WL 1217114 (D. Mass. Mar. 31, 2017) (granting conditional certification of putative class of 3,000 assistant store managers who worked at 1,300 retail stores; plaintiffs’ evidence demonstrated that assistant store managers were subject to same corporate policies and initial training program, had similar job descriptions, and were subject to uniform classification system that classified all assistant store managers as exempt regardless of store size and location); Rossello v. Avon Prod., Inc., 2015 WL 3890403, at *11 (D.P.R. June 24, 2015) (recognizing “[m]isclassification claims are eminently susceptible to collective proof”); Venegas v. Global Aircraft Serv., Inc., 2015 U.S. Dist. LEXIS 24517, at *9 (D. Me. Feb. 5, 2015) (conditionally certifying class of aircraft restoration workers allegedly denied overtime due to misclassification).</w:t>
      </w:r>
    </w:p>
    <w:p w14:paraId="0C0E3B79" w14:textId="77777777" w:rsidR="004322B1" w:rsidRPr="00AD2F44" w:rsidRDefault="004322B1">
      <w:pPr>
        <w:pStyle w:val="14Footnote"/>
      </w:pPr>
      <w:r w:rsidRPr="00AD2F44">
        <w:rPr>
          <w:i/>
          <w:iCs/>
        </w:rPr>
        <w:t xml:space="preserve">Second Circuit: </w:t>
      </w:r>
      <w:r w:rsidRPr="00AD2F44">
        <w:t>Strauch v. Computer Scis. Corp., 2015 WL 3727804, at *4 (D. Conn. June 9, 2015) (granting conditional certification to system administrators based on “job structure” as well as evidence from 26 opt-in plaintiffs, which was sufficient at conditional certification stage to show that plaintiffs had “the same … policy-designation as exempt from the FLSA”); Schaefer v. M &amp; T Bank Corp., 122 F. Supp. 3d 189, 197 (S.D.N.Y. 2015) (granting certification of class of information technology employees classified as exempt, reasoning that it was sufficient at conditional certification stage for plaintiffs to offer “generalized proof” of common policy of misclassification, and that plaintiff had provided that through his own declaration based on his nine-year tenure, as well as company’s policy of classifying all individuals in two job positions at issue as exempt, regardless of job title or subdepartment); Heitzenrater v. OfficeMax, Inc., 2014 WL 448502 (W.D.N.Y. Feb. 4, 2014) (granting conditional certification for assistant store managers); Ack v. Manhattan Beer Distribs., Inc., 2012 WL 1710985 (E.D.N.Y. May 15, 2012) (rejecting defendant’s arguments that its alleged outside salespeople were not similar among its sales divisions and granting conditional certification); Jacob v. Duane Reade, Inc., 2012 WL 260230, at *8 (S.D.N.Y. Jan. 27, 2012) (noting that if defendant’s logic were extended, no group of opt-in plaintiffs “would ever be ‘similarly situated’ unless they were clones of one another working in completely identical stores, in identical neighborhoods, with identical clientele”) (quoting Demassia v. Duane Reade, Inc., 2006 WL 2853971, at *21 (S.D.N.Y. Oct. 5, 2006)); Alli v. Boston Mkt. Co., 2011 WL 4006691 (D. Conn. Sept. 8, 2011) (granting plaintiff’s motion for conditional certification over defendant’s assistant general managers, culinary managers, and hospitality managers); Aros v. United Rentals, Inc., 269 F.R.D. 176, 183 (D. Conn. 2010) (granting conditional certification and noting that complaint “makes patent that this case challenges [defendant’s] company-wide policy of classifying Operations Managers as ineligible for overtime pay, and that the putative collective action members are those who held the title of Operations Manager”); Ravenell v. Avis Budget Car Rental, LLC, 2010 WL 2921508 (E.D.N.Y. July 19, 2010) (granting conditional certification for shift managers because there was showing of common policy of depriving plaintiffs of overtime, and differences in how job was performed by others were premature for consideration at notice stage); Henderson v. Transportation Grp., Ltd., 2010 WL 2629568 (S.D.N.Y. July 1, 2010) (granting conditional certification to putative class of financial analysts); Perkins v. Southern New Eng. Tel. Co., 669 F. Supp. 2d 212, 220–21 (D. Conn. 2009) (granting conditional certification because plaintiffs’ evidence showed that they were similarly situated “in the areas of the job that are relevant to the FLSA misclassification inquiry,” such as assigning work, discipline, hiring/firing/promotions, and purchasing, and that “similarities outweigh the differences”); Davis v. Abercrombie &amp; Fitch Co., 2008 WL 4702840, at *10 (S.D.N.Y. Oct. 23, 2008) (granting preliminary certification where plaintiffs provided evidence to support their claim that they, along with all loss-prevention agents in Abercrombie’s New York and New Jersey region, were uniformly misclassified as administratively exempt; “‘Courts typically authorize dissemination of Section 216(b) notice upon a simple showing that other employees may also have been subject to the employers’ practice of misclassifying.’”) (quoting Lynch v. United Serv. Auto. Ass’n, 491 F. Supp. 2d 357, 370 (S.D.N.Y. 2007)); Holbrook v. Smith &amp; Hawken, Ltd., 246 F.R.D. 103, 105–06 (D. Conn. 2007) (granting conditional certification based on evidence of commonality in position, classification, and treatment by company of assistant store managers as exempt under executive exemption).</w:t>
      </w:r>
    </w:p>
    <w:p w14:paraId="190C3D51" w14:textId="77777777" w:rsidR="004322B1" w:rsidRPr="00AD2F44" w:rsidRDefault="004322B1">
      <w:pPr>
        <w:pStyle w:val="14Footnote"/>
      </w:pPr>
      <w:r w:rsidRPr="00AD2F44">
        <w:rPr>
          <w:i/>
          <w:iCs/>
        </w:rPr>
        <w:t>Third Circuit:</w:t>
      </w:r>
      <w:r w:rsidRPr="00AD2F44">
        <w:t xml:space="preserve"> McGhee v. TOMS King, LLC, 2021 BL 112484, 2021 WL 1176097, at *4 (W.D. Pa. Mar. 29, 2021) (granting conditional certification based on uniform classification of managers as exempt and not paid overtime but working over 40 hours per week, plaintiffs’ “modest factual showing” that they and others spent 90% of their time on non-exempt work, and that employees in their job position worked under same job description and primary duties regardless of location, such that employer policy affected them and other employees in similar way and declining to make merits-based analysis at this stage); Vasil v. Dunham’s Athleisure Corp., 2015 WL 7871360, at *3–4 (W.D. Pa. Dec. 4, 2015) (granting conditional certification where, among similarities, plaintiffs were all subject to same job description and classification, and plaintiffs provided “some evidence” that they were misclassified; rejecting defendant’s position that policy must facially violate FLSA or be shown to be common to each putative class member); Ornelas v. Hooper Holmes, Inc., 2014 WL 7051868, at *4 (D.N.J. Dec. 12, 2014) (granting conditional certification as to class of paramedical examiners classified as independent contractors); Puglisi v. T.D. Bank, NA, 998 F. Supp. 2d 95 (E.D.N.Y. 2014) (plaintiffs alleged that despite their managerial job titles they primarily performed nonexempt, nonmanagerial job duties and were granted conditional certification); Ruffin v. Avis Budget Car Rental, LLC, 2012 WL 2514841 (D.N.J. June 28, 2012) (conditionally certifying group of Avis shift managers); </w:t>
      </w:r>
      <w:r w:rsidRPr="00AD2F44">
        <w:rPr>
          <w:i/>
          <w:iCs/>
        </w:rPr>
        <w:t xml:space="preserve">In re </w:t>
      </w:r>
      <w:r w:rsidRPr="00AD2F44">
        <w:t>Enterprise Rent-A-Car Wage &amp; Hour Emp. Practices Litig., 2010 WL 3447783, at *24 (W.D. Pa. Aug. 13, 2010) (applying “intermediate standard” and granting nationwide (except California) conditional certification for assistant managers based on evidence that job duties may have failed to satisfy exemption and fact that all such managers were classified as exempt); Craig v. Rite Aid Corp., 2009 WL 4723286, at *3–4 (M.D. Pa. Dec. 9, 2009) (granting conditional certification to nationwide class of salaried assistant managers because they had substantially same job description, were classified as exempt, and worked more than 40 hours per week); Herring v. Hewitt Assocs., Inc., 2007 WL 2121693, at *4–8 (D.N.J. July 24, 2007) (granting notice to assistant managers where they allegedly had same basic job responsibilities and job classification such as demonstrated common scheme or plan to misclassify under executive exemption); Lynch v. United Servs. Auto. Ass’n, 491 F. Supp. 2d 357, 367–70 (S.D.N.Y. 2007) (granting conditional certification where special investigators were uniformly classified as administratively exempt and performed same job duties under same management structure, job description, and performance standards based on misclassification of financial “analysts,” but finding defendant’s “associates” not similarly situated with plaintiff); Aquilino v. Home Depot, Inc., 2006 WL 2583563, at *2–3 (D.N.J. Sept. 7, 2006) (granting conditional certification where managers and assistant managers were allegedly misclassified under executive exemption).</w:t>
      </w:r>
    </w:p>
    <w:p w14:paraId="05991449" w14:textId="77777777" w:rsidR="004322B1" w:rsidRPr="00AD2F44" w:rsidRDefault="004322B1">
      <w:pPr>
        <w:pStyle w:val="14Footnote"/>
      </w:pPr>
      <w:r w:rsidRPr="00AD2F44">
        <w:rPr>
          <w:i/>
          <w:iCs/>
        </w:rPr>
        <w:t>Fourth Circuit:</w:t>
      </w:r>
      <w:r w:rsidRPr="00AD2F44">
        <w:t xml:space="preserve"> Calderon v. Geico Gen. Ins. Co., 2011 WL 98197, at *8 (D. Md. Jan. 12, 2011) (GEICO security investigators allegedly misclassified).</w:t>
      </w:r>
    </w:p>
    <w:p w14:paraId="5CABEF69" w14:textId="77777777" w:rsidR="004322B1" w:rsidRPr="00AD2F44" w:rsidRDefault="004322B1">
      <w:pPr>
        <w:pStyle w:val="14Footnote"/>
      </w:pPr>
      <w:r w:rsidRPr="00AD2F44">
        <w:rPr>
          <w:i/>
          <w:iCs/>
        </w:rPr>
        <w:t>Fifth Circuit:</w:t>
      </w:r>
      <w:r w:rsidRPr="00AD2F44">
        <w:t xml:space="preserve"> Vassallo v. Goodman Networks, Inc., 2015 WL 3793208, at *6 (E.D. Tex. June 17, 2015) (granting conditional certification for construction managers where, at notice stage under lenient standard, evidence that “basic tasks and pay policies were the same” was sufficient to issue notice); Davis v. Mostyn Law Firm, P.C., 2012 WL 163941 (S.D. Tex. Jan. 19, 2012) (rejecting defendant’s argument that conditional certification in a misclassification case was improper because an employer’s classification of a position is not a decision, policy, or plan that supports collective active treatment and approving conditional certification for group of paralegals); Black v. Settlepou, P.C., 2011 WL 609884 (N.D. Tex. Feb. 14, 2011) (granting conditional class certification where the only common policy allegedly in violation of the FLSA was the misclassification of paralegals as “exempt”); Beall v. Tyler Techs., Inc., 2009 WL 1766141, at *3 (E.D. Tex. June 23, 2009) (granting conditional certification in exemption case where plaintiffs presented affidavits that each job position was considered exempt and that they worked over 40 hours, company handbook statement that it sought to create a “uniform system for managing personnel,” and declaration from former vice-president that multiple operating divisions were managed by single division); Prater v. Commerce Equities Mgmt. Co., 2007 WL 4146714, at *6–9 (S.D. Tex. Nov. 19, 2007) (granting conditional certification for two classes of apartment office employees who alleged they were misclassified under administrative exemption and who were similarly situated to each other in terms of position, duties, and payment).</w:t>
      </w:r>
      <w:r w:rsidRPr="00AE59F9">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B0C8681" w14:textId="77777777" w:rsidR="004322B1" w:rsidRPr="00AD2F44" w:rsidRDefault="004322B1">
      <w:pPr>
        <w:pStyle w:val="14Footnote"/>
      </w:pPr>
      <w:r w:rsidRPr="00AD2F44">
        <w:rPr>
          <w:i/>
          <w:iCs/>
        </w:rPr>
        <w:t>Sixth Circuit:</w:t>
      </w:r>
      <w:r w:rsidRPr="00AD2F44">
        <w:t xml:space="preserve"> Loomis v. Unum Grp. Corp., 539 F. Supp. 3d 898 (E.D. Tenn. 2021) (granting conditional certification based on disability benefits specialist misclassification allegations and declarations, which showed same job duties, salary with no overtime, and job duties that failed exemption test, but declining to consider variation in job duties, plaintiff’s purported poor performance, or number of opt-ins as demonstrating interest); Roberts v. Corrections Corp. of Am., 2015 WL 3905088, at *12–14 (M.D. Tenn. June 25, 2015) (granting conditional certification for statewide, but not nationwide, class of employees based on declaration and other evidence of, among other things, uniform classification as exempt; evidence beyond Tennessee was insufficient even at notice stage); Larson v. Rush Fitness Corp., 2012 U.S. Dist. LEXIS 189211 (E.D. Tenn. Oct. 17, 2012), </w:t>
      </w:r>
      <w:r w:rsidRPr="00AD2F44">
        <w:rPr>
          <w:i/>
          <w:iCs/>
        </w:rPr>
        <w:t>adopted by</w:t>
      </w:r>
      <w:r w:rsidRPr="00AD2F44">
        <w:t xml:space="preserve"> 2013 U.S. Dist. LEXIS 163541 (E.D. Tenn. Sept. 23, 2013) (finding a sufficient factual showing that the nature of the work performed by the proposed members of the collective action was similar in nature to the work performed by the named plaintiff); Swigart v. Fifth Third Bank, 276 F.R.D. 210, 213 (S.D. Ohio 2011) (granting conditional certification to mortgage loan officers challenging their exempt status based on evidence that they were all classified as exempt, none was paid overtime, and they shared same primary job duty of selling residential mortgage products subject to production goals).</w:t>
      </w:r>
    </w:p>
    <w:p w14:paraId="3A90EA44" w14:textId="77777777" w:rsidR="004322B1" w:rsidRPr="00AD2F44" w:rsidRDefault="004322B1">
      <w:pPr>
        <w:pStyle w:val="14Footnote"/>
      </w:pPr>
      <w:r w:rsidRPr="00AD2F44">
        <w:rPr>
          <w:i/>
          <w:iCs/>
        </w:rPr>
        <w:t xml:space="preserve">Seventh Circuit: </w:t>
      </w:r>
      <w:r w:rsidRPr="00AD2F44">
        <w:t>Terry v. TMX Fin. LLC, 2014 WL 2066713 (N.D. Ill. May 19, 2014) (granting conditional certification over defendant’s General Managers in Training from multiple states based on uniform treatment); Schroeder v. Humana Inc., 2012 WL 5931886 (E.D. Wis. Nov. 27, 2012) (granting conditional certification over nationwide group of clinical nurse advisors); Betancourt v. Maxim Healthcare Servs., Inc., 2011 WL 1548964 (N.D. Ill. Apr. 21, 2011) (granting motion for collective certification based on plaintiff’s allegations that defendant had a common plan that misclassified its recruiters); Smallwood v. Illinois Bell Tel. Co., 710 F. Supp. 2d 746, 751–52 (N.D. Ill. 2010) (granting conditional certification to class of engineers, in light of defendant’s reclassification of all engineers in that general job position from exempt to nonexempt and fact that all putative class members operated under same job description, and refusing to consider discrepancies in day-to-day job duties of putative class members at conditional certification stage); Shiner v. Select Comfort Retail Corp., 2009 WL 4884166, at *4 (N.D. Ill. Dec. 9, 2009) (granting conditional certification for class of store managers based on affidavit of plaintiff and corroboration by two other managers, as well as evidence of companywide policy changing manager pay structure and reducing hours of sales force, which allegedly led to overtime work for managers, but cautioning plaintiff to “re-evaluate the merits of his case going forward” because of contradictory evidence submitted by defendant regarding job duties of store managers and higher level of scrutiny at second-stage analysis of certification); Jirak v. Abbott Labs., Inc., 566 F. Supp. 2d 845, 848–50 (N.D. Ill. 2008) (granting conditional certification to class of pharmaceutical representatives where evidence at notice stage showed they had “same essential responsibility” and they were subject to “common policy classifying them as exempt”).</w:t>
      </w:r>
    </w:p>
    <w:p w14:paraId="6477FFA7" w14:textId="77777777" w:rsidR="004322B1" w:rsidRPr="00AD2F44" w:rsidRDefault="004322B1">
      <w:pPr>
        <w:pStyle w:val="14Footnote"/>
      </w:pPr>
      <w:r w:rsidRPr="00AD2F44">
        <w:rPr>
          <w:i/>
          <w:iCs/>
        </w:rPr>
        <w:t>Eighth Circuit:</w:t>
      </w:r>
      <w:r w:rsidRPr="00AD2F44">
        <w:t xml:space="preserve"> Babbitt v. Target Corp., 2022 WL 1715180 (D. Minn. Apr. 5, 2022) (granting conditional certification of nationwide collective of “executive team leaders” where defendant had common policy applied to all in that job title, including stating in job description that they spend time on hourly tasks); Meseck v. TAK Commc’ns, Inc., 2011 WL 1190579 (D. Minn. Mar. 28, 2011) (granting conditional certification based on alleged misclassification of installation technicians); Keef v. M.A. Mortenson Co., 2008 WL 3166302, at *2 (D. Minn. Aug. 4, 2008) (granting conditional certification to field engineers where plaintiff claimed that job description was uniform regardless of where workers were located and that companies’ improper misclassification under professional exemption affected them in a similar fashion); Davis v. Novastar Mortg., Inc., 408 F. Supp. 2d 811, 815–19 (W.D. Mo. 2005) (granting conditional class certification where plaintiffs alleged that defendants had companywide policy of classifying all loan originators as administratively exempt employees and denying them overtime pay); Kalish v. High Tech Inst., Inc., 2005 WL 1073645, at *2–4 (D. Minn. Apr. 22, 2005) (granting conditional certification and notice where college instructors alleged they were all subject to same corporatewide policy to categorize instructors as professionally “exempt” employees and not pay them overtime compensation).</w:t>
      </w:r>
    </w:p>
    <w:p w14:paraId="6A979869" w14:textId="77777777" w:rsidR="004322B1" w:rsidRPr="00AD2F44" w:rsidRDefault="004322B1">
      <w:pPr>
        <w:pStyle w:val="14Footnote"/>
      </w:pPr>
      <w:r w:rsidRPr="00AD2F44">
        <w:rPr>
          <w:i/>
          <w:iCs/>
        </w:rPr>
        <w:t>Ninth Circuit:</w:t>
      </w:r>
      <w:r w:rsidRPr="00AD2F44">
        <w:t xml:space="preserve"> Barrera v. US Airways Grp., Inc., 2013 WL 4654567 (D. Ariz. Aug. 30, 2013) (rejecting the air carrier exemption as inappropriate at the notice stage and granting conditional certification for security guards); Williams v. U.S. Bank Nat’l Ass’n, 290 F.R.D. 600 (E.D. Cal. 2013) (granting conditional certification to mortgage underwriters who had been classified as exempt administrators); Bollinger v. Residential Capital, LLC, 761 F. Supp. 2d 1114, 1121–22 (W.D. Wash. 2011) (certifying collective action based on defendant’s alleged common misclassification policy following the Second Circuit’s decision in </w:t>
      </w:r>
      <w:r w:rsidRPr="00AD2F44">
        <w:rPr>
          <w:i/>
          <w:iCs/>
        </w:rPr>
        <w:t>Davis v. J.P. Morgan Chase</w:t>
      </w:r>
      <w:r w:rsidRPr="00AD2F44">
        <w:t>, 587 F.3d 529 (2d Cir. 2009)); Taylor v. Autozone, Inc., 2011 WL 2038514, at *2 (D. Ariz. May 24, 2011) (certifying class of store managers finding that “common classification supports the conclusion that all class members are similarly situated”); Gee v. Suntrust Mortg., Inc., 2011 WL 722111, at *3 (N.D. Cal. Feb. 18, 2011) (recognizing that uniform classification of employees as exempt is not sufficient for class treatment but was relevant factor in conditional certification; also finding that, at notice stage, job description and evidence from plaintiffs that primary duty was reviewing loan applications, and limitation of differences to amount of loan that could be approved, permitted conditional certification); Campanelli v. Hershey Co., 2010 WL 3219501 (N.D. Cal. Aug. 13, 2010) (granting conditional certification based on allegations that defendant had misclassified its sales representatives as outside salesmen and administrative employees); Carter v. Anderson Merchandisers, LP, 2008 WL 2783193, at *6 (C.D. Cal. July 10, 2008) (granting preliminary certification where plaintiffs “met their burden of setting forth ‘substantial allegations’ that sales representatives who comprise the proposed class, i.e., those who Defendant classified as salaried employees, were victims of a common policy allowing sales representatives to be classified as exempt”); Wong v. HSBC Mortg. Corp. (USA), 2008 WL 753889, at *3–4 (N.D. Cal. Mar. 19, 2008) (granting conditional certification where it was undisputed that defendant misclassified all of its loan officers as administratively exempt, suggesting a “uniformly-applicable basis for defendants’ classification decision”); Beauperthuy v. 24 Hour Fitness USA, Inc., 2007 WL 707475 at *4–7 (N.D. Cal. Mar. 6, 2007) (granting conditional certification to managers where plaintiffs made “substantial allegations” that they were all classified by defendants’ policies as exempt executives and denied overtime); Morden v. T-Mobile USA, Inc., 2006 WL 2620320, at *2–4 (W.D. Wash. Sept. 12, 2006) (holding that plaintiff territory and account representatives met evidentiary burden warranting conditional certification where they “submitted evidence” that putative class members had comparable job descriptions and duties and were compensated under uniform classifications during relevant time periods); Czubara v. Hamilton Mortg. Co., 2006 WL 5526617, at *1 (D. Ariz. June 5, 2006) (granting conditional certification where defendant admitted misclassified employees were victims of single policy, plan, or decision); Avila v. Turlock Irrigation Dist., 2006 WL 3201083, at *3 (E.D. Cal. Nov. 6, 2006) (granting unopposed motion to conditionally certify collective action of power control center operators and assistant power control center operators where defendants imposed uniform plan of overtime hours without compensation in violation of FLSA).</w:t>
      </w:r>
    </w:p>
    <w:p w14:paraId="54BEDFD1" w14:textId="77777777" w:rsidR="004322B1" w:rsidRPr="00AD2F44" w:rsidRDefault="004322B1">
      <w:pPr>
        <w:pStyle w:val="14Footnote"/>
      </w:pPr>
      <w:r w:rsidRPr="00AD2F44">
        <w:rPr>
          <w:i/>
          <w:iCs/>
        </w:rPr>
        <w:t>Tenth Circuit:</w:t>
      </w:r>
      <w:r w:rsidRPr="00AD2F44">
        <w:t xml:space="preserve"> Roggenkamp v. Bold Transp., Inc., 2021 BL 512393, 2021 WL 7209984 (D. Kan. June 16, 2021) (granting conditional certification of “yard hostlers” that operated tractors and moved freight on claim they were misclassified as exempt from overtime, but denying certification of expanded definition of collective later alleged because it was broadened and poorly defined); Gieseke v. First Horizon Home Loan Corp., 408 F. Supp. 2d 1164, 1167–69 (D. Kan. 2006) (granting conditional certification to loan originators with same job duties in respective divisions, all subject to defendant’s policy of nonpayment for overtime because they were uniformly misclassified as exempt administrative employees); Fortna v. QC Holdings, Inc., 2006 WL 2385303, at *1–3 (N.D. Okla. Aug. 17, 2006) (granting conditional certification where complaint and affidavits contained “substantial allegations” that branch managers were “victims of a single decision, policy, or plan”); Baldozier v. American Family Mut. Ins. Co., 375 F. Supp. 2d 1089, 1092–93 (D. Colo. 2005) (granting conditional certification to all claims representatives where they alleged that they were denied overtime pay based on company’s policy of treating them as categorically exempt under administrative exemption).</w:t>
      </w:r>
    </w:p>
    <w:p w14:paraId="399D2F71" w14:textId="77777777" w:rsidR="004322B1" w:rsidRPr="00AD2F44" w:rsidRDefault="004322B1">
      <w:pPr>
        <w:pStyle w:val="14Footnote"/>
      </w:pPr>
      <w:r w:rsidRPr="00AD2F44">
        <w:rPr>
          <w:i/>
          <w:iCs/>
        </w:rPr>
        <w:t>Eleventh Circuit:</w:t>
      </w:r>
      <w:r w:rsidRPr="00AD2F44">
        <w:t xml:space="preserve"> Lytle v. Lowe’s Home Ctrs., Inc., 2014 WL 103463, at *3 (M.D. Fla. Jan. 10, 2014) (granting notice to companywide class of human resources managers and finding that a common policy or plan “may not be required to satisfy the more liberal ‘similarly situated’ requirement” at the notice stage); Palma v. Metro PCS Wireless, Inc., 2013 WL 6597079 (M.D. Fla. Dec. 16, 2013) (granting certification for nationwide group of account service representatives); Lawson v. Bell S. Telecomms., Inc., 2011 WL 3608462 (N.D. Ga. Aug. 16, 2011) (granting conditional certification based on field managers’ “day in the life” document showing the allegedly misclassified employees were similarly situated); Vondriska v. Premier Mortg. Funding, Inc., 564 F. Supp. 2d 1330, 1333–36 (M.D. Fla. 2007) (granting conditional certification where affidavits alleged uniform class of employees whose primary duty was selling loans and that defendant engaged in widespread policy of misclassification under administrative exemption).</w:t>
      </w:r>
    </w:p>
    <w:p w14:paraId="5E31C5B6" w14:textId="77777777" w:rsidR="004322B1" w:rsidRPr="00AD2F44" w:rsidRDefault="004322B1">
      <w:pPr>
        <w:pStyle w:val="14Footnote"/>
      </w:pPr>
      <w:r w:rsidRPr="00AD2F44">
        <w:rPr>
          <w:i/>
          <w:iCs/>
        </w:rPr>
        <w:t>See also</w:t>
      </w:r>
      <w:r w:rsidRPr="00AD2F44">
        <w:t xml:space="preserve"> Gregory v. Belfor USA Grp., Inc., 2012 WL 3062696, at *6 (E.D. Va. July 26, 2012).</w:t>
      </w:r>
    </w:p>
  </w:footnote>
  <w:footnote w:id="162">
    <w:p w14:paraId="367AB1C8" w14:textId="77777777" w:rsidR="004322B1" w:rsidRPr="00AD2F44" w:rsidRDefault="004322B1">
      <w:pPr>
        <w:pStyle w:val="14Footnote"/>
        <w:rPr>
          <w:i/>
          <w:iCs/>
        </w:rPr>
      </w:pPr>
      <w:r w:rsidRPr="00AD2F44">
        <w:rPr>
          <w:vertAlign w:val="superscript"/>
        </w:rPr>
        <w:footnoteRef/>
      </w:r>
      <w:r w:rsidRPr="00AD2F44">
        <w:t xml:space="preserve">Delgado v. Ortho-McNeil, Inc., 2007 WL 2847238, at *2 (C.D. Cal. Aug. 7, 2007); </w:t>
      </w:r>
      <w:r w:rsidRPr="00AD2F44">
        <w:rPr>
          <w:i/>
          <w:iCs/>
        </w:rPr>
        <w:t>see also</w:t>
      </w:r>
    </w:p>
    <w:p w14:paraId="1C031741" w14:textId="77777777" w:rsidR="004322B1" w:rsidRPr="00AD2F44" w:rsidRDefault="004322B1">
      <w:pPr>
        <w:pStyle w:val="14Footnote"/>
      </w:pPr>
      <w:r w:rsidRPr="00AD2F44">
        <w:rPr>
          <w:i/>
          <w:iCs/>
        </w:rPr>
        <w:t>Fifth Circuit:</w:t>
      </w:r>
      <w:r w:rsidRPr="00AD2F44">
        <w:t xml:space="preserve"> Albanil v. Coast 2 Coast, Inc., 2008 WL 4937565, at *6 (S.D. Tex. Nov. 17, 2008) (“Defendants admitted that all chippers are subject to a common pay policy, in that no chippers have ever received overtime pay for hours worked over forty per week.”).</w:t>
      </w:r>
      <w:r w:rsidRPr="00AE59F9">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D9FEB09" w14:textId="77777777" w:rsidR="004322B1" w:rsidRPr="00AD2F44" w:rsidRDefault="004322B1">
      <w:pPr>
        <w:pStyle w:val="14Footnote"/>
      </w:pPr>
      <w:r w:rsidRPr="00AD2F44">
        <w:rPr>
          <w:i/>
          <w:iCs/>
        </w:rPr>
        <w:t>Seventh Circuit:</w:t>
      </w:r>
      <w:r w:rsidRPr="00AD2F44">
        <w:t xml:space="preserve"> </w:t>
      </w:r>
      <w:r w:rsidRPr="00AD2F44">
        <w:rPr>
          <w:i/>
          <w:iCs/>
        </w:rPr>
        <w:t>Jirak</w:t>
      </w:r>
      <w:r w:rsidRPr="00AD2F44">
        <w:t>, 566 F. Supp. 2d at 849 (pharmaceutical representatives subject to common policy classifying them as exempt).</w:t>
      </w:r>
    </w:p>
    <w:p w14:paraId="3B088A9E" w14:textId="77777777" w:rsidR="004322B1" w:rsidRPr="00AD2F44" w:rsidRDefault="004322B1">
      <w:pPr>
        <w:pStyle w:val="14Footnote"/>
      </w:pPr>
      <w:r w:rsidRPr="00AD2F44">
        <w:rPr>
          <w:i/>
          <w:iCs/>
        </w:rPr>
        <w:t>Eighth Circuit:</w:t>
      </w:r>
      <w:r w:rsidRPr="00AD2F44">
        <w:t xml:space="preserve"> </w:t>
      </w:r>
      <w:r w:rsidRPr="00AD2F44">
        <w:rPr>
          <w:i/>
          <w:iCs/>
        </w:rPr>
        <w:t>Davis</w:t>
      </w:r>
      <w:r w:rsidRPr="00AD2F44">
        <w:t>, 408 F. Supp. 2d at 817 (“[P]laintiffs have sufficiently supported their claim … [t]hat the decision to treat all loan originators in all novastar offices as exempt employees was a companywide plan implemented at the direction of the company’s president.”).</w:t>
      </w:r>
    </w:p>
  </w:footnote>
  <w:footnote w:id="163">
    <w:p w14:paraId="51BA9AC7" w14:textId="77777777" w:rsidR="004322B1" w:rsidRPr="00AD2F44" w:rsidRDefault="004322B1">
      <w:pPr>
        <w:pStyle w:val="14Footnote"/>
      </w:pPr>
      <w:r w:rsidRPr="00AD2F44">
        <w:rPr>
          <w:vertAlign w:val="superscript"/>
        </w:rPr>
        <w:footnoteRef/>
      </w:r>
      <w:r w:rsidRPr="00AD2F44">
        <w:t>551 F.3d 1233 (11th Cir. 2008).</w:t>
      </w:r>
    </w:p>
  </w:footnote>
  <w:footnote w:id="164">
    <w:p w14:paraId="7ED093CA" w14:textId="77777777" w:rsidR="004322B1" w:rsidRPr="00AD2F44" w:rsidRDefault="004322B1">
      <w:pPr>
        <w:pStyle w:val="14Footnote"/>
      </w:pPr>
      <w:r w:rsidRPr="00AD2F44">
        <w:rPr>
          <w:vertAlign w:val="superscript"/>
        </w:rPr>
        <w:footnoteRef/>
      </w:r>
      <w:r w:rsidRPr="00AD2F44">
        <w:rPr>
          <w:i/>
          <w:iCs/>
        </w:rPr>
        <w:t>Id</w:t>
      </w:r>
      <w:r w:rsidRPr="00AD2F44">
        <w:t>. at 1263 (“Rather, the bulk of the evidence demonstrated that the store managers were similarly situated and even Family Dollar perceived no such distinction. Indeed, it exempted all store managers from overtime pay requirements without regard to store size, sales volume, region, district, or hiring and firing authority.”).</w:t>
      </w:r>
    </w:p>
  </w:footnote>
  <w:footnote w:id="165">
    <w:p w14:paraId="22C2A1DF" w14:textId="77777777" w:rsidR="004322B1" w:rsidRPr="00AD2F44" w:rsidRDefault="004322B1">
      <w:pPr>
        <w:pStyle w:val="14Footnote"/>
      </w:pPr>
      <w:r w:rsidRPr="00AD2F44">
        <w:rPr>
          <w:vertAlign w:val="superscript"/>
        </w:rPr>
        <w:footnoteRef/>
      </w:r>
      <w:r w:rsidRPr="00AD2F44">
        <w:rPr>
          <w:i/>
          <w:iCs/>
        </w:rPr>
        <w:t>Id</w:t>
      </w:r>
      <w:r w:rsidRPr="00AD2F44">
        <w:t xml:space="preserve">. at 1264; </w:t>
      </w:r>
      <w:r w:rsidRPr="00AD2F44">
        <w:rPr>
          <w:i/>
          <w:iCs/>
        </w:rPr>
        <w:t>see also</w:t>
      </w:r>
      <w:r w:rsidRPr="00AD2F44">
        <w:t xml:space="preserve"> Nerland v. Caribou Coffee Co., 564 F. Supp. 2d 1010, 1014, 1024 (D. Minn. 2007) (“[J]ust as defendant was able to determine on a collective basis that all of its store managers were employed ‘in a bona fide executive … capacity,’ so, too, this Court can determine on a collective basis whether defendant’s decision was correct. … The Court finds it disingenuous for [the employer], on one hand, to collectively and generally decide that all store managers are exempt from overtime compensation without any individualized inquiry, while on the other hand, claiming the plaintiffs cannot proceed collectively to challenge the exemption. [The employer’s] objections are wholly inconsistent with its own internal policies and practices.”).</w:t>
      </w:r>
    </w:p>
  </w:footnote>
  <w:footnote w:id="166">
    <w:p w14:paraId="1FC8BAA9" w14:textId="77777777" w:rsidR="004322B1" w:rsidRPr="00AD2F44" w:rsidRDefault="004322B1">
      <w:pPr>
        <w:pStyle w:val="14Footnote"/>
      </w:pPr>
      <w:r w:rsidRPr="00AD2F44">
        <w:rPr>
          <w:vertAlign w:val="superscript"/>
        </w:rPr>
        <w:footnoteRef/>
      </w:r>
      <w:r w:rsidRPr="00AD2F44">
        <w:rPr>
          <w:i/>
          <w:iCs/>
        </w:rPr>
        <w:t>See, e.g.,</w:t>
      </w:r>
      <w:r w:rsidRPr="00AD2F44">
        <w:t xml:space="preserve"> </w:t>
      </w:r>
    </w:p>
    <w:p w14:paraId="72ADA648" w14:textId="77777777" w:rsidR="004322B1" w:rsidRPr="00AD2F44" w:rsidRDefault="004322B1">
      <w:pPr>
        <w:pStyle w:val="14Footnote"/>
      </w:pPr>
      <w:r w:rsidRPr="00AD2F44">
        <w:rPr>
          <w:i/>
          <w:iCs/>
        </w:rPr>
        <w:t>First Circuit:</w:t>
      </w:r>
      <w:r w:rsidRPr="00AD2F44">
        <w:t xml:space="preserve"> McKnight v. Honeywell Safety Prods. USA, Inc., 2017 WL 3447894, at *9 (D.R.I. June 13, 2017) (denying conditional certification and noting that “Honeywell’s classification of buyers as exempt, standing alone, is insufficient to satisfy the lenient standard for certification”).</w:t>
      </w:r>
    </w:p>
    <w:p w14:paraId="0AD0FD8A" w14:textId="77777777" w:rsidR="004322B1" w:rsidRPr="00AD2F44" w:rsidRDefault="004322B1">
      <w:pPr>
        <w:pStyle w:val="14Footnote"/>
      </w:pPr>
      <w:r w:rsidRPr="002E55FE">
        <w:rPr>
          <w:i/>
          <w:iCs/>
        </w:rPr>
        <w:t>Second Circuit:</w:t>
      </w:r>
      <w:r w:rsidRPr="002E55FE">
        <w:t xml:space="preserve"> Dalton v. GEM Fin. </w:t>
      </w:r>
      <w:r w:rsidRPr="00AD2F44">
        <w:t>Servs., Inc., 2016 WL 3676428 (E.D.N.Y. July 6, 2016) (denying motion to conditionally certify as to exemption misclassification claim because plaintiffs failed to present any evidence articulating exempt employees’ job requirements or pay provisions and to demonstrate that similarity existed among nonexempt and exempt employees); Rosario v. Compass Grp., USA, Inc., 2016 WL 471249, at *5 (D. Conn. Feb. 5, 2016) (denying without prejudice motion for conditional certification of class of assistant managers, finding that conclusory statements in declarations about nonexempt work, coupled with corporate policies and job descriptions, did not create modest factual showing needed for certification, given variations in duties shown in depositions); Nabi v. Hudson Grp. Retail LLC, 310 F.R.D. 119, 123 (S.D.N.Y. 2015) (denying certification for class of exempt managers where plaintiffs’ evidence was limited to their personal knowledge of just three of eight job titles they sought for certification, rejecting uniform exemption classification as insufficient, and noting additional evidence of differences in operations at different types of employer locations); Ahmed v. TJ Maxx Corp., 103 F. Supp. 3d 343, 355–56 (E.D.N.Y. 2015) (adopting magistrate judge’s decision to deny nationwide certification to putative class of assistant store managers where opt-in plaintiffs’ testimony showed that they performed significantly different duties than named plaintiff, including many managerial duties; uniform classification as exempt was not sufficient for certification); Guillen v. Marshalls of MA, Inc., 750 F. Supp. 2d 469, 476–77 (S.D.N.Y. 2010) (denying conditional certification and reasoning that classification of all managers as exempt cannot support conditional certification where challenge is that plaintiffs and putative class operated in contravention to job description with only managerial duties, particularly where plaintiff presented just five affidavits from employees at nine New York City area stores out of 820 stores nationwide); Amendola v. Bristol-Myers Squibb Co., 558 F. Supp. 2d 459 (S.D.N.Y. 2008); Mike v. Safeco Ins. Co., 274 F. Supp. 2d 216, 221 (D. Conn. 2003) (“fact that Safeco decided to re-classify all Claims Representatives … does not provide the necessary common thread” to warrant notice).</w:t>
      </w:r>
    </w:p>
    <w:p w14:paraId="0E9B4178" w14:textId="77777777" w:rsidR="004322B1" w:rsidRPr="00AD2F44" w:rsidRDefault="004322B1">
      <w:pPr>
        <w:pStyle w:val="14Footnote"/>
      </w:pPr>
      <w:r w:rsidRPr="00AD2F44">
        <w:rPr>
          <w:i/>
          <w:iCs/>
        </w:rPr>
        <w:t>Fourth Circuit:</w:t>
      </w:r>
      <w:r w:rsidRPr="00AD2F44">
        <w:t xml:space="preserve"> Stone v. SRA Int’l, Inc., 2014 WL 5410628, at *4 (E.D. Va. Oct. 22, 2014) (limiting certification in misclassification claim for network and system administrators to group of employees working on single defense contract, despite nationwide classification of them as exempt and exemption decision being made by single individual, because plaintiffs presented evidence only of activities of employees on that defense contract); Pelczynski v. Orange Lake Country Club, 84 F.R.D. 364 (D.S.C. 2012) (denying certification, finding that the plaintiffs had worked during distinct time periods and a fact finder would have to perform a week-by-week, plaintiff-by-plaintiff assessment that was inappropriate for class treatment).</w:t>
      </w:r>
    </w:p>
    <w:p w14:paraId="752B641E" w14:textId="77777777" w:rsidR="004322B1" w:rsidRPr="00AD2F44" w:rsidRDefault="004322B1">
      <w:pPr>
        <w:pStyle w:val="14Footnote"/>
      </w:pPr>
      <w:r w:rsidRPr="00AD2F44">
        <w:rPr>
          <w:i/>
          <w:iCs/>
        </w:rPr>
        <w:t>Sixth Circuit:</w:t>
      </w:r>
      <w:r w:rsidRPr="00AD2F44">
        <w:t xml:space="preserve"> Tyler v. Taco Bell Corp., 2016 WL 2344229, at *5 (W.D. Tenn. May 3, 2016) (denying nationwide conditional certification for assistant managers, and limiting certification to two stores where plaintiff worked, despite plaintiff’s evidence of nationwide classification and policies, because of lack of evidence about what duties allegedly similarly situated employees performed as well as defendant’s evidence from those additional stores contradicting plaintiff’s allegations about duties performed); Bearden v. AAA Auto Club S., Inc., 2013 WL 1181474, at *8 (W.D. Tenn. Mar. 18, 2013) (denying conditional certification where individualized issues regarding sales representatives existed, including evidence that some met exemption); Olivo v. GMAC Mortg. Co., 374 F. Supp. 2d 545 (E.D. Mich. 2004) (finding that because defendant apparently satisfied the outside sales exemption for employees in plaintiff’s job position, she failed to show a common policy or plan of misclassification).</w:t>
      </w:r>
    </w:p>
    <w:p w14:paraId="1CACD6B3" w14:textId="77777777" w:rsidR="004322B1" w:rsidRPr="00AD2F44" w:rsidRDefault="004322B1">
      <w:pPr>
        <w:pStyle w:val="14Footnote"/>
      </w:pPr>
      <w:r w:rsidRPr="00AD2F44">
        <w:rPr>
          <w:i/>
          <w:iCs/>
        </w:rPr>
        <w:t>Eighth Circuit:</w:t>
      </w:r>
      <w:r w:rsidRPr="00AD2F44">
        <w:t xml:space="preserve"> Sutton-Price v. Daugherty Sys., Inc., 2013 WL 3324364 (E.D. Mo. July 1, 2013) (denying plaintiff’s motion on the basis that plaintiff had sought certification over a diverse group of consulting and support employees with differing job responsibilities and titles); Smith v. Frac Tech Servs., Ltd., 2009 WL 4251017, at *7 (E.D. Ark. Nov. 24, 2009) (rejecting conditional certification for all salaried employees in exemption case, because different job duties would require too much individual examination of job duties, but certifying class as to one position because of sufficient evidence in form of nine affidavits from various locations attesting to similarity of job duties); King v. West Corp., 2006 WL 118577 (D. Neb. Jan. 12, 2006) (simple fact of classifying group of employees as exempt does not satisfy similarly situated requirement on its own); Freeman v. Wal-Mart Stores, Inc., 256 F. Supp. 2d 941, 945 (W.D. Ark. 2003) (“Adopting Plaintiff’s position would require us to conclude that if an employer has two or more non-officer, salaried employees who allegedly are not being paid overtime as required by the Act, then a collective action would be appropriate under 216(b).”).</w:t>
      </w:r>
    </w:p>
    <w:p w14:paraId="2DB557FC" w14:textId="77777777" w:rsidR="004322B1" w:rsidRPr="00AD2F44" w:rsidRDefault="004322B1">
      <w:pPr>
        <w:pStyle w:val="14Footnote"/>
      </w:pPr>
      <w:r w:rsidRPr="00AD2F44">
        <w:rPr>
          <w:i/>
          <w:iCs/>
        </w:rPr>
        <w:t>Ninth Circuit:</w:t>
      </w:r>
      <w:r w:rsidRPr="00AD2F44">
        <w:t xml:space="preserve"> Trinh v. JP Morgan Chase &amp; Co., 2008 WL 1860161, at *3–5 (S.D. Cal. Apr. 22, 2008).</w:t>
      </w:r>
    </w:p>
    <w:p w14:paraId="20FD38EA" w14:textId="77777777" w:rsidR="004322B1" w:rsidRPr="00AD2F44" w:rsidRDefault="004322B1">
      <w:pPr>
        <w:pStyle w:val="14Footnote"/>
      </w:pPr>
      <w:r w:rsidRPr="00AD2F44">
        <w:rPr>
          <w:i/>
          <w:iCs/>
        </w:rPr>
        <w:t>Eleventh Circuit:</w:t>
      </w:r>
      <w:r w:rsidRPr="00AD2F44">
        <w:t xml:space="preserve"> Butz v. Amware Distribution Warehouses of Ga., Inc., 2014 WL 1513172 (N.D. Ga. Apr. 16, 2014) (denying class certification where the two employees who brought the claim had worked distinct positions from the employees in the class they sought to represent); Holt v. Rite Aid Corp., 333 F. Supp. 2d 1265 (M.D. Ala. 2004) (fact of classifying managers as exempt was not sufficient to justify conditional certification).</w:t>
      </w:r>
    </w:p>
  </w:footnote>
  <w:footnote w:id="167">
    <w:p w14:paraId="2D7D1EBC" w14:textId="77777777" w:rsidR="004322B1" w:rsidRPr="00AD2F44" w:rsidRDefault="004322B1">
      <w:pPr>
        <w:pStyle w:val="14Footnote"/>
      </w:pPr>
      <w:r w:rsidRPr="00AD2F44">
        <w:rPr>
          <w:vertAlign w:val="superscript"/>
        </w:rPr>
        <w:footnoteRef/>
      </w:r>
      <w:r w:rsidRPr="00AD2F44">
        <w:t xml:space="preserve">2008 WL 1860161. </w:t>
      </w:r>
    </w:p>
  </w:footnote>
  <w:footnote w:id="168">
    <w:p w14:paraId="3410CED7" w14:textId="77777777" w:rsidR="004322B1" w:rsidRPr="00AD2F44" w:rsidRDefault="004322B1">
      <w:pPr>
        <w:pStyle w:val="14Footnote"/>
      </w:pPr>
      <w:r w:rsidRPr="00AD2F44">
        <w:rPr>
          <w:vertAlign w:val="superscript"/>
        </w:rPr>
        <w:footnoteRef/>
      </w:r>
      <w:r w:rsidRPr="00AD2F44">
        <w:rPr>
          <w:i/>
          <w:iCs/>
        </w:rPr>
        <w:t xml:space="preserve">Id. </w:t>
      </w:r>
      <w:r w:rsidRPr="00AD2F44">
        <w:t>at *4 (footnote omitted).</w:t>
      </w:r>
    </w:p>
  </w:footnote>
  <w:footnote w:id="169">
    <w:p w14:paraId="03DBDEF5"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70">
    <w:p w14:paraId="2505101B" w14:textId="77777777" w:rsidR="004322B1" w:rsidRPr="00AD2F44" w:rsidRDefault="004322B1">
      <w:pPr>
        <w:pStyle w:val="14Footnote"/>
      </w:pPr>
      <w:r w:rsidRPr="00AD2F44">
        <w:rPr>
          <w:vertAlign w:val="superscript"/>
        </w:rPr>
        <w:footnoteRef/>
      </w:r>
      <w:r w:rsidRPr="00AD2F44">
        <w:rPr>
          <w:i/>
        </w:rPr>
        <w:t>See, e.g.,</w:t>
      </w:r>
    </w:p>
    <w:p w14:paraId="4E47B100" w14:textId="77777777" w:rsidR="004322B1" w:rsidRPr="00AD2F44" w:rsidRDefault="004322B1">
      <w:pPr>
        <w:pStyle w:val="14Footnote"/>
      </w:pPr>
      <w:r w:rsidRPr="00AD2F44">
        <w:rPr>
          <w:i/>
          <w:iCs/>
        </w:rPr>
        <w:t xml:space="preserve">First Circuit: </w:t>
      </w:r>
      <w:r w:rsidRPr="00AD2F44">
        <w:t>Curtis v. Scholarship Storage, Inc., 2015 WL 1241365, at *4 (D. Me. Mar. 18, 2015) (granting conditional certification to shuttle drivers allegedly misclassified as independent contractors); Scovil v. FedEx Ground Package Sys., Inc., 811 F. Supp. 2d 516, 518 (D. Me. 2011) (granting initial notice for putative class of delivery drivers based on common policy of allegedly being misclassified as independent contractors; workers had similar job duties, were subject to common pay structure, and reported to FedEx managers).</w:t>
      </w:r>
    </w:p>
    <w:p w14:paraId="2F5E3AFF" w14:textId="77777777" w:rsidR="004322B1" w:rsidRPr="00AD2F44" w:rsidRDefault="004322B1">
      <w:pPr>
        <w:pStyle w:val="14Footnote"/>
      </w:pPr>
      <w:r w:rsidRPr="00AD2F44">
        <w:rPr>
          <w:i/>
          <w:iCs/>
        </w:rPr>
        <w:t>Second Circuit:</w:t>
      </w:r>
      <w:r w:rsidRPr="00AD2F44">
        <w:t xml:space="preserve"> Djurdjevich v. Flat Rater Movers, Ltd., 2018 WL 5919519 (S.D.N.Y. Nov. 13, 2018) (granting conditional certification for putative class of independent contractors based on plaintiff’s “modest factual showing” that putative class members were subject to a common policy that violated the law); Vasto v. Credico (USA) LLC, 2016 WL 2658172, at *12–14 (S.D.N.Y. May 5, 2016) (granting conditional certification to face-to-face marketing representatives of independent sales offices, given declaration and corporate document evidence of centralized control and uniform policy of pay and hours worked set by putative employer); Mark v. Gawker Media LLC, 2014 WL 4058417, at *4 (S.D.N.Y. Aug. 15, 2014) (collecting cases); D’Antuono v. C &amp; G of Groton, Inc., 2011 WL 5878045 (D. Conn. Nov. 23, 2011) (granting conditional certification for group of exotic dancers); </w:t>
      </w:r>
      <w:r w:rsidRPr="00AD2F44">
        <w:rPr>
          <w:i/>
          <w:iCs/>
        </w:rPr>
        <w:t>In re</w:t>
      </w:r>
      <w:r w:rsidRPr="00AD2F44">
        <w:t xml:space="preserve"> Penthouse Exec. Club Comp. Litig., 2010 WL 4340255, at *3 (S.D.N.Y. Oct. 27, 2010) (rejecting defendants’ argument that “certification is improper because the issue of whether [defendant] properly classified dancers as independent contractors will require an ‘individualized, fact intensive inquiry’ into the nature of each dancer’s relationship with [defendant]”).</w:t>
      </w:r>
    </w:p>
    <w:p w14:paraId="4D0A14FD" w14:textId="77777777" w:rsidR="004322B1" w:rsidRPr="00AD2F44" w:rsidRDefault="004322B1">
      <w:pPr>
        <w:pStyle w:val="14Footnote"/>
      </w:pPr>
      <w:r w:rsidRPr="00AD2F44">
        <w:rPr>
          <w:i/>
          <w:iCs/>
        </w:rPr>
        <w:t>Third Circuit:</w:t>
      </w:r>
      <w:r w:rsidRPr="00AD2F44">
        <w:t xml:space="preserve"> Sullivan-Blake v. FedEx Ground Package Sys., Inc., 2019 WL 4750141 (W.D. Pa. Sept. 30, 2019) (granting conditional certification of class of FedEx drivers who were employed through a third party based on a showing that employees were similarly situated); Hodzic v. FedEx Package Sys., Inc., 2016 WL 6248078 (W.D. Pa. Oct. 26, 2016) (granting in part conditional certification of class of FedEx drivers who alleged that they were misclassified as independent contractors, but denying nationwide class and instead limiting notice to drivers of one facility in Pennsylvania); Kim v. Dongbu Tour &amp; Travel, Inc., 2013 U.S. Dist. LEXIS 148549 (D.N.J. Oct. 16, 2013) (finding that the plaintiffs demonstrated the putative class was subject to the defendant’s uniform policy of misclassifying tour guides as independent contractors); Scott v. Bimbo Bakeries, USA, 2012 WL 645905, at *7–8 (E.D. Pa. Feb. 29, 2012) (granting conditional certification to nationwide putative class of delivery drivers, finding that plaintiffs had met their modest burden based on, among other things, evidence of similar job duties, similar business relationship with company, and similar distribution agreements that classified them and putative class members as independent contractors).</w:t>
      </w:r>
    </w:p>
    <w:p w14:paraId="16D40B46" w14:textId="77777777" w:rsidR="004322B1" w:rsidRPr="00AD2F44" w:rsidRDefault="004322B1">
      <w:pPr>
        <w:pStyle w:val="14Footnote"/>
      </w:pPr>
      <w:r w:rsidRPr="00AD2F44">
        <w:rPr>
          <w:i/>
          <w:iCs/>
        </w:rPr>
        <w:t>Fourth Circuit:</w:t>
      </w:r>
      <w:r w:rsidRPr="00AD2F44">
        <w:t xml:space="preserve"> Rehberg v. Flowers Foods, Inc., 2013 WL 1190290, at *2 (W.D.N.C. Mar. 22, 2013); Williams v. XE Servs., LLC, 2011 WL 52353, at *3 (E.D.N.C. Jan. 4, 2011).</w:t>
      </w:r>
    </w:p>
    <w:p w14:paraId="5FC13C58" w14:textId="77777777" w:rsidR="004322B1" w:rsidRPr="00AD2F44" w:rsidRDefault="004322B1">
      <w:pPr>
        <w:pStyle w:val="14Footnote"/>
      </w:pPr>
      <w:r w:rsidRPr="00AD2F44">
        <w:rPr>
          <w:i/>
          <w:iCs/>
        </w:rPr>
        <w:t>Fifth Circuit:</w:t>
      </w:r>
      <w:r w:rsidRPr="00AD2F44">
        <w:t xml:space="preserve"> Hobbs v. Cable Marketing &amp; Installation of Louisiana, Inc., 290 F. Supp. 3d 589 (E.D. La. 2018) (granting conditional certification of class of independent contractor technicians, finding that they were sufficiently similarly situated); Vaughn v. The Document Grp., Inc., 250 F. Supp. 3d 236 (S.D. Tex. 2017) (granting conditional certification of class of litigation support workers and declining to apply economic realities test in step one of conditional certification analysis); Richard v. Flower Foods, Inc., 222 F. Supp. 3d 516 (W.D. La. 2016) (granting conditional certification for class of allegedly misclassified “distributors” who delivered bakery products from defendant’s warehouses to retailers); Prejean v. O’Brien’s Response Mgmt., Inc., 2013 WL 5960674 (E.D. La. Nov. 6, 2013) (conditionally certifying case for oil spill response workers that had been considered independent contractors); White v. Integrated Elec. Section Techns., Inc., 2013 WL 2903070 (E.D. La. June 13, 2013) (relying on </w:t>
      </w:r>
      <w:r w:rsidRPr="00AD2F44">
        <w:rPr>
          <w:i/>
          <w:iCs/>
        </w:rPr>
        <w:t>Lang v. Directv, Inc.</w:t>
      </w:r>
      <w:r w:rsidRPr="00AD2F44">
        <w:t xml:space="preserve">, 2011 WL 6934607 (E.D. La. Dec. 30, 2011), and granting conditional certification of satellite television technicians classified as independent contractors); Heeg v. Adams Harris, Inc., 907 F. Supp. 2d 856 (S.D. Tex. 2012) (granting conditional certification to putative class of computer professionals—both independent contractors and employees—based on their being similarly situated); Walker v. Honghua Am., LLC, 870 F. Supp. 2d 462, 470–72 (S.D. Tex. 2012) (granting conditional certification to putative classes of crane operators and roughnecks/outriggers alleging misclassification as independent contractors, reasoning that evaluation of economic realities test at conditional certification stage was inappropriate (collecting cases reasoning both ways), but finding that each group of plaintiffs had shown based on evidence (“albeit minimal”) that they were sufficiently similarly situated with respect to each of the five factors under the economic realities test in that they performed similar work, all at defendant’s facility, and were not paid overtime).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334D37D" w14:textId="77777777" w:rsidR="004322B1" w:rsidRPr="00AD2F44" w:rsidRDefault="004322B1">
      <w:pPr>
        <w:pStyle w:val="14Footnote"/>
      </w:pPr>
      <w:r w:rsidRPr="00AD2F44">
        <w:rPr>
          <w:i/>
          <w:iCs/>
        </w:rPr>
        <w:t>Sixth Circuit:</w:t>
      </w:r>
      <w:r w:rsidRPr="00AD2F44">
        <w:t xml:space="preserve"> Hall v. U.S. Cargo &amp; Courier Serv., LLC, 299 F. Supp. 3d 888, 896 (S.D. Ohio 2018) (granting conditional certification using “modest plus” standard where discovery commenced (which required elevated factual showing) because delivery drivers who claimed to be misclassified as independent contractors were all required to comply with grooming and appearance standards, received routes directly from defendant, were paid according to miles and stops at rate determined by defendant, and signed same independent contractor agreement); Williams v. King Bee Delivery, LLC, 2017 WL 987452 (E.D. Ky. Mar. 14, 2017) (granting conditional certification of class of allegedly misclassified delivery drivers who delivered product to pharmacies and hospitals); Coats v. Nashville Limo Bus, LLC, 2011 WL 308403, at *2 (M.D. Tenn. Jan. 27, 2011) (conditionally certifying a class “consisting of all those similarly situated drivers who were improperly classified and treated as independent contractors for tax purposes and from whom Defendants withheld appropriate hourly and overtime wages”).</w:t>
      </w:r>
    </w:p>
    <w:p w14:paraId="6CA21BE1" w14:textId="77777777" w:rsidR="004322B1" w:rsidRPr="00AD2F44" w:rsidRDefault="004322B1">
      <w:pPr>
        <w:pStyle w:val="14Footnote"/>
      </w:pPr>
      <w:r w:rsidRPr="00AD2F44">
        <w:rPr>
          <w:i/>
          <w:iCs/>
        </w:rPr>
        <w:t>Seventh Circuit:</w:t>
      </w:r>
      <w:r w:rsidRPr="00AD2F44">
        <w:t xml:space="preserve"> Perez v. Comcast, 2011 WL 5979769, at *2 (N.D. Ill. Nov. 29, 2011).</w:t>
      </w:r>
    </w:p>
    <w:p w14:paraId="22146CCB" w14:textId="77777777" w:rsidR="004322B1" w:rsidRPr="00AD2F44" w:rsidRDefault="004322B1">
      <w:pPr>
        <w:pStyle w:val="14Footnote"/>
      </w:pPr>
      <w:r w:rsidRPr="00AD2F44">
        <w:rPr>
          <w:i/>
          <w:iCs/>
        </w:rPr>
        <w:t>Eighth Circuit:</w:t>
      </w:r>
      <w:r w:rsidRPr="00AD2F44">
        <w:t xml:space="preserve"> Edwards v. Multiband Corp., 2011 WL 117232 (D. Minn. Jan. 13, 2011) (granting conditional certification over class of cable installers); Putnam v. Galaxy 1 Mktg., Inc., 276 F.R.D. 264, 274 (S.D. Iowa 2011) (rejecting defendant’s argument that employees were subject to different management styles or policies because there was a common practice or policy in treating satellite installation technicians as independent contractors instead of employees).</w:t>
      </w:r>
    </w:p>
    <w:p w14:paraId="049E6A83" w14:textId="77777777" w:rsidR="004322B1" w:rsidRPr="00AD2F44" w:rsidRDefault="004322B1">
      <w:pPr>
        <w:pStyle w:val="14Footnote"/>
      </w:pPr>
      <w:r w:rsidRPr="00AD2F44">
        <w:rPr>
          <w:i/>
          <w:iCs/>
        </w:rPr>
        <w:t>Ninth Circuit:</w:t>
      </w:r>
      <w:r w:rsidRPr="00AD2F44">
        <w:t xml:space="preserve"> Flores v. Velocity Exp., Inc., 2013 WL 2468362, at *10 (N.D. Cal. June 7, 2013) (delivery drivers allegedly misclassified as independent contractors).</w:t>
      </w:r>
    </w:p>
    <w:p w14:paraId="4C68D0FF" w14:textId="77777777" w:rsidR="004322B1" w:rsidRPr="00AD2F44" w:rsidRDefault="004322B1">
      <w:pPr>
        <w:pStyle w:val="14Footnote"/>
      </w:pPr>
      <w:r w:rsidRPr="00AD2F44">
        <w:rPr>
          <w:i/>
          <w:iCs/>
        </w:rPr>
        <w:t>Tenth Circuit:</w:t>
      </w:r>
      <w:r w:rsidRPr="00AD2F44">
        <w:t xml:space="preserve"> Hose v. Henry Indus., Inc., 49 F. Supp. 3d 906, 918 (D. Kan. 2014), </w:t>
      </w:r>
      <w:r w:rsidRPr="00AD2F44">
        <w:rPr>
          <w:i/>
          <w:iCs/>
        </w:rPr>
        <w:t xml:space="preserve">order clarified sub nom. </w:t>
      </w:r>
      <w:r w:rsidRPr="00AD2F44">
        <w:t>Hose v. Henry Indus., 2014 WL 5510927 (D. Kan. Oct. 31, 2014).</w:t>
      </w:r>
    </w:p>
    <w:p w14:paraId="6C26A352" w14:textId="77777777" w:rsidR="004322B1" w:rsidRPr="00AD2F44" w:rsidRDefault="004322B1">
      <w:pPr>
        <w:pStyle w:val="14Footnote"/>
      </w:pPr>
      <w:r w:rsidRPr="00AD2F44">
        <w:rPr>
          <w:i/>
          <w:iCs/>
        </w:rPr>
        <w:t>Eleventh Circuit:</w:t>
      </w:r>
      <w:r w:rsidRPr="00AD2F44">
        <w:t xml:space="preserve"> Pena v. Handy Wash, Inc., 28 F. Supp. 3d 1289, 1298–99 (S.D. Fla. 2014) (granting conditional certification for class of allegedly misclassified paratransit drivers, considering five factors: that putative class worked in same geographic location, during same time period, were subject to same policy of being denied overtime and it was implemented in same way, and were all classified as independent contractors); Whitaker v. Kablelink Commc’ns, LLC, 2013 WL 5919351, at *1 (M.D. Fla. Nov. 4, 2013) (cable installers granted conditional certification based on common allegation they were misclassified as independent contractors); Stevenson v. Great Am. Dream, 2013 WL 4217128 (N.D. Ga. Aug. 14, 2013) (granting conditional certification to group of adult entertainers); Bobbitt v. Broadband Interactive, Inc., 2012 WL 1898636, at *3–5 (M.D. Fla. May 23, 2012) (granting conditional certification to putative collective of cable technicians, finding persuasive cases that permitted conditional certification in challenges to employee status by workers classified as independent contractors, and finding sufficient evidence of similar job duties and similar pay provisions—50–60 hours of work and no overtime, and piece-rate payments that excluded unsuccessful stops at customer houses—to warrant notice).</w:t>
      </w:r>
    </w:p>
    <w:p w14:paraId="21547514" w14:textId="77777777" w:rsidR="004322B1" w:rsidRPr="00AD2F44" w:rsidRDefault="004322B1">
      <w:pPr>
        <w:pStyle w:val="14Footnote"/>
      </w:pPr>
      <w:r w:rsidRPr="00AD2F44">
        <w:rPr>
          <w:i/>
          <w:iCs/>
        </w:rPr>
        <w:t>D.C. Circuit:</w:t>
      </w:r>
      <w:r w:rsidRPr="00AD2F44">
        <w:t xml:space="preserve"> Douglas v. Chariots for Hire, 918 F. Supp. 2d 24 (D.D.C. 2013) (conditionally certifying collective of limousine drivers who were treated as independent contractors).</w:t>
      </w:r>
    </w:p>
  </w:footnote>
  <w:footnote w:id="171">
    <w:p w14:paraId="401C5682"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9A61BF">
        <w:t xml:space="preserve">Eltahir v. Nomi Health, Inc., </w:t>
      </w:r>
      <w:r w:rsidRPr="00E95FCB">
        <w:t>2022 BL 468162</w:t>
      </w:r>
      <w:r>
        <w:t xml:space="preserve">, </w:t>
      </w:r>
      <w:r w:rsidRPr="009A61BF">
        <w:t>2022 WL 17987170, at *7 (S.D. Fla. Sept. 12, 2022)</w:t>
      </w:r>
      <w:r>
        <w:t xml:space="preserve"> (denying conditional certification due to lack of evidence employees were similarly situated as to the multi-factor economic realities test); </w:t>
      </w:r>
      <w:r w:rsidRPr="00AD2F44">
        <w:t>Andel v. Patterson-UTI Drilling Co., 280 F.R.D. 287, 290 (S.D. Tex. 2012) (rejecting conditional certification because evaluation of independent contractor status would require individualized inquiries; employer’s classification is insufficient where “proof to demonstrate” whether classification was proper “can[not] be applied to the class as a whole”).</w:t>
      </w:r>
    </w:p>
  </w:footnote>
  <w:footnote w:id="172">
    <w:p w14:paraId="1A2F95B1" w14:textId="77777777" w:rsidR="004322B1" w:rsidRPr="00AD2F44" w:rsidRDefault="004322B1">
      <w:pPr>
        <w:pStyle w:val="14Footnote"/>
      </w:pPr>
      <w:r w:rsidRPr="00AD2F44">
        <w:rPr>
          <w:vertAlign w:val="superscript"/>
        </w:rPr>
        <w:footnoteRef/>
      </w:r>
      <w:r w:rsidRPr="00AD2F44">
        <w:rPr>
          <w:i/>
        </w:rPr>
        <w:t>See, e.g.,</w:t>
      </w:r>
    </w:p>
    <w:p w14:paraId="2E8E6053" w14:textId="77777777" w:rsidR="004322B1" w:rsidRPr="00AD2F44" w:rsidRDefault="004322B1">
      <w:pPr>
        <w:pStyle w:val="14Footnote"/>
      </w:pPr>
      <w:r w:rsidRPr="00AD2F44">
        <w:rPr>
          <w:i/>
          <w:iCs/>
        </w:rPr>
        <w:t>Second Circuit:</w:t>
      </w:r>
      <w:r w:rsidRPr="00AD2F44">
        <w:t xml:space="preserve"> Guttentag v. Ruby Tuesdays, Inc., 2013 WL 2602521 (S.D.N.Y. June 11, 2013) (conditional certification granted when plaintiffs alleged defendant maintained uniform policies, such as a prohibition against overtime, which forced its employees to work before and after their recorded shifts without compensation).</w:t>
      </w:r>
    </w:p>
    <w:p w14:paraId="27120C66" w14:textId="77777777" w:rsidR="004322B1" w:rsidRPr="00AD2F44" w:rsidRDefault="004322B1">
      <w:pPr>
        <w:pStyle w:val="14Footnote"/>
      </w:pPr>
      <w:r w:rsidRPr="00AD2F44">
        <w:rPr>
          <w:i/>
          <w:iCs/>
        </w:rPr>
        <w:t xml:space="preserve">Third Circuit: </w:t>
      </w:r>
      <w:r w:rsidRPr="00AD2F44">
        <w:t>Bruno v. Wells Fargo Bank, 2021 BL 91043, 2021 WL 964938, at *4</w:t>
      </w:r>
      <w:r w:rsidRPr="00AD2F44">
        <w:rPr>
          <w:b/>
          <w:bCs/>
        </w:rPr>
        <w:t xml:space="preserve"> </w:t>
      </w:r>
      <w:r w:rsidRPr="00AD2F44">
        <w:t>(W.D. Pa. Mar. 15, 2021) (granting conditional certification in home mortgage consultants’ off-the-clock case, declining to consider defendant’s evidence that would make court “weigh evidence and resolve factual disputes” where plaintiffs provided sufficient declaration evidence of nationwide common practice to meet its “modest factual showing” burden); Piersall-Dineen v. Freedom Mortg. Corp., 27 F. Supp. 3d 567 (D.N.J. 2014) (granting conditional certification based on nine declarations that showed similar duties, assignment of large workload with discipline for failing to complete assignments, and instruction by supervisors to not report all hours worked).</w:t>
      </w:r>
    </w:p>
    <w:p w14:paraId="7A725A07" w14:textId="77777777" w:rsidR="004322B1" w:rsidRPr="00AD2F44" w:rsidRDefault="004322B1">
      <w:pPr>
        <w:pStyle w:val="14Footnote"/>
      </w:pPr>
      <w:r w:rsidRPr="00AD2F44">
        <w:rPr>
          <w:i/>
          <w:iCs/>
        </w:rPr>
        <w:t xml:space="preserve">Fourth Circuit: </w:t>
      </w:r>
      <w:r w:rsidRPr="00AD2F44">
        <w:t>Danford v. Lowe’s Home Ctrs., LLC, 2019 WL 4874823, at *6–7 (W.D.N.C. Oct. 2, 2019) (granting conditional certification in off-the-clock case where plaintiffs alleged that defendant’s systematic use of same timekeeping system, virtually identical job descriptions, and substantial similarity in job responsibilities as set forth in job postings); Reynolds v. Wyndham Vacation Resorts, Inc., 2015 WL 8042021, at *4 (D.S.C. Dec. 4, 2015) (conditionally certifying class, using decertification standard, based on evidence that there was common policy of employees working off the clock, even if theories behind individual plaintiffs’ claims varied); Desmond v. Alliance, Inc., 2015 WL 2165115 (D. Md. May 7, 2015) (certifying Maryland collective action where declarations of six individuals asserted that they were overworked due to understaffing and that not allowing proper overtime reporting had been discussed at companywide meetings).</w:t>
      </w:r>
    </w:p>
    <w:p w14:paraId="0FF4A87F" w14:textId="77777777" w:rsidR="004322B1" w:rsidRPr="00AD2F44" w:rsidRDefault="004322B1">
      <w:pPr>
        <w:pStyle w:val="14Footnote"/>
      </w:pPr>
      <w:r w:rsidRPr="00AD2F44">
        <w:rPr>
          <w:i/>
          <w:iCs/>
        </w:rPr>
        <w:t>Fifth Circuit:</w:t>
      </w:r>
      <w:r w:rsidRPr="00AD2F44">
        <w:t xml:space="preserve"> Loy v. Rehab Synergies, LLC, 366 F. Supp. 3d 847 (S.D. Tex. 2019) (granting conditional certification based on plaintiff’s claim that production standards required substantial off-the-clock work, noting that at stage one, plaintiff need not provide evidence that off-the-clock work was occurring for the entire collective, but instead simply that other employees were subject to the same productivity requirements); Lay v. Gold’s Gym Int’l, Inc., 2013 WL 5595956 (W.D. Tex. Oct. 4, 2013) (noting that the national gym chain had written policies prohibiting off-the-clock work, the court found sufficient evidence of a de facto policy among San Antonio-area gyms that encouraged off-the-clock work to grant conditional certification).</w:t>
      </w:r>
      <w:r w:rsidRPr="00AE59F9">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37F0BD9E" w14:textId="77777777" w:rsidR="004322B1" w:rsidRPr="00AD2F44" w:rsidRDefault="004322B1">
      <w:pPr>
        <w:pStyle w:val="14Footnote"/>
      </w:pPr>
      <w:r w:rsidRPr="00AD2F44">
        <w:rPr>
          <w:i/>
          <w:iCs/>
        </w:rPr>
        <w:t>Sixth Circuit</w:t>
      </w:r>
      <w:r w:rsidRPr="00AD2F44">
        <w:t xml:space="preserve">: Comer v. Wal-Mart Stores, Inc., 454 F.3d 544, 546–47 (6th Cir. 2006) (conditional certification appropriate where plaintiffs subject to a common policy); Foster v. Sitel Operating Corp., 2020 WL 1640427, at *5–6 (M.D. Tenn. Apr. 2, 2020) (certifying class of call center workers that provided 25 declarations, including two from supervisors, and alleged there was companywide unwritten policy that employees performed work to get “call ready” while off the clock). </w:t>
      </w:r>
    </w:p>
    <w:p w14:paraId="29A73A0E" w14:textId="77777777" w:rsidR="004322B1" w:rsidRPr="00AD2F44" w:rsidRDefault="004322B1">
      <w:pPr>
        <w:pStyle w:val="14Footnote"/>
      </w:pPr>
      <w:r w:rsidRPr="00AD2F44">
        <w:rPr>
          <w:i/>
          <w:iCs/>
        </w:rPr>
        <w:t>Seventh Circuit:</w:t>
      </w:r>
      <w:r w:rsidRPr="00AD2F44">
        <w:t xml:space="preserve"> Bitner v. Wyndham Vacation Resorts, Inc., 301 F.R.D. 354 (W.D. Wis. 2014) (granting conditional certification of Wisconsin workers where employees demonstrated they were instructed by multiple supervisors to report only 40 hours or to clock out and keep working); Campbell v. Advantage Sales &amp; Mktg., LLC, 2010 WL 3326752, at *5 (S.D. Ind. Aug. 24, 2010) (granting conditional certification where plaintiffs presented evidence they were subject to policy of denying overtime compensation, but limiting class to employees who reported time on one of three timekeeping systems, because plaintiffs alleged as part of their evidence that managers made downward adjustments to time, and only one of three timekeeping systems allowed for such manual adjustments).</w:t>
      </w:r>
    </w:p>
    <w:p w14:paraId="0F6AF4E5" w14:textId="77777777" w:rsidR="004322B1" w:rsidRPr="00AD2F44" w:rsidRDefault="004322B1">
      <w:pPr>
        <w:pStyle w:val="14Footnote"/>
      </w:pPr>
      <w:r w:rsidRPr="00AD2F44">
        <w:rPr>
          <w:i/>
          <w:iCs/>
        </w:rPr>
        <w:t>Eighth Circuit:</w:t>
      </w:r>
      <w:r w:rsidRPr="00AD2F44">
        <w:t xml:space="preserve"> Schmaltz v. O’Reilly Auto. Stores, Inc., 2013 WL 943752 (E.D. Mo. Mar. 11, 2013) (granting conditional certification where company maintained policy and practice of altering time records); Nobles v. State Farm Mut. Auto. Ins. Co., 2011 WL 3794021, at *9 (W.D. Mo. Aug. 25, 2011) (granting conditional certification where allegation was that company’s written policy paid putative class members based on standard of 38.75 hours plus scheduled overtime, without regard to hours worked, and there was record evidence of policies and log on/log off data suggesting additional work).</w:t>
      </w:r>
    </w:p>
    <w:p w14:paraId="1541A573" w14:textId="77777777" w:rsidR="004322B1" w:rsidRPr="00AD2F44" w:rsidRDefault="004322B1">
      <w:pPr>
        <w:pStyle w:val="14Footnote"/>
      </w:pPr>
      <w:r w:rsidRPr="00AD2F44">
        <w:rPr>
          <w:i/>
          <w:iCs/>
        </w:rPr>
        <w:t>Ninth Circuit:</w:t>
      </w:r>
      <w:r w:rsidRPr="00AD2F44">
        <w:t xml:space="preserve"> Alvarez v. Farmers Ins. Exch., 2014 WL 4685031 (N.D. Cal. Sept. 19, 2014) (conditional certification of all-California class granted based on declarations from nine individuals at five locations where declarations asserted that high-volume workload caused them to work overtime without pay); Adams v. Inter-Con Sec. Sys., Inc., 242 F.R.D. 530, 537 (N.D. Cal. 2007) (rejecting that off-the-clock cases are inappropriate for collective treatment and granting conditional certification of class of security guards); Goudie v. Cable Commc’ns, Inc., 2008 WL 4628394 (D. Or. Oct. 14, 2008) (granting conditional certification where there were no declarations provided, but the complaint contained detailed allegations and plaintiffs provided deposition testimony from defendant’s employees demonstrating similarity among the potential class members).</w:t>
      </w:r>
    </w:p>
    <w:p w14:paraId="1274DF5B" w14:textId="77777777" w:rsidR="004322B1" w:rsidRPr="00AD2F44" w:rsidRDefault="004322B1">
      <w:pPr>
        <w:pStyle w:val="14Footnote"/>
      </w:pPr>
      <w:r w:rsidRPr="00AD2F44">
        <w:rPr>
          <w:i/>
          <w:iCs/>
        </w:rPr>
        <w:t>Tenth Circuit:</w:t>
      </w:r>
      <w:r w:rsidRPr="00AD2F44">
        <w:t xml:space="preserve"> Thiessen v. General Elec. Capital Corp., 267 F.3d 1095, 1102 (10th Cir. 2001) (at the notice stage, “a court require[s] nothing more than substantial allegations that the putative class members were together the victims of a single decision, policy, or plan” (quotation marks and citation omitted)); </w:t>
      </w:r>
      <w:r w:rsidRPr="00AD2F44">
        <w:rPr>
          <w:i/>
          <w:iCs/>
        </w:rPr>
        <w:t>In re</w:t>
      </w:r>
      <w:r w:rsidRPr="00AD2F44">
        <w:t xml:space="preserve"> Bank of Am. Wage &amp; Hour Emp. Litig., 286 F.R.D. 572, 586 (D. Kan. 2012) (granting conditional certification where plaintiffs provided substantial allegations that defendant maintained unofficial policy of requiring off-the-clock work across locations and divisions).</w:t>
      </w:r>
    </w:p>
    <w:p w14:paraId="28A970D7" w14:textId="77777777" w:rsidR="004322B1" w:rsidRPr="00AD2F44" w:rsidRDefault="004322B1">
      <w:pPr>
        <w:pStyle w:val="14Footnote"/>
      </w:pPr>
      <w:r w:rsidRPr="00AD2F44">
        <w:rPr>
          <w:i/>
          <w:iCs/>
        </w:rPr>
        <w:t>Eleventh Circuit:</w:t>
      </w:r>
      <w:r w:rsidRPr="00AD2F44">
        <w:t xml:space="preserve"> Devries v. Morgan Stanley &amp; Co., 2014 WL 505157, at *3 (S.D. Fla. Feb. 7, 2014) (applying a “more searching standard of review,” and rejecting defendant’s claims that its policy requiring all employees to accurately record hours prevented certification).</w:t>
      </w:r>
    </w:p>
  </w:footnote>
  <w:footnote w:id="173">
    <w:p w14:paraId="075AA63A" w14:textId="77777777" w:rsidR="004322B1" w:rsidRPr="00AD2F44" w:rsidRDefault="004322B1">
      <w:pPr>
        <w:pStyle w:val="14Footnote"/>
      </w:pPr>
      <w:r w:rsidRPr="00AD2F44">
        <w:rPr>
          <w:vertAlign w:val="superscript"/>
        </w:rPr>
        <w:footnoteRef/>
      </w:r>
      <w:r w:rsidRPr="00AD2F44">
        <w:rPr>
          <w:i/>
        </w:rPr>
        <w:t>See, e.g.,</w:t>
      </w:r>
    </w:p>
    <w:p w14:paraId="3BA7A270" w14:textId="77777777" w:rsidR="004322B1" w:rsidRPr="00AD2F44" w:rsidRDefault="004322B1">
      <w:pPr>
        <w:pStyle w:val="14Footnote"/>
      </w:pPr>
      <w:r w:rsidRPr="00AD2F44">
        <w:rPr>
          <w:i/>
          <w:iCs/>
        </w:rPr>
        <w:t xml:space="preserve">Second Circuit: </w:t>
      </w:r>
      <w:r w:rsidRPr="00AD2F44">
        <w:t>Hamadou v. Hess, 915 F. Supp. 2d 651, 664–66 (S.D.N.Y. 2013) (denying statewide certification of issues by limiting class to off-the-clock issues of modification of time cards and “managerial laxity” at two divisions where plaintiffs worked); Prizmic v. Armour Inc., 2006 WL 166216 (E.D.N.Y. June 12, 2006) (denying conditional certification where the complaint contained only general allegations and plaintiff submitted no declarations or any other evidence demonstrating he and the other potential class members were victims of a common policy or plan).</w:t>
      </w:r>
    </w:p>
    <w:p w14:paraId="290F7257" w14:textId="77777777" w:rsidR="004322B1" w:rsidRDefault="004322B1">
      <w:pPr>
        <w:pStyle w:val="14Footnote"/>
      </w:pPr>
      <w:r w:rsidRPr="00AD2F44">
        <w:rPr>
          <w:i/>
          <w:iCs/>
        </w:rPr>
        <w:t xml:space="preserve">Third Circuit: </w:t>
      </w:r>
      <w:r w:rsidRPr="00AD2F44">
        <w:t>Kronick v. Bebe Stores, Inc., 2008 WL 4546368, at *2 (D.N.J. Oct. 2, 2008) (denying conditional certification under “modest factual showing” standard where plaintiffs’ three affidavits were general, vague, conclusory, and speculative about alleged time shaving, thus failing to establish nexus between their circumstances and putative class).</w:t>
      </w:r>
    </w:p>
    <w:p w14:paraId="50A22A4D" w14:textId="77777777" w:rsidR="004322B1" w:rsidRPr="00AE57A6" w:rsidRDefault="004322B1">
      <w:pPr>
        <w:pStyle w:val="14Footnote"/>
      </w:pPr>
      <w:r>
        <w:rPr>
          <w:i/>
          <w:iCs/>
        </w:rPr>
        <w:t xml:space="preserve">Fourth Circuit: </w:t>
      </w:r>
      <w:r w:rsidRPr="00AE57A6">
        <w:t xml:space="preserve">Hughes v. NVR, Inc., </w:t>
      </w:r>
      <w:r w:rsidRPr="00C47855">
        <w:t>2022 BL 351411</w:t>
      </w:r>
      <w:r>
        <w:t xml:space="preserve">, </w:t>
      </w:r>
      <w:r w:rsidRPr="00AE57A6">
        <w:t>2022 WL 4856197, at *6 (E.D. Va. Sept. 30, 2022)</w:t>
      </w:r>
      <w:r>
        <w:t xml:space="preserve"> (denying conditional certification where plaintiffs failed to show defendant </w:t>
      </w:r>
      <w:r w:rsidRPr="00AE57A6">
        <w:t>consistent</w:t>
      </w:r>
      <w:r>
        <w:t xml:space="preserve">ly applied an unwritten policy of requiring off the clock work). </w:t>
      </w:r>
    </w:p>
    <w:p w14:paraId="783DBCBD" w14:textId="77777777" w:rsidR="004322B1" w:rsidRPr="00AD2F44" w:rsidRDefault="004322B1">
      <w:pPr>
        <w:pStyle w:val="14Footnote"/>
      </w:pPr>
      <w:r w:rsidRPr="00AD2F44">
        <w:rPr>
          <w:i/>
          <w:iCs/>
        </w:rPr>
        <w:t>Ninth Circuit:</w:t>
      </w:r>
      <w:r w:rsidRPr="00AD2F44">
        <w:t xml:space="preserve"> Velasquez v. HSBC Fin. Corp., 266 F.R.D. 424 (N.D. Cal. 2010) (denying conditional certification of off-the-clock claims for 10,000 employees, reasoning that evidence from 11 plaintiffs showed at most individual violations of FLSA, but did not suggest a companywide policy, given that testimony showed no more than one dozen instances of off-the-clock work, and sometimes for purposes of achieving better bonuses rather than due to strict sales quotas; management bonus incentives were too attenuated to control of overtime to suggest policy of making employees work off the clock driven by management bonus achievement).</w:t>
      </w:r>
    </w:p>
    <w:p w14:paraId="737E86A8" w14:textId="77777777" w:rsidR="004322B1" w:rsidRPr="00AD2F44" w:rsidRDefault="004322B1">
      <w:pPr>
        <w:pStyle w:val="14Footnote"/>
      </w:pPr>
      <w:r w:rsidRPr="00AD2F44">
        <w:rPr>
          <w:i/>
          <w:iCs/>
        </w:rPr>
        <w:t xml:space="preserve">Tenth Circuit: </w:t>
      </w:r>
      <w:r w:rsidRPr="00AD2F44">
        <w:t>Avendano v. Averus, Inc., 2015 WL 1529354 (D. Colo. Mar. 31, 2015) (companywide certification denied where want ads from other locations demonstrated similar duties but not whether individuals worked more than 40 hours or whether company had practice beyond Denver location to not pay for overtime work).</w:t>
      </w:r>
    </w:p>
    <w:p w14:paraId="5800DFBA" w14:textId="77777777" w:rsidR="004322B1" w:rsidRPr="00AD2F44" w:rsidRDefault="004322B1">
      <w:pPr>
        <w:pStyle w:val="14Footnote"/>
      </w:pPr>
      <w:r w:rsidRPr="00AD2F44">
        <w:rPr>
          <w:i/>
          <w:iCs/>
        </w:rPr>
        <w:t xml:space="preserve">Eleventh Circuit: </w:t>
      </w:r>
      <w:r w:rsidRPr="00AD2F44">
        <w:t>Thedford v. Drive In of Evansville, Inc., 2014 WL 5520954 (N.D. Ala. Oct. 31, 2014) (denying conditional certification under heightened standard where plaintiffs failed to identify specific instances of off-the-clock work and where declarations from other employees showed that they were properly compensated).</w:t>
      </w:r>
    </w:p>
  </w:footnote>
  <w:footnote w:id="174">
    <w:p w14:paraId="3493D6C9" w14:textId="77777777" w:rsidR="004322B1" w:rsidRPr="00AD2F44" w:rsidRDefault="004322B1">
      <w:pPr>
        <w:pStyle w:val="14Footnote"/>
      </w:pPr>
      <w:r w:rsidRPr="00AD2F44">
        <w:rPr>
          <w:vertAlign w:val="superscript"/>
        </w:rPr>
        <w:footnoteRef/>
      </w:r>
      <w:r w:rsidRPr="00AD2F44">
        <w:t xml:space="preserve">374 F. Supp. 2d 196 (D.D.C. 2005). </w:t>
      </w:r>
    </w:p>
  </w:footnote>
  <w:footnote w:id="175">
    <w:p w14:paraId="26A3AC4C"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201 (plaintiffs claimed that they were required to work overtime hours for which they were not compensated); </w:t>
      </w:r>
      <w:r w:rsidRPr="00AD2F44">
        <w:rPr>
          <w:i/>
          <w:iCs/>
        </w:rPr>
        <w:t>see also</w:t>
      </w:r>
      <w:r w:rsidRPr="00AD2F44">
        <w:t xml:space="preserve"> Dietrich v. Liberty Square, LLC, 230 F.R.D. 574 (N.D. Iowa 2005) (indicating defendant raised valid concerns that the named plaintiffs were not similarly situated and that individual assessment was required because the nature of employees’ job duties was at issue, and the existence of disparate individual defense, but determining the consideration of those issues was more appropriate for the decertification stage).</w:t>
      </w:r>
    </w:p>
  </w:footnote>
  <w:footnote w:id="176">
    <w:p w14:paraId="701599D3" w14:textId="77777777" w:rsidR="004322B1" w:rsidRPr="00AD2F44" w:rsidRDefault="004322B1">
      <w:pPr>
        <w:pStyle w:val="14Footnote"/>
      </w:pPr>
      <w:r w:rsidRPr="00AD2F44">
        <w:rPr>
          <w:vertAlign w:val="superscript"/>
        </w:rPr>
        <w:footnoteRef/>
      </w:r>
      <w:r w:rsidRPr="00AD2F44">
        <w:rPr>
          <w:i/>
        </w:rPr>
        <w:t xml:space="preserve">See, e.g., </w:t>
      </w:r>
    </w:p>
    <w:p w14:paraId="07BB3907" w14:textId="77777777" w:rsidR="004322B1" w:rsidRPr="00AD2F44" w:rsidRDefault="004322B1">
      <w:pPr>
        <w:pStyle w:val="14Footnote"/>
      </w:pPr>
      <w:r w:rsidRPr="00AD2F44">
        <w:rPr>
          <w:i/>
          <w:iCs/>
        </w:rPr>
        <w:t>Second Circuit:</w:t>
      </w:r>
      <w:r w:rsidRPr="00AD2F44">
        <w:t xml:space="preserve"> Brickey v. Dolgencorp, Inc., 272 F.R.D. 344, 347–48 (W.D.N.Y. 2011) (rejecting conditional certification because plaintiffs did not make modest factual showing of unlawful policy or practice; refusing to hold that “facially lawful policies” that encourage effective employee time management and indirectly encourage minimization of overtime can support conditional certification absent evidence that employer “intended, compelled or condoned unlawful consequences” that flowed directly from policy).</w:t>
      </w:r>
    </w:p>
    <w:p w14:paraId="3487814F" w14:textId="77777777" w:rsidR="004322B1" w:rsidRPr="00AD2F44" w:rsidRDefault="004322B1">
      <w:pPr>
        <w:pStyle w:val="14Footnote"/>
      </w:pPr>
      <w:r w:rsidRPr="00AD2F44">
        <w:rPr>
          <w:i/>
          <w:iCs/>
        </w:rPr>
        <w:t>Eighth Circuit:</w:t>
      </w:r>
      <w:r w:rsidRPr="00AD2F44">
        <w:t xml:space="preserve"> West v. Border Foods, Inc., 2006 WL 1892527, at *9 (D. Minn. 2006) (denying conditional certification where plaintiffs were responsible for punching themselves in and out, and the company’s official policy required compensation for all working time).</w:t>
      </w:r>
    </w:p>
    <w:p w14:paraId="4D787D47" w14:textId="77777777" w:rsidR="004322B1" w:rsidRPr="00AD2F44" w:rsidRDefault="004322B1">
      <w:pPr>
        <w:pStyle w:val="14Footnote"/>
      </w:pPr>
      <w:r w:rsidRPr="00AD2F44">
        <w:rPr>
          <w:i/>
          <w:iCs/>
        </w:rPr>
        <w:t>Ninth Circuit:</w:t>
      </w:r>
      <w:r w:rsidRPr="00AD2F44">
        <w:t xml:space="preserve"> Castle v. Wells Fargo Fin., Inc., 2008 WL 495705 (N.D. Cal. Feb. 20, 2008) (existence of official written policy supports denial of motion for conditional certification).</w:t>
      </w:r>
    </w:p>
  </w:footnote>
  <w:footnote w:id="177">
    <w:p w14:paraId="226AF4DF" w14:textId="77777777" w:rsidR="004322B1" w:rsidRDefault="004322B1">
      <w:pPr>
        <w:pStyle w:val="14Footnote"/>
      </w:pPr>
      <w:r w:rsidRPr="00AD2F44">
        <w:rPr>
          <w:vertAlign w:val="superscript"/>
        </w:rPr>
        <w:footnoteRef/>
      </w:r>
      <w:r w:rsidRPr="00AD2F44">
        <w:rPr>
          <w:i/>
          <w:iCs/>
        </w:rPr>
        <w:t>See, e.g.,</w:t>
      </w:r>
      <w:r w:rsidRPr="00AD2F44">
        <w:t xml:space="preserve"> </w:t>
      </w:r>
    </w:p>
    <w:p w14:paraId="7C40CDF3" w14:textId="77777777" w:rsidR="004322B1" w:rsidRDefault="004322B1">
      <w:pPr>
        <w:pStyle w:val="14Footnote"/>
      </w:pPr>
      <w:r>
        <w:rPr>
          <w:i/>
          <w:iCs/>
        </w:rPr>
        <w:t xml:space="preserve">Fourth Circuit: </w:t>
      </w:r>
      <w:r w:rsidRPr="00AD2F44">
        <w:rPr>
          <w:i/>
          <w:iCs/>
        </w:rPr>
        <w:t>Reynolds</w:t>
      </w:r>
      <w:r w:rsidRPr="00AD2F44">
        <w:t xml:space="preserve">, 2015 WL 8042021, at *4–5 (granting conditional certification in off-the-clock case despite existence of policy prohibiting off-the-clock work, given declaration evidence of practice of violating that policy); </w:t>
      </w:r>
    </w:p>
    <w:p w14:paraId="5D29D34B" w14:textId="77777777" w:rsidR="004322B1" w:rsidRDefault="004322B1">
      <w:pPr>
        <w:pStyle w:val="14Footnote"/>
        <w:rPr>
          <w:b/>
          <w:bCs/>
        </w:rPr>
      </w:pPr>
      <w:r>
        <w:rPr>
          <w:i/>
          <w:iCs/>
        </w:rPr>
        <w:t xml:space="preserve">Fifth Circuit: </w:t>
      </w:r>
      <w:r w:rsidRPr="00AD2F44">
        <w:t xml:space="preserve">Griffith v. Wells Fargo Bank, N.A., 2012 WL 3985093, at *2 (S.D. Tex. Sept. 12, 2012) (denying certification because putative class members were not similarly situated where defendant’s timekeeping software did not prohibit loan processors from recording all hours worked and bank policy required employees to record all hours worked);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89BD35E" w14:textId="77777777" w:rsidR="004322B1" w:rsidRDefault="004322B1">
      <w:pPr>
        <w:pStyle w:val="14Footnote"/>
      </w:pPr>
      <w:r>
        <w:rPr>
          <w:i/>
          <w:iCs/>
        </w:rPr>
        <w:t xml:space="preserve">Eighth Circuit: </w:t>
      </w:r>
      <w:r w:rsidRPr="00AD2F44">
        <w:t xml:space="preserve">Thompson v. Speedway Superamerica LLC, 2009 WL 130069, at *2 (D. Minn. Jan. 20, 2009) (denying conditional certification of claim for failure to pay for time spent on certain tasks where corporate policy required payment for all time worked and evidence of violations for 8,000 putative class members consisted of only “handful” of incidents). </w:t>
      </w:r>
    </w:p>
    <w:p w14:paraId="7D087EEF" w14:textId="77777777" w:rsidR="004322B1" w:rsidRDefault="004322B1">
      <w:pPr>
        <w:pStyle w:val="14Footnote"/>
      </w:pPr>
      <w:r w:rsidRPr="002E55FE">
        <w:rPr>
          <w:i/>
          <w:iCs/>
        </w:rPr>
        <w:t>But see</w:t>
      </w:r>
      <w:r w:rsidRPr="00AD2F44">
        <w:t xml:space="preserve"> </w:t>
      </w:r>
    </w:p>
    <w:p w14:paraId="49FA8318" w14:textId="77777777" w:rsidR="004322B1" w:rsidRPr="00AD2F44" w:rsidRDefault="004322B1">
      <w:pPr>
        <w:pStyle w:val="14Footnote"/>
      </w:pPr>
      <w:r>
        <w:rPr>
          <w:i/>
          <w:iCs/>
        </w:rPr>
        <w:t xml:space="preserve">Third Circuit: </w:t>
      </w:r>
      <w:r w:rsidRPr="00AD2F44">
        <w:t xml:space="preserve">Piersall-Dineen v. Freedom Mortg. Corp., 27 F. Supp. 3d 567 (D.N.J. 2014) (finding consideration of policy requiring accurate reporting of time was premature at initial conditional certification stage); </w:t>
      </w:r>
      <w:r w:rsidRPr="00AD2F44">
        <w:rPr>
          <w:i/>
          <w:iCs/>
        </w:rPr>
        <w:t>Bitner</w:t>
      </w:r>
      <w:r w:rsidRPr="00AD2F44">
        <w:t>, 301 F.R.D. at 360 (finding that rules against unreported overtime are not defense to certification and, where managers allegedly require unreported overtime, such policies are policies “in name only”); Pereira v. Foot Locker, Inc., 261 F.R.D. 60, 67 (E.D. Pa. 2009) (discounting defendant’s policy prohibiting off-the-clock work at initial notice stage, and conditionally certifying nationwide collective action).</w:t>
      </w:r>
    </w:p>
  </w:footnote>
  <w:footnote w:id="178">
    <w:p w14:paraId="2A841BB1" w14:textId="77777777" w:rsidR="004322B1" w:rsidRPr="00AD2F44" w:rsidRDefault="004322B1">
      <w:pPr>
        <w:pStyle w:val="14Footnote"/>
      </w:pPr>
      <w:r w:rsidRPr="00AD2F44">
        <w:rPr>
          <w:vertAlign w:val="superscript"/>
        </w:rPr>
        <w:footnoteRef/>
      </w:r>
      <w:r w:rsidRPr="00AD2F44">
        <w:t>146 F. Supp. 3d 552 (S.D.N.Y. 2015).</w:t>
      </w:r>
    </w:p>
  </w:footnote>
  <w:footnote w:id="179">
    <w:p w14:paraId="29272553" w14:textId="77777777" w:rsidR="004322B1" w:rsidRPr="00AD2F44" w:rsidRDefault="004322B1">
      <w:pPr>
        <w:pStyle w:val="14Footnote"/>
      </w:pPr>
      <w:r w:rsidRPr="00AD2F44">
        <w:rPr>
          <w:vertAlign w:val="superscript"/>
        </w:rPr>
        <w:footnoteRef/>
      </w:r>
      <w:r w:rsidRPr="00AD2F44">
        <w:rPr>
          <w:i/>
          <w:iCs/>
        </w:rPr>
        <w:t>Id.</w:t>
      </w:r>
      <w:r w:rsidRPr="00AD2F44">
        <w:t xml:space="preserve"> at 562–63.</w:t>
      </w:r>
    </w:p>
  </w:footnote>
  <w:footnote w:id="180">
    <w:p w14:paraId="5DCFBAB1"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Fasanelli v. Heartland Brewery, Inc., 516 F. Supp. 2d 317, 321 (S.D.N.Y. 2007) (granting conditional certification where restaurant workers had alleged various wage hour violations, all of which fell into a broad practice of failing to pay employees for all of their time worked); Harper v. Lovett’s Buffet, Inc., 185 F.R.D. 358 (M.D. Ala. 1999) (limiting notice to a single location, but permitting conditional certification where plaintiffs alleged defendant violated various aspects of the wage and hour laws as part of a policy and procedure designed to minimize labor costs); Realite v. Ark Rests. Corp., 7 F. Supp. 2d 303, 304, 307 (S.D.N.Y. 1998) (permitting notice to potential class members from 15 restaurants owned and/or managed by defendant when plaintiffs held a variety of positions and alleged varying practices that demonstrated a “basic scheme—to avoid paying overtime and minimum wages—was undertaken” at defendant’s restaurants).</w:t>
      </w:r>
    </w:p>
  </w:footnote>
  <w:footnote w:id="181">
    <w:p w14:paraId="0539F477" w14:textId="77777777" w:rsidR="004322B1" w:rsidRPr="00AD2F44" w:rsidRDefault="004322B1">
      <w:pPr>
        <w:pStyle w:val="14Footnote"/>
      </w:pPr>
      <w:r w:rsidRPr="00AD2F44">
        <w:rPr>
          <w:vertAlign w:val="superscript"/>
        </w:rPr>
        <w:footnoteRef/>
      </w:r>
      <w:r w:rsidRPr="00AD2F44">
        <w:t>2006 WL 1892527 (D. Minn. July 10, 2006).</w:t>
      </w:r>
    </w:p>
  </w:footnote>
  <w:footnote w:id="182">
    <w:p w14:paraId="1B643CBE"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Castle v. Wells Fargo Fin., Inc., 2008 WL 495705 (N.D. Cal. Feb. 20, 2008) (denying conditional certification where declarants described different company policies or practices that caused the alleged off-the-clock work).</w:t>
      </w:r>
    </w:p>
  </w:footnote>
  <w:footnote w:id="183">
    <w:p w14:paraId="6F7B11BF" w14:textId="77777777" w:rsidR="004322B1" w:rsidRPr="00AD2F44" w:rsidRDefault="004322B1">
      <w:pPr>
        <w:pStyle w:val="14Footnote"/>
      </w:pPr>
      <w:r w:rsidRPr="00AD2F44">
        <w:rPr>
          <w:vertAlign w:val="superscript"/>
        </w:rPr>
        <w:footnoteRef/>
      </w:r>
      <w:r w:rsidRPr="00AD2F44">
        <w:rPr>
          <w:i/>
        </w:rPr>
        <w:t>See, e.g.,</w:t>
      </w:r>
    </w:p>
    <w:p w14:paraId="5F64CC96" w14:textId="77777777" w:rsidR="004322B1" w:rsidRPr="00AD2F44" w:rsidRDefault="004322B1">
      <w:pPr>
        <w:pStyle w:val="14Footnote"/>
      </w:pPr>
      <w:r w:rsidRPr="00AD2F44">
        <w:rPr>
          <w:i/>
          <w:iCs/>
        </w:rPr>
        <w:t>Second Circuit:</w:t>
      </w:r>
      <w:r w:rsidRPr="00AD2F44">
        <w:t xml:space="preserve"> Tutein v. Esteemed Patrol, Inc., 2013 WL 8115441 (E.D.N.Y. June 10, 2013) (conditionally certifying class challenging unpaid pre-shift meetings); Hens v. Clientlogic Operating Corp., 2006 WL 2795620, at *4–5 (W.D.N.Y. Sept. 26, 2006).</w:t>
      </w:r>
    </w:p>
    <w:p w14:paraId="39098E9A" w14:textId="77777777" w:rsidR="004322B1" w:rsidRPr="00AD2F44" w:rsidRDefault="004322B1">
      <w:pPr>
        <w:pStyle w:val="14Footnote"/>
      </w:pPr>
      <w:r w:rsidRPr="00AD2F44">
        <w:rPr>
          <w:i/>
          <w:iCs/>
        </w:rPr>
        <w:t xml:space="preserve">Third Circuit: </w:t>
      </w:r>
      <w:r w:rsidRPr="00AD2F44">
        <w:t>Wright v. Lehigh Valley Hosp. &amp; Health Network, 2011 WL 221770, at *5 (E.D. Pa. Jan. 20, 2011) (conditionally certifying class of nurses who had to attend pre- and post-shift meetings).</w:t>
      </w:r>
    </w:p>
    <w:p w14:paraId="3EB08A4E" w14:textId="77777777" w:rsidR="004322B1" w:rsidRPr="00AD2F44" w:rsidRDefault="004322B1">
      <w:pPr>
        <w:pStyle w:val="14Footnote"/>
      </w:pPr>
      <w:r w:rsidRPr="00AD2F44">
        <w:rPr>
          <w:i/>
          <w:iCs/>
        </w:rPr>
        <w:t>Fourth Circuit:</w:t>
      </w:r>
      <w:r w:rsidRPr="00AD2F44">
        <w:t xml:space="preserve"> Byard v. Verizon W. Va., Inc., 287 F.R.D. 365, 367–70 (N.D. W. Va. 2012) (granting conditional certification of employees seeking overtime compensation for time spent logging on and off the computer system, opening software applications, reading daily company emails and Internet messages, setting up “call backs,” and performing other follow-up work for customers); Horne v. Smithfield Packing Co., 2011 WL 4443034, at *1 (E.D.N.C. Sept. 23, 2011) (certifying a class of employees who were not compensated for all of their time spent engaged in required pre-shift and post-shift activities, as well as required activities during unpaid meal breaks).</w:t>
      </w:r>
    </w:p>
    <w:p w14:paraId="15B69C71" w14:textId="77777777" w:rsidR="004322B1" w:rsidRPr="00AD2F44" w:rsidRDefault="004322B1">
      <w:pPr>
        <w:pStyle w:val="14Footnote"/>
      </w:pPr>
      <w:r w:rsidRPr="00AD2F44">
        <w:rPr>
          <w:i/>
          <w:iCs/>
        </w:rPr>
        <w:t>Fifth Circuit:</w:t>
      </w:r>
      <w:r w:rsidRPr="00AD2F44">
        <w:t xml:space="preserve"> Jones v. Xerox Commercial Sols., LLC, 2013 WL 5945652 (S.D. Tex. Nov. 6, 2013) (call center employees won conditional certification despite the fact that defendant presented uncontroverted evidence that different timekeeping systems were employed at different locations; that local workforce employees decided when to log plaintiffs out of the timekeeping system; and that plaintiffs were required to report, and supervisors were required to correct, any time-keeping errors); Mims v. Carrier Corp., 2008 WL 906335, at *2, 4–5 (E.D. Tex. Mar. 31, 2008); Nelson v. American Standard, Inc., 2008 WL 906324, at *1, 4 (E.D. Tex. Mar. 31, 2008); Lopez v. Sam Kane Beef Processors, Inc., 2008 WL 565115, at *1–2 (S.D. Tex. Feb. 29, 2008); King v. Koch Foods LLC, 2007 WL 1098488 (S.D. Miss. Apr. 10, 2007); Allen v. McWane, Inc.¸ 2006 WL 3246531 (E.D. Tex. Nov. 7, 2006).</w:t>
      </w:r>
      <w:r w:rsidRPr="00EB0414">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99C672E" w14:textId="77777777" w:rsidR="004322B1" w:rsidRPr="00AD2F44" w:rsidRDefault="004322B1">
      <w:pPr>
        <w:pStyle w:val="14Footnote"/>
      </w:pPr>
      <w:r w:rsidRPr="00AD2F44">
        <w:rPr>
          <w:i/>
          <w:iCs/>
        </w:rPr>
        <w:t>Sixth Circuit:</w:t>
      </w:r>
      <w:r w:rsidRPr="00AD2F44">
        <w:t xml:space="preserve"> Ware v. T-Mobile USA, 828 F. Supp. 2d 948, 953–54 (M.D. Tenn. 2011) (granting conditional certification at two call centers based on evidence that employer did not pay employees for pre-shift work and work performed during meal breaks); Garrett v. Sitel Operating Corp., 2011 WL 5827240, at *5 (W.D. Tenn. Nov. 18, 2011) (granting conditional certification to call center employees where evidence showed “unwritten policy” that employees had to boot up and shut down computers and perform other tasks before and after clocking in and out); Heaps v. Safelite Sols., LLC, 2011 WL 1325207, at *5 (S.D. Ohio Apr. 5, 2011); White v. MPW Indus. Serv., Inc., 236 F.R.D. 363, 365–68, 370–74 (E.D. Tenn. 2006).</w:t>
      </w:r>
    </w:p>
    <w:p w14:paraId="202F182B" w14:textId="77777777" w:rsidR="004322B1" w:rsidRPr="00AD2F44" w:rsidRDefault="004322B1">
      <w:pPr>
        <w:pStyle w:val="14Footnote"/>
      </w:pPr>
      <w:r w:rsidRPr="00AD2F44">
        <w:rPr>
          <w:i/>
          <w:iCs/>
        </w:rPr>
        <w:t>Seventh Circuit:</w:t>
      </w:r>
      <w:r w:rsidRPr="00AD2F44">
        <w:t xml:space="preserve"> Freeman v. Total Sec. Mgmt., 2013 WL 4049542 (W.D. Wis. Aug. 9, 2013); Sjoblom v. Charter Commc’ns, LLC, 571 F. Supp. 2d 961, 964–66, 971–72 (W.D. Wis. 2008); Musch v. Domtar Indus., Inc., 252 F.R.D. 456, 458 (W.D. Wis. 2008); Russell v. Illinois Bell Tel. Co., 2008 WL 4191763, at *2–5 (N.D. Ill. Sept. 15, 2008).</w:t>
      </w:r>
    </w:p>
    <w:p w14:paraId="49BEF5E6" w14:textId="77777777" w:rsidR="004322B1" w:rsidRPr="00AD2F44" w:rsidRDefault="004322B1">
      <w:pPr>
        <w:pStyle w:val="14Footnote"/>
      </w:pPr>
      <w:r w:rsidRPr="00AD2F44">
        <w:rPr>
          <w:i/>
          <w:iCs/>
        </w:rPr>
        <w:t>Eighth Circuit:</w:t>
      </w:r>
      <w:r w:rsidRPr="00AD2F44">
        <w:t xml:space="preserve"> Bilskey v. Bluff City Ice, Inc., 2014 WL 320568, at *1–3 (E.D. Mo. Jan. 29, 2014) (ice cream delivery drivers granted conditional certification based on allegations of pre-shift “prep work,” such as making sure their trucks were functional and ensuring their inventory was accurate, and post-shift “check-out work,” such as filling out paperwork); Simmons v. Enterprise Holdings, Inc., 2011 U.S. Dist. LEXIS 23984 (E.D. Mo. Mar. 9, 2011) (granting conditional certification for call center representatives based on allegations that they were required to perform unpaid pre-shift overtime work); Lopez v. Tyson Foods, 2008 WL 3485289, at *9–10 (D. Neb. Aug. 7, 2008); Brennan v. Qwest Commc’ns Int’l, 2008 WL 819773, at *3–4 (D. Minn. Mar. 25, 2008); </w:t>
      </w:r>
      <w:r w:rsidRPr="00AD2F44">
        <w:rPr>
          <w:i/>
          <w:iCs/>
        </w:rPr>
        <w:t>In re</w:t>
      </w:r>
      <w:r w:rsidRPr="00AD2F44">
        <w:t xml:space="preserve"> Pilgrim’s Pride Fair Labor Standards Act Litig., 2008 WL 4877239 (W.D. Ark. Mar. 13, 2008); Burch v. Qwest Commc’ns Int’l, Inc., 500 F. Supp. 2d 1181 (D. Minn. 2007); Dege v. Hutchinson Tech., Inc., 2007 WL 586787 (D. Minn. Feb. 22, 2007); Frank v. Gold ‘n Plump Poultry, Inc., 2005 WL 2240336, at *3 (D. Minn. Sept. 14, 2005).</w:t>
      </w:r>
    </w:p>
    <w:p w14:paraId="3DEC4EF3" w14:textId="77777777" w:rsidR="004322B1" w:rsidRPr="00AD2F44" w:rsidRDefault="004322B1">
      <w:pPr>
        <w:pStyle w:val="14Footnote"/>
      </w:pPr>
      <w:r w:rsidRPr="00AD2F44">
        <w:rPr>
          <w:i/>
          <w:iCs/>
        </w:rPr>
        <w:t>Ninth Circuit:</w:t>
      </w:r>
      <w:r w:rsidRPr="00AD2F44">
        <w:t xml:space="preserve"> Escobar v. Whiteside Constr. Corp., 2008 WL 3915715, at *4–5 (N.D. Cal. Aug. 21, 2008); Centurioni v. City &amp; Cnty. of S.F., 2008 WL 295096, at *2 (N.D. Cal. Feb. 1, 2008); Wren v. RGIS Inventory Specialists, 2007 WL 4532218, at *6 (N.D. Cal. Dec. 19, 2007).</w:t>
      </w:r>
    </w:p>
    <w:p w14:paraId="2D9D8450" w14:textId="77777777" w:rsidR="004322B1" w:rsidRPr="00AD2F44" w:rsidRDefault="004322B1">
      <w:pPr>
        <w:pStyle w:val="14Footnote"/>
      </w:pPr>
      <w:r w:rsidRPr="00AD2F44">
        <w:rPr>
          <w:i/>
          <w:iCs/>
        </w:rPr>
        <w:t>Tenth Circuit:</w:t>
      </w:r>
      <w:r w:rsidRPr="00AD2F44">
        <w:t xml:space="preserve"> Cannon v. Time Warner NY Cable, LLC, 2014 WL 4401313 (D. Colo. Sept. 5, 2014) (granting conditional certification for time spent booting up and shutting down computers at single call center); Miller v. Startek USA, Inc., 2011 WL 1883012, at *2 (D. Colo. May 17, 2011) (granting conditional certification of companywide class for time spent booting up and shutting down computers at call centers); Gipson v. Southwestern Bell Tel. Co., 2009 WL 1044941, at *3 (D. Kan. Apr. 20, 2009) (granting conditional certification at facilities in five-state region, not just three facilities from which declarations in support of plaintiffs were submitted, because evidence suggested uniform policy of not paying overtime for pre- and post-shift work).</w:t>
      </w:r>
    </w:p>
    <w:p w14:paraId="0EE9C835" w14:textId="77777777" w:rsidR="004322B1" w:rsidRPr="00AD2F44" w:rsidRDefault="004322B1">
      <w:pPr>
        <w:pStyle w:val="14Footnote"/>
      </w:pPr>
      <w:r w:rsidRPr="00AD2F44">
        <w:rPr>
          <w:i/>
          <w:iCs/>
        </w:rPr>
        <w:t>Eleventh Circuit:</w:t>
      </w:r>
      <w:r w:rsidRPr="00AD2F44">
        <w:t xml:space="preserve"> Robinson v. Ryla Teleservs., Inc., 2011 WL 6667338, at *3 (S.D. Ala. Dec. 21, 2011) (granting conditional certification to call center employees based on evidence that they performed essentially identical duties and were allegedly required to perform work before their shifts); Daniel v. Quail Int’l, Inc., 2008 WL 3538564, at *2–3 (M.D. Ga. Aug. 11, 2008).</w:t>
      </w:r>
    </w:p>
  </w:footnote>
  <w:footnote w:id="184">
    <w:p w14:paraId="39B2563F" w14:textId="77777777" w:rsidR="004322B1" w:rsidRPr="00AD2F44" w:rsidRDefault="004322B1">
      <w:pPr>
        <w:pStyle w:val="14Footnote"/>
      </w:pPr>
      <w:r w:rsidRPr="00AD2F44">
        <w:rPr>
          <w:vertAlign w:val="superscript"/>
        </w:rPr>
        <w:footnoteRef/>
      </w:r>
      <w:r w:rsidRPr="00AD2F44">
        <w:rPr>
          <w:i/>
          <w:iCs/>
        </w:rPr>
        <w:t>See, e.g.,</w:t>
      </w:r>
      <w:r w:rsidRPr="00AD2F44">
        <w:t xml:space="preserve"> Bowe v. Enviropro Basement Sys., 2013 WL 6280873 (D.N.J. Dec. 4, 2013).</w:t>
      </w:r>
    </w:p>
  </w:footnote>
  <w:footnote w:id="185">
    <w:p w14:paraId="09A3832F" w14:textId="77777777" w:rsidR="004322B1" w:rsidRPr="00AD2F44" w:rsidRDefault="004322B1">
      <w:pPr>
        <w:pStyle w:val="14Footnote"/>
      </w:pPr>
      <w:r w:rsidRPr="00AD2F44">
        <w:rPr>
          <w:vertAlign w:val="superscript"/>
        </w:rPr>
        <w:footnoteRef/>
      </w:r>
      <w:r w:rsidRPr="00AD2F44">
        <w:rPr>
          <w:i/>
          <w:iCs/>
        </w:rPr>
        <w:t>See, e.g.,</w:t>
      </w:r>
    </w:p>
    <w:p w14:paraId="60EC62D0" w14:textId="77777777" w:rsidR="004322B1" w:rsidRPr="00AD2F44" w:rsidRDefault="004322B1">
      <w:pPr>
        <w:pStyle w:val="14Footnote"/>
      </w:pPr>
      <w:r w:rsidRPr="00AD2F44">
        <w:rPr>
          <w:i/>
          <w:iCs/>
        </w:rPr>
        <w:t>First Circuit:</w:t>
      </w:r>
      <w:r w:rsidRPr="00AD2F44">
        <w:t xml:space="preserve"> Trezvant v. Fidelity Emp. Servs. Corp., 434 F. Supp. 2d 40, 51 (D. Mass. 2006) (concluding that “[t]he Employees failed to show that Fidelity’s policies … are company-wide. … [where] the affidavits were all from employees that worked in the company’s New Hampshire office [and n]one of the Employees submitting affidavits purported to know the policies of other branches of the company”).</w:t>
      </w:r>
    </w:p>
    <w:p w14:paraId="67979D00" w14:textId="77777777" w:rsidR="004322B1" w:rsidRPr="00AD2F44" w:rsidRDefault="004322B1">
      <w:pPr>
        <w:pStyle w:val="14Footnote"/>
      </w:pPr>
      <w:r w:rsidRPr="00AD2F44">
        <w:rPr>
          <w:i/>
          <w:iCs/>
        </w:rPr>
        <w:t>Second Circuit:</w:t>
      </w:r>
      <w:r w:rsidRPr="00AD2F44">
        <w:t xml:space="preserve"> Hens v. Clientlogic Operating Corp., 2006 WL 2795620, at *4–5 (W.D.N.Y. Sept. 26, 2006) (certifying claims by customer service employees at eight call centers from which plaintiffs submitted declarations for pre- and post-shift log-on/log-off time and work during unpaid break periods but denying conditional certification at remaining nine centers without supporting declarations).</w:t>
      </w:r>
    </w:p>
    <w:p w14:paraId="3E6F083B" w14:textId="77777777" w:rsidR="004322B1" w:rsidRPr="00AD2F44" w:rsidRDefault="004322B1">
      <w:pPr>
        <w:pStyle w:val="14Footnote"/>
      </w:pPr>
      <w:r w:rsidRPr="00AD2F44">
        <w:rPr>
          <w:i/>
          <w:iCs/>
        </w:rPr>
        <w:t>Fifth Circuit:</w:t>
      </w:r>
      <w:r w:rsidRPr="00AD2F44">
        <w:t xml:space="preserve"> Mims v. Carrier Corp., 2008 WL 906335, at *2, 4–5 (E.D. Tex. Mar. 31, 2008) (granting certification to line employees at five of nine facilities on donning and doffing claims where plaintiffs submitted declarations from those five facilities, but denying certification of remaining facilities).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49B833E" w14:textId="77777777" w:rsidR="004322B1" w:rsidRPr="00AD2F44" w:rsidRDefault="004322B1">
      <w:pPr>
        <w:pStyle w:val="14Footnote"/>
      </w:pPr>
      <w:r w:rsidRPr="00AD2F44">
        <w:rPr>
          <w:i/>
          <w:iCs/>
        </w:rPr>
        <w:t>Sixth Circuit:</w:t>
      </w:r>
      <w:r w:rsidRPr="00AD2F44">
        <w:t xml:space="preserve"> Shabazz v. Asurion Ins. Serv., 2008 WL 1730318, at *1, 4–5 (M.D. Tenn. Apr. 10, 2008) (granting certification to employees at two call centers where named plaintiff had worked and declarations had been submitted, but denying certification at one center where only evidence was hearsay statement that employees there reported similar violations to him).</w:t>
      </w:r>
    </w:p>
    <w:p w14:paraId="1D06CA20" w14:textId="77777777" w:rsidR="004322B1" w:rsidRPr="00AD2F44" w:rsidRDefault="004322B1">
      <w:pPr>
        <w:pStyle w:val="14Footnote"/>
      </w:pPr>
      <w:r w:rsidRPr="00AD2F44">
        <w:rPr>
          <w:i/>
          <w:iCs/>
        </w:rPr>
        <w:t>Seventh Circuit:</w:t>
      </w:r>
      <w:r w:rsidRPr="00AD2F44">
        <w:t xml:space="preserve"> Brand v. Comcast Corp., 2012 WL 4482124, at *9 (N.D. Ill. Sept. 26, 2012) (certifying off-the-clock case but only for the facility in which the plaintiffs worked, rather than companywide).</w:t>
      </w:r>
    </w:p>
    <w:p w14:paraId="2884F6FB" w14:textId="77777777" w:rsidR="004322B1" w:rsidRPr="00AD2F44" w:rsidRDefault="004322B1">
      <w:pPr>
        <w:pStyle w:val="14Footnote"/>
      </w:pPr>
      <w:r w:rsidRPr="00AD2F44">
        <w:rPr>
          <w:i/>
          <w:iCs/>
        </w:rPr>
        <w:t>Eighth Circuit:</w:t>
      </w:r>
      <w:r w:rsidRPr="00AD2F44">
        <w:t xml:space="preserve"> Martinez v. Cargill Meat Sols., 265 F.R.D. 490, 498 (D. Neb. 2009) (limiting certification to employees paid on gang time, but excluding any employees not paid on that system).</w:t>
      </w:r>
    </w:p>
  </w:footnote>
  <w:footnote w:id="186">
    <w:p w14:paraId="1003CE5B" w14:textId="77777777" w:rsidR="004322B1" w:rsidRPr="00AD2F44" w:rsidRDefault="004322B1">
      <w:pPr>
        <w:pStyle w:val="14Footnote"/>
      </w:pPr>
      <w:r w:rsidRPr="00AD2F44">
        <w:rPr>
          <w:vertAlign w:val="superscript"/>
        </w:rPr>
        <w:footnoteRef/>
      </w:r>
      <w:r w:rsidRPr="00AD2F44">
        <w:rPr>
          <w:i/>
          <w:iCs/>
        </w:rPr>
        <w:t>See, e.g.,</w:t>
      </w:r>
      <w:r w:rsidRPr="00AD2F44">
        <w:t xml:space="preserve"> Ramirez v. Ghilotti Bros., 941 F. Supp. 2d 1197 (N.D. Cal. 2013) (granting conditional certification based on common policy of not paying for time spent loading and unloading trucks); Escobar v. Whiteside Constr. Corp., 2008 WL 3915715, at *4–5 (N.D. Cal. Aug. 21, 2008) (conditionally certifying collective action by laborers and truck drivers alleging unpaid overtime for pre-shift time where they were required to report to work one hour before their start time and for post-shift time spent traveling back to yard and unloading trucks); White v. MPW Indus. Serv., Inc., 236 F.R.D. 363, 365–68, 370–74 (E.D. Tenn. 2006) (granting companywide certification to industrial cleaning workers on claims for unpaid work performed at branch location preparing for work, traveling to and from first and last job site respectively, and securing equipment at branch location after last job). </w:t>
      </w:r>
      <w:r w:rsidRPr="00AD2F44">
        <w:rPr>
          <w:i/>
          <w:iCs/>
        </w:rPr>
        <w:t>Cf</w:t>
      </w:r>
      <w:r w:rsidRPr="00AD2F44">
        <w:t>.</w:t>
      </w:r>
      <w:r w:rsidRPr="00AD2F44">
        <w:rPr>
          <w:i/>
          <w:iCs/>
        </w:rPr>
        <w:t xml:space="preserve"> </w:t>
      </w:r>
      <w:r w:rsidRPr="00AD2F44">
        <w:t>Gibson v. NCRC, Inc., 2011 WL 2837506, at *5 (S.D. Tex. July 18, 2011) (granting conditional certification based on evidence of “consistent policy” of not paying wages for or counting as hours worked certain time spent driving between job sites during workday).</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footnote>
  <w:footnote w:id="187">
    <w:p w14:paraId="7D10445C" w14:textId="77777777" w:rsidR="004322B1" w:rsidRPr="00AD2F44" w:rsidRDefault="004322B1">
      <w:pPr>
        <w:pStyle w:val="14Footnote"/>
      </w:pPr>
      <w:r w:rsidRPr="00AD2F44">
        <w:rPr>
          <w:vertAlign w:val="superscript"/>
        </w:rPr>
        <w:footnoteRef/>
      </w:r>
      <w:r w:rsidRPr="00AD2F44">
        <w:t>2007 WL 4532218 (N.D. Cal. Dec. 19, 2007).</w:t>
      </w:r>
    </w:p>
  </w:footnote>
  <w:footnote w:id="188">
    <w:p w14:paraId="741B6C50" w14:textId="77777777" w:rsidR="004322B1" w:rsidRPr="00AD2F44" w:rsidRDefault="004322B1">
      <w:pPr>
        <w:pStyle w:val="14Footnote"/>
      </w:pPr>
      <w:r w:rsidRPr="00AD2F44">
        <w:rPr>
          <w:vertAlign w:val="superscript"/>
        </w:rPr>
        <w:footnoteRef/>
      </w:r>
      <w:r w:rsidRPr="00AD2F44">
        <w:rPr>
          <w:i/>
          <w:iCs/>
        </w:rPr>
        <w:t>Id</w:t>
      </w:r>
      <w:r w:rsidRPr="00AD2F44">
        <w:t>. at *6.</w:t>
      </w:r>
    </w:p>
  </w:footnote>
  <w:footnote w:id="189">
    <w:p w14:paraId="5B1732AB" w14:textId="77777777" w:rsidR="004322B1" w:rsidRPr="00AD2F44" w:rsidRDefault="004322B1">
      <w:pPr>
        <w:pStyle w:val="14Footnote"/>
      </w:pPr>
      <w:r w:rsidRPr="00AD2F44">
        <w:rPr>
          <w:vertAlign w:val="superscript"/>
        </w:rPr>
        <w:footnoteRef/>
      </w:r>
      <w:r w:rsidRPr="00AD2F44">
        <w:rPr>
          <w:i/>
          <w:iCs/>
        </w:rPr>
        <w:t>Id</w:t>
      </w:r>
      <w:r w:rsidRPr="00AD2F44">
        <w:t>. at *7.</w:t>
      </w:r>
    </w:p>
  </w:footnote>
  <w:footnote w:id="190">
    <w:p w14:paraId="23FFC2D5" w14:textId="77777777" w:rsidR="004322B1" w:rsidRPr="00AD2F44" w:rsidRDefault="004322B1">
      <w:pPr>
        <w:pStyle w:val="14Footnote"/>
      </w:pPr>
      <w:r w:rsidRPr="00AD2F44">
        <w:rPr>
          <w:vertAlign w:val="superscript"/>
        </w:rPr>
        <w:footnoteRef/>
      </w:r>
      <w:r w:rsidRPr="00AD2F44">
        <w:rPr>
          <w:i/>
          <w:iCs/>
        </w:rPr>
        <w:t>See, e.g.,</w:t>
      </w:r>
      <w:r w:rsidRPr="00AD2F44">
        <w:t xml:space="preserve"> Sjoblom v. Charter Commc’ns LLC, 571 F. Supp. 2d 961, 964–66, 971–72 (W.D. Wis. 2008) (certifying nationwide collective action of field technicians for pre-shift work, including cleaning and restocking vehicles and completing paperwork, where employees were not explicitly told to complete tasks off the clock, but were led to believe that they had to be ready to go at the start of their shift); Brennan v. Qwest Commc’ns Int’l, 2008 WL 819773, at *3–4 (D. Minn. 2008) (certifying claims by communications technicians at multiple facilities for unpaid pre-shift duties including reviewing assigned work, cleaning and stocking truck, and contacting customers, where supervisors were aware or ordered unreported overtime and plaintiffs’ declarations alleged tasks were required to comply with company polices).</w:t>
      </w:r>
    </w:p>
  </w:footnote>
  <w:footnote w:id="191">
    <w:p w14:paraId="25E230C2" w14:textId="77777777" w:rsidR="004322B1" w:rsidRPr="00AD2F44" w:rsidRDefault="004322B1">
      <w:pPr>
        <w:pStyle w:val="14Footnote"/>
      </w:pPr>
      <w:r w:rsidRPr="00AD2F44">
        <w:rPr>
          <w:vertAlign w:val="superscript"/>
        </w:rPr>
        <w:footnoteRef/>
      </w:r>
      <w:r w:rsidRPr="00AD2F44">
        <w:rPr>
          <w:i/>
        </w:rPr>
        <w:t>See, e.g.,</w:t>
      </w:r>
    </w:p>
    <w:p w14:paraId="717551F9" w14:textId="77777777" w:rsidR="004322B1" w:rsidRPr="00AD2F44" w:rsidRDefault="004322B1">
      <w:pPr>
        <w:pStyle w:val="14Footnote"/>
      </w:pPr>
      <w:r w:rsidRPr="00AD2F44">
        <w:rPr>
          <w:i/>
          <w:iCs/>
        </w:rPr>
        <w:t>Third Circuit:</w:t>
      </w:r>
      <w:r w:rsidRPr="00AD2F44">
        <w:t xml:space="preserve"> Hall v. Guardsmark, LLC, 2012 WL 3580086, at *1, 5 (W.D. Pa. Aug. 17, 2012) (rejecting certification where company had official policy to pay employees for all hours worked and prohibited them from reporting to premises prior to and after scheduled time, finding plaintiffs failed to provide evidentiary support for their claims).</w:t>
      </w:r>
    </w:p>
    <w:p w14:paraId="3CD6B2F2" w14:textId="77777777" w:rsidR="004322B1" w:rsidRPr="00AD2F44" w:rsidRDefault="004322B1">
      <w:pPr>
        <w:pStyle w:val="14Footnote"/>
      </w:pPr>
      <w:r w:rsidRPr="00AD2F44">
        <w:rPr>
          <w:i/>
          <w:iCs/>
        </w:rPr>
        <w:t>Sixth Circuit:</w:t>
      </w:r>
      <w:r w:rsidRPr="00AD2F44">
        <w:t xml:space="preserve"> Pippen v. Global Tech. Recruiters Inc., 2021 BL 222265, 2021 WL 2430707 (N.D. Ohio June 15, 2021) (denying conditional certification on donning and doffing claim for failure to describe job duties with sufficiency, and on pre-shift off-the-clock claim for failure to provide more than conclusory allegations); Pacheco v. Boar’s Head Provisions Co., 671 F. Supp. 2d 957, 966 (W.D. Mich. 2009) (rejecting conditional certification in donning and doffing action, where company had express policy of paying for donning and doffing time, and plaintiffs could not produce evidence of widespread violation of that policy to establish common policy in violation of FLSA).</w:t>
      </w:r>
    </w:p>
    <w:p w14:paraId="139BC090" w14:textId="77777777" w:rsidR="004322B1" w:rsidRPr="00AD2F44" w:rsidRDefault="004322B1">
      <w:pPr>
        <w:pStyle w:val="14Footnote"/>
      </w:pPr>
      <w:r w:rsidRPr="00AD2F44">
        <w:rPr>
          <w:i/>
          <w:iCs/>
        </w:rPr>
        <w:t>Seventh Circuit:</w:t>
      </w:r>
      <w:r w:rsidRPr="00AD2F44">
        <w:t xml:space="preserve"> Allen v. Payday Loan Store of Ind., Inc., 2013 WL 6237852, at *8 (N.D. Ind. Dec. 3, 2013) (conditional certification denied where despite naming 16 other employees they observed, the plaintiffs gave “no substantive allegation as to which employee, if any, was required to do which task and when” and failed to provide evidence of a single decision, policy, or plan resulting in the alleged FLSA violations).</w:t>
      </w:r>
    </w:p>
    <w:p w14:paraId="59371533" w14:textId="77777777" w:rsidR="004322B1" w:rsidRPr="00AD2F44" w:rsidRDefault="004322B1">
      <w:pPr>
        <w:pStyle w:val="14Footnote"/>
      </w:pPr>
      <w:r w:rsidRPr="00AD2F44">
        <w:rPr>
          <w:i/>
          <w:iCs/>
        </w:rPr>
        <w:t>Eighth Circuit:</w:t>
      </w:r>
      <w:r w:rsidRPr="00AD2F44">
        <w:t xml:space="preserve"> Salazar v. Agriprocessors, Inc., 2008 WL 782803, at *6–7 (N.D. Iowa Mar. 17, 2008) (denying conditional certification without prejudice on donning and doffing claims where plaintiffs failed to provide evidence beyond complaint, and defendant’s evidence indicated that employees in production and support positions had different job duties, pay structures, and department policies).</w:t>
      </w:r>
    </w:p>
    <w:p w14:paraId="31352AE8" w14:textId="77777777" w:rsidR="004322B1" w:rsidRPr="00AD2F44" w:rsidRDefault="004322B1">
      <w:pPr>
        <w:pStyle w:val="14Footnote"/>
      </w:pPr>
      <w:r w:rsidRPr="00AD2F44">
        <w:rPr>
          <w:i/>
          <w:iCs/>
        </w:rPr>
        <w:t>Ninth Circuit:</w:t>
      </w:r>
      <w:r w:rsidRPr="00AD2F44">
        <w:t xml:space="preserve"> Felix v. Davis Moreno Constr., Inc., 2008 WL 4104261, at *6–7 (E.D. Cal. Sept. 3, 2008) (denying conditional certification to action by construction worker alleging uncompensated roll-out/roll-up time prior to shift start time where plaintiff worked with few other carpenters, identified only one of nine job sites where such time was uncompensated, and failed to offer affidavit of any other carpenter). </w:t>
      </w:r>
    </w:p>
  </w:footnote>
  <w:footnote w:id="192">
    <w:p w14:paraId="5FBBD6E7" w14:textId="77777777" w:rsidR="004322B1" w:rsidRPr="00AD2F44" w:rsidRDefault="004322B1">
      <w:pPr>
        <w:pStyle w:val="14Footnote"/>
      </w:pPr>
      <w:r w:rsidRPr="00AD2F44">
        <w:rPr>
          <w:vertAlign w:val="superscript"/>
        </w:rPr>
        <w:footnoteRef/>
      </w:r>
      <w:r w:rsidRPr="00AD2F44">
        <w:t>2005 WL 3783598 (N.D. Tex. Nov. 17, 2005).</w:t>
      </w:r>
    </w:p>
  </w:footnote>
  <w:footnote w:id="193">
    <w:p w14:paraId="443046D7" w14:textId="77777777" w:rsidR="004322B1" w:rsidRPr="00AD2F44" w:rsidRDefault="004322B1">
      <w:pPr>
        <w:pStyle w:val="14Footnote"/>
      </w:pPr>
      <w:r w:rsidRPr="00AD2F44">
        <w:rPr>
          <w:vertAlign w:val="superscript"/>
        </w:rPr>
        <w:footnoteRef/>
      </w:r>
      <w:r w:rsidRPr="00AD2F44">
        <w:rPr>
          <w:i/>
          <w:iCs/>
        </w:rPr>
        <w:t>Id.</w:t>
      </w:r>
      <w:r w:rsidRPr="00AD2F44">
        <w:t xml:space="preserve"> at *5–6.</w:t>
      </w:r>
    </w:p>
  </w:footnote>
  <w:footnote w:id="194">
    <w:p w14:paraId="0B1A87AA" w14:textId="77777777" w:rsidR="004322B1" w:rsidRPr="00AD2F44" w:rsidRDefault="004322B1">
      <w:pPr>
        <w:pStyle w:val="14Footnote"/>
      </w:pPr>
      <w:r w:rsidRPr="00AD2F44">
        <w:rPr>
          <w:vertAlign w:val="superscript"/>
        </w:rPr>
        <w:footnoteRef/>
      </w:r>
      <w:r w:rsidRPr="00AD2F44">
        <w:rPr>
          <w:i/>
          <w:iCs/>
        </w:rPr>
        <w:t>Id</w:t>
      </w:r>
      <w:r w:rsidRPr="00AD2F44">
        <w:t>. at *6.</w:t>
      </w:r>
    </w:p>
  </w:footnote>
  <w:footnote w:id="195">
    <w:p w14:paraId="13D34B45"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96">
    <w:p w14:paraId="2BFB469F" w14:textId="77777777" w:rsidR="004322B1" w:rsidRPr="00AD2F44" w:rsidRDefault="004322B1">
      <w:pPr>
        <w:pStyle w:val="14Footnote"/>
      </w:pPr>
      <w:r w:rsidRPr="00AD2F44">
        <w:rPr>
          <w:vertAlign w:val="superscript"/>
        </w:rPr>
        <w:footnoteRef/>
      </w:r>
      <w:r w:rsidRPr="00AD2F44">
        <w:rPr>
          <w:i/>
        </w:rPr>
        <w:t>See, e.g.,</w:t>
      </w:r>
    </w:p>
    <w:p w14:paraId="61D11036" w14:textId="77777777" w:rsidR="004322B1" w:rsidRPr="00AD2F44" w:rsidRDefault="004322B1">
      <w:pPr>
        <w:pStyle w:val="14Footnote"/>
      </w:pPr>
      <w:r w:rsidRPr="00AD2F44">
        <w:rPr>
          <w:i/>
          <w:iCs/>
        </w:rPr>
        <w:t>Second Circuit:</w:t>
      </w:r>
      <w:r w:rsidRPr="00AD2F44">
        <w:t xml:space="preserve"> </w:t>
      </w:r>
      <w:r>
        <w:t xml:space="preserve">Watterson v. RUI Mgmt. Servs., </w:t>
      </w:r>
      <w:r w:rsidRPr="00F72A66">
        <w:t>2022 BL 305442</w:t>
      </w:r>
      <w:r>
        <w:t xml:space="preserve">, </w:t>
      </w:r>
      <w:r w:rsidRPr="002E55FE">
        <w:t>2022 WL 3867755</w:t>
      </w:r>
      <w:r>
        <w:t>, at *6</w:t>
      </w:r>
      <w:r w:rsidRPr="002E55FE">
        <w:t xml:space="preserve"> </w:t>
      </w:r>
      <w:r>
        <w:t xml:space="preserve">(E.D.N.Y. Aug. 30, 2022) (granting certification to debt collection agents who were “requested” to arrive before their shift); </w:t>
      </w:r>
      <w:r w:rsidRPr="00AD2F44">
        <w:t>Sherrill v. Sutherland Global Serv., Inc., 487 F. Supp. 2d 344, 351 (W.D.N.Y. 2007) (granting conditional certification to telemarketing agents at call centers where plaintiffs submitted affidavits from workers at 10 of 11 facilities alleging uncompensated work during breaks, but denying certification to proposed class of all hourly employees because affidavits submitted only by telemarketers).</w:t>
      </w:r>
    </w:p>
    <w:p w14:paraId="2C67C847" w14:textId="77777777" w:rsidR="004322B1" w:rsidRPr="00AD2F44" w:rsidRDefault="004322B1">
      <w:pPr>
        <w:pStyle w:val="14Footnote"/>
      </w:pPr>
      <w:r w:rsidRPr="00AD2F44">
        <w:rPr>
          <w:i/>
          <w:iCs/>
        </w:rPr>
        <w:t>Fourth Circuit:</w:t>
      </w:r>
      <w:r w:rsidRPr="00AD2F44">
        <w:t xml:space="preserve"> Byard v. Verizon W. Va., Inc., 287 F.R.D. 365, 367–70 (N.D. W. Va. 2012) (granting conditional certification of employees seeking overtime compensation for time spent logging on and off the computer system, opening software applications, reading daily company emails and Internet messages, setting up “call backs,” and performing other follow-up work for customers).</w:t>
      </w:r>
    </w:p>
    <w:p w14:paraId="247B0B69" w14:textId="77777777" w:rsidR="004322B1" w:rsidRPr="00AD2F44" w:rsidRDefault="004322B1">
      <w:pPr>
        <w:pStyle w:val="14Footnote"/>
      </w:pPr>
      <w:r w:rsidRPr="00AD2F44">
        <w:rPr>
          <w:i/>
          <w:iCs/>
        </w:rPr>
        <w:t>Sixth Circuit:</w:t>
      </w:r>
      <w:r w:rsidRPr="00AD2F44">
        <w:t xml:space="preserve"> Serbay v. DialogDirect, Inc., 2017 WL 163866 (E.D. Mich. Jan. 17, 2017) (granting conditional certification of class of customer service representatives at 14 call centers regarding allegations that employees were not compensated for off-the-clock time spent logging onto and off of computers); Garrett v. Sitel Operating Corp., 2011 WL 5827240, at *3, 5 (W.D. Tenn. Nov. 18, 2011) (granting conditional certification to call center employees where evidence at lenient stage showed “unwritten policy” that employees had to boot up and shut down computers, and perform other tasks, before and after clocking in and out); Heaps v. Safelite Sols., LLC, 2011 WL 1325207, at *5 (S.D. Ohio Apr. 5, 2011) (granting conditional certification for class of customer service representatives at defendant’s three facilities, through declarations of five employees that company policy was for employees to boot up and shut down computer systems when not clocked in, that policy applied to all putative class members, and that lawful policy pointed out by defendant was result of post-litigation modification); Shabazz v. Asurion Ins. Serv., 2008 WL 1730318, at *1, 4–5 (M.D. Tenn. Apr. 10, 2008) (granting conditional certification to employees at call center who were not paid compensable time spent preparing for work or finishing work as customer service representatives, claims representatives, verification representatives, quality assurance coordinators, technical support representatives, and/or any similar nonexempt hourly positions, but limited class to one of two call centers at issue because plaintiffs provided no declaration from any employee who worked in second call center).</w:t>
      </w:r>
    </w:p>
    <w:p w14:paraId="1F7176CA" w14:textId="77777777" w:rsidR="004322B1" w:rsidRPr="00AD2F44" w:rsidRDefault="004322B1">
      <w:pPr>
        <w:pStyle w:val="14Footnote"/>
      </w:pPr>
      <w:r w:rsidRPr="00AD2F44">
        <w:rPr>
          <w:i/>
          <w:iCs/>
        </w:rPr>
        <w:t>Seventh Circuit:</w:t>
      </w:r>
      <w:r w:rsidRPr="00AD2F44">
        <w:t xml:space="preserve"> Russell v. Illinois Bell Tel. Co., 2008 WL 4191763, at *2–5 (N.D. Ill. Sept. 15, 2008) (granting conditional certification where plaintiffs provided nearly 40 affidavits from employees at three of four call centers, which reflected widespread view that employees were expected to work uncompensated overtime, rejecting defendant’s claim that differences in job duties and practices at different centers defeated certification).</w:t>
      </w:r>
    </w:p>
    <w:p w14:paraId="5EE6ED56" w14:textId="77777777" w:rsidR="004322B1" w:rsidRPr="00AD2F44" w:rsidRDefault="004322B1">
      <w:pPr>
        <w:pStyle w:val="14Footnote"/>
      </w:pPr>
      <w:r w:rsidRPr="00AD2F44">
        <w:rPr>
          <w:i/>
          <w:iCs/>
        </w:rPr>
        <w:t>Eighth Circuit:</w:t>
      </w:r>
      <w:r w:rsidRPr="00AD2F44">
        <w:t xml:space="preserve"> Burch v. Qwest Commc’ns Int’l, 500 F. Supp. 2d 1181, 1191–92 (D. Minn. 2007) (granting conditional certification and authorizing nationwide notice to 8,000 call center employees, where plaintiffs alleged that defendant relied on uniform system of time monitoring, based on time logged into phone system, and plaintiffs submitted declarations from employees in five states making similar allegations, despite substantial variation in off-the-clock time claimed).</w:t>
      </w:r>
    </w:p>
    <w:p w14:paraId="5C2BE0CB" w14:textId="77777777" w:rsidR="004322B1" w:rsidRPr="00AD2F44" w:rsidRDefault="004322B1">
      <w:pPr>
        <w:pStyle w:val="14Footnote"/>
      </w:pPr>
      <w:r w:rsidRPr="00AD2F44">
        <w:rPr>
          <w:i/>
          <w:iCs/>
        </w:rPr>
        <w:t>Tenth Circuit:</w:t>
      </w:r>
      <w:r w:rsidRPr="00AD2F44">
        <w:t xml:space="preserve"> Cannon v. Time Warner NY Cable, LLC, 2014 WL 4401313 (D. Colo. Sept. 5, 2014) (granting conditional certification for time spent booting up and shutting down computers at single call center); Pegues v. Carecentrix, Inc., 2013 WL 1896994, at *4 (D. Kan. May 6, 2013) (same).</w:t>
      </w:r>
    </w:p>
    <w:p w14:paraId="1A5BC2CF" w14:textId="77777777" w:rsidR="004322B1" w:rsidRPr="00AD2F44" w:rsidRDefault="004322B1">
      <w:pPr>
        <w:pStyle w:val="14Footnote"/>
      </w:pPr>
      <w:r w:rsidRPr="00AD2F44">
        <w:rPr>
          <w:i/>
          <w:iCs/>
        </w:rPr>
        <w:t>Eleventh Circuit:</w:t>
      </w:r>
      <w:r w:rsidRPr="00AD2F44">
        <w:t xml:space="preserve"> Gonzalez v. TZ Ins. Sols., LLC, 2014 WL 1248154 (M.D. Fla. Mar. 26, 2014) (conditionally certifying collective action for time sales specialists spent before and after their shifts answering telephones and logging onto their computers); Robinson v. Ryla Teleservs., Inc., 2011 WL 6667338, at *3 (S.D. Ala. Dec. 21, 2011) (granting conditional certification to call center employees based on evidence that they performed essentially identical duties and alleged they performed unpaid work before their shifts).</w:t>
      </w:r>
    </w:p>
    <w:p w14:paraId="4D4D4ABA" w14:textId="77777777" w:rsidR="004322B1" w:rsidRPr="00AD2F44" w:rsidRDefault="004322B1">
      <w:pPr>
        <w:pStyle w:val="14Footnote"/>
      </w:pPr>
      <w:r w:rsidRPr="00AD2F44">
        <w:rPr>
          <w:i/>
          <w:iCs/>
        </w:rPr>
        <w:t>But see</w:t>
      </w:r>
      <w:r w:rsidRPr="00AD2F44">
        <w:t xml:space="preserve"> Adair v. Wisconsin Bell, Inc., 2008 WL 4224360, at *5–9 (E.D. Wis. Sept. 11, 2008) (denying conditional certification to call center employees across four facilities where plaintiffs failed to provide factual support for their allegation that employer had common policy requiring call center workers to work beyond their scheduled shift time, and defendant demonstrated that it did not compensate plaintiffs according to time logged into phone system as plaintiffs had originally alleged).</w:t>
      </w:r>
    </w:p>
  </w:footnote>
  <w:footnote w:id="197">
    <w:p w14:paraId="29389F02" w14:textId="77777777" w:rsidR="004322B1" w:rsidRPr="00AD2F44" w:rsidRDefault="004322B1">
      <w:pPr>
        <w:pStyle w:val="14Footnote"/>
      </w:pPr>
      <w:r w:rsidRPr="00AD2F44">
        <w:rPr>
          <w:vertAlign w:val="superscript"/>
        </w:rPr>
        <w:footnoteRef/>
      </w:r>
      <w:r w:rsidRPr="00AD2F44">
        <w:t>500 F. Supp. 2d 1181 (D. Minn. 2007).</w:t>
      </w:r>
    </w:p>
  </w:footnote>
  <w:footnote w:id="198">
    <w:p w14:paraId="7C38D69B" w14:textId="77777777" w:rsidR="004322B1" w:rsidRPr="00AD2F44" w:rsidRDefault="004322B1">
      <w:pPr>
        <w:pStyle w:val="14Footnote"/>
      </w:pPr>
      <w:r w:rsidRPr="00AD2F44">
        <w:rPr>
          <w:vertAlign w:val="superscript"/>
        </w:rPr>
        <w:footnoteRef/>
      </w:r>
      <w:r w:rsidRPr="00AD2F44">
        <w:t>2008 WL 4224360.</w:t>
      </w:r>
    </w:p>
  </w:footnote>
  <w:footnote w:id="199">
    <w:p w14:paraId="2B8DF212" w14:textId="77777777" w:rsidR="004322B1" w:rsidRPr="00AD2F44" w:rsidRDefault="004322B1">
      <w:pPr>
        <w:pStyle w:val="14Footnote"/>
      </w:pPr>
      <w:r w:rsidRPr="00AD2F44">
        <w:rPr>
          <w:vertAlign w:val="superscript"/>
        </w:rPr>
        <w:footnoteRef/>
      </w:r>
      <w:r w:rsidRPr="00AD2F44">
        <w:rPr>
          <w:i/>
          <w:iCs/>
        </w:rPr>
        <w:t>Id</w:t>
      </w:r>
      <w:r w:rsidRPr="00AD2F44">
        <w:t xml:space="preserve">. at *5–9; </w:t>
      </w:r>
      <w:r w:rsidRPr="00AD2F44">
        <w:rPr>
          <w:i/>
          <w:iCs/>
        </w:rPr>
        <w:t>see also</w:t>
      </w:r>
      <w:r w:rsidRPr="00AD2F44">
        <w:t xml:space="preserve"> Tussing v. Quality Res., Inc., 2009 WL 4350253, at *3 (M.D. Fla. Nov. 25, 2009) (denying conditional certification to putative class of “call center representatives,” where six affidavits submitted were “not substantial and detailed enough” to satisfy lenient standard for initial notice, plaintiffs sought to treat all jobs as fungible, which was not plausible, and plaintiffs even tried to include exempt employees).</w:t>
      </w:r>
    </w:p>
  </w:footnote>
  <w:footnote w:id="200">
    <w:p w14:paraId="7F8C5675" w14:textId="77777777" w:rsidR="004322B1" w:rsidRPr="00AD2F44" w:rsidRDefault="004322B1">
      <w:pPr>
        <w:pStyle w:val="14Footnote"/>
      </w:pPr>
      <w:r w:rsidRPr="00AD2F44">
        <w:rPr>
          <w:vertAlign w:val="superscript"/>
        </w:rPr>
        <w:footnoteRef/>
      </w:r>
      <w:r w:rsidRPr="00AD2F44">
        <w:t xml:space="preserve">In addition to pre- and post-shift donning or doffing time, many of these cases also involve similar work-related activities performed during unpaid meal breaks. </w:t>
      </w:r>
      <w:r w:rsidRPr="00AD2F44">
        <w:rPr>
          <w:i/>
          <w:iCs/>
        </w:rPr>
        <w:t>See, e.g.,</w:t>
      </w:r>
      <w:r w:rsidRPr="00AD2F44">
        <w:t xml:space="preserve"> Alvarez v. IBP, Inc., 339 F.3d 894, 913–14 (9th Cir. 2003), </w:t>
      </w:r>
      <w:r w:rsidRPr="00AD2F44">
        <w:rPr>
          <w:i/>
          <w:iCs/>
        </w:rPr>
        <w:t>aff’d</w:t>
      </w:r>
      <w:r w:rsidRPr="00AD2F44">
        <w:t>, IBP, Inc. v. Alvarez, 546 U.S. 21 (2005). See also Chapter 8, Compensable Hours, §IV.A [Application of Principles; Preparatory and Concluding Activities, As Distinct From Preliminary and Postliminary Activities].</w:t>
      </w:r>
    </w:p>
  </w:footnote>
  <w:footnote w:id="201">
    <w:p w14:paraId="45DDB001" w14:textId="77777777" w:rsidR="004322B1" w:rsidRPr="00AD2F44" w:rsidRDefault="004322B1">
      <w:pPr>
        <w:pStyle w:val="14Footnote"/>
      </w:pPr>
      <w:r w:rsidRPr="00AD2F44">
        <w:rPr>
          <w:vertAlign w:val="superscript"/>
        </w:rPr>
        <w:footnoteRef/>
      </w:r>
      <w:r w:rsidRPr="00AD2F44">
        <w:rPr>
          <w:i/>
        </w:rPr>
        <w:t>See, e.g.,</w:t>
      </w:r>
    </w:p>
    <w:p w14:paraId="64B5E69C" w14:textId="77777777" w:rsidR="004322B1" w:rsidRPr="00AD2F44" w:rsidRDefault="004322B1">
      <w:pPr>
        <w:pStyle w:val="14Footnote"/>
      </w:pPr>
      <w:r w:rsidRPr="00AD2F44">
        <w:rPr>
          <w:i/>
          <w:iCs/>
        </w:rPr>
        <w:t>Third Circuit:</w:t>
      </w:r>
      <w:r w:rsidRPr="00AD2F44">
        <w:t xml:space="preserve"> Potoski v. Wyoming Valley Health Care Sys., 2013 WL 6731035, at *1­–2 (M.D. Pa. Dec. 19, 2013) (conditionally certifying a “uniform maintenance class” because the employees made a sufficient showing that they were not permitted to maintain their uniforms “on the clock” or at work, they were not given access to equipment or facilities to perform the work during their shifts, and they spent eight hours each month washing, spot cleaning, drying, and ironing their uniforms).</w:t>
      </w:r>
    </w:p>
    <w:p w14:paraId="315CDD1E" w14:textId="77777777" w:rsidR="004322B1" w:rsidRPr="00AD2F44" w:rsidRDefault="004322B1">
      <w:pPr>
        <w:pStyle w:val="14Footnote"/>
      </w:pPr>
      <w:r w:rsidRPr="00AD2F44">
        <w:rPr>
          <w:i/>
          <w:iCs/>
        </w:rPr>
        <w:t>Fifth Circuit:</w:t>
      </w:r>
      <w:r w:rsidRPr="00AD2F44">
        <w:t xml:space="preserve"> Lopez v. Sam Kane Beef Processors, Inc., 2008 WL 565115, at *1–2 (S.D. Tex. Feb. 29, 2008) (granting conditional certification in action alleging uncompensated donning, doffing, waiting, and cleaning time on behalf of class of hourly employees, finding that defendant’s description of its “gang time” scheduling system and calculation of work time suggested a plantwide policy).</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529B97B2" w14:textId="77777777" w:rsidR="004322B1" w:rsidRPr="00AD2F44" w:rsidRDefault="004322B1">
      <w:pPr>
        <w:pStyle w:val="14Footnote"/>
      </w:pPr>
      <w:r w:rsidRPr="00AD2F44">
        <w:rPr>
          <w:i/>
          <w:iCs/>
        </w:rPr>
        <w:t>Seventh Circuit:</w:t>
      </w:r>
      <w:r w:rsidRPr="00AD2F44">
        <w:t xml:space="preserve"> Musch v. Domtar Indus., Inc., 252 F.R.D. 456, 458 (W.D. Wis. 2008) (granting certification to hourly maintenance employees at two paper mills who worked with hazardous chemicals and sought compensation for pre-shift time spent shaving face and donning protective equipment, and for post-shift time spent bathing and doffing protective equipment).</w:t>
      </w:r>
    </w:p>
    <w:p w14:paraId="361772AA" w14:textId="77777777" w:rsidR="004322B1" w:rsidRPr="00AD2F44" w:rsidRDefault="004322B1">
      <w:pPr>
        <w:pStyle w:val="14Footnote"/>
      </w:pPr>
      <w:r w:rsidRPr="00AD2F44">
        <w:rPr>
          <w:i/>
          <w:iCs/>
        </w:rPr>
        <w:t xml:space="preserve">Eighth Circuit: </w:t>
      </w:r>
      <w:r w:rsidRPr="00AD2F44">
        <w:t>Bowman v. Doe Run Res. Corp., 2014 WL 3579885 (E.D. Mo. July 21, 2014) (granting conditional certification based on showing of policy or plan requiring donning and doffing of clothing and equipment without pay).</w:t>
      </w:r>
    </w:p>
    <w:p w14:paraId="3C96A5EC" w14:textId="77777777" w:rsidR="004322B1" w:rsidRPr="00AD2F44" w:rsidRDefault="004322B1">
      <w:pPr>
        <w:pStyle w:val="14Footnote"/>
      </w:pPr>
      <w:r w:rsidRPr="00AD2F44">
        <w:rPr>
          <w:i/>
          <w:iCs/>
        </w:rPr>
        <w:t>Ninth Circuit:</w:t>
      </w:r>
      <w:r w:rsidRPr="00AD2F44">
        <w:t xml:space="preserve"> Talavera v. Sun-Maid Growers of Cal., 2016 WL 1073253, at *3 (E.D. Cal. Mar. 18, 2016) (granting conditional certification in donning/doffing case, based on evidence of company policies requiring use of gear and plaintiff’s two declarations that donning of such gear was uncompensated); Lewis v. Nevada Prop. 1, LLC, 2013 WL 1379696 (D. Nev. Apr. 8, 2014).</w:t>
      </w:r>
    </w:p>
    <w:p w14:paraId="7A68111E" w14:textId="77777777" w:rsidR="004322B1" w:rsidRPr="00AD2F44" w:rsidRDefault="004322B1">
      <w:pPr>
        <w:pStyle w:val="14Footnote"/>
      </w:pPr>
      <w:r w:rsidRPr="00AD2F44">
        <w:rPr>
          <w:i/>
          <w:iCs/>
        </w:rPr>
        <w:t>Eleventh Circuit:</w:t>
      </w:r>
      <w:r w:rsidRPr="00AD2F44">
        <w:t xml:space="preserve"> Daniel v. Quail Int’l, Inc., 2008 WL 3538564, at *2–3 (M.D. Ga. Aug. 11, 2008) (granting conditional certification to quail-processing workers for uncompensated donning, doffing, and cleaning activities).</w:t>
      </w:r>
    </w:p>
    <w:p w14:paraId="0565A98F" w14:textId="77777777" w:rsidR="004322B1" w:rsidRPr="00AD2F44" w:rsidRDefault="004322B1">
      <w:pPr>
        <w:pStyle w:val="14Footnote"/>
      </w:pPr>
      <w:r w:rsidRPr="00AD2F44">
        <w:rPr>
          <w:i/>
        </w:rPr>
        <w:t>But see</w:t>
      </w:r>
    </w:p>
    <w:p w14:paraId="28267797" w14:textId="77777777" w:rsidR="004322B1" w:rsidRPr="00AD2F44" w:rsidRDefault="004322B1">
      <w:pPr>
        <w:pStyle w:val="14Footnote"/>
      </w:pPr>
      <w:r w:rsidRPr="00AD2F44">
        <w:rPr>
          <w:i/>
          <w:iCs/>
        </w:rPr>
        <w:t xml:space="preserve">Third Circuit: </w:t>
      </w:r>
      <w:r w:rsidRPr="00AD2F44">
        <w:t xml:space="preserve">Chandler v. Heartland Emp. </w:t>
      </w:r>
      <w:r w:rsidRPr="002E55FE">
        <w:t xml:space="preserve">Servs., LLC, 2014 WL 1681989 (E.D. Pa. </w:t>
      </w:r>
      <w:r w:rsidRPr="00AD2F44">
        <w:t>Apr. 28, 2014) (denying certification because the plaintiffs failed to articulate how many facilities and employees were included in their proposed class, or that the putative class members were required to wear similar uniforms).</w:t>
      </w:r>
    </w:p>
    <w:p w14:paraId="66C6AEE0" w14:textId="77777777" w:rsidR="004322B1" w:rsidRPr="00AD2F44" w:rsidRDefault="004322B1">
      <w:pPr>
        <w:pStyle w:val="14Footnote"/>
      </w:pPr>
      <w:r w:rsidRPr="00AD2F44">
        <w:rPr>
          <w:i/>
          <w:iCs/>
        </w:rPr>
        <w:t xml:space="preserve">Sixth Circuit: </w:t>
      </w:r>
      <w:r w:rsidRPr="00AD2F44">
        <w:t>Pacheco v. Boar’s Head Provisions, Inc., 671 F. Supp. 2d 957, 966 (W.D. Mich. 2009) (rejecting conditional certification in donning and doffing case, where company had express policy of paying for donning and doffing time, and plaintiffs could not produce evidence of widespread violation of that policy to establish a common policy in violation of FLSA).</w:t>
      </w:r>
    </w:p>
  </w:footnote>
  <w:footnote w:id="202">
    <w:p w14:paraId="6F2FAB1A" w14:textId="77777777" w:rsidR="004322B1" w:rsidRPr="00AD2F44" w:rsidRDefault="004322B1">
      <w:pPr>
        <w:pStyle w:val="14Footnote"/>
      </w:pPr>
      <w:r w:rsidRPr="00AD2F44">
        <w:rPr>
          <w:vertAlign w:val="superscript"/>
        </w:rPr>
        <w:footnoteRef/>
      </w:r>
      <w:r w:rsidRPr="00AD2F44">
        <w:t>2005 WL 2240336 (D. Minn. Sept. 14, 2005).</w:t>
      </w:r>
    </w:p>
  </w:footnote>
  <w:footnote w:id="203">
    <w:p w14:paraId="12C3FB96" w14:textId="77777777" w:rsidR="004322B1" w:rsidRPr="00AD2F44" w:rsidRDefault="004322B1">
      <w:pPr>
        <w:pStyle w:val="14Footnote"/>
      </w:pPr>
      <w:r w:rsidRPr="00AD2F44">
        <w:rPr>
          <w:vertAlign w:val="superscript"/>
        </w:rPr>
        <w:footnoteRef/>
      </w:r>
      <w:r w:rsidRPr="00AD2F44">
        <w:rPr>
          <w:i/>
          <w:iCs/>
        </w:rPr>
        <w:t>Id.</w:t>
      </w:r>
      <w:r w:rsidRPr="00AD2F44">
        <w:t xml:space="preserve"> at *3.</w:t>
      </w:r>
    </w:p>
  </w:footnote>
  <w:footnote w:id="204">
    <w:p w14:paraId="039755C7" w14:textId="77777777" w:rsidR="004322B1" w:rsidRPr="00AD2F44" w:rsidRDefault="004322B1">
      <w:pPr>
        <w:pStyle w:val="14Footnote"/>
      </w:pPr>
      <w:r w:rsidRPr="00AD2F44">
        <w:rPr>
          <w:vertAlign w:val="superscript"/>
        </w:rPr>
        <w:footnoteRef/>
      </w:r>
      <w:r w:rsidRPr="00AD2F44">
        <w:t>Busler v. Enersys Energy Prods., 2009 WL 2998970, at *4 (W.D. Mo. Sept. 16, 2009) (reasoning that differences in pay policies at various plants did not defeat conditional certification where plaintiffs submitted sufficient evidence of common policy of not paying for donning, doffing, or showering); Lopez v. Tyson Foods, 2008 WL 3485289, at *9–10 (D. Neb. Aug. 7, 2008) (granting certification to poultry processing workers for uncompensated donning, doffing, cleaning, and walking time, finding similarities predominated even where workers used different equipment and were paid by varying methods and supervisors had discretion on overtime pay).</w:t>
      </w:r>
    </w:p>
  </w:footnote>
  <w:footnote w:id="205">
    <w:p w14:paraId="5FC2742E" w14:textId="77777777" w:rsidR="004322B1" w:rsidRPr="00AD2F44" w:rsidRDefault="004322B1">
      <w:pPr>
        <w:pStyle w:val="14Footnote"/>
      </w:pPr>
      <w:r w:rsidRPr="00AD2F44">
        <w:rPr>
          <w:vertAlign w:val="superscript"/>
        </w:rPr>
        <w:footnoteRef/>
      </w:r>
      <w:r w:rsidRPr="00AD2F44">
        <w:rPr>
          <w:i/>
        </w:rPr>
        <w:t>See, e.g.,</w:t>
      </w:r>
    </w:p>
    <w:p w14:paraId="41EFEE17" w14:textId="77777777" w:rsidR="004322B1" w:rsidRPr="00AD2F44" w:rsidRDefault="004322B1">
      <w:pPr>
        <w:pStyle w:val="14Footnote"/>
      </w:pPr>
      <w:r w:rsidRPr="00AD2F44">
        <w:rPr>
          <w:i/>
          <w:iCs/>
        </w:rPr>
        <w:t>Fifth Circuit:</w:t>
      </w:r>
      <w:r w:rsidRPr="00AD2F44">
        <w:t xml:space="preserve"> West v. Lowes Homes Ctrs., Inc., 2010 WL 5582941, at *1 (W.D. La. Dec. 16, 2010), </w:t>
      </w:r>
      <w:r w:rsidRPr="00AD2F44">
        <w:rPr>
          <w:i/>
          <w:iCs/>
        </w:rPr>
        <w:t>report and recommendation adopted sub nom.</w:t>
      </w:r>
      <w:r w:rsidRPr="00AD2F44">
        <w:t xml:space="preserve"> West v. Lowes Home Ctrs., Inc., 2011 WL 126908 (W.D. La. Jan. 14, 2011); King v. Koch Foods LLC, 2007 WL 1098488 (S.D. Miss. Apr. 10, 2007) (granting certification of donning and doffing claims to include both production and nonproduction hourly workers).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2C8DB8FB" w14:textId="77777777" w:rsidR="004322B1" w:rsidRPr="00AD2F44" w:rsidRDefault="004322B1">
      <w:pPr>
        <w:pStyle w:val="14Footnote"/>
      </w:pPr>
      <w:r w:rsidRPr="00AD2F44">
        <w:rPr>
          <w:i/>
          <w:iCs/>
        </w:rPr>
        <w:t>Eighth Circuit:</w:t>
      </w:r>
      <w:r w:rsidRPr="00AD2F44">
        <w:t xml:space="preserve"> Martinez v. Cargill Meat Sols., 265 F.R.D. 490, 498 (D. Neb. 2009) (granting conditional certification and notice to all employees at facility paid on “gang time” despite disparities in job duties, equipment worn, choice to don and doff certain equipment at work, character of equipment as integral and indispensable, and time spent on donning and doffing as de minimis); Dege v. Hutchinson Tech., Inc., 2007 WL 586787 (D. Minn. Feb. 22, 2007) (allowing plaintiffs to expand collective action by production employees who donned and doffed protective gear to avoid product contamination of medical devices and disk drives to include maintenance and other nonproduction employees).</w:t>
      </w:r>
    </w:p>
    <w:p w14:paraId="53FE39BE" w14:textId="77777777" w:rsidR="004322B1" w:rsidRPr="00AD2F44" w:rsidRDefault="004322B1">
      <w:pPr>
        <w:pStyle w:val="14Footnote"/>
      </w:pPr>
      <w:r w:rsidRPr="00AD2F44">
        <w:rPr>
          <w:i/>
          <w:iCs/>
        </w:rPr>
        <w:t>Ninth Circuit:</w:t>
      </w:r>
      <w:r w:rsidRPr="00AD2F44">
        <w:t xml:space="preserve"> Centurioni v. City &amp; Cnty. of S.F., 2008 WL 295096, at *2 (N.D. Cal. Feb. 1, 2008) (certifying a collective action by police officers over employer’s objection that pre- and post-shift activities may vary by employee’s job position).</w:t>
      </w:r>
    </w:p>
  </w:footnote>
  <w:footnote w:id="206">
    <w:p w14:paraId="5AFA0F94"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AD2F44">
        <w:rPr>
          <w:i/>
          <w:iCs/>
        </w:rPr>
        <w:t>In re</w:t>
      </w:r>
      <w:r w:rsidRPr="00AD2F44">
        <w:t xml:space="preserve"> Pilgrim’s Pride Fair Labor Standards Act Litig., 2008 WL 4877239 (W.D. Ark. Mar. 13, 2008) (granting companywide conditional certification to poultry processing workers at 21 facilities in multiple actions consolidated in multidistrict proceeding where workers from 18 facilities provided declarations and those from 20 facilities filed consents); Allen v. McWane, Inc.¸ 2006 WL 3246531 (E.D. Tex. Nov. 7, 2006) (granting conditional certification in action by manufacturing workers for unpaid donning, doffing, and walking time on behalf of class of employees at 13 facilities based on declarations from workers at six of facilities).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footnote>
  <w:footnote w:id="207">
    <w:p w14:paraId="46348DA3" w14:textId="77777777" w:rsidR="004322B1" w:rsidRPr="00AD2F44" w:rsidRDefault="004322B1">
      <w:pPr>
        <w:pStyle w:val="14Footnote"/>
      </w:pPr>
      <w:r w:rsidRPr="00AD2F44">
        <w:rPr>
          <w:vertAlign w:val="superscript"/>
        </w:rPr>
        <w:footnoteRef/>
      </w:r>
      <w:r w:rsidRPr="00AD2F44">
        <w:rPr>
          <w:i/>
        </w:rPr>
        <w:t xml:space="preserve">See, e.g., </w:t>
      </w:r>
    </w:p>
    <w:p w14:paraId="692A7D21" w14:textId="77777777" w:rsidR="004322B1" w:rsidRPr="00AD2F44" w:rsidRDefault="004322B1">
      <w:pPr>
        <w:pStyle w:val="14Footnote"/>
      </w:pPr>
      <w:r w:rsidRPr="00AD2F44">
        <w:rPr>
          <w:i/>
          <w:iCs/>
        </w:rPr>
        <w:t xml:space="preserve">Fifth Circuit: </w:t>
      </w:r>
      <w:r w:rsidRPr="00AD2F44">
        <w:t xml:space="preserve">Nelson v. American Standard, Inc., 2008 WL 906324, at *1, 4 (E.D. Tex. Mar. 31, 2008) (granting certification to employees at 8 of 17 facilities in donning and doffing action brought by hourly line employees, but denying certification at remaining facilities).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1E0F4FCE" w14:textId="77777777" w:rsidR="004322B1" w:rsidRPr="00AD2F44" w:rsidRDefault="004322B1">
      <w:pPr>
        <w:pStyle w:val="14Footnote"/>
      </w:pPr>
      <w:r w:rsidRPr="00AD2F44">
        <w:rPr>
          <w:i/>
          <w:iCs/>
        </w:rPr>
        <w:t xml:space="preserve">Sixth Circuit: </w:t>
      </w:r>
      <w:r w:rsidRPr="00AD2F44">
        <w:t>Carlson v. Leprino Foods Co., 2006 WL 1851245, at *2–3, 5–6 (W.D. Mich. June 30, 2006) (denying nationwide notice to workers in nine facilities, but authorizing notice to single plant from which employees submitted affidavits; finding that factual differences in compensation policies and donning and doffing practices frustrated judicial economy).</w:t>
      </w:r>
    </w:p>
    <w:p w14:paraId="4C754C21" w14:textId="77777777" w:rsidR="004322B1" w:rsidRPr="00AD2F44" w:rsidRDefault="004322B1">
      <w:pPr>
        <w:pStyle w:val="14Footnote"/>
      </w:pPr>
      <w:r w:rsidRPr="00AD2F44">
        <w:rPr>
          <w:i/>
          <w:iCs/>
        </w:rPr>
        <w:t xml:space="preserve">Seventh Circuit: </w:t>
      </w:r>
      <w:r w:rsidRPr="00AD2F44">
        <w:t>Solsol v. Scrub, Inc., 2015 WL 1943888 (N.D. Ill. Apr. 27, 2015) (granting conditional certification to janitors at O’Hare airport but denying certification to non-airport workers as no evidence presented concerning non-airport locations).</w:t>
      </w:r>
    </w:p>
  </w:footnote>
  <w:footnote w:id="208">
    <w:p w14:paraId="4AF673F7" w14:textId="77777777" w:rsidR="004322B1" w:rsidRPr="00AD2F44" w:rsidRDefault="004322B1">
      <w:pPr>
        <w:pStyle w:val="14Footnote"/>
      </w:pPr>
      <w:r w:rsidRPr="00AD2F44">
        <w:rPr>
          <w:vertAlign w:val="superscript"/>
        </w:rPr>
        <w:footnoteRef/>
      </w:r>
      <w:r w:rsidRPr="00AD2F44">
        <w:rPr>
          <w:i/>
        </w:rPr>
        <w:t>See, e.g.,</w:t>
      </w:r>
    </w:p>
    <w:p w14:paraId="6BCBACBC" w14:textId="77777777" w:rsidR="004322B1" w:rsidRPr="00AD2F44" w:rsidRDefault="004322B1">
      <w:pPr>
        <w:pStyle w:val="14Footnote"/>
      </w:pPr>
      <w:r w:rsidRPr="00AD2F44">
        <w:rPr>
          <w:i/>
          <w:iCs/>
        </w:rPr>
        <w:t>Second Circuit:</w:t>
      </w:r>
      <w:r w:rsidRPr="00AD2F44">
        <w:t xml:space="preserve"> Hanchard-James v. Brookdale Family Care Ctrs., 2012 WL 3288810 (E.D.N.Y. Aug. 9, 2012).</w:t>
      </w:r>
    </w:p>
    <w:p w14:paraId="7FAE989C" w14:textId="77777777" w:rsidR="004322B1" w:rsidRPr="00AD2F44" w:rsidRDefault="004322B1">
      <w:pPr>
        <w:pStyle w:val="14Footnote"/>
      </w:pPr>
      <w:r w:rsidRPr="00AD2F44">
        <w:rPr>
          <w:i/>
          <w:iCs/>
        </w:rPr>
        <w:t>Third Circuit:</w:t>
      </w:r>
      <w:r w:rsidRPr="00AD2F44">
        <w:t xml:space="preserve"> Aboud v. City of Wildwood, 2013 WL 2156248, at *5–6 (D.N.J. May 17, 2013) (granting conditional certification where plaintiffs sufficiently demonstrated that their meal breaks were compensable, because collective bargaining agreements specified that they were subject to recall during their breaks).</w:t>
      </w:r>
    </w:p>
    <w:p w14:paraId="6821A3A9" w14:textId="77777777" w:rsidR="004322B1" w:rsidRPr="00AD2F44" w:rsidRDefault="004322B1">
      <w:pPr>
        <w:pStyle w:val="14Footnote"/>
      </w:pPr>
      <w:r w:rsidRPr="00AD2F44">
        <w:rPr>
          <w:i/>
          <w:iCs/>
        </w:rPr>
        <w:t xml:space="preserve">Fourth Circuit: </w:t>
      </w:r>
      <w:r w:rsidRPr="00AD2F44">
        <w:t>Flores v. Unity Disposal &amp; Recycling, LLC, 2015 WL 1523018 (D. Md. Apr. 2, 2015) (granting conditional certification where company automatically deducted 30-minute meal break).</w:t>
      </w:r>
    </w:p>
    <w:p w14:paraId="6D90887F" w14:textId="77777777" w:rsidR="004322B1" w:rsidRPr="00AD2F44" w:rsidRDefault="004322B1">
      <w:pPr>
        <w:pStyle w:val="14Footnote"/>
      </w:pPr>
      <w:r w:rsidRPr="00AD2F44">
        <w:rPr>
          <w:i/>
          <w:iCs/>
        </w:rPr>
        <w:t>Fifth Circuit:</w:t>
      </w:r>
      <w:r w:rsidRPr="00AD2F44">
        <w:t xml:space="preserve"> Behnken v. Luminant Mining Co., LLC, 997 F. Supp. 2d 511, 514 (N.D. Tex. 2014) (granting conditional certification where plaintiffs showed that meal break policies were same for all employees in class); Corcione v. Methodist Hosp., 2014 WL 6388039 (S.D. Tex. Nov. 14, 2014) (granting conditional certification for nurses at three locations based on policy of automatically deducting meal breaks).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5CD164E0" w14:textId="77777777" w:rsidR="004322B1" w:rsidRPr="00AD2F44" w:rsidRDefault="004322B1">
      <w:pPr>
        <w:pStyle w:val="14Footnote"/>
      </w:pPr>
      <w:r w:rsidRPr="00AD2F44">
        <w:rPr>
          <w:i/>
          <w:iCs/>
        </w:rPr>
        <w:t>Sixth Circuit:</w:t>
      </w:r>
      <w:r w:rsidRPr="00AD2F44">
        <w:t xml:space="preserve"> Knecht v. C&amp;W Facility Servs., 534 F. Supp. 3d 870 (S.D. Ohio 2021) (granting conditional certification on unpaid overtime claims based on meal break violations, but narrowing collective definition to hourly, non-exempt maintenance employees who worked more than 40 hours in a workweek, had 30-minute meal periods automatically deducted from their work time, and were unable to take full meal break); Stine v. FedEx Ground Package Sys., Inc., 2019 WL 2518127, at *3–5 (E.D. Ky. June 18, 2019) (granting conditional certification in meal-break violation case where plaintiff produced one declaration in support of motion, noting that courts do not weigh competing evidence, inquire into plaintiff’s credibility, or consider factual disputes at notice stage); Miller v. Jackson, 2011 WL 1060737, at *7 (M.D. Tenn. Mar. 21, 2011) (granting conditional certification for nonexempt employees subject to automatic meal period deduction policy based on allegations that plaintiffs had to work through meal periods); Crawford v. Lexington-Fayette Urban Cnty. Gov’t, 2007 WL 293865 (E.D. Ky. Jan. 26, 2007) (finding a common policy of failure to pay for time worked during meal breaks where employer had no policy on breaks and employee treatment depended on individual commander, but plaintiffs provided a reasonable basis to demonstrate they were similarly situated by testifying that the employer had a common policy of requiring work during breaks and where a survey, although inadmissible hearsay, demonstrated most respondents had missed or worked during breaks).</w:t>
      </w:r>
    </w:p>
    <w:p w14:paraId="6817BF36" w14:textId="77777777" w:rsidR="004322B1" w:rsidRPr="00AD2F44" w:rsidRDefault="004322B1">
      <w:pPr>
        <w:pStyle w:val="14Footnote"/>
      </w:pPr>
      <w:r w:rsidRPr="00AD2F44">
        <w:rPr>
          <w:i/>
          <w:iCs/>
        </w:rPr>
        <w:t>Seventh Circuit:</w:t>
      </w:r>
      <w:r w:rsidRPr="00AD2F44">
        <w:t xml:space="preserve"> Ballou v. iTalk, LLC, 2013 WL 3944193 (N.D. Ill. July 31, 2013); Blakes v. Illinois Bell Tel. Co., 2011 WL 2446598, at *3–4 (N.D. Ill. June 15, 2011) (granting conditional certification to putative class of cable splicers alleging that they had to enter 30-minute meal breaks on their timesheets, but that they were forced to work through their meal breaks because they had to maintain safety of worksite and travel from worksite to worksite, reasoning that common policy was shown for purposes of conditional certification primarily on strength of allegation that employees “were required to maintain the safety of their work site throughout their presence at the assigned location, and that this requirement routinely force[d] them to work through their lunch break” and, “on shakier ground,” that their travel from worksite to worksite prevented them from taking a lunch break); Brabazon v. Aurora Health Care, Inc., 2011 WL 1131097, at *3 (E.D. Wis. Mar. 28, 2011) (granting conditional certification for security officers based on two policies—automatic meal period deduction policy and policy to remain available to respond to emergencies at all times—where it was undisputed both policies applied to all security guards, because even though automatic deduction policy is not sufficient on its own to warrant conditional certification, having to be available potentially violated FLSA).</w:t>
      </w:r>
    </w:p>
    <w:p w14:paraId="720F72A6" w14:textId="77777777" w:rsidR="004322B1" w:rsidRPr="00AD2F44" w:rsidRDefault="004322B1">
      <w:pPr>
        <w:pStyle w:val="14Footnote"/>
      </w:pPr>
      <w:r w:rsidRPr="00AD2F44">
        <w:rPr>
          <w:i/>
          <w:iCs/>
        </w:rPr>
        <w:t>Eighth Circuit:</w:t>
      </w:r>
      <w:r w:rsidRPr="00AD2F44">
        <w:t xml:space="preserve"> Knaak v. Armour-Eckrich Meats, LLC, 991 F. Supp. 2d 1052 (D. Minn. 2014).</w:t>
      </w:r>
    </w:p>
    <w:p w14:paraId="55AE4A0E" w14:textId="77777777" w:rsidR="004322B1" w:rsidRPr="00AD2F44" w:rsidRDefault="004322B1">
      <w:pPr>
        <w:pStyle w:val="14Footnote"/>
      </w:pPr>
      <w:r w:rsidRPr="00AD2F44">
        <w:rPr>
          <w:i/>
          <w:iCs/>
        </w:rPr>
        <w:t>Ninth Circuit:</w:t>
      </w:r>
      <w:r w:rsidRPr="00AD2F44">
        <w:t xml:space="preserve"> Edwards v. City of Long Beach, 467 F. Supp. 2d 986 (C.D. Cal. 2006).</w:t>
      </w:r>
    </w:p>
    <w:p w14:paraId="1A5BEFC0" w14:textId="77777777" w:rsidR="004322B1" w:rsidRPr="00AD2F44" w:rsidRDefault="004322B1">
      <w:pPr>
        <w:pStyle w:val="14Footnote"/>
      </w:pPr>
      <w:r w:rsidRPr="00AD2F44">
        <w:rPr>
          <w:i/>
          <w:iCs/>
        </w:rPr>
        <w:t>Eleventh Circuit:</w:t>
      </w:r>
      <w:r w:rsidRPr="00AD2F44">
        <w:t xml:space="preserve"> Ohsann v. L.V. Stabler Hosp., 2008 WL 2468559, at *1–2 (M.D. Ala. June 17, 2008).</w:t>
      </w:r>
    </w:p>
  </w:footnote>
  <w:footnote w:id="209">
    <w:p w14:paraId="54096B78" w14:textId="77777777" w:rsidR="004322B1" w:rsidRPr="00AD2F44" w:rsidRDefault="004322B1">
      <w:pPr>
        <w:pStyle w:val="14Footnote"/>
      </w:pPr>
      <w:r w:rsidRPr="00AD2F44">
        <w:rPr>
          <w:vertAlign w:val="superscript"/>
        </w:rPr>
        <w:footnoteRef/>
      </w:r>
      <w:r w:rsidRPr="00AD2F44">
        <w:t>2007 WL 3145980 (W.D. Ky. Oct. 25, 2007).</w:t>
      </w:r>
    </w:p>
  </w:footnote>
  <w:footnote w:id="210">
    <w:p w14:paraId="086CC8D1" w14:textId="77777777" w:rsidR="004322B1" w:rsidRPr="00AD2F44" w:rsidRDefault="004322B1">
      <w:pPr>
        <w:pStyle w:val="14Footnote"/>
      </w:pPr>
      <w:r w:rsidRPr="00AD2F44">
        <w:rPr>
          <w:vertAlign w:val="superscript"/>
        </w:rPr>
        <w:footnoteRef/>
      </w:r>
      <w:r w:rsidRPr="00AD2F44">
        <w:rPr>
          <w:i/>
          <w:iCs/>
        </w:rPr>
        <w:t>Id</w:t>
      </w:r>
      <w:r w:rsidRPr="00AD2F44">
        <w:t>. at *3.</w:t>
      </w:r>
    </w:p>
  </w:footnote>
  <w:footnote w:id="211">
    <w:p w14:paraId="5060B4D2" w14:textId="77777777" w:rsidR="004322B1" w:rsidRPr="00AD2F44" w:rsidRDefault="004322B1">
      <w:pPr>
        <w:pStyle w:val="14Footnote"/>
      </w:pPr>
      <w:r w:rsidRPr="00AD2F44">
        <w:rPr>
          <w:vertAlign w:val="superscript"/>
        </w:rPr>
        <w:footnoteRef/>
      </w:r>
      <w:r w:rsidRPr="00AD2F44">
        <w:t>465 F. Supp. 2d 224 (W.D.N.Y. 2006).</w:t>
      </w:r>
    </w:p>
  </w:footnote>
  <w:footnote w:id="212">
    <w:p w14:paraId="2905AD4A" w14:textId="77777777" w:rsidR="004322B1" w:rsidRPr="00AD2F44" w:rsidRDefault="004322B1">
      <w:pPr>
        <w:pStyle w:val="14Footnote"/>
      </w:pPr>
      <w:r w:rsidRPr="00AD2F44">
        <w:rPr>
          <w:vertAlign w:val="superscript"/>
        </w:rPr>
        <w:footnoteRef/>
      </w:r>
      <w:r w:rsidRPr="00AD2F44">
        <w:rPr>
          <w:i/>
          <w:iCs/>
        </w:rPr>
        <w:t>Id.</w:t>
      </w:r>
      <w:r w:rsidRPr="00AD2F44">
        <w:t xml:space="preserve"> at 230. </w:t>
      </w:r>
    </w:p>
  </w:footnote>
  <w:footnote w:id="213">
    <w:p w14:paraId="59D5B0EB" w14:textId="77777777" w:rsidR="004322B1" w:rsidRPr="00AD2F44" w:rsidRDefault="004322B1">
      <w:pPr>
        <w:pStyle w:val="14Footnote"/>
      </w:pPr>
      <w:r w:rsidRPr="00AD2F44">
        <w:rPr>
          <w:vertAlign w:val="superscript"/>
        </w:rPr>
        <w:footnoteRef/>
      </w:r>
      <w:r w:rsidRPr="00AD2F44">
        <w:rPr>
          <w:i/>
          <w:iCs/>
        </w:rPr>
        <w:t>See, e.g.,</w:t>
      </w:r>
      <w:r w:rsidRPr="00AD2F44">
        <w:t xml:space="preserve"> Trembley v. Chevron Stations, Inc., 2008 WL 2020514 (N.D. Cal. May 8, 2008) (granting conditional certification for time worked during breaks by employees who worked graveyard shifts).</w:t>
      </w:r>
    </w:p>
  </w:footnote>
  <w:footnote w:id="214">
    <w:p w14:paraId="75F11AAF" w14:textId="77777777" w:rsidR="004322B1" w:rsidRPr="00AD2F44" w:rsidRDefault="004322B1">
      <w:pPr>
        <w:pStyle w:val="14Footnote"/>
      </w:pPr>
      <w:r w:rsidRPr="00AD2F44">
        <w:rPr>
          <w:vertAlign w:val="superscript"/>
        </w:rPr>
        <w:footnoteRef/>
      </w:r>
      <w:r w:rsidRPr="00AD2F44">
        <w:rPr>
          <w:i/>
        </w:rPr>
        <w:t>See, e.g.,</w:t>
      </w:r>
    </w:p>
    <w:p w14:paraId="3D999A52" w14:textId="77777777" w:rsidR="004322B1" w:rsidRPr="00AD2F44" w:rsidRDefault="004322B1">
      <w:pPr>
        <w:pStyle w:val="14Footnote"/>
      </w:pPr>
      <w:r w:rsidRPr="00AD2F44">
        <w:rPr>
          <w:i/>
          <w:iCs/>
        </w:rPr>
        <w:t>Third Circuit:</w:t>
      </w:r>
      <w:r w:rsidRPr="00AD2F44">
        <w:t xml:space="preserve"> Camesi v. University of Pittsburgh Med. Ctr., 2009 WL 1361265, at *5 (W.D. Pa. May 14, 2009) (granting conditional certification where employer’s policy automatically deducted 30 minutes for lunch for all hourly employees, even if only nurses submitted affidavits).</w:t>
      </w:r>
    </w:p>
    <w:p w14:paraId="48C2013F" w14:textId="77777777" w:rsidR="004322B1" w:rsidRPr="00AD2F44" w:rsidRDefault="004322B1">
      <w:pPr>
        <w:pStyle w:val="14Footnote"/>
      </w:pPr>
      <w:r w:rsidRPr="00AD2F44">
        <w:rPr>
          <w:i/>
          <w:iCs/>
        </w:rPr>
        <w:t>Sixth Circuit:</w:t>
      </w:r>
      <w:r w:rsidRPr="00AD2F44">
        <w:t xml:space="preserve"> Tyler v. Taco Bell Corp., 2016 U.S. Dist. Lexis 58549 (W.D. Tenn. May 3, 2016) (granting conditional certification as to certain locations, limiting it to those where plaintiff showed that assistant general managers were misclassified); Lindberg v. UHS of Lakeside, LLC, 761 F. Supp. 2d 752, 763–64 (W.D. Tenn. 2011) (conditionally certifying class of nonexempt employees, refusing to limit scope to direct care positions, because putative class members were all subject to same alleged unlawful practice of performing work during unpaid meal breaks).</w:t>
      </w:r>
    </w:p>
    <w:p w14:paraId="55B6B656" w14:textId="77777777" w:rsidR="004322B1" w:rsidRDefault="004322B1">
      <w:pPr>
        <w:pStyle w:val="14Footnote"/>
      </w:pPr>
      <w:r w:rsidRPr="00AD2F44">
        <w:rPr>
          <w:i/>
          <w:iCs/>
        </w:rPr>
        <w:t>Seventh Circuit:</w:t>
      </w:r>
      <w:r w:rsidRPr="00AD2F44">
        <w:t xml:space="preserve"> Fosbinder-Bittorf v. SSM Health Care of Wis., Inc., 2013 WL 3287634, at *5–7 (W.D. Wis. Mar. 21, 2013) (granting conditional certification on meal break claims involving automatic meal-period deduction, based on allegation that nurses regularly had to work through breaks or were interrupted so often that employer knew or should have known breaks were compensable, and holding any individual factual determinations were not necessary to determine at initial stage); Craft v. Ray’s, LLC, 2008 WL 4810546, at *2 (S.D. Ind. Oct. 29, 2008) (conditionally certifying class of drivers and “slingers” for trash removal service where plaintiffs submitted evidence that they were all subject to automatic 20-minute meal break deduction, regardless of whether they took meal break).</w:t>
      </w:r>
    </w:p>
    <w:p w14:paraId="5D7DE306" w14:textId="77777777" w:rsidR="004322B1" w:rsidRPr="00EB29EE" w:rsidRDefault="004322B1">
      <w:pPr>
        <w:pStyle w:val="14Footnote"/>
      </w:pPr>
      <w:r>
        <w:rPr>
          <w:i/>
          <w:iCs/>
        </w:rPr>
        <w:t>Eighth Circuit:</w:t>
      </w:r>
      <w:r>
        <w:t xml:space="preserve"> Peck v. Mercy Health, </w:t>
      </w:r>
      <w:r w:rsidRPr="00E35884">
        <w:t>2022 BL 462015</w:t>
      </w:r>
      <w:r>
        <w:t xml:space="preserve">, </w:t>
      </w:r>
      <w:r w:rsidRPr="002E55FE">
        <w:t>2022 WL 17961184</w:t>
      </w:r>
      <w:r>
        <w:t>, at *5 (E.D. Mo. Dec. 27, 2022) (granting conditional certification to direct patient care personnel based on sufficient evidence and the “low standard” at this stage that they were subject to an automatic meal-break deduction policy, often unable to take breaks based on the workload, and were discouraged from canceling the automatic deduction if they could not take the break).</w:t>
      </w:r>
    </w:p>
    <w:p w14:paraId="417B3898" w14:textId="77777777" w:rsidR="004322B1" w:rsidRPr="00AD2F44" w:rsidRDefault="004322B1">
      <w:pPr>
        <w:pStyle w:val="14Footnote"/>
      </w:pPr>
      <w:r w:rsidRPr="00AD2F44">
        <w:rPr>
          <w:i/>
          <w:iCs/>
        </w:rPr>
        <w:t>Eleventh Circuit:</w:t>
      </w:r>
      <w:r w:rsidRPr="00AD2F44">
        <w:t xml:space="preserve"> </w:t>
      </w:r>
      <w:r w:rsidRPr="00AD2F44">
        <w:rPr>
          <w:i/>
          <w:iCs/>
        </w:rPr>
        <w:t>Ohsann</w:t>
      </w:r>
      <w:r w:rsidRPr="00AD2F44">
        <w:t>, 2008 WL 2468559, at *1–2 (granting collective action certification to nurses, clerks, pharmacy technicians, and emergency room admission technicians where employer automatically deducted meal periods and workers asserted they were required to work during unpaid breaks due to a heavy workload in understaffed facility); Brown v. Maximum Efficiency Squared, LLC, 2008 WL 1924983, at *1–2 (M.D. Ala. Apr. 30, 2008) (granting conditional certification for time worked during lunch periods where workers had different job duties but automatic deduction of lunch period from pay was the same).</w:t>
      </w:r>
    </w:p>
  </w:footnote>
  <w:footnote w:id="215">
    <w:p w14:paraId="2F36E9C6" w14:textId="77777777" w:rsidR="004322B1" w:rsidRPr="00AD2F44" w:rsidRDefault="004322B1">
      <w:pPr>
        <w:pStyle w:val="14Footnote"/>
      </w:pPr>
      <w:r w:rsidRPr="00AD2F44">
        <w:rPr>
          <w:vertAlign w:val="superscript"/>
        </w:rPr>
        <w:footnoteRef/>
      </w:r>
      <w:r w:rsidRPr="00AD2F44">
        <w:rPr>
          <w:i/>
          <w:iCs/>
        </w:rPr>
        <w:t>See, e.g.,</w:t>
      </w:r>
      <w:r w:rsidRPr="00AD2F44">
        <w:t xml:space="preserve"> Edwards v. City of Long Beach, 467 F. Supp. 2d 986 (C.D. Cal. 2006) (granting conditional certification to officers ranked lieutenant and below where plaintiffs submitted affidavits and supporting exhibits that named plaintiff and others routinely worked through breaks).</w:t>
      </w:r>
    </w:p>
  </w:footnote>
  <w:footnote w:id="216">
    <w:p w14:paraId="68B32080" w14:textId="77777777" w:rsidR="004322B1" w:rsidRPr="00AD2F44" w:rsidRDefault="004322B1">
      <w:pPr>
        <w:pStyle w:val="14Footnote"/>
      </w:pPr>
      <w:r w:rsidRPr="00AD2F44">
        <w:rPr>
          <w:vertAlign w:val="superscript"/>
        </w:rPr>
        <w:footnoteRef/>
      </w:r>
      <w:r w:rsidRPr="00AD2F44">
        <w:rPr>
          <w:i/>
          <w:iCs/>
        </w:rPr>
        <w:t>See, e.g.,</w:t>
      </w:r>
      <w:r w:rsidRPr="00AD2F44">
        <w:t xml:space="preserve"> Phelps v. Parsons Tech. Support, Inc., 2010 WL 4386918, at *5 (S.D. Ind. Oct. 29, 2010) (limiting conditional certification to others in same job position, because plaintiffs did not show that individuals in other job positions were similarly situated “with respect to the work-related activities for which [plaintiffs] allege they were not paid overtime”); Sherrill v. Sutherland Global Serv., Inc., 487 F. Supp. 2d 344 (W.D.N.Y. 2007) (granting conditional certification to telemarketing agents at call centers where plaintiffs submitted affidavits from workers at 10 of 11 facilities alleging uncompensated work during breaks, but denying certification to proposed class of all hourly employees because affidavits submitted only by telemarketers).</w:t>
      </w:r>
    </w:p>
  </w:footnote>
  <w:footnote w:id="217">
    <w:p w14:paraId="3AF2CAF5" w14:textId="77777777" w:rsidR="004322B1" w:rsidRPr="00AD2F44" w:rsidRDefault="004322B1">
      <w:pPr>
        <w:pStyle w:val="14Footnote"/>
      </w:pPr>
      <w:r w:rsidRPr="00AD2F44">
        <w:rPr>
          <w:vertAlign w:val="superscript"/>
        </w:rPr>
        <w:footnoteRef/>
      </w:r>
      <w:r w:rsidRPr="00AD2F44">
        <w:rPr>
          <w:i/>
          <w:iCs/>
        </w:rPr>
        <w:t>See, e.g.,</w:t>
      </w:r>
      <w:r w:rsidRPr="00AD2F44">
        <w:t xml:space="preserve"> Updite v. Delta Beverage Grp., Inc., 2006 WL 3718229 (W.D. La. Dec. 15, 2006) (granting plaintiffs’ motion to expand certified action from one to two facilities based on one affidavit by an employee at second facility alleging that she and 10 to 15 other employees had been uncompensated, noting judicial economy favored certification since defendant would otherwise face two suits).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footnote>
  <w:footnote w:id="218">
    <w:p w14:paraId="0F60E788" w14:textId="77777777" w:rsidR="004322B1" w:rsidRPr="00AD2F44" w:rsidRDefault="004322B1">
      <w:pPr>
        <w:pStyle w:val="14Footnote"/>
      </w:pPr>
      <w:r w:rsidRPr="00AD2F44">
        <w:rPr>
          <w:vertAlign w:val="superscript"/>
        </w:rPr>
        <w:footnoteRef/>
      </w:r>
      <w:r w:rsidRPr="00AD2F44">
        <w:rPr>
          <w:i/>
          <w:iCs/>
        </w:rPr>
        <w:t>See, e.g.,</w:t>
      </w:r>
      <w:r w:rsidRPr="00AD2F44">
        <w:t xml:space="preserve"> Colozzi v. St. Joseph’s Hosp. Health Ctr., 595 F. Supp. 2d 200 (N.D.N.Y. 2009) (granting conditional certification but limiting putative class to nurses with direct patient care responsibilities and who were subject to automatic meal period deduction); Mares v. Caesars Entm’t, Inc., 2007 WL 118877 (S.D. Ind. Jan. 10, 2007) (limiting certification of claims alleging failure to compensate security guards for mandatory 15-minute pre-shift meetings and work performed during break periods to the casino where plaintiff worked, and denying certification to officers at other casinos nationwide, finding insufficient plaintiff’s hearsay testimony based on conversations with officers at other casinos).</w:t>
      </w:r>
    </w:p>
  </w:footnote>
  <w:footnote w:id="219">
    <w:p w14:paraId="139F0DAC" w14:textId="77777777" w:rsidR="004322B1" w:rsidRPr="00AD2F44" w:rsidRDefault="004322B1">
      <w:pPr>
        <w:pStyle w:val="14Footnote"/>
      </w:pPr>
      <w:r w:rsidRPr="00AD2F44">
        <w:rPr>
          <w:vertAlign w:val="superscript"/>
        </w:rPr>
        <w:footnoteRef/>
      </w:r>
      <w:r w:rsidRPr="00AD2F44">
        <w:t xml:space="preserve">Weil v. Metal Techs., Inc., 2016 WL 286396, at *9 (S.D. Ind. Jan. 25, 2016); </w:t>
      </w:r>
      <w:r w:rsidRPr="00AD2F44">
        <w:rPr>
          <w:i/>
          <w:iCs/>
        </w:rPr>
        <w:t>see also</w:t>
      </w:r>
      <w:r w:rsidRPr="00AD2F44">
        <w:t xml:space="preserve"> Hypolite v. Health Care Servs. of N.Y., Inc., 256 F. Supp. 3d 485, 495–96 (S.D.N.Y. 2017) (denying conditional certification where plaintiff failed to provide evidence that alleged policies applied to other workers). </w:t>
      </w:r>
    </w:p>
  </w:footnote>
  <w:footnote w:id="220">
    <w:p w14:paraId="57DC3AFA" w14:textId="77777777" w:rsidR="004322B1" w:rsidRPr="00AD2F44" w:rsidRDefault="004322B1">
      <w:pPr>
        <w:pStyle w:val="14Footnote"/>
      </w:pPr>
      <w:r w:rsidRPr="00AD2F44">
        <w:rPr>
          <w:vertAlign w:val="superscript"/>
        </w:rPr>
        <w:footnoteRef/>
      </w:r>
      <w:r w:rsidRPr="00AD2F44">
        <w:rPr>
          <w:i/>
          <w:iCs/>
        </w:rPr>
        <w:t>Weil</w:t>
      </w:r>
      <w:r w:rsidRPr="00AD2F44">
        <w:t xml:space="preserve">, 2016 WL 286396, at *9. </w:t>
      </w:r>
    </w:p>
  </w:footnote>
  <w:footnote w:id="221">
    <w:p w14:paraId="36CF6B34" w14:textId="77777777" w:rsidR="004322B1" w:rsidRPr="00AD2F44" w:rsidRDefault="004322B1">
      <w:pPr>
        <w:pStyle w:val="14Footnote"/>
      </w:pPr>
      <w:r w:rsidRPr="00AD2F44">
        <w:rPr>
          <w:vertAlign w:val="superscript"/>
        </w:rPr>
        <w:footnoteRef/>
      </w:r>
      <w:r w:rsidRPr="00AD2F44">
        <w:t>2005 WL 1140605, at *1–2 (W.D. Tex. May 16, 2005).</w:t>
      </w:r>
    </w:p>
  </w:footnote>
  <w:footnote w:id="222">
    <w:p w14:paraId="4E507053" w14:textId="77777777" w:rsidR="004322B1" w:rsidRPr="00AD2F44" w:rsidRDefault="004322B1">
      <w:pPr>
        <w:pStyle w:val="14Footnote"/>
      </w:pPr>
      <w:r w:rsidRPr="00AD2F44">
        <w:rPr>
          <w:vertAlign w:val="superscript"/>
        </w:rPr>
        <w:footnoteRef/>
      </w:r>
      <w:r w:rsidRPr="00AD2F44">
        <w:rPr>
          <w:i/>
        </w:rPr>
        <w:t>See, e.g.,</w:t>
      </w:r>
    </w:p>
    <w:p w14:paraId="7EF1F019" w14:textId="77777777" w:rsidR="004322B1" w:rsidRPr="00AD2F44" w:rsidRDefault="004322B1">
      <w:pPr>
        <w:pStyle w:val="14Footnote"/>
      </w:pPr>
      <w:r w:rsidRPr="00AD2F44">
        <w:rPr>
          <w:i/>
          <w:iCs/>
        </w:rPr>
        <w:t>First Circuit:</w:t>
      </w:r>
      <w:r w:rsidRPr="00AD2F44">
        <w:t xml:space="preserve"> Botero v. Commonwealth Limousine Serv. Inc., 2013 WL 3929785 (D. Mass. July 25, 2013).</w:t>
      </w:r>
    </w:p>
    <w:p w14:paraId="2294E805" w14:textId="77777777" w:rsidR="004322B1" w:rsidRPr="00AD2F44" w:rsidRDefault="004322B1">
      <w:pPr>
        <w:pStyle w:val="14Footnote"/>
      </w:pPr>
      <w:r w:rsidRPr="00AD2F44">
        <w:rPr>
          <w:i/>
          <w:iCs/>
        </w:rPr>
        <w:t>Fourth Circuit: In re</w:t>
      </w:r>
      <w:r w:rsidRPr="00AD2F44">
        <w:t xml:space="preserve"> Family Dollar FLSA Litig., 2014 WL 1091356 (W.D.N.C. Mar. 18, 2014) (finding that plaintiff and opt-in plaintiff were not similarly situated to other putative class members because of variations in job duties); Blaney v. Charlotte-Mecklenburg Hosp. Auth., 2011 WL 4351631, at *7 (W.D.N.C. Sept. 16, 2011) (denying conditional certification on claim of off-the-clock work during unpaid meal breaks because evidence of automatic deduction policy was not sufficient for certification; there was no common policy of employees having to be on call during meal breaks).</w:t>
      </w:r>
    </w:p>
    <w:p w14:paraId="4595C1E3" w14:textId="77777777" w:rsidR="004322B1" w:rsidRPr="00AD2F44" w:rsidRDefault="004322B1">
      <w:pPr>
        <w:pStyle w:val="14Footnote"/>
      </w:pPr>
      <w:r w:rsidRPr="00AD2F44">
        <w:rPr>
          <w:i/>
          <w:iCs/>
        </w:rPr>
        <w:t>Seventh Circuit:</w:t>
      </w:r>
      <w:r w:rsidRPr="00AD2F44">
        <w:t xml:space="preserve"> Boelk v. AT&amp;T Teleholdings, Inc., 2013 WL 261265, at *15 (W.D. Wis. Jan. 10, 2013) (denying certification in meal break overtime claim involving automatic meal break deduction policy because break time analysis was unable to be resolved on classwide basis where experiences of technicians differed substantially and local supervisors had significant discretion).</w:t>
      </w:r>
    </w:p>
    <w:p w14:paraId="1D3BF28A" w14:textId="77777777" w:rsidR="004322B1" w:rsidRPr="00AD2F44" w:rsidRDefault="004322B1">
      <w:pPr>
        <w:pStyle w:val="14Footnote"/>
      </w:pPr>
      <w:r w:rsidRPr="00AD2F44">
        <w:rPr>
          <w:i/>
          <w:iCs/>
        </w:rPr>
        <w:t>Eighth Circuit:</w:t>
      </w:r>
      <w:r w:rsidRPr="00AD2F44">
        <w:t xml:space="preserve"> Saleen v. Waste Mgmt., Inc., 649 F. Supp. 2d 937, 941–43 (D. Minn. 2009) (denying conditional certification on claim of being unpaid for worked meal breaks where plaintiffs offered no direct evidence of companywide policy to deny pay for worked meal breaks, plaintiffs’ evidence of working through breaks was minor considering size of company, because mistakes can be expected, and defendants’ evidence of individuals who were paid for worked meal breaks further undermined plaintiffs’ position); Wacker v. Personal Touch Home Care, Inc., 2008 WL 4838146, at *3–4 (E.D. Mo. Nov. 6, 2008) (denying conditional certification on claim of working through meal breaks where plaintiffs’ only evidence was sole affidavit from former regional manager at one location, whose affidavit was conclusory, whose personal knowledge of and statements about working through meal breaks were refuted by 17 affidavits from current management officials, and where plaintiff offered no evidence of companywide policy of working through meal breaks).</w:t>
      </w:r>
    </w:p>
    <w:p w14:paraId="1FD46024" w14:textId="77777777" w:rsidR="004322B1" w:rsidRPr="00AD2F44" w:rsidRDefault="004322B1">
      <w:pPr>
        <w:pStyle w:val="14Footnote"/>
      </w:pPr>
      <w:r w:rsidRPr="00AD2F44">
        <w:rPr>
          <w:i/>
          <w:iCs/>
        </w:rPr>
        <w:t>Ninth Circuit:</w:t>
      </w:r>
      <w:r w:rsidRPr="00AD2F44">
        <w:t xml:space="preserve"> Gessele v. Jack in the Box, Inc., 2013 WL 1326563, at *26–28 (D. Or. Jan. 28, 2013), </w:t>
      </w:r>
      <w:r w:rsidRPr="00AD2F44">
        <w:rPr>
          <w:i/>
          <w:iCs/>
        </w:rPr>
        <w:t>report and recommendation adopted</w:t>
      </w:r>
      <w:r w:rsidRPr="00AD2F44">
        <w:t>, 2013 WL 1326538, at *6 (D. Or. Apr. 1, 2013) (denying certification, utilizing “intermediate” review standard, despite defendant’s uniform nationwide employee break policy and timekeeping system because whether employee whose break was interrupted was unpaid depended on individualized assessment).</w:t>
      </w:r>
    </w:p>
    <w:p w14:paraId="31790DE9" w14:textId="77777777" w:rsidR="004322B1" w:rsidRPr="00AD2F44" w:rsidRDefault="004322B1">
      <w:pPr>
        <w:pStyle w:val="14Footnote"/>
      </w:pPr>
      <w:r w:rsidRPr="00AD2F44">
        <w:rPr>
          <w:i/>
          <w:iCs/>
        </w:rPr>
        <w:t>Eleventh Circuit:</w:t>
      </w:r>
      <w:r w:rsidRPr="00AD2F44">
        <w:t xml:space="preserve"> Udo v. Lincare, Inc., 2014 WL 5354589 (M.D. Fla. Sept. 14, 2014) (denying nationwide notice where automatic meal deduction policy was alleged because significant variances in scheduling, number of hours worked, and delivery routes and routines, as well as manner in which defendant’s meal policies were enforced, would require fact-specific and individualized inquiries); Ledbetter v. Pruitt Corp., 2007 WL 496451, at *4 (M.D. Ga. Feb. 12, 2007) (denying certification statewide where plaintiff failed to meet burden to provide “substantial and detailed allegations” and evidence to support claim, and employees worked in different facilities, had different job duties, and worked under different conditions).</w:t>
      </w:r>
    </w:p>
  </w:footnote>
  <w:footnote w:id="223">
    <w:p w14:paraId="0C176C67" w14:textId="77777777" w:rsidR="004322B1" w:rsidRPr="00AD2F44" w:rsidRDefault="004322B1">
      <w:pPr>
        <w:pStyle w:val="14Footnote"/>
      </w:pPr>
      <w:r w:rsidRPr="00AD2F44">
        <w:rPr>
          <w:vertAlign w:val="superscript"/>
        </w:rPr>
        <w:footnoteRef/>
      </w:r>
      <w:r w:rsidRPr="00AD2F44">
        <w:t>574 F. Supp. 2d 618 (N.D. Tex. 2008).</w:t>
      </w:r>
    </w:p>
  </w:footnote>
  <w:footnote w:id="224">
    <w:p w14:paraId="79A66D34" w14:textId="77777777" w:rsidR="004322B1" w:rsidRPr="00AD2F44" w:rsidRDefault="004322B1">
      <w:pPr>
        <w:pStyle w:val="14Footnote"/>
      </w:pPr>
      <w:r w:rsidRPr="00AD2F44">
        <w:rPr>
          <w:vertAlign w:val="superscript"/>
        </w:rPr>
        <w:footnoteRef/>
      </w:r>
      <w:r w:rsidRPr="00AD2F44">
        <w:t>29 C.F.R. §785.48; see also Chapter 8, Compensable Hours, §V [Recording Working Time</w:t>
      </w:r>
      <w:r w:rsidRPr="00AD2F44">
        <w:rPr>
          <w:smallCaps/>
        </w:rPr>
        <w:t>].</w:t>
      </w:r>
    </w:p>
  </w:footnote>
  <w:footnote w:id="225">
    <w:p w14:paraId="00B8502B" w14:textId="77777777" w:rsidR="004322B1" w:rsidRPr="00AD2F44" w:rsidRDefault="004322B1">
      <w:pPr>
        <w:pStyle w:val="14Footnote"/>
      </w:pPr>
      <w:r w:rsidRPr="00AD2F44">
        <w:rPr>
          <w:vertAlign w:val="superscript"/>
        </w:rPr>
        <w:footnoteRef/>
      </w:r>
      <w:r w:rsidRPr="00AD2F44">
        <w:t xml:space="preserve">However, testimony from company representatives as to the company’s decentralized practices will not necessarily defeat conditional certification. </w:t>
      </w:r>
      <w:r w:rsidRPr="00AD2F44">
        <w:rPr>
          <w:i/>
          <w:iCs/>
        </w:rPr>
        <w:t>See</w:t>
      </w:r>
      <w:r w:rsidRPr="00AD2F44">
        <w:t xml:space="preserve"> Gil v. Solectron Corp., 2009 U.S. Dist. LEXIS 3413, at *10–11 (N.D. Cal. Jan. 7, 2009) (granting conditional certification even though company representatives asserted that there was no companywide policy to underpay its employees in rounding case where practices were decentralized because “[f]urther discovery with notice to the class will ideally clarify the policies of each facility”).</w:t>
      </w:r>
    </w:p>
  </w:footnote>
  <w:footnote w:id="226">
    <w:p w14:paraId="39E820DE" w14:textId="77777777" w:rsidR="004322B1" w:rsidRPr="00AD2F44" w:rsidRDefault="004322B1">
      <w:pPr>
        <w:pStyle w:val="14Footnote"/>
      </w:pPr>
      <w:r w:rsidRPr="00AD2F44">
        <w:rPr>
          <w:vertAlign w:val="superscript"/>
        </w:rPr>
        <w:footnoteRef/>
      </w:r>
      <w:r w:rsidRPr="00AD2F44">
        <w:t>2006 U.S. Dist. LEXIS 91454 (S.D. Tex. Dec. 19, 2006).</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footnote>
  <w:footnote w:id="227">
    <w:p w14:paraId="1941B4AD" w14:textId="77777777" w:rsidR="004322B1" w:rsidRPr="00AD2F44" w:rsidRDefault="004322B1">
      <w:pPr>
        <w:pStyle w:val="14Footnote"/>
      </w:pPr>
      <w:r w:rsidRPr="00AD2F44">
        <w:rPr>
          <w:vertAlign w:val="superscript"/>
        </w:rPr>
        <w:footnoteRef/>
      </w:r>
      <w:r w:rsidRPr="00AD2F44">
        <w:t>595 F. Supp. 2d 1218 (S.D. Ala. 2008).</w:t>
      </w:r>
    </w:p>
  </w:footnote>
  <w:footnote w:id="228">
    <w:p w14:paraId="08BD0F7E" w14:textId="77777777" w:rsidR="004322B1" w:rsidRPr="00AD2F44" w:rsidRDefault="004322B1">
      <w:pPr>
        <w:pStyle w:val="14Footnote"/>
        <w:rPr>
          <w:i/>
          <w:iCs/>
        </w:rPr>
      </w:pPr>
      <w:r w:rsidRPr="00AD2F44">
        <w:rPr>
          <w:vertAlign w:val="superscript"/>
        </w:rPr>
        <w:footnoteRef/>
      </w:r>
      <w:r w:rsidRPr="00AD2F44">
        <w:rPr>
          <w:i/>
          <w:iCs/>
        </w:rPr>
        <w:t>Id</w:t>
      </w:r>
      <w:r w:rsidRPr="00AD2F44">
        <w:t xml:space="preserve">. at 1241; </w:t>
      </w:r>
      <w:r w:rsidRPr="00AD2F44">
        <w:rPr>
          <w:i/>
          <w:iCs/>
        </w:rPr>
        <w:t>see also</w:t>
      </w:r>
    </w:p>
    <w:p w14:paraId="5808028E" w14:textId="77777777" w:rsidR="004322B1" w:rsidRPr="002F69CA" w:rsidRDefault="004322B1">
      <w:pPr>
        <w:pStyle w:val="14Footnote"/>
      </w:pPr>
      <w:r>
        <w:rPr>
          <w:i/>
          <w:iCs/>
        </w:rPr>
        <w:t>Second Circuit:</w:t>
      </w:r>
      <w:r>
        <w:t xml:space="preserve"> Onate v. AHRC Health Care, Inc., </w:t>
      </w:r>
      <w:r w:rsidRPr="00E35884">
        <w:t>2023 BL 137311</w:t>
      </w:r>
      <w:r>
        <w:t xml:space="preserve">, (S.D.N.Y. Jan. 5, 2023) (granting conditional certification where plaintiffs’ declarations and company witness stated time was rounded down to pay only scheduled hours, and also meal breaks were deducted regardless of whether they were taken and there was no process for seeking payment if the meal break was missed). </w:t>
      </w:r>
    </w:p>
    <w:p w14:paraId="4656DAC0" w14:textId="77777777" w:rsidR="004322B1" w:rsidRPr="00AD2F44" w:rsidRDefault="004322B1">
      <w:pPr>
        <w:pStyle w:val="14Footnote"/>
      </w:pPr>
      <w:r w:rsidRPr="00AD2F44">
        <w:rPr>
          <w:i/>
          <w:iCs/>
        </w:rPr>
        <w:t xml:space="preserve">Fifth Circuit: </w:t>
      </w:r>
      <w:r w:rsidRPr="00AD2F44">
        <w:t>Kelly v. Healthcare Servs. Grp., Inc., 2014 WL 3612681 (E.D. Tex. July 22, 2014) (granting nationwide conditional certification where employer admitted nationwide policy of rounding and that practice had been in place for seven years).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D12D770" w14:textId="77777777" w:rsidR="004322B1" w:rsidRPr="00AD2F44" w:rsidRDefault="004322B1">
      <w:pPr>
        <w:pStyle w:val="14Footnote"/>
      </w:pPr>
      <w:r w:rsidRPr="00AD2F44">
        <w:rPr>
          <w:i/>
          <w:iCs/>
        </w:rPr>
        <w:t>Sixth Circuit:</w:t>
      </w:r>
      <w:r w:rsidRPr="00AD2F44">
        <w:t xml:space="preserve"> Hall v. U.S. Cargo &amp; Courier Serv., LLC, 299 F. Supp. 3d 888 (S.D. Ohio 2018) (granting conditional certification based, in part, on testimony from opt-in plaintiffs); Fisher v. Michigan Bell Tel. Co., 665 F. Supp. 2d 819, 827 (E.D. Mich. 2009) (noting that deposition testimony of opt-ins and declaration evidence sufficiently supported claim that defendant’s rounding policy regularly disadvantaged them and contributed to conditional certification of off-the-clock claim).</w:t>
      </w:r>
    </w:p>
    <w:p w14:paraId="26DF9571" w14:textId="77777777" w:rsidR="004322B1" w:rsidRPr="00AD2F44" w:rsidRDefault="004322B1">
      <w:pPr>
        <w:pStyle w:val="14Footnote"/>
      </w:pPr>
      <w:r w:rsidRPr="00AD2F44">
        <w:rPr>
          <w:i/>
          <w:iCs/>
        </w:rPr>
        <w:t>Seventh Circuit:</w:t>
      </w:r>
      <w:r w:rsidRPr="00AD2F44">
        <w:t xml:space="preserve"> Clements v. WP Operations, LLC, 2021 WL 2134910 (W.D. Wis. May 26, 2021) (granting conditional certification in rounding case involving mining company’s production employees, concluding that plaintiff offered sufficient evidence that defendant’s rounding policy did not fully compensate employees, resolving factual disputes in plaintiffs’ favor at this stage); Abukar v. Reynolds Mach. Co. LLC, 2019 WL 68996154 (E.D. Wis. Dec. 18, 2019) (granting conditional certification in rounding case where plaintiffs showed that the company’s rounding policy applied to them and each suffered a compensation shortfall); Schneider v. Union Hosp.,</w:t>
      </w:r>
      <w:r w:rsidRPr="00AD2F44">
        <w:rPr>
          <w:i/>
          <w:iCs/>
        </w:rPr>
        <w:t xml:space="preserve"> </w:t>
      </w:r>
      <w:r w:rsidRPr="00AD2F44">
        <w:t>Inc., 2016 WL 6037085 (S.D. Ind. Oct. 14, 2016) (granting conditional certification in rounding case where expert provided testimony that he analyzed time and payroll records for 10% of class and concluded that defendant’s rounding policies always benefitted defendant); Weil v. Metal Techs., Inc., 2016 WL 286396, at *6–7 (S.D. Ind. Jan. 25, 2016) (granting conditional certification of collective alleging improper rounding policy despite some differences in amount of time rounded and employer evidence of employees not clocking in early or out late to perform work, where employer admitted that it rounded employees’ punch time to scheduled hours, employer’s policy permitted clocking in early, and plaintiffs presented evidence that rounding benefitted employer); Binissia v. ABM Indus., Inc., WL 793111 (N.D. Ill. Feb. 26, 2014) (granting conditional certification where court found that the rounding policy appeared to favor the defendants over time, and that the evidence showed that janitors typically performed work after they punched in but before the start of their scheduled shifts)</w:t>
      </w:r>
      <w:r w:rsidRPr="00AD2F44">
        <w:rPr>
          <w:smallCaps/>
        </w:rPr>
        <w:t>;</w:t>
      </w:r>
      <w:r w:rsidRPr="00AD2F44">
        <w:rPr>
          <w:i/>
          <w:iCs/>
        </w:rPr>
        <w:t xml:space="preserve"> </w:t>
      </w:r>
      <w:r w:rsidRPr="00AD2F44">
        <w:t>Nehmelman v. Penn Nat’l Gaming, Inc., 822 F. Supp. 2d 745, 754–58 (N.D. Ill. 2011) (granting conditional certification where plaintiffs’ evidence showed that rounding policy worked in employer’s favor, and rejecting argument that individual inquiries about whether work was performed in “gap periods” of rounded time would prevent classwide adjudication); Smith v. Safety-Kleen Sys., Inc., 2011 WL 1429203, at *4–5 (N.D. Ill. Apr. 14, 2011) (certifying uncompensated worktime claims based on company policies that prohibited employees from clocking in more than seven minutes before their scheduled shift and rounded employees’ time down—but never up—to nearest quarter hour).</w:t>
      </w:r>
    </w:p>
    <w:p w14:paraId="6A74DAE7" w14:textId="77777777" w:rsidR="004322B1" w:rsidRPr="00AD2F44" w:rsidRDefault="004322B1">
      <w:pPr>
        <w:pStyle w:val="14Footnote"/>
      </w:pPr>
      <w:r w:rsidRPr="00AD2F44">
        <w:rPr>
          <w:i/>
          <w:iCs/>
        </w:rPr>
        <w:t>Tenth Circuit:</w:t>
      </w:r>
      <w:r w:rsidRPr="00AD2F44">
        <w:t xml:space="preserve"> Shockey v. Huhtamaki, Inc., 730 F. Supp. 2d 1298 (D. Kan. 2010) (granting certification based on plaintiffs’ allegations that defendant rounded time only in its favor at four facilities and in greater than 15-minute increments at five facilities).</w:t>
      </w:r>
    </w:p>
    <w:p w14:paraId="1FFEBB5E" w14:textId="77777777" w:rsidR="004322B1" w:rsidRPr="00AD2F44" w:rsidRDefault="004322B1">
      <w:pPr>
        <w:pStyle w:val="14Footnote"/>
      </w:pPr>
      <w:r w:rsidRPr="00AD2F44">
        <w:rPr>
          <w:i/>
          <w:iCs/>
        </w:rPr>
        <w:t>Eleventh Circuit:</w:t>
      </w:r>
      <w:r w:rsidRPr="00AD2F44">
        <w:t xml:space="preserve"> Holmes v. Swissport Fueling, Inc., 2017 WL 8794900 (M.D. Fla. Sept. 1, 2017) (granting conditional certification regarding claims challenging employer’s implementation of rounding policy but limiting scope to plaintiff’s work location because plaintiff failed to show that employees at other locations were similarly situated).</w:t>
      </w:r>
    </w:p>
  </w:footnote>
  <w:footnote w:id="229">
    <w:p w14:paraId="0A66CAC3" w14:textId="77777777" w:rsidR="004322B1" w:rsidRPr="00AD2F44" w:rsidRDefault="004322B1">
      <w:pPr>
        <w:pStyle w:val="14Footnote"/>
      </w:pPr>
      <w:r w:rsidRPr="00AD2F44">
        <w:rPr>
          <w:vertAlign w:val="superscript"/>
        </w:rPr>
        <w:footnoteRef/>
      </w:r>
      <w:r w:rsidRPr="00AD2F44">
        <w:t>2005 WL 2492932 (D. Or. Oct. 7, 2005).</w:t>
      </w:r>
    </w:p>
  </w:footnote>
  <w:footnote w:id="230">
    <w:p w14:paraId="247D4481"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*5. </w:t>
      </w:r>
    </w:p>
  </w:footnote>
  <w:footnote w:id="231">
    <w:p w14:paraId="74B9BC09"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w:t>
      </w:r>
      <w:r w:rsidRPr="00DD5E11">
        <w:t xml:space="preserve">Harris v. Georgia-Pac. Wood Prod. LLC, </w:t>
      </w:r>
      <w:r w:rsidRPr="00181457">
        <w:t>2023 BL 95805</w:t>
      </w:r>
      <w:r>
        <w:t xml:space="preserve">, </w:t>
      </w:r>
      <w:r w:rsidRPr="00DD5E11">
        <w:t>2023 WL 2611723, at *5 (N.D. Ga. Mar. 23, 2023)</w:t>
      </w:r>
      <w:r>
        <w:t xml:space="preserve"> (conditional certification denied due to individualized issues as to whether employees were working during rounded time); </w:t>
      </w:r>
      <w:r w:rsidRPr="00AD2F44">
        <w:t>Adair v. Wisconsin Bell, Inc., 2008 WL 4224360 (E.D. Wis. Sept. 11, 2008) (deeming the existence of a statewide rounding policy that applied to all employees not sufficient where plaintiffs had not alleged they were denied pay for time spent working more often than they were paid for more time than they actually worked).</w:t>
      </w:r>
    </w:p>
  </w:footnote>
  <w:footnote w:id="232">
    <w:p w14:paraId="146FA7CC" w14:textId="77777777" w:rsidR="004322B1" w:rsidRPr="00AD2F44" w:rsidRDefault="004322B1">
      <w:pPr>
        <w:pStyle w:val="14Footnote"/>
      </w:pPr>
      <w:r w:rsidRPr="00AD2F44">
        <w:rPr>
          <w:vertAlign w:val="superscript"/>
        </w:rPr>
        <w:footnoteRef/>
      </w:r>
      <w:r w:rsidRPr="00AD2F44">
        <w:rPr>
          <w:i/>
          <w:iCs/>
        </w:rPr>
        <w:t>See, e.g.,</w:t>
      </w:r>
      <w:r w:rsidRPr="00AD2F44">
        <w:t xml:space="preserve"> Pearson v. CSK Auto, Inc., 2014 WL 1333273 (N.D. Ohio Mar. 28, 2014); Ayala v. Tito Contractors, 12 F. Supp. 3d 167 (D.D.C. 2014).</w:t>
      </w:r>
    </w:p>
  </w:footnote>
  <w:footnote w:id="233">
    <w:p w14:paraId="1A8500C6" w14:textId="77777777" w:rsidR="004322B1" w:rsidRPr="00AD2F44" w:rsidRDefault="004322B1">
      <w:pPr>
        <w:pStyle w:val="14Footnote"/>
      </w:pPr>
      <w:r w:rsidRPr="00AD2F44">
        <w:rPr>
          <w:vertAlign w:val="superscript"/>
        </w:rPr>
        <w:footnoteRef/>
      </w:r>
      <w:r w:rsidRPr="00AD2F44">
        <w:rPr>
          <w:i/>
          <w:iCs/>
        </w:rPr>
        <w:t>Pearson</w:t>
      </w:r>
      <w:r w:rsidRPr="00AD2F44">
        <w:t>, 2014 WL 1333273, at *2–3 (alteration in original) (quoting O’Brien v. Ed Donnelly Enters., Inc., 575 F.3d 567, 584 (6th Cir. 2009)).</w:t>
      </w:r>
    </w:p>
  </w:footnote>
  <w:footnote w:id="234">
    <w:p w14:paraId="7B7B603A" w14:textId="77777777" w:rsidR="004322B1" w:rsidRPr="00AD2F44" w:rsidRDefault="004322B1">
      <w:pPr>
        <w:pStyle w:val="14Footnote"/>
      </w:pPr>
      <w:r w:rsidRPr="00AD2F44">
        <w:rPr>
          <w:vertAlign w:val="superscript"/>
        </w:rPr>
        <w:footnoteRef/>
      </w:r>
      <w:r w:rsidRPr="00AD2F44">
        <w:rPr>
          <w:i/>
        </w:rPr>
        <w:t xml:space="preserve">See, e.g., </w:t>
      </w:r>
    </w:p>
    <w:p w14:paraId="47278908" w14:textId="77777777" w:rsidR="004322B1" w:rsidRPr="00AD2F44" w:rsidRDefault="004322B1">
      <w:pPr>
        <w:pStyle w:val="14Footnote"/>
      </w:pPr>
      <w:r w:rsidRPr="00AD2F44">
        <w:rPr>
          <w:i/>
          <w:iCs/>
        </w:rPr>
        <w:t>Fourth Circuit:</w:t>
      </w:r>
      <w:r w:rsidRPr="00AD2F44">
        <w:t xml:space="preserve"> Shaver v. Gills Eldersburg, Inc., 2015 WL 5897463, at *8 (D. Md. Oct. 6, 2015) (granting conditional certification of time shaving (and off-the-clock) claims where there was admission from manager that he was told to and did manually reduce time recorded by hourly employees).</w:t>
      </w:r>
    </w:p>
    <w:p w14:paraId="52C0CA67" w14:textId="77777777" w:rsidR="004322B1" w:rsidRPr="00AD2F44" w:rsidRDefault="004322B1">
      <w:pPr>
        <w:pStyle w:val="14Footnote"/>
      </w:pPr>
      <w:r w:rsidRPr="00AD2F44">
        <w:rPr>
          <w:i/>
          <w:iCs/>
        </w:rPr>
        <w:t>Fifth Circuit:</w:t>
      </w:r>
      <w:r w:rsidRPr="00AD2F44">
        <w:t xml:space="preserve"> Lay v. Gold’s Gym Int’l, Inc., 2013 WL 5595956 (W.D. Tex. Oct. 4, 2013).</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921AABB" w14:textId="77777777" w:rsidR="004322B1" w:rsidRPr="00AD2F44" w:rsidRDefault="004322B1">
      <w:pPr>
        <w:pStyle w:val="14Footnote"/>
      </w:pPr>
      <w:r w:rsidRPr="00AD2F44">
        <w:rPr>
          <w:i/>
          <w:iCs/>
        </w:rPr>
        <w:t>Seventh Circuit:</w:t>
      </w:r>
      <w:r w:rsidRPr="00AD2F44">
        <w:t xml:space="preserve"> Freeman v. Total Sec. Mgmt., 2013 WL 4049542 (W.D. Wis. Aug. 9, 2013) (emphasizing that court must settle all disputed evidence in plaintiffs’ favor for purposes of conditional certification).</w:t>
      </w:r>
    </w:p>
    <w:p w14:paraId="2B9FB58E" w14:textId="77777777" w:rsidR="004322B1" w:rsidRPr="00AD2F44" w:rsidRDefault="004322B1">
      <w:pPr>
        <w:pStyle w:val="14Footnote"/>
      </w:pPr>
      <w:r w:rsidRPr="00AD2F44">
        <w:rPr>
          <w:i/>
          <w:iCs/>
        </w:rPr>
        <w:t>Eighth Circuit:</w:t>
      </w:r>
      <w:r w:rsidRPr="00AD2F44">
        <w:t xml:space="preserve"> Shoots v. iQor Holdings US, Inc., 2015 WL 6150862, at *18–19 (D. Minn. Oct. 19, 2015) (granting conditional certification to class of employees alleging that they were denied overtime pay because of defendant’s policy of deducting “idle time” (more than two minutes of inactive time) on computer during workday, despite evidence that some employees could get time added back through manager request); Le v. Regency Corp., 957 F. Supp. 2d 1079 (D. Minn. 2013) (conditional certification granted where admissions agreement representatives alleged their hours were not reported because at first their employer did not have a time clock, and after their employer instituted a time clock system, they were encouraged to work before clocking in for their shift, continue working after clocking out, and work on weekends without reporting their time).</w:t>
      </w:r>
    </w:p>
  </w:footnote>
  <w:footnote w:id="235">
    <w:p w14:paraId="2904D876" w14:textId="77777777" w:rsidR="004322B1" w:rsidRPr="00AD2F44" w:rsidRDefault="004322B1">
      <w:pPr>
        <w:pStyle w:val="14Footnote"/>
      </w:pPr>
      <w:r w:rsidRPr="00AD2F44">
        <w:rPr>
          <w:vertAlign w:val="superscript"/>
        </w:rPr>
        <w:footnoteRef/>
      </w:r>
      <w:r w:rsidRPr="00AD2F44">
        <w:rPr>
          <w:i/>
          <w:iCs/>
        </w:rPr>
        <w:t>See</w:t>
      </w:r>
      <w:r w:rsidRPr="00AD2F44">
        <w:t xml:space="preserve"> Banks v. Radioshack Corp., 2014 WL 1724856, at *1 (E.D. Pa. Apr. 25, 2014) (finding that plaintiffs’ claim that employer modified employee time records by adding or lengthening unpaid breaks and adjusting clock-out times such that they were not paid for all hours they worked not subject to common proof because each modification of a time record was discrete action of an individual manager; without a systematic method for identifying false modifications, each modification would have to be adjudicated separately).</w:t>
      </w:r>
    </w:p>
  </w:footnote>
  <w:footnote w:id="236">
    <w:p w14:paraId="39F0F278" w14:textId="77777777" w:rsidR="004322B1" w:rsidRPr="00AD2F44" w:rsidRDefault="004322B1">
      <w:pPr>
        <w:pStyle w:val="14Footnote"/>
      </w:pPr>
      <w:r w:rsidRPr="00AD2F44">
        <w:rPr>
          <w:vertAlign w:val="superscript"/>
        </w:rPr>
        <w:footnoteRef/>
      </w:r>
      <w:r w:rsidRPr="00AD2F44">
        <w:rPr>
          <w:i/>
          <w:iCs/>
        </w:rPr>
        <w:t>See, e.g.,</w:t>
      </w:r>
      <w:r w:rsidRPr="00AD2F44">
        <w:t xml:space="preserve"> Sharma v. Burberry Ltd., 52 F. Supp. 3d 443 (E.D.N.Y. 2014); Robles v. Liberty Rest. Supply, 2013 WL 6684954 (E.D.N.Y. Dec. 18, 2013).</w:t>
      </w:r>
    </w:p>
  </w:footnote>
  <w:footnote w:id="237">
    <w:p w14:paraId="6B92C9FF" w14:textId="77777777" w:rsidR="004322B1" w:rsidRPr="00AD2F44" w:rsidRDefault="004322B1">
      <w:pPr>
        <w:pStyle w:val="14Footnote"/>
      </w:pPr>
      <w:r w:rsidRPr="00AD2F44">
        <w:rPr>
          <w:vertAlign w:val="superscript"/>
        </w:rPr>
        <w:footnoteRef/>
      </w:r>
      <w:r w:rsidRPr="00AD2F44">
        <w:rPr>
          <w:i/>
          <w:iCs/>
        </w:rPr>
        <w:t>See, e.g.,</w:t>
      </w:r>
      <w:r w:rsidRPr="00AD2F44">
        <w:t xml:space="preserve"> Trogdon v. Kleenco Maint. &amp; Constr., Inc. 2015 WL 2345590, at *2 (W.D. Ark. May 15, 2015) (employer allegedly treated travel time separately from regular hourly compensation to avoid paying overtime); Knispel v. Chrysler Grp., LLC, 2012 WL 553722, at *6 (E.D. Mich. Feb. 21, 2012) (granting conditional certification in case where employer allegedly did not pay for travel during workday and overnight); Wren v. RGIS Inventory Specialists, 2007 U.S. Dist. LEXIS 95439 (N.D. Cal. Dec. 19, 2007) (granting conditional certification where employer allegedly did not compensate for travel to and from inventory sites in a single workday).</w:t>
      </w:r>
    </w:p>
  </w:footnote>
  <w:footnote w:id="238">
    <w:p w14:paraId="795C24C2" w14:textId="77777777" w:rsidR="004322B1" w:rsidRPr="00AD2F44" w:rsidRDefault="004322B1" w:rsidP="000B6C5F">
      <w:pPr>
        <w:pStyle w:val="FootnoteText"/>
      </w:pPr>
      <w:r w:rsidRPr="00AD2F44">
        <w:rPr>
          <w:rStyle w:val="FootnoteReference"/>
        </w:rPr>
        <w:footnoteRef/>
      </w:r>
      <w:r w:rsidRPr="00AD2F44">
        <w:t>See</w:t>
      </w:r>
    </w:p>
    <w:p w14:paraId="5EFB20AF" w14:textId="77777777" w:rsidR="004322B1" w:rsidRPr="00AD2F44" w:rsidRDefault="004322B1" w:rsidP="00397917">
      <w:pPr>
        <w:pStyle w:val="14Footnote"/>
      </w:pPr>
      <w:r w:rsidRPr="00AD2F44">
        <w:rPr>
          <w:i/>
          <w:iCs/>
        </w:rPr>
        <w:t>Second Circuit:</w:t>
      </w:r>
      <w:r w:rsidRPr="00AD2F44">
        <w:t xml:space="preserve"> Hart v. Crab Addison, Inc., 2015 BL 19091, 2015 WL 365785, at *3 (W.D.N.Y. Jan. 27, 2015) (granting nationwide conditional certification of collective claiming violation of tip credit rules). </w:t>
      </w:r>
    </w:p>
    <w:p w14:paraId="6321BD4D" w14:textId="77777777" w:rsidR="004322B1" w:rsidRPr="00AD2F44" w:rsidRDefault="004322B1" w:rsidP="00FE0DD6">
      <w:pPr>
        <w:pStyle w:val="14Footnote"/>
      </w:pPr>
      <w:r w:rsidRPr="00AD2F44">
        <w:rPr>
          <w:i/>
          <w:iCs/>
        </w:rPr>
        <w:t>Third Circuit:</w:t>
      </w:r>
      <w:r w:rsidRPr="00AD2F44">
        <w:t xml:space="preserve"> Williams v. Bob Evans Rests., 2022 BL 130930, 2022 WL 1120048 (W.D. Pa. Apr. 14, 2022) (granting conditional certification on dual jobs claim, finding common, centrally developed policy). </w:t>
      </w:r>
    </w:p>
    <w:p w14:paraId="20682A1C" w14:textId="77777777" w:rsidR="004322B1" w:rsidRPr="00AD2F44" w:rsidRDefault="004322B1" w:rsidP="00FE0DD6">
      <w:pPr>
        <w:pStyle w:val="14Footnote"/>
      </w:pPr>
      <w:r w:rsidRPr="00AD2F44">
        <w:rPr>
          <w:i/>
          <w:iCs/>
        </w:rPr>
        <w:t xml:space="preserve">Sixth Circuit: </w:t>
      </w:r>
      <w:r w:rsidRPr="00AD2F44">
        <w:t>Crace v. Viking Grp. Inc.,</w:t>
      </w:r>
      <w:r w:rsidRPr="00AD2F44">
        <w:rPr>
          <w:rFonts w:eastAsia="Cambria"/>
        </w:rPr>
        <w:t xml:space="preserve"> 2021 BL 69247, </w:t>
      </w:r>
      <w:r w:rsidRPr="00AD2F44">
        <w:t>2021 WL 764072 (S.D. Ohio Feb. 26, 2021) (granting conditional certification in delivery tip credit case based on personal knowledge of plaintiff working in two locations where defendant did not dispute that plaintiff’s allegations regarding his work responsibilities and compensation were representative of other putative members; declining to consider merits issue surrounding change in DOL guidance on tips); James v. Boyd Gaming Corp., 522 F. Supp. 3d 892</w:t>
      </w:r>
      <w:r w:rsidRPr="00AD2F44">
        <w:rPr>
          <w:b/>
          <w:bCs/>
        </w:rPr>
        <w:t xml:space="preserve"> </w:t>
      </w:r>
      <w:r w:rsidRPr="00AD2F44">
        <w:t>(D. Kan. 2021) (granting conditional certification in tip credit case where defendant posted tip policy in multiple casino locations).</w:t>
      </w:r>
    </w:p>
    <w:p w14:paraId="572446AB" w14:textId="77777777" w:rsidR="004322B1" w:rsidRPr="00AD2F44" w:rsidRDefault="004322B1" w:rsidP="00397917">
      <w:pPr>
        <w:pStyle w:val="14Footnote"/>
      </w:pPr>
      <w:r w:rsidRPr="00AD2F44">
        <w:rPr>
          <w:i/>
          <w:iCs/>
        </w:rPr>
        <w:t xml:space="preserve">Seventh Circuit: </w:t>
      </w:r>
      <w:r w:rsidRPr="00AD2F44">
        <w:t>Black v. P.F. Chang’s China Bistro, Inc., 2017 BL 161825, 2017 WL 2080408, at *5 (N.D. Ill. May 15, 2017) (granting conditional certification for claim of improper tip credit notice based on uniform tip credit reporting agreement that allegedly stated improper information about cash and tipped minimum wages).</w:t>
      </w:r>
    </w:p>
    <w:p w14:paraId="25B7E770" w14:textId="77777777" w:rsidR="004322B1" w:rsidRPr="00AD2F44" w:rsidRDefault="004322B1" w:rsidP="00397917">
      <w:pPr>
        <w:pStyle w:val="14Footnote"/>
      </w:pPr>
      <w:r w:rsidRPr="00AD2F44">
        <w:rPr>
          <w:i/>
          <w:iCs/>
        </w:rPr>
        <w:t xml:space="preserve">Eleventh Circuit: </w:t>
      </w:r>
      <w:r w:rsidRPr="00AD2F44">
        <w:t>Campbell v. Pincher’s Beach Bar Grill Inc., 2016 BL 219130, 2016 WL 3626219, at *4 (M.D. Fla. July 7, 2016) (limiting conditional certification in tip credit and pooling notice case to one restaurant).</w:t>
      </w:r>
    </w:p>
    <w:p w14:paraId="1B367AF2" w14:textId="77777777" w:rsidR="004322B1" w:rsidRPr="00AD2F44" w:rsidRDefault="004322B1" w:rsidP="00F23572">
      <w:pPr>
        <w:pStyle w:val="14Footnote"/>
      </w:pPr>
      <w:r w:rsidRPr="00AD2F44">
        <w:rPr>
          <w:i/>
          <w:iCs/>
        </w:rPr>
        <w:t>D.C. Circuit:</w:t>
      </w:r>
      <w:r w:rsidRPr="00AD2F44">
        <w:t xml:space="preserve"> Guzman v. GF, Inc., 2021 BL 222620, 2021 WL 2439277 (D.D.C. June 14, 2021) (granting conditional certification claim of failure to allow employees to retain all tips by use of fines). </w:t>
      </w:r>
    </w:p>
  </w:footnote>
  <w:footnote w:id="239">
    <w:p w14:paraId="141765CA" w14:textId="77777777" w:rsidR="004322B1" w:rsidRPr="00AD2F44" w:rsidRDefault="004322B1">
      <w:pPr>
        <w:pStyle w:val="14Footnote"/>
      </w:pPr>
      <w:r w:rsidRPr="00AD2F44">
        <w:rPr>
          <w:vertAlign w:val="superscript"/>
        </w:rPr>
        <w:footnoteRef/>
      </w:r>
      <w:r w:rsidRPr="00AD2F44">
        <w:rPr>
          <w:i/>
          <w:iCs/>
        </w:rPr>
        <w:t>See</w:t>
      </w:r>
      <w:r w:rsidRPr="00AD2F44">
        <w:t xml:space="preserve"> </w:t>
      </w:r>
    </w:p>
    <w:p w14:paraId="60A8C1FC" w14:textId="77777777" w:rsidR="004322B1" w:rsidRPr="00AD2F44" w:rsidRDefault="004322B1">
      <w:pPr>
        <w:pStyle w:val="14Footnote"/>
        <w:rPr>
          <w:i/>
          <w:iCs/>
        </w:rPr>
      </w:pPr>
      <w:r w:rsidRPr="00AD2F44">
        <w:rPr>
          <w:i/>
          <w:iCs/>
        </w:rPr>
        <w:t xml:space="preserve">Second Circuit: </w:t>
      </w:r>
      <w:r w:rsidRPr="00AD2F44">
        <w:t>Gillian v. Starjem Rest. Corp., 2011 BL 441954, 2011 WL 4639842, at *6 (S.D.N.Y. Oct. 4, 2011) (denying conditional certification in tip credit and tip pool case because, among other reasons, minimum wage and overtime claims required examination of each individual’s hours worked each shift and each week).</w:t>
      </w:r>
    </w:p>
    <w:p w14:paraId="4526C4F3" w14:textId="77777777" w:rsidR="004322B1" w:rsidRPr="00AD2F44" w:rsidRDefault="004322B1">
      <w:pPr>
        <w:pStyle w:val="14Footnote"/>
      </w:pPr>
      <w:r w:rsidRPr="00AD2F44">
        <w:rPr>
          <w:i/>
          <w:iCs/>
        </w:rPr>
        <w:t>Third Circuit</w:t>
      </w:r>
      <w:r w:rsidRPr="00AD2F44">
        <w:t xml:space="preserve">: </w:t>
      </w:r>
      <w:r w:rsidRPr="00AD2F44">
        <w:rPr>
          <w:i/>
          <w:iCs/>
        </w:rPr>
        <w:t>Bob Evans Restaurants,</w:t>
      </w:r>
      <w:r w:rsidRPr="00AD2F44">
        <w:t xml:space="preserve"> 2022 BL 130930, 2022 WL 1120048 (denying conditional certification on tip credit notice claim, finding lack of evidence of common policy).</w:t>
      </w:r>
    </w:p>
    <w:p w14:paraId="7B5E8766" w14:textId="77777777" w:rsidR="004322B1" w:rsidRPr="00AD2F44" w:rsidRDefault="004322B1">
      <w:pPr>
        <w:pStyle w:val="14Footnote"/>
      </w:pPr>
      <w:r w:rsidRPr="00AD2F44">
        <w:rPr>
          <w:i/>
          <w:iCs/>
        </w:rPr>
        <w:t xml:space="preserve">Fourth Circuit: </w:t>
      </w:r>
      <w:r w:rsidRPr="00AD2F44">
        <w:t xml:space="preserve">Graham v. Famous Dave’s of Am., Inc., 2020 BL 364487, 2020 WL 5653231 (D. Md. Sept. 23, 2020) (denying conditional certification for failure to provide sufficient support to show tip credit practices were common where plaintiff only had knowledge of his own restaurant location). </w:t>
      </w:r>
    </w:p>
  </w:footnote>
  <w:footnote w:id="240">
    <w:p w14:paraId="747D4E2F" w14:textId="77777777" w:rsidR="004322B1" w:rsidRPr="00AD2F44" w:rsidRDefault="004322B1">
      <w:pPr>
        <w:pStyle w:val="14Footnote"/>
      </w:pPr>
      <w:r w:rsidRPr="00AD2F44">
        <w:rPr>
          <w:vertAlign w:val="superscript"/>
        </w:rPr>
        <w:footnoteRef/>
      </w:r>
      <w:r w:rsidRPr="00AD2F44">
        <w:rPr>
          <w:i/>
          <w:iCs/>
        </w:rPr>
        <w:t>See</w:t>
      </w:r>
      <w:r w:rsidRPr="00AD2F44">
        <w:t xml:space="preserve"> </w:t>
      </w:r>
    </w:p>
    <w:p w14:paraId="062D6447" w14:textId="77777777" w:rsidR="004322B1" w:rsidRPr="00AD2F44" w:rsidRDefault="004322B1">
      <w:pPr>
        <w:pStyle w:val="14Footnote"/>
        <w:rPr>
          <w:spacing w:val="2"/>
        </w:rPr>
      </w:pPr>
      <w:r w:rsidRPr="00AD2F44">
        <w:rPr>
          <w:i/>
          <w:iCs/>
        </w:rPr>
        <w:t>Fourth Circuit:</w:t>
      </w:r>
      <w:r w:rsidRPr="00AD2F44">
        <w:rPr>
          <w:i/>
        </w:rPr>
        <w:t xml:space="preserve"> </w:t>
      </w:r>
      <w:r w:rsidRPr="00AD2F44">
        <w:t xml:space="preserve">Turner v. BFI Waste Servs., LLC, 268 F. Supp. 3d 831, 842 (D.S.C. 2017) (granting conditional certification in case where the plaintiffs had alleged that the employer had improperly calculated the regular rate for overtime purposes). </w:t>
      </w:r>
    </w:p>
    <w:p w14:paraId="166CAD5F" w14:textId="77777777" w:rsidR="004322B1" w:rsidRPr="00AD2F44" w:rsidRDefault="004322B1">
      <w:pPr>
        <w:pStyle w:val="14Footnote"/>
        <w:rPr>
          <w:i/>
          <w:iCs/>
        </w:rPr>
      </w:pPr>
      <w:r w:rsidRPr="00AD2F44">
        <w:rPr>
          <w:i/>
          <w:iCs/>
          <w:spacing w:val="2"/>
        </w:rPr>
        <w:t xml:space="preserve">Fifth Circuit: </w:t>
      </w:r>
      <w:r w:rsidRPr="00AD2F44">
        <w:t>Donohue v. Francis Servs., Inc., 2004 U.S. Dist. LEXIS 9355 (E.D. La. May 25, 2004) (certification included multiple jobs that were allegedly affected by failure to include bonuses in regular rate)</w:t>
      </w:r>
      <w:r w:rsidRPr="00AD2F44">
        <w:rPr>
          <w:i/>
          <w:iCs/>
        </w:rPr>
        <w:t>.</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rPr>
          <w:i/>
          <w:iCs/>
        </w:rPr>
        <w:t xml:space="preserve"> </w:t>
      </w:r>
    </w:p>
    <w:p w14:paraId="6243C41E" w14:textId="77777777" w:rsidR="004322B1" w:rsidRPr="00AD2F44" w:rsidRDefault="004322B1">
      <w:pPr>
        <w:pStyle w:val="14Footnote"/>
      </w:pPr>
      <w:r w:rsidRPr="00AD2F44">
        <w:rPr>
          <w:i/>
          <w:iCs/>
          <w:spacing w:val="2"/>
        </w:rPr>
        <w:t xml:space="preserve">Ninth Circuit: </w:t>
      </w:r>
      <w:r w:rsidRPr="00AD2F44">
        <w:t xml:space="preserve">Newell v. Ensign U.S. Drilling (Cal.), Inc., 2020 WL 2060399, at *8 (E.D. Cal. Apr. 29, 2020) (granting conditional certification for oil field workers’ overtime claims alleging failure to include value of lodging and meals in regular rate). </w:t>
      </w:r>
    </w:p>
    <w:p w14:paraId="5CC78BFD" w14:textId="77777777" w:rsidR="004322B1" w:rsidRPr="00AD2F44" w:rsidRDefault="004322B1">
      <w:pPr>
        <w:pStyle w:val="14Footnote"/>
      </w:pPr>
      <w:r w:rsidRPr="00AD2F44">
        <w:rPr>
          <w:i/>
          <w:iCs/>
        </w:rPr>
        <w:t>Eleventh Circuit:</w:t>
      </w:r>
      <w:r w:rsidRPr="00AD2F44">
        <w:rPr>
          <w:i/>
        </w:rPr>
        <w:t xml:space="preserve"> </w:t>
      </w:r>
      <w:r w:rsidRPr="00AD2F44">
        <w:rPr>
          <w:spacing w:val="2"/>
        </w:rPr>
        <w:t>Guerra v. Big Johnson Concrete Pumping, Inc.,</w:t>
      </w:r>
      <w:r w:rsidRPr="00AD2F44">
        <w:t xml:space="preserve"> 2006 U.S. Dist. LEXIS 58484, at *10 (S.D. Fla. May 17, 2006) (</w:t>
      </w:r>
      <w:r w:rsidRPr="00AD2F44">
        <w:rPr>
          <w:spacing w:val="2"/>
        </w:rPr>
        <w:t>the court conditionally certified a collective action based on the plaintiff’s allegation that the company had a practice of reducing an employee’s regular rate to minimum wage during the employee’s last week of employment, which resulted in the improper payment of overtime compensation for hours worked over 40).</w:t>
      </w:r>
    </w:p>
  </w:footnote>
  <w:footnote w:id="241">
    <w:p w14:paraId="6E52419F" w14:textId="77777777" w:rsidR="004322B1" w:rsidRPr="00AD2F44" w:rsidRDefault="004322B1" w:rsidP="00F23572">
      <w:pPr>
        <w:pStyle w:val="14Footnote"/>
      </w:pPr>
      <w:r w:rsidRPr="00AD2F44">
        <w:rPr>
          <w:rStyle w:val="FootnoteReference"/>
        </w:rPr>
        <w:footnoteRef/>
      </w:r>
      <w:r w:rsidRPr="00AD2F44">
        <w:rPr>
          <w:i/>
          <w:iCs/>
        </w:rPr>
        <w:t>Bob Evans Restaurants,</w:t>
      </w:r>
      <w:r w:rsidRPr="00AD2F44">
        <w:t xml:space="preserve"> 2022 WL 1120048, at *10 (denying conditional certification on claim of failure to calculate overtime properly where plaintiffs failed to show any common policy beyond “speculation”). </w:t>
      </w:r>
    </w:p>
  </w:footnote>
  <w:footnote w:id="242">
    <w:p w14:paraId="64AC735C" w14:textId="77777777" w:rsidR="004322B1" w:rsidRPr="00AD2F44" w:rsidRDefault="004322B1">
      <w:pPr>
        <w:pStyle w:val="14Footnote"/>
      </w:pPr>
      <w:r w:rsidRPr="00AD2F44">
        <w:rPr>
          <w:vertAlign w:val="superscript"/>
        </w:rPr>
        <w:footnoteRef/>
      </w:r>
      <w:r w:rsidRPr="00AD2F44">
        <w:rPr>
          <w:i/>
          <w:iCs/>
        </w:rPr>
        <w:t>See, e.g.,</w:t>
      </w:r>
    </w:p>
    <w:p w14:paraId="46D28157" w14:textId="77777777" w:rsidR="004322B1" w:rsidRPr="00AD2F44" w:rsidRDefault="004322B1">
      <w:pPr>
        <w:pStyle w:val="14Footnote"/>
      </w:pPr>
      <w:r w:rsidRPr="00AD2F44">
        <w:rPr>
          <w:i/>
          <w:iCs/>
        </w:rPr>
        <w:t>Second Circuit:</w:t>
      </w:r>
      <w:r w:rsidRPr="00AD2F44">
        <w:t xml:space="preserve"> Jeong Woo Kim v. 511 E. 5th Street, LLC, 985 F. Supp. 2d 439 (S.D.N.Y. 2013) (finding defendants’ argument that plaintiff was independent contractor rather than employee, and if employee, properly classified as exempt, premature or irrelevant at conditional certification stage); Laroque v. Domino’s Pizza, LLC, 557 F. Supp. 2d 346, 354 (E.D.N.Y. 2008) (“The standard in this circuit is clear; the merits of plaintiffs’ claim are not at issue in a motion for conditional certification.”); Ruggeri v. Boehringer Ingelheim Pharm., Inc., 585 F. Supp. 2d 254, 276–77 (D. Conn. 2008) (disagreeing with and distinguishing the conclusion of the court in </w:t>
      </w:r>
      <w:r w:rsidRPr="00AD2F44">
        <w:rPr>
          <w:i/>
          <w:iCs/>
        </w:rPr>
        <w:t>Amendola v. Bristol-Myers Squibb Co</w:t>
      </w:r>
      <w:r w:rsidRPr="00AD2F44">
        <w:t>., 558 F. Supp. 2d 459 (S.D.N.Y. 2008), on the merits); Scholtisek v. Eldre Corp., 229 F.R.D. 381, 391 (W.D.N.Y. 2005) (defendant’s arguments “go to the merits of plaintiff’s claims, which are not relevant at this stage”); Ayers v. SGS Control Servs., 2004 WL 2978296, at *2 (S.D.N.Y. Dec. 21, 2004) (rejecting defendant’s argument “that notice should not be given before dispositive issues concerning the merits of plaintiffs’ claims were resolved, in order to obviate the need to unduly burden defendants’ employees and disrupt defendants’ business … [and that] notice should not be authorized until dispositive issues concerning the merits of plaintiffs’ claims were ‘fully briefed, and considered and determined by the Court’”).</w:t>
      </w:r>
    </w:p>
    <w:p w14:paraId="14B8B62F" w14:textId="77777777" w:rsidR="004322B1" w:rsidRPr="00AD2F44" w:rsidRDefault="004322B1">
      <w:pPr>
        <w:pStyle w:val="14Footnote"/>
      </w:pPr>
      <w:r w:rsidRPr="00AD2F44">
        <w:rPr>
          <w:i/>
          <w:iCs/>
        </w:rPr>
        <w:t>Fourth Circuit</w:t>
      </w:r>
      <w:r w:rsidRPr="00AD2F44">
        <w:t xml:space="preserve">: Lancaster v. FQSR, 2020 BL 347852, 2020 WL 5500227, at *7 (D. Md. Sept. 11, 2020) (holding existence and enforceability of arbitration agreement is merit-based inquiry not addressed at conditional certification stage). </w:t>
      </w:r>
    </w:p>
    <w:p w14:paraId="0D31D8CF" w14:textId="77777777" w:rsidR="004322B1" w:rsidRPr="00AD2F44" w:rsidRDefault="004322B1">
      <w:pPr>
        <w:pStyle w:val="14Footnote"/>
      </w:pPr>
      <w:r w:rsidRPr="00AD2F44">
        <w:rPr>
          <w:i/>
          <w:iCs/>
        </w:rPr>
        <w:t xml:space="preserve">Fifth Circuit: </w:t>
      </w:r>
      <w:r w:rsidRPr="00AD2F44">
        <w:t>Behnken v. Luminant Min. Co., LLC, 2014 WL 585333 (N.D. Tex. Feb. 14, 2014) (rejecting employer argument that certification should be denied because policy in question was lawful, and distinguishing cases where dispositive issues were addressed at time of conditional certification on basis that plaintiffs in those cases had adequate opportunity to conduct discovery on the merits).</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C57255C" w14:textId="77777777" w:rsidR="004322B1" w:rsidRPr="00AD2F44" w:rsidRDefault="004322B1">
      <w:pPr>
        <w:pStyle w:val="14Footnote"/>
      </w:pPr>
      <w:r w:rsidRPr="00AD2F44">
        <w:rPr>
          <w:i/>
          <w:iCs/>
        </w:rPr>
        <w:t>Sixth Circuit</w:t>
      </w:r>
      <w:r w:rsidRPr="00AD2F44">
        <w:t xml:space="preserve">: Bradford v. Team Pizza, Inc., 2020 BL 242132, 2020 WL 3496150, at *5 (S.D. Ohio June 29, 2020) (in granting conditional certification, refusing to determine existence and enforceability of arbitration agreements). </w:t>
      </w:r>
    </w:p>
    <w:p w14:paraId="4641220C" w14:textId="77777777" w:rsidR="004322B1" w:rsidRPr="00AD2F44" w:rsidRDefault="004322B1">
      <w:pPr>
        <w:pStyle w:val="14Footnote"/>
      </w:pPr>
      <w:r w:rsidRPr="00AD2F44">
        <w:rPr>
          <w:i/>
          <w:iCs/>
        </w:rPr>
        <w:t>Eighth Circuit:</w:t>
      </w:r>
      <w:r w:rsidRPr="00AD2F44">
        <w:t xml:space="preserve"> Wacker v. Personal Touch Home Care, Inc., 2008 WL 4838146, at *2 (E.D. Mo. Nov. 6, 2008) (“District courts in this circuit have often used a two-step procedure, where plaintiffs first seek early conditional certification, and then later the court considers the merits … .”) (collecting cases); Huang v. Gateway Hotel Holdings, 248 F.R.D. 225, 227 (E.D. Mo. Jan. 4, 2008) (“A plaintiff’s burden when seeking conditional certification is not onerous and the merits of a plaintiff’s claims are not considered.”).</w:t>
      </w:r>
    </w:p>
    <w:p w14:paraId="4BC40837" w14:textId="77777777" w:rsidR="004322B1" w:rsidRPr="00AD2F44" w:rsidRDefault="004322B1">
      <w:pPr>
        <w:pStyle w:val="14Footnote"/>
      </w:pPr>
      <w:r w:rsidRPr="00AD2F44">
        <w:rPr>
          <w:i/>
          <w:iCs/>
        </w:rPr>
        <w:t>Ninth Circuit:</w:t>
      </w:r>
      <w:r w:rsidRPr="00AD2F44">
        <w:t xml:space="preserve"> </w:t>
      </w:r>
      <w:r w:rsidRPr="00AD2F44">
        <w:rPr>
          <w:bCs/>
        </w:rPr>
        <w:t>Droesch v. Wells Fargo Bank N.A.</w:t>
      </w:r>
      <w:r w:rsidRPr="00AD2F44">
        <w:t xml:space="preserve">, 2021 BL 168635, </w:t>
      </w:r>
      <w:r w:rsidRPr="00AD2F44">
        <w:rPr>
          <w:bCs/>
        </w:rPr>
        <w:t xml:space="preserve">2021 WL 1817058 (N.D. Cal. May 6, 2021) (refusing to address whether notice should be sent to employees with arbitration agreements during conditional certification stage despite having granted motion to stay and send to arbitration claims of named plaintiff and six opt-in plaintiffs prior to ruling on conditional certification); Bruno v. Wells Fargo Bank, N.A., 2021 BL 91043, 2021 WL 964938 (W.D. Pa. Mar. 15, 2021) (refusing to prevent notice to potential opt ins who may have signed arbitration agreements, given that no current opt ins or plaintiffs were signatories and determining issue for potential opt ins would cause delays in notice process); </w:t>
      </w:r>
      <w:r w:rsidRPr="00AD2F44">
        <w:t>Bishop v. Petro-Chem. Transp., LLC, 582 F. Supp. 2d 1290, 1295, 1297 (E.D. Cal. 2008) (evaluating evidence regarding Motor Carrier Act exemption for purposes of determining whether conditional certification was warranted, but refusing to decide merits of issue and noting that it had denied summary judgment as premature in prior ruling); Mowdy v. Beneto Bulk Transp., 2008 WL 901546, at *6 (N.D. Cal. Mar. 31, 2008) (“at this first stage of conditional certification, it is inappropriate for the court to entertain an inquiry on the merits”); Centurioni v. City &amp; Cnty. of S.F., 2008 WL 295096, at *2 (N.D. Cal. Feb. 1, 2008) (“Under this first step, courts do not consider the merits of the claims.”); Adams v. Inter-Con Sec. Sys., 242 F.R.D. 530, 535 (N.D. Cal. 2007) (rejecting employer’s request to stay decision regarding conditional certification until after motion to dismiss action had been heard).</w:t>
      </w:r>
    </w:p>
    <w:p w14:paraId="3A7C085D" w14:textId="77777777" w:rsidR="004322B1" w:rsidRPr="00AD2F44" w:rsidRDefault="004322B1">
      <w:pPr>
        <w:pStyle w:val="14Footnote"/>
      </w:pPr>
      <w:r w:rsidRPr="00AD2F44">
        <w:rPr>
          <w:i/>
          <w:iCs/>
        </w:rPr>
        <w:t>Tenth Circuit:</w:t>
      </w:r>
      <w:r w:rsidRPr="00AD2F44">
        <w:t xml:space="preserve"> Kaiser v. At the Beach, Inc., 2009 WL 4506152, at *4 (N.D. Okla. Nov. 24, 2009) (rejecting argument that conditional certification was inappropriate because putative collective action members had waived their claims by accepting payments in resolution of such claims, because defense, which was raised via motion to dismiss converted to summary judgment motion, could not be evaluated until later in proceedings and pursuant to evidentiary analysis); Renfro v. Spartan Comput. Servs., Inc., 243 F.R.D. 431, 435 (D. Kan. 2007) (“On the motion for conditional certification, however, the Court will not reach the merits of plaintiffs’ claim.”); Gieseke v. First Horizon Home Loan Corp., 408 F. Supp. 2d 1164, 1168 (D. Kan. 2006) (“But [c]onditional certification of a collective action and the issuance of a notice do not require this Court to adjudicate the merits … .”) (alteration in original; quotation marks and citation omitted); Geer v. Challenge Fin. Investors Corp., 2006 WL 523201, at *1 (D. Kan. Mar. 3, 2006) (explaining that possibility of dismissal on motion “does not outweigh … [c]ourt’s concern about the effect a delay in sending notice might ultimately have on potential claims by [employees] who might wish to opt in to this case”); Vaszlavik v. Storage Tech. Corp., 175 F.R.D. 672, 680 (D. Colo. 1997) (“[W]hether plaintiffs can meet their burden in the liability phase … is irrelevant to the question of §216(b) certification.”).</w:t>
      </w:r>
    </w:p>
    <w:p w14:paraId="43599E38" w14:textId="77777777" w:rsidR="004322B1" w:rsidRPr="00AD2F44" w:rsidRDefault="004322B1">
      <w:pPr>
        <w:pStyle w:val="14Footnote"/>
      </w:pPr>
      <w:r w:rsidRPr="00AD2F44">
        <w:rPr>
          <w:i/>
          <w:iCs/>
        </w:rPr>
        <w:t>Eleventh Circuit:</w:t>
      </w:r>
      <w:r w:rsidRPr="00AD2F44">
        <w:t xml:space="preserve"> Kreher v. City of Atlanta, 2006 WL 739572, at *4 (N.D. Ga. Mar. 20, 2008) (rejecting defendant’s “attack on the merits”: “The focus of this inquiry … is not on whether there has been a violation of law but rather on whether the proposed plaintiffs are similarly situated … .”) (quotation marks and citation omitted).</w:t>
      </w:r>
    </w:p>
    <w:p w14:paraId="60179A4A" w14:textId="77777777" w:rsidR="004322B1" w:rsidRPr="00AD2F44" w:rsidRDefault="004322B1">
      <w:pPr>
        <w:pStyle w:val="14Footnote"/>
      </w:pPr>
      <w:r w:rsidRPr="00AD2F44">
        <w:t>See also §X.E [The Collective Action Mechanism in Arbitration; Conditional Certification When Putative Class Members May Be Subject to Arbitration Agreements] of this chapter for cases discussing motions to compel arbitration at the conditional certification stage.</w:t>
      </w:r>
    </w:p>
  </w:footnote>
  <w:footnote w:id="243">
    <w:p w14:paraId="048701D2" w14:textId="77777777" w:rsidR="004322B1" w:rsidRPr="00AD2F44" w:rsidRDefault="004322B1">
      <w:pPr>
        <w:pStyle w:val="14Footnote"/>
      </w:pPr>
      <w:r w:rsidRPr="00AD2F44">
        <w:rPr>
          <w:vertAlign w:val="superscript"/>
        </w:rPr>
        <w:footnoteRef/>
      </w:r>
      <w:r w:rsidRPr="00AD2F44">
        <w:rPr>
          <w:i/>
          <w:iCs/>
        </w:rPr>
        <w:t>See, e.g.,</w:t>
      </w:r>
    </w:p>
    <w:p w14:paraId="4A5D8F35" w14:textId="77777777" w:rsidR="004322B1" w:rsidRPr="00AD2F44" w:rsidRDefault="004322B1">
      <w:pPr>
        <w:pStyle w:val="14Footnote"/>
      </w:pPr>
      <w:r w:rsidRPr="00AD2F44">
        <w:rPr>
          <w:i/>
          <w:iCs/>
        </w:rPr>
        <w:t>Second Circuit</w:t>
      </w:r>
      <w:r w:rsidRPr="00AD2F44">
        <w:t>: Amendola v. Bristol-Myers Squibb Co., 558 F. Supp. 2d 459 (S.D.N.Y. 2008) (denial of conditional certification was premised on the court’s conclusion that defendants were likely to prevail on the merits of the action); Myers v. Hertz Corp., 2007 WL 2126264 (E.D.N.Y. July 24, 2007) (court first partially granted and partially denied the defendant’s motion for summary judgment, and later denied conditional certification).</w:t>
      </w:r>
    </w:p>
    <w:p w14:paraId="024BCDC2" w14:textId="77777777" w:rsidR="004322B1" w:rsidRPr="00AD2F44" w:rsidRDefault="004322B1">
      <w:pPr>
        <w:pStyle w:val="14Footnote"/>
      </w:pPr>
      <w:r w:rsidRPr="00AD2F44">
        <w:rPr>
          <w:i/>
          <w:iCs/>
        </w:rPr>
        <w:t xml:space="preserve">Third Circuit: </w:t>
      </w:r>
      <w:r w:rsidRPr="00AD2F44">
        <w:t>Zanes v. Flagship Resort Dev., LLC, 2010 WL 4687814 (D.N.J. Nov. 9, 2010) (assessing and rejecting argument made by defendant prior to conditional certification that plaintiffs lacked standing because they were exempt employees).</w:t>
      </w:r>
    </w:p>
    <w:p w14:paraId="3121355D" w14:textId="77777777" w:rsidR="004322B1" w:rsidRPr="00AD2F44" w:rsidRDefault="004322B1">
      <w:pPr>
        <w:pStyle w:val="14Footnote"/>
      </w:pPr>
      <w:r w:rsidRPr="00AD2F44">
        <w:rPr>
          <w:i/>
          <w:iCs/>
        </w:rPr>
        <w:t>Fourth Circuit:</w:t>
      </w:r>
      <w:r w:rsidRPr="00AD2F44">
        <w:rPr>
          <w:b/>
          <w:bCs/>
        </w:rPr>
        <w:t xml:space="preserve"> </w:t>
      </w:r>
      <w:r w:rsidRPr="00AD2F44">
        <w:t>Wai Man</w:t>
      </w:r>
      <w:r w:rsidRPr="00AD2F44">
        <w:rPr>
          <w:b/>
          <w:bCs/>
        </w:rPr>
        <w:t xml:space="preserve"> </w:t>
      </w:r>
      <w:r w:rsidRPr="00AD2F44">
        <w:t>Tom v. Hospitality Ventures LLC, 980 F.3d 1027 (4th Cir. 2020) (affirming in part, vacated in part, and remanded lower court’s grant of summary judgment to employer; district court denied conditional certification as moot; holding fixed, automatic gratuities are not tips, remanding for determination of whether requirements of 207(i) exemption were met);</w:t>
      </w:r>
      <w:r w:rsidRPr="00AD2F44">
        <w:rPr>
          <w:b/>
          <w:bCs/>
        </w:rPr>
        <w:t xml:space="preserve"> </w:t>
      </w:r>
      <w:r w:rsidRPr="00AD2F44">
        <w:t>Withrow v. Sedgwick Claims Mgmt. Serv., Inc., 841 F. Supp. 2d 972, 987–88 (S.D. W. Va. 2012) (granting summary judgment on administrative exemption as to eight plaintiffs in case and denying as moot conditional certification motion that was filed concurrently); Romero v. Mountaire Farms, Inc., 796 F. Supp. 2d 700, 708 (E.D.N.C. 2011) (narrowing conditionally certified class by dismissing claims regarding pre- and post-meal period donning and doffing, based on Fourth Circuit authority holding that such time was noncompensable).</w:t>
      </w:r>
    </w:p>
    <w:p w14:paraId="6208F8DE" w14:textId="77777777" w:rsidR="004322B1" w:rsidRPr="00AD2F44" w:rsidRDefault="004322B1">
      <w:pPr>
        <w:pStyle w:val="14Footnote"/>
      </w:pPr>
      <w:r w:rsidRPr="00AD2F44">
        <w:rPr>
          <w:i/>
          <w:iCs/>
        </w:rPr>
        <w:t>Fifth Circuit:</w:t>
      </w:r>
      <w:r w:rsidRPr="00AD2F44">
        <w:t xml:space="preserve"> Crawford v. Saks &amp; Co., 2016 WL 3090781, at *2, 9 (S.D. Tex. June 2, 2016) (granting defendant’s motion for summary judgment as to named plaintiffs as exempt under §217(i) because there had been extensive merits discovery of their claims, including written discovery and depositions of named plaintiffs and defendant’s corporate representative; denying conditional certification motion and dismissing case because there were no remaining plaintiffs in case, reasoning that court lacked continuing jurisdiction over case under </w:t>
      </w:r>
      <w:r w:rsidRPr="00AD2F44">
        <w:rPr>
          <w:i/>
          <w:iCs/>
        </w:rPr>
        <w:t>Genesis Healthcare Corp</w:t>
      </w:r>
      <w:r w:rsidRPr="00AD2F44">
        <w:t>.</w:t>
      </w:r>
      <w:r w:rsidRPr="00AD2F44">
        <w:rPr>
          <w:i/>
          <w:iCs/>
        </w:rPr>
        <w:t xml:space="preserve"> v</w:t>
      </w:r>
      <w:r w:rsidRPr="00AD2F44">
        <w:t>.</w:t>
      </w:r>
      <w:r w:rsidRPr="00AD2F44">
        <w:rPr>
          <w:i/>
          <w:iCs/>
        </w:rPr>
        <w:t xml:space="preserve"> Symczyk</w:t>
      </w:r>
      <w:r w:rsidRPr="00AD2F44">
        <w:t>, 569 U.S. 66, 69 (2013)); Cash v. Conn Appliances, 2 F. Supp. 2d 884 (E.D. Tex. 1997) (granting defendant’s motion for summary judgment with respect to whether defendant should have used the fluctuating workweek method and denying plaintiffs’ motion for certification as a collective action based on that issue).</w:t>
      </w:r>
      <w:r w:rsidRPr="00A16E12">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D404374" w14:textId="77777777" w:rsidR="004322B1" w:rsidRPr="00AD2F44" w:rsidRDefault="004322B1">
      <w:pPr>
        <w:pStyle w:val="14Footnote"/>
      </w:pPr>
      <w:r w:rsidRPr="00AD2F44">
        <w:rPr>
          <w:i/>
          <w:iCs/>
        </w:rPr>
        <w:t xml:space="preserve">Sixth Circuit: </w:t>
      </w:r>
      <w:r w:rsidRPr="00AD2F44">
        <w:t>Bernal v. Trueblue, Inc., 730 F. Supp. 2d 736, 738 (W.D. Mich. 2010) (finding it appropriate to rule on motion for summary judgment despite prior-filed and still-pending motions for collective and class certification, reasoning that it could be done “in the interest of conserving resources”); O’Neal v. Kilbourne Med. Labs., Inc., 2007 U.S. Dist. LEXIS 22620 (E.D. Ky. Mar. 28, 2007) (ruling on a summary judgment motion prior to deciding conditional certification; court had denied plaintiff’s motion for conditional certification, finding that she was properly classified as exempt).</w:t>
      </w:r>
    </w:p>
    <w:p w14:paraId="756874B5" w14:textId="77777777" w:rsidR="004322B1" w:rsidRPr="00AD2F44" w:rsidRDefault="004322B1">
      <w:pPr>
        <w:pStyle w:val="14Footnote"/>
      </w:pPr>
      <w:r w:rsidRPr="00AD2F44">
        <w:rPr>
          <w:i/>
          <w:iCs/>
        </w:rPr>
        <w:t xml:space="preserve">Seventh Circuit: </w:t>
      </w:r>
      <w:r w:rsidRPr="00AD2F44">
        <w:t>Binissia v. ABM Indus., Inc., 2014 WL 793111, at *4 (N.D. Ill. Feb. 26, 2014) (finding that addressing whether defendant’s rounding policy violated FLSA at conditional certification stage is “more sensible” approach and finding that policy appeared inconsistent with FLSA regulations); Thompson v. K.R. Denth Trucking, Inc., 2011 WL 649680, at *5–6 (S.D. Ind. Feb. 11, 2011) (rejecting argument that it was premature to evaluate whether Motor Carrier Act exemption applied at conditional certification stage; holding that named plaintiffs were covered by exemption and, therefore, denying conditional certification because they were “inadequate representatives for the proposed collective action”).</w:t>
      </w:r>
    </w:p>
    <w:p w14:paraId="43522D1A" w14:textId="77777777" w:rsidR="004322B1" w:rsidRPr="00AD2F44" w:rsidRDefault="004322B1">
      <w:pPr>
        <w:pStyle w:val="14Footnote"/>
      </w:pPr>
      <w:r w:rsidRPr="00AD2F44">
        <w:rPr>
          <w:i/>
          <w:iCs/>
        </w:rPr>
        <w:t>Eighth Circuit:</w:t>
      </w:r>
      <w:r w:rsidRPr="00AD2F44">
        <w:t xml:space="preserve"> Liebesman v. Competitor Grp., 2016 WL 204461 (E.D. Mo. Jan. 15, 2016) (considering motion for summary judgment prior to motion for conditional certification where plaintiff failed to timely file written consent to be party to FLSA collective action, and summary judgment issues were dispositive because plaintiff’s FLSA claim was time-barred).</w:t>
      </w:r>
    </w:p>
    <w:p w14:paraId="42992745" w14:textId="77777777" w:rsidR="004322B1" w:rsidRPr="00AD2F44" w:rsidRDefault="004322B1">
      <w:pPr>
        <w:pStyle w:val="14Footnote"/>
      </w:pPr>
      <w:r w:rsidRPr="00AD2F44">
        <w:rPr>
          <w:i/>
          <w:iCs/>
        </w:rPr>
        <w:t>Ninth Circuit:</w:t>
      </w:r>
      <w:r w:rsidRPr="00AD2F44">
        <w:t xml:space="preserve"> Gonzales v. Charter Commc’ns, LLC, 497 F. Supp. 3d 844 (C.D. Cal. 2020) (granting motion to dismiss from putative collective action 15 of 18 plaintiffs who had signed arbitration agreements and compelling their individual claims to arbitration); Taylor v. Waddell &amp; Reed, Inc., 2012 WL 10669, at *5 (S.D. Cal. Jan. 3, 2012) (granting partial summary judgment, agreeing that plaintiffs qualified for outside sales exemption, and denying as moot pending conditional certification motion); Fetrow-Fix v. Harrah’s Entm’t, Inc., 2011 WL 6938594, at *7 (D. Nev. Dec. 30, 2011) (denying conditional certification for putative class of game supervisors/floor persons because district judge previously granted summary judgment against named plaintiff, finding that defendants proved she was properly classified as exempt executive).</w:t>
      </w:r>
    </w:p>
    <w:p w14:paraId="08846054" w14:textId="77777777" w:rsidR="004322B1" w:rsidRPr="00AD2F44" w:rsidRDefault="004322B1">
      <w:pPr>
        <w:pStyle w:val="14Footnote"/>
      </w:pPr>
      <w:r w:rsidRPr="00AD2F44">
        <w:rPr>
          <w:i/>
          <w:iCs/>
        </w:rPr>
        <w:t xml:space="preserve">Tenth Circuit: </w:t>
      </w:r>
      <w:r w:rsidRPr="00AD2F44">
        <w:t>Vanartsdalen v. Deffenbaugh Indus., Inc., 2011 WL 1002027 (D. Kan. Mar. 18, 2011) (considering and granting motion for summary judgment, finding plaintiffs were exempt, before considering plaintiffs’ motion for conditional certification).</w:t>
      </w:r>
    </w:p>
    <w:p w14:paraId="59703D52" w14:textId="77777777" w:rsidR="004322B1" w:rsidRPr="00AD2F44" w:rsidRDefault="004322B1">
      <w:pPr>
        <w:pStyle w:val="14Footnote"/>
        <w:rPr>
          <w:b/>
          <w:bCs/>
        </w:rPr>
      </w:pPr>
      <w:r w:rsidRPr="00AD2F44">
        <w:rPr>
          <w:i/>
          <w:iCs/>
        </w:rPr>
        <w:t>Eleventh Circuit:</w:t>
      </w:r>
      <w:r w:rsidRPr="00AD2F44">
        <w:t xml:space="preserve"> Shelton v. 11USA Grp. LLC, 2020 BL 458737, 2020 WL 7327948 (S.D. Fla. Nov. 20, 2020) (granting motion to compel arbitration prior to conditional certification determination).</w:t>
      </w:r>
    </w:p>
    <w:p w14:paraId="41ED6594" w14:textId="77777777" w:rsidR="004322B1" w:rsidRPr="00AD2F44" w:rsidRDefault="004322B1">
      <w:pPr>
        <w:pStyle w:val="14Footnote"/>
      </w:pPr>
      <w:r w:rsidRPr="00AD2F44">
        <w:t>See also §X.E [The Collective Action Mechanism in Arbitration; Conditional Certification When Putative Class Members May Be Subject to Arbitration Agreements] of this chapter for cases discussing motions to compel arbitration at the conditional certification stage.</w:t>
      </w:r>
    </w:p>
  </w:footnote>
  <w:footnote w:id="244">
    <w:p w14:paraId="4B5EC318" w14:textId="77777777" w:rsidR="004322B1" w:rsidRPr="00AD2F44" w:rsidRDefault="004322B1">
      <w:pPr>
        <w:pStyle w:val="14Footnote"/>
      </w:pPr>
      <w:r w:rsidRPr="00AD2F44">
        <w:rPr>
          <w:vertAlign w:val="superscript"/>
        </w:rPr>
        <w:footnoteRef/>
      </w:r>
      <w:r w:rsidRPr="00AD2F44">
        <w:t>67 F. Supp. 3d 1061 (D. Ariz. 2014).</w:t>
      </w:r>
    </w:p>
  </w:footnote>
  <w:footnote w:id="245">
    <w:p w14:paraId="0D6F51E1" w14:textId="77777777" w:rsidR="004322B1" w:rsidRPr="00AD2F44" w:rsidRDefault="004322B1">
      <w:pPr>
        <w:pStyle w:val="14Footnote"/>
      </w:pPr>
      <w:r w:rsidRPr="00AD2F44">
        <w:rPr>
          <w:vertAlign w:val="superscript"/>
        </w:rPr>
        <w:footnoteRef/>
      </w:r>
      <w:r w:rsidRPr="00AD2F44">
        <w:rPr>
          <w:i/>
          <w:iCs/>
        </w:rPr>
        <w:t>Id</w:t>
      </w:r>
      <w:r w:rsidRPr="00AD2F44">
        <w:t xml:space="preserve">. at 1071–73. </w:t>
      </w:r>
      <w:r w:rsidRPr="00AD2F44">
        <w:rPr>
          <w:i/>
          <w:iCs/>
        </w:rPr>
        <w:t>See also</w:t>
      </w:r>
      <w:r w:rsidRPr="00AD2F44">
        <w:t xml:space="preserve"> Jaime v. Parts Auth. </w:t>
      </w:r>
      <w:r w:rsidRPr="002E55FE">
        <w:t>LLC, 2021 BL 273221,</w:t>
      </w:r>
      <w:r w:rsidRPr="002E55FE">
        <w:rPr>
          <w:rFonts w:ascii="Arial" w:eastAsia="Cambria" w:hAnsi="Arial" w:cs="Arial"/>
          <w:sz w:val="24"/>
          <w:szCs w:val="20"/>
        </w:rPr>
        <w:t xml:space="preserve"> </w:t>
      </w:r>
      <w:r w:rsidRPr="002E55FE">
        <w:t xml:space="preserve">2021 WL 3055041 (D. Ariz. </w:t>
      </w:r>
      <w:r w:rsidRPr="00AD2F44">
        <w:t>July 20, 2021) (dismissing claims against one set of Texas-based corporate defendants for lack of personal jurisdiction under personal availment and purposeful direction tests required in Ninth Circuit); Walkinshaw v. Saint Elizabeth Reg. Med. Ctr., 507 F. Supp. 3d 1106 (D. Neb. 2020) (holding it had specific personal jurisdiction over defendant based on contacts with Nebraska) (citing Epps v. Stewart Info. Servs. Corp., 327 F.3d 642 (8th Cir. 2003)).</w:t>
      </w:r>
    </w:p>
  </w:footnote>
  <w:footnote w:id="246">
    <w:p w14:paraId="02A4D645" w14:textId="77777777" w:rsidR="004322B1" w:rsidRPr="00AD2F44" w:rsidRDefault="004322B1" w:rsidP="00F23572">
      <w:pPr>
        <w:pStyle w:val="14Footnote"/>
      </w:pPr>
      <w:r w:rsidRPr="00AD2F44">
        <w:rPr>
          <w:rStyle w:val="FootnoteReference"/>
        </w:rPr>
        <w:footnoteRef/>
      </w:r>
      <w:r w:rsidRPr="00AD2F44">
        <w:t>586 F. Supp. 3d 759 (S.D. Ohio 2022).</w:t>
      </w:r>
    </w:p>
  </w:footnote>
  <w:footnote w:id="247">
    <w:p w14:paraId="08BCCB05" w14:textId="77777777" w:rsidR="004322B1" w:rsidRPr="00AD2F44" w:rsidRDefault="004322B1" w:rsidP="00F23572">
      <w:pPr>
        <w:pStyle w:val="14Footnote"/>
      </w:pPr>
      <w:r w:rsidRPr="00AD2F44">
        <w:rPr>
          <w:rStyle w:val="FootnoteReference"/>
        </w:rPr>
        <w:footnoteRef/>
      </w:r>
      <w:r w:rsidRPr="00AD2F44">
        <w:rPr>
          <w:i/>
          <w:iCs/>
        </w:rPr>
        <w:t>Id</w:t>
      </w:r>
      <w:r w:rsidRPr="00AD2F44">
        <w:t>. at 771–74.</w:t>
      </w:r>
    </w:p>
  </w:footnote>
  <w:footnote w:id="248">
    <w:p w14:paraId="4DC529E7" w14:textId="77777777" w:rsidR="004322B1" w:rsidRPr="00AD2F44" w:rsidRDefault="004322B1">
      <w:pPr>
        <w:pStyle w:val="14Footnote"/>
      </w:pPr>
      <w:r w:rsidRPr="00AD2F44">
        <w:rPr>
          <w:vertAlign w:val="superscript"/>
        </w:rPr>
        <w:footnoteRef/>
      </w:r>
      <w:r w:rsidRPr="00AD2F44">
        <w:t>137 S. Ct. 1773, 198 L. Ed. 2d 395 (2017).</w:t>
      </w:r>
    </w:p>
  </w:footnote>
  <w:footnote w:id="249">
    <w:p w14:paraId="1FE55E66" w14:textId="77777777" w:rsidR="004322B1" w:rsidRPr="00AD2F44" w:rsidRDefault="004322B1">
      <w:pPr>
        <w:pStyle w:val="14Footnote"/>
      </w:pPr>
      <w:r w:rsidRPr="00AD2F44">
        <w:rPr>
          <w:vertAlign w:val="superscript"/>
        </w:rPr>
        <w:footnoteRef/>
      </w:r>
      <w:r w:rsidRPr="00AD2F44">
        <w:t>137 S. Ct. at 1777–78.</w:t>
      </w:r>
    </w:p>
  </w:footnote>
  <w:footnote w:id="250">
    <w:p w14:paraId="3D63314B" w14:textId="77777777" w:rsidR="004322B1" w:rsidRPr="00AD2F44" w:rsidRDefault="004322B1">
      <w:pPr>
        <w:pStyle w:val="14Footnote"/>
      </w:pPr>
      <w:r w:rsidRPr="00AD2F44">
        <w:rPr>
          <w:vertAlign w:val="superscript"/>
        </w:rPr>
        <w:footnoteRef/>
      </w:r>
      <w:r w:rsidRPr="00AD2F44">
        <w:rPr>
          <w:i/>
          <w:iCs/>
        </w:rPr>
        <w:t>Id</w:t>
      </w:r>
      <w:r w:rsidRPr="00AD2F44">
        <w:t>. at 1781.</w:t>
      </w:r>
    </w:p>
  </w:footnote>
  <w:footnote w:id="251">
    <w:p w14:paraId="2166D39A" w14:textId="77777777" w:rsidR="004322B1" w:rsidRPr="00AD2F44" w:rsidRDefault="004322B1" w:rsidP="000B6C5F">
      <w:pPr>
        <w:pStyle w:val="FootnoteText"/>
      </w:pPr>
      <w:r w:rsidRPr="00AD2F44">
        <w:rPr>
          <w:rStyle w:val="FootnoteReference"/>
        </w:rPr>
        <w:footnoteRef/>
      </w:r>
      <w:r w:rsidRPr="00AD2F44">
        <w:t xml:space="preserve">9 F.4th 392 (6th Cir. 2021). </w:t>
      </w:r>
    </w:p>
  </w:footnote>
  <w:footnote w:id="252">
    <w:p w14:paraId="00D08E1F" w14:textId="77777777" w:rsidR="004322B1" w:rsidRPr="002F69CA" w:rsidRDefault="004322B1" w:rsidP="000B6C5F">
      <w:pPr>
        <w:pStyle w:val="FootnoteText"/>
        <w:rPr>
          <w:rStyle w:val="FootnoteReference"/>
        </w:rPr>
      </w:pPr>
      <w:r w:rsidRPr="00AD2F44">
        <w:rPr>
          <w:rStyle w:val="FootnoteReference"/>
        </w:rPr>
        <w:footnoteRef/>
      </w:r>
      <w:r w:rsidRPr="002F69CA">
        <w:rPr>
          <w:i/>
          <w:iCs/>
        </w:rPr>
        <w:t>Id</w:t>
      </w:r>
      <w:r w:rsidRPr="00AD2F44">
        <w:t xml:space="preserve">. at 397. </w:t>
      </w:r>
      <w:r w:rsidRPr="002F69CA">
        <w:rPr>
          <w:i/>
          <w:iCs/>
        </w:rPr>
        <w:t>See also</w:t>
      </w:r>
      <w:r>
        <w:t xml:space="preserve"> </w:t>
      </w:r>
      <w:r w:rsidRPr="00571B93">
        <w:t>St. Cloud v. Estes Express Lines, Inc.</w:t>
      </w:r>
      <w:r>
        <w:t xml:space="preserve">, </w:t>
      </w:r>
      <w:r w:rsidRPr="00645E6B">
        <w:rPr>
          <w:szCs w:val="24"/>
        </w:rPr>
        <w:t>2022 BL 215773</w:t>
      </w:r>
      <w:r>
        <w:rPr>
          <w:szCs w:val="24"/>
        </w:rPr>
        <w:t xml:space="preserve">, </w:t>
      </w:r>
      <w:r w:rsidRPr="00571B93">
        <w:t>2022 WL 2252957</w:t>
      </w:r>
      <w:r>
        <w:t xml:space="preserve"> (</w:t>
      </w:r>
      <w:r w:rsidRPr="00571B93">
        <w:t>M.D. Tenn. June 22, 2022)</w:t>
      </w:r>
      <w:r w:rsidRPr="002F69CA">
        <w:rPr>
          <w:rStyle w:val="FootnoteReference"/>
        </w:rPr>
        <w:t xml:space="preserve"> </w:t>
      </w:r>
      <w:r>
        <w:t xml:space="preserve"> (citing </w:t>
      </w:r>
      <w:r>
        <w:rPr>
          <w:i/>
          <w:iCs/>
        </w:rPr>
        <w:t>Canaday</w:t>
      </w:r>
      <w:r>
        <w:t xml:space="preserve">, denying exercise of personal jurisdiction over out of state workers). </w:t>
      </w:r>
    </w:p>
  </w:footnote>
  <w:footnote w:id="253">
    <w:p w14:paraId="5BE8E033" w14:textId="77777777" w:rsidR="004322B1" w:rsidRPr="00AD2F44" w:rsidRDefault="004322B1" w:rsidP="000B6C5F">
      <w:pPr>
        <w:pStyle w:val="FootnoteText"/>
      </w:pPr>
      <w:r w:rsidRPr="00AD2F44">
        <w:rPr>
          <w:rStyle w:val="FootnoteReference"/>
        </w:rPr>
        <w:footnoteRef/>
      </w:r>
      <w:r w:rsidRPr="002F69CA">
        <w:rPr>
          <w:i/>
          <w:iCs/>
        </w:rPr>
        <w:t>Id</w:t>
      </w:r>
      <w:r w:rsidRPr="00AD2F44">
        <w:t>.</w:t>
      </w:r>
    </w:p>
  </w:footnote>
  <w:footnote w:id="254">
    <w:p w14:paraId="0FEDF36D"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398–99.</w:t>
      </w:r>
    </w:p>
  </w:footnote>
  <w:footnote w:id="255">
    <w:p w14:paraId="36A054F2"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399–400.</w:t>
      </w:r>
    </w:p>
  </w:footnote>
  <w:footnote w:id="256">
    <w:p w14:paraId="3FE7922B" w14:textId="77777777" w:rsidR="004322B1" w:rsidRPr="00AD2F44" w:rsidRDefault="004322B1" w:rsidP="000B6C5F">
      <w:pPr>
        <w:pStyle w:val="FootnoteText"/>
      </w:pPr>
      <w:r w:rsidRPr="00AD2F44">
        <w:rPr>
          <w:rStyle w:val="FootnoteReference"/>
        </w:rPr>
        <w:footnoteRef/>
      </w:r>
      <w:r w:rsidRPr="00AD2F44">
        <w:rPr>
          <w:i/>
          <w:iCs/>
        </w:rPr>
        <w:t>Id.</w:t>
      </w:r>
      <w:r w:rsidRPr="00AD2F44">
        <w:t>at 400.</w:t>
      </w:r>
    </w:p>
  </w:footnote>
  <w:footnote w:id="257">
    <w:p w14:paraId="31DF55B0"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400–401.</w:t>
      </w:r>
    </w:p>
  </w:footnote>
  <w:footnote w:id="258">
    <w:p w14:paraId="5FE70126"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401–02. </w:t>
      </w:r>
    </w:p>
  </w:footnote>
  <w:footnote w:id="259">
    <w:p w14:paraId="3C240232"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402–03 (quoting Genesis Healthcare Corp. v. Symczyk, 569 U.S. 66, 74 (2013)). </w:t>
      </w:r>
    </w:p>
  </w:footnote>
  <w:footnote w:id="260">
    <w:p w14:paraId="4C750783"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403–04.</w:t>
      </w:r>
    </w:p>
  </w:footnote>
  <w:footnote w:id="261">
    <w:p w14:paraId="40AE1424" w14:textId="77777777" w:rsidR="004322B1" w:rsidRPr="00AD2F44" w:rsidRDefault="004322B1" w:rsidP="000B6C5F">
      <w:pPr>
        <w:pStyle w:val="FootnoteText"/>
      </w:pPr>
      <w:r w:rsidRPr="00AD2F44">
        <w:rPr>
          <w:rStyle w:val="FootnoteReference"/>
        </w:rPr>
        <w:footnoteRef/>
      </w:r>
      <w:r w:rsidRPr="00AD2F44">
        <w:t xml:space="preserve">9 F.4th 861 (8th Cir. 2021). </w:t>
      </w:r>
    </w:p>
  </w:footnote>
  <w:footnote w:id="262">
    <w:p w14:paraId="714783F7"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865–66. The court rejected the plaintiff’s argument that the employer had waived the personal jurisdiction defense by not pleading it specifically in the answer, reasoning that the employer’s assertion that nationwide certification would deny its due process rights was sufficient to give plaintiffs notice of the defense. </w:t>
      </w:r>
      <w:r w:rsidRPr="00AD2F44">
        <w:rPr>
          <w:i/>
          <w:iCs/>
        </w:rPr>
        <w:t>Id.</w:t>
      </w:r>
      <w:r w:rsidRPr="00AD2F44">
        <w:t xml:space="preserve"> at 864–65. </w:t>
      </w:r>
    </w:p>
  </w:footnote>
  <w:footnote w:id="263">
    <w:p w14:paraId="5F9E813B"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at 865 (internal quotation marks omitted).</w:t>
      </w:r>
    </w:p>
  </w:footnote>
  <w:footnote w:id="264">
    <w:p w14:paraId="5ED0A0DA" w14:textId="77777777" w:rsidR="004322B1" w:rsidRPr="00AD2F44" w:rsidRDefault="004322B1" w:rsidP="000B6C5F">
      <w:pPr>
        <w:pStyle w:val="FootnoteText"/>
      </w:pPr>
      <w:r w:rsidRPr="00AD2F44">
        <w:rPr>
          <w:rStyle w:val="FootnoteReference"/>
        </w:rPr>
        <w:footnoteRef/>
      </w:r>
      <w:r w:rsidRPr="00AD2F44">
        <w:rPr>
          <w:i/>
          <w:iCs/>
        </w:rPr>
        <w:t>Id</w:t>
      </w:r>
      <w:r w:rsidRPr="00AD2F44">
        <w:t xml:space="preserve">. </w:t>
      </w:r>
    </w:p>
  </w:footnote>
  <w:footnote w:id="265">
    <w:p w14:paraId="04B7C508" w14:textId="77777777" w:rsidR="004322B1" w:rsidRPr="00AD2F44" w:rsidRDefault="004322B1" w:rsidP="000B6C5F">
      <w:pPr>
        <w:pStyle w:val="FootnoteText"/>
      </w:pPr>
      <w:r w:rsidRPr="00AD2F44">
        <w:rPr>
          <w:rStyle w:val="FootnoteReference"/>
        </w:rPr>
        <w:footnoteRef/>
      </w:r>
      <w:r w:rsidRPr="00082FEC">
        <w:t>See</w:t>
      </w:r>
      <w:r w:rsidRPr="00AD2F44">
        <w:t xml:space="preserve"> </w:t>
      </w:r>
    </w:p>
    <w:p w14:paraId="190E84B9" w14:textId="77777777" w:rsidR="004322B1" w:rsidRPr="00AD2F44" w:rsidRDefault="004322B1">
      <w:pPr>
        <w:pStyle w:val="14Footnote"/>
      </w:pPr>
      <w:r w:rsidRPr="00AD2F44">
        <w:rPr>
          <w:i/>
          <w:iCs/>
        </w:rPr>
        <w:t>Second Circuit</w:t>
      </w:r>
      <w:r w:rsidRPr="00AD2F44">
        <w:t xml:space="preserve">: Perez v. Escobar Constr. Inc., 540 F. Supp. 3d 395 (S.D.N.Y. 2021); Goldowsky v. Exeter Fin. Corp., 2021 BL 63386, 2021 WL 695063 (W.D.N.Y. Feb. 23, 2021) (denying motion to transfer, finding lack of personal jurisdiction over opt-in plaintiffs (citing </w:t>
      </w:r>
      <w:r w:rsidRPr="00AD2F44">
        <w:rPr>
          <w:i/>
          <w:iCs/>
        </w:rPr>
        <w:t>Bristol-Myers Squibb</w:t>
      </w:r>
      <w:r w:rsidRPr="00AD2F44">
        <w:t xml:space="preserve"> and </w:t>
      </w:r>
      <w:r w:rsidRPr="00AD2F44">
        <w:rPr>
          <w:i/>
          <w:iCs/>
        </w:rPr>
        <w:t>Pettenato, infra</w:t>
      </w:r>
      <w:r w:rsidRPr="00AD2F44">
        <w:t xml:space="preserve">)); Pettenato v. Beacon Health Options, Inc., 425 F. Supp. 3d 264, 280 (S.D.N.Y. 2019). </w:t>
      </w:r>
    </w:p>
    <w:p w14:paraId="5D066540" w14:textId="77777777" w:rsidR="004322B1" w:rsidRPr="00AD2F44" w:rsidRDefault="004322B1">
      <w:pPr>
        <w:pStyle w:val="14Footnote"/>
        <w:rPr>
          <w:b/>
          <w:bCs/>
        </w:rPr>
      </w:pPr>
      <w:r w:rsidRPr="00AD2F44">
        <w:rPr>
          <w:i/>
          <w:iCs/>
        </w:rPr>
        <w:t>Third Circuit</w:t>
      </w:r>
      <w:r w:rsidRPr="00AD2F44">
        <w:t xml:space="preserve">: Ruffing v. Wipro Ltd., 529 F. Supp. 3d 359 (E.D. Pa. 2021); Fischer v. Federal Express Corp., 509 F. Supp. 3d 275 (E.D. Pa. 2020); Weirbach v. Cellular Connection, LLC, 478 F. Supp. 3d 544 (E.D. Pa. 2020); Szewcyzk v. United Parcel Serv., Inc., 2019 BL 405025, 2019 WL 5423036, at *8 (E.D. Pa. Oct. 22, 2019). </w:t>
      </w:r>
    </w:p>
    <w:p w14:paraId="5967435B" w14:textId="77777777" w:rsidR="004322B1" w:rsidRPr="00AD2F44" w:rsidRDefault="004322B1">
      <w:pPr>
        <w:pStyle w:val="14Footnote"/>
      </w:pPr>
      <w:r w:rsidRPr="00AD2F44">
        <w:rPr>
          <w:i/>
          <w:iCs/>
        </w:rPr>
        <w:t>Fourth Circuit</w:t>
      </w:r>
      <w:r w:rsidRPr="00AD2F44">
        <w:t xml:space="preserve">: Speight v. Labor Source, LLC, 2022 BL 134326, 2022 WL 1164415, at *4 &amp; n.5 (E.D.N.C. Apr. 19, 2022) (excluding anyone who did not work, was not hired, and “whose employment by defendant was not otherwise related to North Carolina,” but refusing to define excluded group as all nonresidents of North Carolina). </w:t>
      </w:r>
    </w:p>
    <w:p w14:paraId="698FE49B" w14:textId="77777777" w:rsidR="004322B1" w:rsidRPr="00AD2F44" w:rsidRDefault="004322B1">
      <w:pPr>
        <w:pStyle w:val="14Footnote"/>
      </w:pPr>
      <w:r w:rsidRPr="00AD2F44">
        <w:rPr>
          <w:i/>
          <w:iCs/>
        </w:rPr>
        <w:t>Fifth Circuit:</w:t>
      </w:r>
      <w:r w:rsidRPr="00AD2F44">
        <w:t xml:space="preserve"> </w:t>
      </w:r>
      <w:r w:rsidRPr="00571B93">
        <w:t>Adams v. Absolute Consulting, Inc.</w:t>
      </w:r>
      <w:r>
        <w:t xml:space="preserve">, </w:t>
      </w:r>
      <w:r w:rsidRPr="00765109">
        <w:t>2023 BL 143197</w:t>
      </w:r>
      <w:r>
        <w:t xml:space="preserve">, </w:t>
      </w:r>
      <w:r w:rsidRPr="0052265E">
        <w:t xml:space="preserve">2023 WL 3138043 </w:t>
      </w:r>
      <w:r w:rsidRPr="00571B93">
        <w:t>(W</w:t>
      </w:r>
      <w:r>
        <w:t>.D</w:t>
      </w:r>
      <w:r w:rsidRPr="00571B93">
        <w:t>. Tex.</w:t>
      </w:r>
      <w:r>
        <w:t xml:space="preserve"> Apr. 27,</w:t>
      </w:r>
      <w:r w:rsidRPr="00571B93">
        <w:t xml:space="preserve"> 2023)</w:t>
      </w:r>
      <w:r>
        <w:t xml:space="preserve">; </w:t>
      </w:r>
      <w:r w:rsidRPr="002F69CA">
        <w:t>Loebsack v. Dufresne Spencer Grp.,</w:t>
      </w:r>
      <w:r w:rsidRPr="00D86A46">
        <w:rPr>
          <w:i/>
          <w:iCs/>
        </w:rPr>
        <w:t xml:space="preserve"> </w:t>
      </w:r>
      <w:r w:rsidRPr="002F69CA">
        <w:t>LLC</w:t>
      </w:r>
      <w:r w:rsidRPr="00D86A46">
        <w:t xml:space="preserve">, </w:t>
      </w:r>
      <w:r w:rsidRPr="00765109">
        <w:t>2022 BL 261185</w:t>
      </w:r>
      <w:r>
        <w:t xml:space="preserve">, </w:t>
      </w:r>
      <w:r w:rsidRPr="00D86A46">
        <w:t xml:space="preserve">2022 WL 2959718, at *5 (S.D. Tex. July 11, 2022), </w:t>
      </w:r>
      <w:r w:rsidRPr="00D86A46">
        <w:rPr>
          <w:i/>
          <w:iCs/>
        </w:rPr>
        <w:t>report and recommendation adopted,</w:t>
      </w:r>
      <w:r w:rsidRPr="00D86A46">
        <w:t xml:space="preserve"> </w:t>
      </w:r>
      <w:r w:rsidRPr="00765109">
        <w:t>2022 BL 259218</w:t>
      </w:r>
      <w:r>
        <w:t xml:space="preserve">, </w:t>
      </w:r>
      <w:r w:rsidRPr="00D86A46">
        <w:t>2022 WL 2954334 (S.D. Tex. July 26, 2022)</w:t>
      </w:r>
      <w:r>
        <w:t xml:space="preserve"> (limiting conditional certification to employees in Texas); </w:t>
      </w:r>
      <w:r w:rsidRPr="00AD2F44">
        <w:t>Martinez v. Tyson Foods, Inc., 533 F. Supp. 3d 386 (N.D. Tex. 2021); Greinstein v. Fieldcore Servs. Sols., LLC, 2020 BL 453159, 2020 WL 6821005 (N.D. Tex. Nov. 20, 2020).</w:t>
      </w:r>
    </w:p>
    <w:p w14:paraId="5041F363" w14:textId="77777777" w:rsidR="004322B1" w:rsidRPr="00AD2F44" w:rsidRDefault="004322B1" w:rsidP="00F23572">
      <w:pPr>
        <w:pStyle w:val="14Footnote"/>
      </w:pPr>
      <w:r w:rsidRPr="00AD2F44">
        <w:rPr>
          <w:i/>
          <w:iCs/>
        </w:rPr>
        <w:t>Seventh Circuit</w:t>
      </w:r>
      <w:r w:rsidRPr="00AD2F44">
        <w:t xml:space="preserve">: Iannotti v. Wood Grp. Mustang, 603 F. Supp. 3d 649 (S.D. Ill. 2022); Parker v. IAS Logistics DFW, LLC, 2021 BL 341678, 2021 WL 4125106 (N.D. Ill. Sept. 9, 2021). </w:t>
      </w:r>
    </w:p>
    <w:p w14:paraId="0D22F815" w14:textId="77777777" w:rsidR="004322B1" w:rsidRPr="00AD2F44" w:rsidRDefault="004322B1" w:rsidP="00F23572">
      <w:pPr>
        <w:pStyle w:val="14Footnote"/>
      </w:pPr>
      <w:r w:rsidRPr="00AD2F44">
        <w:rPr>
          <w:i/>
          <w:iCs/>
        </w:rPr>
        <w:t>Ninth Circuit:</w:t>
      </w:r>
      <w:r w:rsidRPr="00AD2F44">
        <w:t xml:space="preserve"> </w:t>
      </w:r>
      <w:r>
        <w:t xml:space="preserve">Suazo v. Blue Mercury, Inc., 2023 U.S. Dist. LEXIS 65927 (N.D. Cal. Apr. 14, 2023); </w:t>
      </w:r>
      <w:r w:rsidRPr="00571B93">
        <w:t>Wilkerson v. Walgreens Specialty Pharmacy LLC</w:t>
      </w:r>
      <w:r>
        <w:t xml:space="preserve">, </w:t>
      </w:r>
      <w:r w:rsidRPr="00571B93">
        <w:t>637 F. Supp. 3d 718 (D. Ariz. 2022</w:t>
      </w:r>
      <w:r>
        <w:t xml:space="preserve">); </w:t>
      </w:r>
      <w:r w:rsidRPr="00AD2F44">
        <w:t xml:space="preserve">Carlson v. United Nat’l Foods, Inc., 2021 BL 308970, 2021 WL 3616786 (W.D. Wash. Aug. 14, 2021); McNutt v. Swift Transp. Co. of Ariz. LLC, 2020 BL 253893, 2020 WL 3819239 (W.D. Wash. July 7, 2020). </w:t>
      </w:r>
    </w:p>
  </w:footnote>
  <w:footnote w:id="266">
    <w:p w14:paraId="1193EC50" w14:textId="77777777" w:rsidR="004322B1" w:rsidRPr="00AD2F44" w:rsidRDefault="004322B1" w:rsidP="00F23572">
      <w:pPr>
        <w:pStyle w:val="14Footnote"/>
      </w:pPr>
      <w:r w:rsidRPr="00AD2F44">
        <w:rPr>
          <w:rStyle w:val="FootnoteReference"/>
        </w:rPr>
        <w:footnoteRef/>
      </w:r>
      <w:r w:rsidRPr="00AD2F44">
        <w:t>23 F.4th 84 (1st Cir. 2022).</w:t>
      </w:r>
    </w:p>
  </w:footnote>
  <w:footnote w:id="267">
    <w:p w14:paraId="72DD72C1" w14:textId="77777777" w:rsidR="004322B1" w:rsidRPr="00AD2F44" w:rsidRDefault="004322B1" w:rsidP="00F23572">
      <w:pPr>
        <w:pStyle w:val="14Footnote"/>
      </w:pPr>
      <w:r w:rsidRPr="00AD2F44">
        <w:rPr>
          <w:rStyle w:val="FootnoteReference"/>
        </w:rPr>
        <w:footnoteRef/>
      </w:r>
      <w:r w:rsidRPr="00AD2F44">
        <w:rPr>
          <w:i/>
          <w:iCs/>
        </w:rPr>
        <w:t>Id.</w:t>
      </w:r>
      <w:r w:rsidRPr="00AD2F44">
        <w:t xml:space="preserve"> at 92–93. </w:t>
      </w:r>
    </w:p>
  </w:footnote>
  <w:footnote w:id="268">
    <w:p w14:paraId="34885112" w14:textId="77777777" w:rsidR="004322B1" w:rsidRPr="00AD2F44" w:rsidRDefault="004322B1" w:rsidP="00F23572">
      <w:pPr>
        <w:pStyle w:val="14Footnote"/>
      </w:pPr>
      <w:r w:rsidRPr="00AD2F44">
        <w:rPr>
          <w:rStyle w:val="FootnoteReference"/>
        </w:rPr>
        <w:footnoteRef/>
      </w:r>
      <w:r w:rsidRPr="00AD2F44">
        <w:rPr>
          <w:i/>
          <w:iCs/>
        </w:rPr>
        <w:t>Id.</w:t>
      </w:r>
      <w:r w:rsidRPr="00AD2F44">
        <w:t xml:space="preserve"> at 94. </w:t>
      </w:r>
    </w:p>
  </w:footnote>
  <w:footnote w:id="269">
    <w:p w14:paraId="6C9AFC39" w14:textId="77777777" w:rsidR="004322B1" w:rsidRPr="00AD2F44" w:rsidRDefault="004322B1" w:rsidP="00F23572">
      <w:pPr>
        <w:pStyle w:val="14Footnote"/>
      </w:pPr>
      <w:r w:rsidRPr="00AD2F44">
        <w:rPr>
          <w:rStyle w:val="FootnoteReference"/>
        </w:rPr>
        <w:footnoteRef/>
      </w:r>
      <w:r w:rsidRPr="00AD2F44">
        <w:rPr>
          <w:i/>
          <w:iCs/>
        </w:rPr>
        <w:t>Id.</w:t>
      </w:r>
      <w:r w:rsidRPr="00AD2F44">
        <w:t>at 96–97.</w:t>
      </w:r>
    </w:p>
  </w:footnote>
  <w:footnote w:id="270">
    <w:p w14:paraId="10CB0B00" w14:textId="77777777" w:rsidR="004322B1" w:rsidRPr="00AD2F44" w:rsidRDefault="004322B1" w:rsidP="00F23572">
      <w:pPr>
        <w:pStyle w:val="14Footnote"/>
      </w:pPr>
      <w:r w:rsidRPr="00AD2F44">
        <w:rPr>
          <w:rStyle w:val="FootnoteReference"/>
        </w:rPr>
        <w:footnoteRef/>
      </w:r>
      <w:r w:rsidRPr="00AD2F44">
        <w:rPr>
          <w:i/>
          <w:iCs/>
        </w:rPr>
        <w:t>Id.</w:t>
      </w:r>
      <w:r w:rsidRPr="00AD2F44">
        <w:t xml:space="preserve"> at 99. </w:t>
      </w:r>
    </w:p>
  </w:footnote>
  <w:footnote w:id="271">
    <w:p w14:paraId="5871AEE1" w14:textId="77777777" w:rsidR="004322B1" w:rsidRPr="00AD2F44" w:rsidRDefault="004322B1" w:rsidP="00F23572">
      <w:pPr>
        <w:pStyle w:val="14Footnote"/>
      </w:pPr>
      <w:r w:rsidRPr="00AD2F44">
        <w:rPr>
          <w:rStyle w:val="FootnoteReference"/>
        </w:rPr>
        <w:footnoteRef/>
      </w:r>
      <w:r w:rsidRPr="00AD2F44">
        <w:rPr>
          <w:i/>
          <w:iCs/>
        </w:rPr>
        <w:t>See</w:t>
      </w:r>
    </w:p>
    <w:p w14:paraId="1C4ECA34" w14:textId="77777777" w:rsidR="004322B1" w:rsidRPr="00AD2F44" w:rsidRDefault="004322B1">
      <w:pPr>
        <w:pStyle w:val="14Footnote"/>
      </w:pPr>
      <w:r w:rsidRPr="00AD2F44">
        <w:rPr>
          <w:i/>
          <w:iCs/>
        </w:rPr>
        <w:t xml:space="preserve">Second Circuit: </w:t>
      </w:r>
      <w:r w:rsidRPr="00AD2F44">
        <w:t>Meo v. Lane Bryant, Inc., 2019 BL 385104,</w:t>
      </w:r>
      <w:r w:rsidRPr="00AD2F44">
        <w:rPr>
          <w:i/>
          <w:iCs/>
        </w:rPr>
        <w:t xml:space="preserve"> </w:t>
      </w:r>
      <w:r w:rsidRPr="00AD2F44">
        <w:t>2019 WL 5157024 (E.D.N.Y. Sept. 30, 2019);</w:t>
      </w:r>
      <w:r w:rsidRPr="00AD2F44">
        <w:rPr>
          <w:i/>
          <w:iCs/>
        </w:rPr>
        <w:t xml:space="preserve"> </w:t>
      </w:r>
      <w:r w:rsidRPr="00AD2F44">
        <w:t xml:space="preserve">Mason v. Lumber Liquidators, Inc., 2019 BL 173405, 2019 WL 2088609, at *6 (E.D.N.Y. May 13, 2019), </w:t>
      </w:r>
      <w:r w:rsidRPr="00AD2F44">
        <w:rPr>
          <w:i/>
          <w:iCs/>
        </w:rPr>
        <w:t>report and recommendation adopted</w:t>
      </w:r>
      <w:r w:rsidRPr="00AD2F44">
        <w:t>, 2019 BL 309902, 2019 WL 3940846 (E.D.N.Y. Aug. 19, 2019).</w:t>
      </w:r>
    </w:p>
    <w:p w14:paraId="15AFE5EA" w14:textId="77777777" w:rsidR="004322B1" w:rsidRPr="00AD2F44" w:rsidRDefault="004322B1">
      <w:pPr>
        <w:pStyle w:val="14Footnote"/>
      </w:pPr>
      <w:r w:rsidRPr="00AD2F44">
        <w:rPr>
          <w:i/>
          <w:iCs/>
        </w:rPr>
        <w:t>Third Circuit:</w:t>
      </w:r>
      <w:r w:rsidRPr="00AD2F44">
        <w:t xml:space="preserve"> Hickman v. TL Transp., LLC, 317 F. Supp. 3d 890, 899 n.2 (E.D. Pa. 2018). </w:t>
      </w:r>
    </w:p>
    <w:p w14:paraId="1813FE41" w14:textId="77777777" w:rsidR="004322B1" w:rsidRPr="00AD2F44" w:rsidRDefault="004322B1">
      <w:pPr>
        <w:pStyle w:val="14Footnote"/>
        <w:rPr>
          <w:b/>
          <w:bCs/>
        </w:rPr>
      </w:pPr>
      <w:r w:rsidRPr="00AD2F44">
        <w:rPr>
          <w:i/>
          <w:iCs/>
        </w:rPr>
        <w:t>Fourth Circuit:</w:t>
      </w:r>
      <w:r w:rsidRPr="00AD2F44">
        <w:t xml:space="preserve"> Ison v. Markwest Energy Partners, LP, 2021 BL 482102, 2021 WL 5989084 (S.D. W. Va. Dec. 17, 2021); O’Quinn v. TransCanada USA Servs., Inc., 469 F. Supp. 3d 591 (S.D. W. Va. 2020); Hager v. Omnicare, Inc., 2020 WL 5806627 (S.D. W. Va. Sept. 29, 2020); Hunt v. Interactive Med. Specialist, Inc., 2019 BL 463571, 2019 WL 6528594, at *3 (N.D. W. Va. Dec. 4, 2019). </w:t>
      </w:r>
    </w:p>
    <w:p w14:paraId="520DB896" w14:textId="77777777" w:rsidR="004322B1" w:rsidRPr="00AD2F44" w:rsidRDefault="004322B1" w:rsidP="00F23572">
      <w:pPr>
        <w:pStyle w:val="14Footnote"/>
      </w:pPr>
      <w:r w:rsidRPr="00AD2F44">
        <w:rPr>
          <w:i/>
          <w:iCs/>
        </w:rPr>
        <w:t xml:space="preserve">Fifth Circuit: </w:t>
      </w:r>
      <w:r w:rsidRPr="00AD2F44">
        <w:t>Garcia v. Peterson, 319 F. Supp. 3d 863, 880 (S.D. Tex. 2018).</w:t>
      </w:r>
      <w:r w:rsidRPr="00A32554">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736F3C70" w14:textId="77777777" w:rsidR="004322B1" w:rsidRPr="00AD2F44" w:rsidRDefault="004322B1" w:rsidP="0007118E">
      <w:pPr>
        <w:pStyle w:val="14Footnote"/>
      </w:pPr>
      <w:r w:rsidRPr="00AD2F44">
        <w:rPr>
          <w:i/>
          <w:iCs/>
        </w:rPr>
        <w:t xml:space="preserve">Ninth Circuit: </w:t>
      </w:r>
      <w:r w:rsidRPr="00AD2F44">
        <w:t>Chavez v. Stellar Mgmt. Grp. VII, LLC, 2020 BL 294723, 2020 WL 4505482, at * 6–8 (N.D. Cal. Aug. 5, 2020); Seiffert v. Qwest Corp., 2018 BL 464758, 2018 WL 6590836, at *4 (D. Mont. Dec. 14, 2018); Swamy v. Title Source, Inc</w:t>
      </w:r>
      <w:r w:rsidRPr="00AD2F44">
        <w:rPr>
          <w:i/>
          <w:iCs/>
        </w:rPr>
        <w:t xml:space="preserve">., </w:t>
      </w:r>
      <w:r w:rsidRPr="00AD2F44">
        <w:t>2017 BL 404708, 2017 WL 5196780, at *2 (N.D. Cal. Nov. 10, 2017); Thomas v. Kellogg Co</w:t>
      </w:r>
      <w:r w:rsidRPr="00AD2F44">
        <w:rPr>
          <w:i/>
          <w:iCs/>
        </w:rPr>
        <w:t>.</w:t>
      </w:r>
      <w:r w:rsidRPr="00AD2F44">
        <w:t>,</w:t>
      </w:r>
      <w:r w:rsidRPr="00AD2F44">
        <w:rPr>
          <w:i/>
          <w:iCs/>
        </w:rPr>
        <w:t xml:space="preserve"> </w:t>
      </w:r>
      <w:r w:rsidRPr="00AD2F44">
        <w:t>2017 BL 371859,</w:t>
      </w:r>
      <w:r w:rsidRPr="00AD2F44">
        <w:rPr>
          <w:i/>
          <w:iCs/>
        </w:rPr>
        <w:t xml:space="preserve"> </w:t>
      </w:r>
      <w:r w:rsidRPr="00AD2F44">
        <w:t xml:space="preserve">2017 WL 5256634, at *1 (W.D. Wash. Oct. 17, 2017). </w:t>
      </w:r>
    </w:p>
    <w:p w14:paraId="0D6E8EC0" w14:textId="77777777" w:rsidR="004322B1" w:rsidRPr="00AD2F44" w:rsidRDefault="004322B1">
      <w:pPr>
        <w:pStyle w:val="14Footnote"/>
      </w:pPr>
      <w:r w:rsidRPr="00AD2F44">
        <w:rPr>
          <w:i/>
          <w:iCs/>
        </w:rPr>
        <w:t xml:space="preserve">Tenth Circuit: </w:t>
      </w:r>
      <w:r w:rsidRPr="00AD2F44">
        <w:t>Warren v. MBI Energy Servs., Inc</w:t>
      </w:r>
      <w:r w:rsidRPr="00AD2F44">
        <w:rPr>
          <w:i/>
          <w:iCs/>
        </w:rPr>
        <w:t>.</w:t>
      </w:r>
      <w:r w:rsidRPr="00AD2F44">
        <w:t>,</w:t>
      </w:r>
      <w:r w:rsidRPr="00AD2F44">
        <w:rPr>
          <w:i/>
          <w:iCs/>
        </w:rPr>
        <w:t xml:space="preserve"> </w:t>
      </w:r>
      <w:r w:rsidRPr="00AD2F44">
        <w:t xml:space="preserve">2020 BL 69194, 2020 WL 937420, at *6 (D. Colo. Feb. 25, 2020). </w:t>
      </w:r>
    </w:p>
    <w:p w14:paraId="65670B2D" w14:textId="77777777" w:rsidR="004322B1" w:rsidRPr="00AD2F44" w:rsidRDefault="004322B1" w:rsidP="00F23572">
      <w:pPr>
        <w:pStyle w:val="14Footnote"/>
      </w:pPr>
      <w:r w:rsidRPr="00AD2F44">
        <w:rPr>
          <w:i/>
          <w:iCs/>
        </w:rPr>
        <w:t xml:space="preserve">Eleventh Circuit: </w:t>
      </w:r>
      <w:r w:rsidRPr="00AD2F44">
        <w:t>Aiuto v. Publix Super Mkts., Inc</w:t>
      </w:r>
      <w:r w:rsidRPr="00AD2F44">
        <w:rPr>
          <w:i/>
          <w:iCs/>
        </w:rPr>
        <w:t>.</w:t>
      </w:r>
      <w:r w:rsidRPr="00AD2F44">
        <w:t>,</w:t>
      </w:r>
      <w:r w:rsidRPr="00AD2F44">
        <w:rPr>
          <w:i/>
          <w:iCs/>
        </w:rPr>
        <w:t xml:space="preserve"> </w:t>
      </w:r>
      <w:r w:rsidRPr="00AD2F44">
        <w:t>2020 BL 132973,</w:t>
      </w:r>
      <w:r w:rsidRPr="00AD2F44">
        <w:rPr>
          <w:i/>
          <w:iCs/>
        </w:rPr>
        <w:t xml:space="preserve"> </w:t>
      </w:r>
      <w:r w:rsidRPr="00AD2F44">
        <w:t>2020 WL 2039946, at *5 (N.D. Ga. Apr. 9, 2020); Gibbs v. MLK Express Servs., LLC, 2019 BL 167431, 2019 WL 1980123, at *16 (M.D. Fla. Mar. 28, 2019),</w:t>
      </w:r>
      <w:r w:rsidRPr="00AD2F44">
        <w:rPr>
          <w:i/>
          <w:iCs/>
        </w:rPr>
        <w:t xml:space="preserve"> report and recommendation adopted in part, rejected in part</w:t>
      </w:r>
      <w:r w:rsidRPr="00AD2F44">
        <w:t>, 2019 BL 238863, 2019 WL 2635746 (M.D. Fla. June 27, 2019).</w:t>
      </w:r>
    </w:p>
  </w:footnote>
  <w:footnote w:id="272">
    <w:p w14:paraId="3D24BCBA" w14:textId="77777777" w:rsidR="004322B1" w:rsidRPr="00AD2F44" w:rsidRDefault="004322B1" w:rsidP="003E61AD">
      <w:pPr>
        <w:pStyle w:val="14Footnote"/>
      </w:pPr>
      <w:r w:rsidRPr="00AD2F44">
        <w:rPr>
          <w:vertAlign w:val="superscript"/>
        </w:rPr>
        <w:footnoteRef/>
      </w:r>
      <w:r w:rsidRPr="00AD2F44">
        <w:rPr>
          <w:i/>
          <w:iCs/>
        </w:rPr>
        <w:t>Third Circuit:</w:t>
      </w:r>
      <w:r w:rsidRPr="00AD2F44">
        <w:t xml:space="preserve"> Hall v. Guardsmark, LLC, 2012 WL 3580086, at *7–8 (W.D. Pa. Aug. 17, 2012) (concluding that proposed class could not include two security guards bringing action because they were outside time period of employment).</w:t>
      </w:r>
    </w:p>
    <w:p w14:paraId="4568FD51" w14:textId="77777777" w:rsidR="004322B1" w:rsidRPr="00AD2F44" w:rsidRDefault="004322B1">
      <w:pPr>
        <w:pStyle w:val="14Footnote"/>
      </w:pPr>
      <w:r w:rsidRPr="00AD2F44">
        <w:rPr>
          <w:i/>
          <w:iCs/>
        </w:rPr>
        <w:t>Sixth Circuit:</w:t>
      </w:r>
      <w:r w:rsidRPr="00AD2F44">
        <w:t xml:space="preserve"> White v. MPW Indus. Serv., Inc., 236 F.R.D. 363, 375 (E.D. Tenn. 2006) (allowing three-year liability period even though affiants only worked during two-year liability period).</w:t>
      </w:r>
    </w:p>
    <w:p w14:paraId="67CAECC8" w14:textId="77777777" w:rsidR="004322B1" w:rsidRPr="00AD2F44" w:rsidRDefault="004322B1">
      <w:pPr>
        <w:pStyle w:val="14Footnote"/>
      </w:pPr>
      <w:r w:rsidRPr="00AD2F44">
        <w:rPr>
          <w:i/>
          <w:iCs/>
        </w:rPr>
        <w:t>Tenth Circuit:</w:t>
      </w:r>
      <w:r w:rsidRPr="00AD2F44">
        <w:t xml:space="preserve"> Brown v. Money Tree Mortg., Inc., 222 F.R.D. 676, 682 (D. Kan. 2004) (rejecting employer’s argument that named plaintiff who only worked for seven weeks could not adequately represent class members who worked for longer periods).</w:t>
      </w:r>
    </w:p>
    <w:p w14:paraId="6EEAA51F" w14:textId="77777777" w:rsidR="004322B1" w:rsidRPr="00AD2F44" w:rsidRDefault="004322B1">
      <w:pPr>
        <w:pStyle w:val="14Footnote"/>
      </w:pPr>
      <w:r w:rsidRPr="00AD2F44">
        <w:rPr>
          <w:i/>
          <w:iCs/>
        </w:rPr>
        <w:t>Eleventh Circuit:</w:t>
      </w:r>
      <w:r w:rsidRPr="00AD2F44">
        <w:t xml:space="preserve"> Smith v. Tradesmen Int’l, Inc., 289 F. Supp. 2d 1369, 1372 (S.D. Fla. 2003); Mackenzie v. Kindred Hosps. E., LLC, 276 F. Supp. 2d 1211, 1221 (M.D. Fla. 2003).</w:t>
      </w:r>
    </w:p>
  </w:footnote>
  <w:footnote w:id="273">
    <w:p w14:paraId="3ACD88C1" w14:textId="77777777" w:rsidR="004322B1" w:rsidRPr="00AD2F44" w:rsidRDefault="004322B1">
      <w:pPr>
        <w:pStyle w:val="14Footnote"/>
      </w:pPr>
      <w:r w:rsidRPr="00AD2F44">
        <w:rPr>
          <w:vertAlign w:val="superscript"/>
        </w:rPr>
        <w:footnoteRef/>
      </w:r>
      <w:r w:rsidRPr="00AD2F44">
        <w:t>434 F. Supp. 2d 40 (D. Mass. 2006).</w:t>
      </w:r>
    </w:p>
  </w:footnote>
  <w:footnote w:id="274">
    <w:p w14:paraId="7A041C91" w14:textId="77777777" w:rsidR="004322B1" w:rsidRPr="00AD2F44" w:rsidRDefault="004322B1">
      <w:pPr>
        <w:pStyle w:val="14Footnote"/>
      </w:pPr>
      <w:r w:rsidRPr="00AD2F44">
        <w:rPr>
          <w:vertAlign w:val="superscript"/>
        </w:rPr>
        <w:footnoteRef/>
      </w:r>
      <w:r w:rsidRPr="00AD2F44">
        <w:rPr>
          <w:i/>
          <w:iCs/>
        </w:rPr>
        <w:t>Id.</w:t>
      </w:r>
      <w:r w:rsidRPr="00AD2F44">
        <w:t xml:space="preserve"> at 48–49. </w:t>
      </w:r>
    </w:p>
  </w:footnote>
  <w:footnote w:id="275">
    <w:p w14:paraId="0AC8D952" w14:textId="77777777" w:rsidR="004322B1" w:rsidRPr="00AD2F44" w:rsidRDefault="004322B1">
      <w:pPr>
        <w:pStyle w:val="14Footnote"/>
      </w:pPr>
      <w:r w:rsidRPr="00AD2F44">
        <w:rPr>
          <w:vertAlign w:val="superscript"/>
        </w:rPr>
        <w:footnoteRef/>
      </w:r>
      <w:r w:rsidRPr="00AD2F44">
        <w:t>2008 U.S. Dist. LEXIS 53102 (N.D. Cal. May 2, 2008).</w:t>
      </w:r>
    </w:p>
  </w:footnote>
  <w:footnote w:id="276">
    <w:p w14:paraId="5645CEF8" w14:textId="77777777" w:rsidR="004322B1" w:rsidRPr="00AD2F44" w:rsidRDefault="004322B1">
      <w:pPr>
        <w:pStyle w:val="14Footnote"/>
      </w:pPr>
      <w:r w:rsidRPr="00AD2F44">
        <w:rPr>
          <w:vertAlign w:val="superscript"/>
        </w:rPr>
        <w:footnoteRef/>
      </w:r>
      <w:r w:rsidRPr="00AD2F44">
        <w:rPr>
          <w:i/>
          <w:iCs/>
        </w:rPr>
        <w:t>Id</w:t>
      </w:r>
      <w:r w:rsidRPr="00AD2F44">
        <w:t>. at *7–8.</w:t>
      </w:r>
    </w:p>
  </w:footnote>
  <w:footnote w:id="277">
    <w:p w14:paraId="4F21D211"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278">
    <w:p w14:paraId="5F84A513" w14:textId="77777777" w:rsidR="004322B1" w:rsidRPr="00AD2F44" w:rsidRDefault="004322B1">
      <w:pPr>
        <w:pStyle w:val="14Footnote"/>
      </w:pPr>
      <w:r w:rsidRPr="00AD2F44">
        <w:rPr>
          <w:vertAlign w:val="superscript"/>
        </w:rPr>
        <w:footnoteRef/>
      </w:r>
      <w:r w:rsidRPr="00AD2F44">
        <w:t>Reyes v. Carnival Corp., 2005 U.S. Dist. LEXIS 11948, at *25–26 (S.D. Fla. May 25, 2005); Heagney v. European Am. Bank, 122 F.R.D. 125, 128 (E.D.N.Y. 1988).</w:t>
      </w:r>
    </w:p>
  </w:footnote>
  <w:footnote w:id="279">
    <w:p w14:paraId="7EBDAE01" w14:textId="77777777" w:rsidR="004322B1" w:rsidRPr="00AD2F44" w:rsidRDefault="004322B1">
      <w:pPr>
        <w:pStyle w:val="14Footnote"/>
      </w:pPr>
      <w:r w:rsidRPr="00AD2F44">
        <w:rPr>
          <w:vertAlign w:val="superscript"/>
        </w:rPr>
        <w:footnoteRef/>
      </w:r>
      <w:r w:rsidRPr="00AD2F44">
        <w:rPr>
          <w:i/>
          <w:iCs/>
        </w:rPr>
        <w:t>See, e.g.,</w:t>
      </w:r>
    </w:p>
    <w:p w14:paraId="4DC94FFA" w14:textId="77777777" w:rsidR="004322B1" w:rsidRPr="00AD2F44" w:rsidRDefault="004322B1">
      <w:pPr>
        <w:pStyle w:val="14Footnote"/>
      </w:pPr>
      <w:r w:rsidRPr="00AD2F44">
        <w:rPr>
          <w:i/>
          <w:iCs/>
        </w:rPr>
        <w:t>Second Circuit:</w:t>
      </w:r>
      <w:r w:rsidRPr="00AD2F44">
        <w:t xml:space="preserve"> Perez v. Escobar Constr., Inc., 540 F. Supp. 3d 395</w:t>
      </w:r>
      <w:r w:rsidRPr="00AD2F44">
        <w:rPr>
          <w:b/>
          <w:bCs/>
        </w:rPr>
        <w:t xml:space="preserve"> </w:t>
      </w:r>
      <w:r w:rsidRPr="00AD2F44">
        <w:t>(S.D.N.Y. 2021) (granting conditional certification for construction workers and reserving judgment on issue of joint employment); Cuaya v. VI Dev. Grp., LLC, 2020 BL 347632, 2020 WL 5494371 (S.D.N.Y. Sept. 10, 2020) (granting conditional certification for kitchen workers, recognizing evidence that entities operated as single integrated enterprise); Racey v. Jay-Jay Cabaret, Inc., 2016 U.S. Dist. LEXIS 67879, 2016 WL 3020933 (S.D.N.Y. May 23, 2016) (granting conditional certification for plaintiffs working as floor men at three gentlemen’s clubs operated by defendants after plaintiffs submitted sufficient evidence that all three clubs acted as single, integrated business); Garcia v. Four Bros. Pizza, Inc., 2014 WL 2211958 (S.D.N.Y. May 23, 2014) (conditionally certifying class of employees at eight restaurants with allegedly common ownership based on prior conclusion, reached on motion to dismiss, that plaintiffs had sufficiently pled existence of joint employment relationship among various restaurants); Mendoza v. Casa de Cambio Delgado, Inc., 2008 WL 3399067, at *1, 3 (S.D.N.Y. Aug. 12, 2008) (granting conditional certification against “collection of [three businesses]” based on lenient standard and evidence that defendants had uniform policy of not paying for all time worked, without mentioning joint employer issue).</w:t>
      </w:r>
    </w:p>
    <w:p w14:paraId="3F0E0E26" w14:textId="77777777" w:rsidR="004322B1" w:rsidRPr="00AD2F44" w:rsidRDefault="004322B1">
      <w:pPr>
        <w:pStyle w:val="14Footnote"/>
      </w:pPr>
      <w:r w:rsidRPr="00AD2F44">
        <w:rPr>
          <w:i/>
          <w:iCs/>
        </w:rPr>
        <w:t>Fourth Circuit:</w:t>
      </w:r>
      <w:r w:rsidRPr="00AD2F44">
        <w:t xml:space="preserve"> Giegerich v. Watershed, LLC, 2016 WL 1169948, at *5 (D. Md. Mar. 24, 2016) (granting conditional certification for claims brought on behalf of all cooks who worked at four restaurants with different corporate owners, recognizing that “[m]ultiple locations owned by multiple entities … do not preclude” conditional certification if entities “employed uniform operations or common control to conduct related activities for a common business purpose” (citing 29 U.S.C. §203(r)(1)); Houston v. URS Corp., 591 F. Supp. 2d 827, 837 (E.D. Va. 2008) (granting conditional certification against two unrelated defendants in two classes of independent contractors who worked on FEMA projects under uniform guidelines and who alleged that they were misclassified as non-employees, but granting motion to sever cases because defendants were unrelated entities and two plaintiffs had each only worked for one of two defendants).</w:t>
      </w:r>
    </w:p>
    <w:p w14:paraId="1941A9F7" w14:textId="77777777" w:rsidR="004322B1" w:rsidRPr="00AD2F44" w:rsidRDefault="004322B1">
      <w:pPr>
        <w:pStyle w:val="14Footnote"/>
      </w:pPr>
      <w:r w:rsidRPr="00AD2F44">
        <w:rPr>
          <w:i/>
          <w:iCs/>
        </w:rPr>
        <w:t>Fifth Circuit:</w:t>
      </w:r>
      <w:r w:rsidRPr="00AD2F44">
        <w:t xml:space="preserve"> Meba v. Sonic of Tex., Inc., 2020 BL 440601, 2020 WL 6703910 (S.D. Tex. Nov. 13, 2020) (granting conditional certification and crediting plaintiffs’ evidence of joint employment between car dealerships and staffing agency, including staff pricing schedule that did not provide for overtime pay, which supported finding illegal common policy or plan); Velazquez v. FPS, LP, 2014 WL 3843639, at *5 (S.D. Tex. Aug. 4, 2014) (granting conditional certification against four defendants alleged to be joint employers, reasoning that there was sufficient evidence to permit conditional certification, and reserving question of joint employment for decertification stage); Bernal v. Vankar Enters., Inc., 2008 WL 791963, at *4 (W.D. Tex. Mar. 24, 2008) (granting conditional certification against three different bars for allegedly improper tip-sharing policies, where plaintiff had worked for all three and was subject to same arrangement at each, reasoning that defendants could be joined under Rule 20 of Federal Rules of Civil Procedure); Aguilar v. Complete Landsculpture, Inc., 2004 U.S. Dist. LEXIS 20265, at *10–11 (N.D. Tex. Oct. 7, 2004).</w:t>
      </w:r>
      <w:r w:rsidRPr="00A32554">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07221A43" w14:textId="77777777" w:rsidR="004322B1" w:rsidRPr="00AD2F44" w:rsidRDefault="004322B1">
      <w:pPr>
        <w:pStyle w:val="14Footnote"/>
      </w:pPr>
      <w:r w:rsidRPr="00AD2F44">
        <w:rPr>
          <w:i/>
          <w:iCs/>
        </w:rPr>
        <w:t>Sixth Circuit:</w:t>
      </w:r>
      <w:r w:rsidRPr="00AD2F44">
        <w:t xml:space="preserve"> Fairfax v. Hogan Transp. Equip., Inc., 2017 WL 4349035, at *7 (S.D. Ohio Sept. 29, 2017) (granting conditional certification as to alleged joint employers; finding defendants were “single integrated company” based on evidence that plaintiff’s paystubs and onboarding documents referenced multiple entities). </w:t>
      </w:r>
    </w:p>
    <w:p w14:paraId="4256324A" w14:textId="77777777" w:rsidR="004322B1" w:rsidRPr="00AD2F44" w:rsidRDefault="004322B1">
      <w:pPr>
        <w:pStyle w:val="14Footnote"/>
      </w:pPr>
      <w:r w:rsidRPr="00AD2F44">
        <w:rPr>
          <w:i/>
          <w:iCs/>
        </w:rPr>
        <w:t>Seventh Circuit:</w:t>
      </w:r>
      <w:r w:rsidRPr="00AD2F44">
        <w:t xml:space="preserve"> Holmes v. Sid’s Sealants LLC, 2017 WL 5749684 (W.D. Wis. Nov. 28, 2017) (granting conditional certification; holding that resolution of joint employer liability requires merits determination, which is premature where plaintiff had yet to take discovery).</w:t>
      </w:r>
    </w:p>
    <w:p w14:paraId="7FD41254" w14:textId="77777777" w:rsidR="004322B1" w:rsidRPr="00AD2F44" w:rsidRDefault="004322B1">
      <w:pPr>
        <w:pStyle w:val="14Footnote"/>
      </w:pPr>
      <w:r w:rsidRPr="00AD2F44">
        <w:rPr>
          <w:i/>
          <w:iCs/>
        </w:rPr>
        <w:t>Eighth Circuit:</w:t>
      </w:r>
      <w:r w:rsidRPr="00AD2F44">
        <w:t xml:space="preserve"> Arnold v. DirecTV, 2012 WL 4480723, at *5 (E.D. Mo. Sept. 28, 2012) (granting conditional certification; finding that plaintiffs alleged sufficient facts of joint employment and that threshold employment questions did not prohibit conditional certification).</w:t>
      </w:r>
    </w:p>
    <w:p w14:paraId="05D00B5E" w14:textId="77777777" w:rsidR="004322B1" w:rsidRPr="00AD2F44" w:rsidRDefault="004322B1">
      <w:pPr>
        <w:pStyle w:val="14Footnote"/>
      </w:pPr>
      <w:r w:rsidRPr="00AD2F44">
        <w:rPr>
          <w:i/>
          <w:iCs/>
        </w:rPr>
        <w:t>Ninth Circuit</w:t>
      </w:r>
      <w:r w:rsidRPr="00AD2F44">
        <w:t xml:space="preserve">: Ferguson v. Smith, 2020 BL 371650, 2020 WL 5731821 (D. Or. Aug. 12, 2020) (granting conditional certification; finding plaintiffs alleged sufficient facts of joint employment, which supported finding similarly situated employees across multiple work locations, based on evidence of common management and bookkeeper, sharing of employees across dealerships, and aggregating overtime hours across dealerships). </w:t>
      </w:r>
    </w:p>
    <w:p w14:paraId="1950C987" w14:textId="77777777" w:rsidR="004322B1" w:rsidRPr="00AD2F44" w:rsidRDefault="004322B1">
      <w:pPr>
        <w:pStyle w:val="14Footnote"/>
      </w:pPr>
      <w:r w:rsidRPr="00AD2F44">
        <w:rPr>
          <w:i/>
          <w:iCs/>
        </w:rPr>
        <w:t>Eleventh Circuit:</w:t>
      </w:r>
      <w:r w:rsidRPr="00AD2F44">
        <w:t xml:space="preserve"> Jackson v. Federal Nat’l Mortg. Ass’n, 2016 WL 3098077 (N.D. Ga. Mar. 29, 2016) (finding that two companies could be considered as joint employers for purpose of conditional certification because only preliminary showing of direct control is necessary at conditional certification stage, and rejecting defendants’ argument that plaintiffs were employed by different W-2 employers—and therefore not similarly situated—where all workers were victims of single common policy or plan).</w:t>
      </w:r>
    </w:p>
    <w:p w14:paraId="4B4FF23F" w14:textId="77777777" w:rsidR="004322B1" w:rsidRPr="00AD2F44" w:rsidRDefault="004322B1">
      <w:pPr>
        <w:pStyle w:val="14Footnote"/>
      </w:pPr>
      <w:r w:rsidRPr="00AD2F44">
        <w:rPr>
          <w:i/>
          <w:iCs/>
        </w:rPr>
        <w:t>D</w:t>
      </w:r>
      <w:r w:rsidRPr="00AD2F44">
        <w:t>.</w:t>
      </w:r>
      <w:r w:rsidRPr="00AD2F44">
        <w:rPr>
          <w:i/>
          <w:iCs/>
        </w:rPr>
        <w:t>C</w:t>
      </w:r>
      <w:r w:rsidRPr="00AD2F44">
        <w:t>.</w:t>
      </w:r>
      <w:r w:rsidRPr="00AD2F44">
        <w:rPr>
          <w:i/>
          <w:iCs/>
        </w:rPr>
        <w:t xml:space="preserve"> Circuit:</w:t>
      </w:r>
      <w:r w:rsidRPr="00AD2F44">
        <w:t xml:space="preserve"> Rivera v. Power Design, Inc., 2016 WL 1226433 (D.D.C. Mar. 28, 2016) (granting conditional certification against electrical subcontractor and one of its subcontractors after plaintiffs sufficiently alleged that they were joint employers under FLSA).</w:t>
      </w:r>
    </w:p>
    <w:p w14:paraId="550D2930" w14:textId="77777777" w:rsidR="004322B1" w:rsidRPr="00AD2F44" w:rsidRDefault="004322B1">
      <w:pPr>
        <w:pStyle w:val="14Footnote"/>
      </w:pPr>
      <w:r w:rsidRPr="00AD2F44">
        <w:rPr>
          <w:i/>
          <w:iCs/>
        </w:rPr>
        <w:t xml:space="preserve">See also </w:t>
      </w:r>
      <w:r w:rsidRPr="00AD2F44">
        <w:t>Thompson v. Bruister &amp; Assocs., Inc., 967 F. Supp. 2d 1204 (M.D. Tenn. 2013) (denying motions to dismiss by successor employer, which knew or should have known of the litigation, and individual who was added as defendant in amended complaint when motion for conditional certification still pending).</w:t>
      </w:r>
    </w:p>
  </w:footnote>
  <w:footnote w:id="280">
    <w:p w14:paraId="74F1E928" w14:textId="77777777" w:rsidR="004322B1" w:rsidRPr="00AD2F44" w:rsidRDefault="004322B1">
      <w:pPr>
        <w:pStyle w:val="14Footnote"/>
      </w:pPr>
      <w:r w:rsidRPr="00AD2F44">
        <w:rPr>
          <w:vertAlign w:val="superscript"/>
        </w:rPr>
        <w:footnoteRef/>
      </w:r>
      <w:r w:rsidRPr="00AD2F44">
        <w:rPr>
          <w:i/>
          <w:iCs/>
        </w:rPr>
        <w:t>See, e.g.,</w:t>
      </w:r>
    </w:p>
    <w:p w14:paraId="7F8A91BF" w14:textId="77777777" w:rsidR="004322B1" w:rsidRPr="00AD2F44" w:rsidRDefault="004322B1">
      <w:pPr>
        <w:pStyle w:val="14Footnote"/>
      </w:pPr>
      <w:r w:rsidRPr="00AD2F44">
        <w:rPr>
          <w:i/>
          <w:iCs/>
        </w:rPr>
        <w:t>Second Circuit:</w:t>
      </w:r>
      <w:r w:rsidRPr="00AD2F44">
        <w:t xml:space="preserve"> Castro v. Spice Place, Inc., 2009 WL 229952, at *3 (S.D.N.Y. Jan. 30, 2009) (denying conditional certification, without prejudice, because plaintiffs could not identify a single unlawful policy or plan, especially given that defendants were six separate restaurants; fact that plaintiff had worked for some of them was insufficient); Hamelin v. Faxton-St. Luke’s Healthcare, 2009 WL 211512, at *8 (N.D.N.Y. Jan. 26, 2009) (granting conditional certification as to class members who performed patient care duties at two health care facilities where plaintiffs worked, but denying certification as to other facilities that were allegedly “related organizations,” based on lack of evidence beyond allegations in complaint).</w:t>
      </w:r>
    </w:p>
    <w:p w14:paraId="02065416" w14:textId="77777777" w:rsidR="004322B1" w:rsidRPr="00AD2F44" w:rsidRDefault="004322B1">
      <w:pPr>
        <w:pStyle w:val="14Footnote"/>
      </w:pPr>
      <w:r w:rsidRPr="00AD2F44">
        <w:rPr>
          <w:i/>
          <w:iCs/>
        </w:rPr>
        <w:t>Fifth Circuit:</w:t>
      </w:r>
      <w:r w:rsidRPr="00AD2F44">
        <w:t xml:space="preserve"> Xavier v. Belfor USA Grp., Inc., 585 F. Supp. 2d 873, 879–80 (E.D. La. 2008) (rejecting conditional certification against approximately 2,100 subcontractors given various practices, circumstances, contracting agreements, business relationships, and numbers of employees at each location, which would cause too many individualized inquiries; rejecting claim that workers were all employed by general contractor such that there was only one real employer).</w:t>
      </w:r>
      <w:r w:rsidRPr="00A32554">
        <w:rPr>
          <w:b/>
        </w:rPr>
        <w:t xml:space="preserve">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7D481AB" w14:textId="77777777" w:rsidR="004322B1" w:rsidRPr="00AD2F44" w:rsidRDefault="004322B1">
      <w:pPr>
        <w:pStyle w:val="14Footnote"/>
      </w:pPr>
      <w:r w:rsidRPr="00AD2F44">
        <w:rPr>
          <w:i/>
          <w:iCs/>
        </w:rPr>
        <w:t>Ninth Circuit:</w:t>
      </w:r>
      <w:r w:rsidRPr="00AD2F44">
        <w:t xml:space="preserve"> Suliaman v. Southwestern Furniture Stores of Wis. LLC, 2016 WL 1411352 (D. Nev. Apr. 8, 2016) (denying conditional certification of nationwide group of all commission-based sales associates employed by previously named defendant that had been dismissed from case when it was undisputed that all plaintiffs and opt-ins were employed solely by defendant); Sheffield v. Orius Corp., 211 F.R.D. 411 (D. Or. 2002).</w:t>
      </w:r>
    </w:p>
    <w:p w14:paraId="3E7F675F" w14:textId="77777777" w:rsidR="004322B1" w:rsidRPr="00AD2F44" w:rsidRDefault="004322B1">
      <w:pPr>
        <w:pStyle w:val="14Footnote"/>
      </w:pPr>
      <w:r w:rsidRPr="00AD2F44">
        <w:rPr>
          <w:i/>
          <w:iCs/>
        </w:rPr>
        <w:t>D.C. Circuit:</w:t>
      </w:r>
      <w:r w:rsidRPr="00AD2F44">
        <w:t xml:space="preserve"> Dinkel v. MedStar Health, Inc., 880 F. Supp. 2d 49, 55 (D.D.C. 2012) (dismissing eight of nine defendant hospitals where two of the hospitals were not shown to have shared common meal break pay deduction policy and employees failed to produce any evidence that there was a common practice at six of the hospitals).</w:t>
      </w:r>
    </w:p>
  </w:footnote>
  <w:footnote w:id="281">
    <w:p w14:paraId="38AD87B8" w14:textId="77777777" w:rsidR="004322B1" w:rsidRPr="00AD2F44" w:rsidRDefault="004322B1">
      <w:pPr>
        <w:pStyle w:val="14Footnote"/>
      </w:pPr>
      <w:r w:rsidRPr="00AD2F44">
        <w:rPr>
          <w:vertAlign w:val="superscript"/>
        </w:rPr>
        <w:footnoteRef/>
      </w:r>
      <w:r w:rsidRPr="00AD2F44">
        <w:t xml:space="preserve">Herzfeld v. 1416 Chancellor, Inc., 2017 WL 2531949, at *3 (E.D. Pa. June 9, 2017). </w:t>
      </w:r>
    </w:p>
  </w:footnote>
  <w:footnote w:id="282">
    <w:p w14:paraId="743C805F" w14:textId="77777777" w:rsidR="004322B1" w:rsidRPr="00AD2F44" w:rsidRDefault="004322B1">
      <w:pPr>
        <w:pStyle w:val="14Footnote"/>
      </w:pPr>
      <w:r w:rsidRPr="00AD2F44">
        <w:rPr>
          <w:vertAlign w:val="superscript"/>
        </w:rPr>
        <w:footnoteRef/>
      </w:r>
      <w:r w:rsidRPr="00AD2F44">
        <w:rPr>
          <w:i/>
          <w:iCs/>
        </w:rPr>
        <w:t>See, e.g.,</w:t>
      </w:r>
    </w:p>
    <w:p w14:paraId="5015B73E" w14:textId="77777777" w:rsidR="004322B1" w:rsidRPr="00AD2F44" w:rsidRDefault="004322B1">
      <w:pPr>
        <w:pStyle w:val="14Footnote"/>
      </w:pPr>
      <w:r w:rsidRPr="00AD2F44">
        <w:rPr>
          <w:i/>
          <w:iCs/>
        </w:rPr>
        <w:t>Second Circuit:</w:t>
      </w:r>
      <w:r w:rsidRPr="00AD2F44">
        <w:t xml:space="preserve"> Lynch v. United Servs. Auto. Assoc., 491 F. Supp. 2d 357, 369 (S.D.N.Y. 2007) (granting notice and stating that informal notice efforts by plaintiffs or their counsel should not be considered on a motion for notice); Trinidad v. Breakaway Courier Sys., Inc., 2007 WL 103073, at *3 (S.D.N.Y. Jan. 12, 2007) (rejecting defendants’ argument against notice based on plaintiffs’ previous attempt to disseminate notice).</w:t>
      </w:r>
    </w:p>
    <w:p w14:paraId="6C23B3BE" w14:textId="77777777" w:rsidR="004322B1" w:rsidRPr="00AD2F44" w:rsidRDefault="004322B1">
      <w:pPr>
        <w:pStyle w:val="14Footnote"/>
      </w:pPr>
      <w:r w:rsidRPr="00AD2F44">
        <w:rPr>
          <w:i/>
          <w:iCs/>
        </w:rPr>
        <w:t>Fourth Circuit:</w:t>
      </w:r>
      <w:r w:rsidRPr="00AD2F44">
        <w:t xml:space="preserve"> Bernard v. Household Int’l, 231 F. Supp. 2d 433, 436 (E.D. Va. 2004) (refusing to approve court-facilitated notice because defendants had already provided plaintiffs with the names and addresses of the class, plaintiffs’ counsel had advertised in newspapers to reach class members, and five months had elapsed since the list of class members was produced).</w:t>
      </w:r>
    </w:p>
    <w:p w14:paraId="30B36148" w14:textId="77777777" w:rsidR="004322B1" w:rsidRPr="00AD2F44" w:rsidRDefault="004322B1">
      <w:pPr>
        <w:pStyle w:val="14Footnote"/>
      </w:pPr>
      <w:r w:rsidRPr="00AD2F44">
        <w:rPr>
          <w:i/>
          <w:iCs/>
        </w:rPr>
        <w:t>Seventh Circuit:</w:t>
      </w:r>
      <w:r w:rsidRPr="00AD2F44">
        <w:t xml:space="preserve"> Allen v. Marshall Field &amp; Co., 93 F.R.D. 438, 443 (N.D. Ill. 1982) (approving notice over employer’s objection that several newspaper articles had been published discussing the case).</w:t>
      </w:r>
    </w:p>
  </w:footnote>
  <w:footnote w:id="283">
    <w:p w14:paraId="6CA7D84D" w14:textId="77777777" w:rsidR="004322B1" w:rsidRPr="002E55FE" w:rsidRDefault="004322B1">
      <w:pPr>
        <w:pStyle w:val="14Footnote"/>
      </w:pPr>
      <w:r w:rsidRPr="00AD2F44">
        <w:rPr>
          <w:vertAlign w:val="superscript"/>
        </w:rPr>
        <w:footnoteRef/>
      </w:r>
      <w:r w:rsidRPr="00AD2F44">
        <w:rPr>
          <w:lang w:val="fr-FR"/>
        </w:rPr>
        <w:t>231 F. Supp. 2d 433 (E.D. Va. 2004).</w:t>
      </w:r>
    </w:p>
  </w:footnote>
  <w:footnote w:id="284">
    <w:p w14:paraId="7E21F74F" w14:textId="77777777" w:rsidR="004322B1" w:rsidRPr="00AD2F44" w:rsidRDefault="004322B1">
      <w:pPr>
        <w:pStyle w:val="14Footnote"/>
      </w:pPr>
      <w:r w:rsidRPr="00AD2F44">
        <w:rPr>
          <w:vertAlign w:val="superscript"/>
        </w:rPr>
        <w:footnoteRef/>
      </w:r>
      <w:r w:rsidRPr="00AD2F44">
        <w:rPr>
          <w:i/>
          <w:iCs/>
        </w:rPr>
        <w:t>Id.</w:t>
      </w:r>
      <w:r w:rsidRPr="00AD2F44">
        <w:t xml:space="preserve"> at 436. </w:t>
      </w:r>
    </w:p>
  </w:footnote>
  <w:footnote w:id="285">
    <w:p w14:paraId="78197CEB" w14:textId="77777777" w:rsidR="004322B1" w:rsidRPr="00AD2F44" w:rsidRDefault="004322B1">
      <w:pPr>
        <w:pStyle w:val="14Footnote"/>
      </w:pPr>
      <w:r w:rsidRPr="00AD2F44">
        <w:rPr>
          <w:vertAlign w:val="superscript"/>
        </w:rPr>
        <w:footnoteRef/>
      </w:r>
      <w:r w:rsidRPr="00AD2F44">
        <w:t>2008 WL 3927275 (M.D. Fla. Aug. 21, 2008).</w:t>
      </w:r>
    </w:p>
  </w:footnote>
  <w:footnote w:id="286">
    <w:p w14:paraId="04DA40E1" w14:textId="77777777" w:rsidR="004322B1" w:rsidRPr="00AD2F44" w:rsidRDefault="004322B1">
      <w:pPr>
        <w:pStyle w:val="14Footnote"/>
      </w:pPr>
      <w:r w:rsidRPr="00AD2F44">
        <w:rPr>
          <w:vertAlign w:val="superscript"/>
        </w:rPr>
        <w:footnoteRef/>
      </w:r>
      <w:r w:rsidRPr="00AD2F44">
        <w:rPr>
          <w:i/>
          <w:iCs/>
        </w:rPr>
        <w:t>Id</w:t>
      </w:r>
      <w:r w:rsidRPr="00AD2F44">
        <w:t xml:space="preserve">. at *7–8; </w:t>
      </w:r>
      <w:r w:rsidRPr="00AD2F44">
        <w:rPr>
          <w:i/>
          <w:iCs/>
        </w:rPr>
        <w:t xml:space="preserve">see also </w:t>
      </w:r>
      <w:r w:rsidRPr="00AD2F44">
        <w:t>Allison v. Dolich, 2016 WL 5539587 (D. Or. Sept. 28, 2016) (rejecting defendants’ argument that conditional certification should be denied because case had received substantial publicity; according to court, significant media attention to case had not been generated by plaintiffs and had not expressly informed prospective class members of their right to opt in to action or how to opt in).</w:t>
      </w:r>
    </w:p>
  </w:footnote>
  <w:footnote w:id="287">
    <w:p w14:paraId="43F7B4CE" w14:textId="77777777" w:rsidR="004322B1" w:rsidRPr="00AD2F44" w:rsidRDefault="004322B1">
      <w:pPr>
        <w:pStyle w:val="14Footnote"/>
      </w:pPr>
      <w:r w:rsidRPr="00AD2F44">
        <w:rPr>
          <w:vertAlign w:val="superscript"/>
        </w:rPr>
        <w:footnoteRef/>
      </w:r>
      <w:r w:rsidRPr="00AD2F44">
        <w:t>493 U.S. 165 (1989).</w:t>
      </w:r>
    </w:p>
  </w:footnote>
  <w:footnote w:id="288">
    <w:p w14:paraId="10E01E1A" w14:textId="77777777" w:rsidR="004322B1" w:rsidRPr="00AD2F44" w:rsidRDefault="004322B1">
      <w:pPr>
        <w:pStyle w:val="14Footnote"/>
      </w:pPr>
      <w:r w:rsidRPr="00AD2F44">
        <w:rPr>
          <w:vertAlign w:val="superscript"/>
        </w:rPr>
        <w:footnoteRef/>
      </w:r>
      <w:r w:rsidRPr="00AD2F44">
        <w:rPr>
          <w:i/>
          <w:iCs/>
        </w:rPr>
        <w:t>Id</w:t>
      </w:r>
      <w:r w:rsidRPr="00AD2F44">
        <w:t>. at 171 n.2 (stating that “[w]e do not address any conflicts between court-authorized notice and communications with potential plaintiffs by counsel”) (citing Shapero v. Kentucky Bar Ass’n, 486 U.S. 466 (1988)).</w:t>
      </w:r>
    </w:p>
  </w:footnote>
  <w:footnote w:id="289">
    <w:p w14:paraId="00EF8811" w14:textId="77777777" w:rsidR="004322B1" w:rsidRPr="00AD2F44" w:rsidRDefault="004322B1">
      <w:pPr>
        <w:pStyle w:val="14Footnote"/>
      </w:pPr>
      <w:r w:rsidRPr="00AD2F44">
        <w:rPr>
          <w:vertAlign w:val="superscript"/>
        </w:rPr>
        <w:footnoteRef/>
      </w:r>
      <w:r w:rsidRPr="00AD2F44">
        <w:rPr>
          <w:i/>
          <w:iCs/>
        </w:rPr>
        <w:t>Id</w:t>
      </w:r>
      <w:r w:rsidRPr="00AD2F44">
        <w:t xml:space="preserve">. at 168. </w:t>
      </w:r>
      <w:r w:rsidRPr="00AD2F44">
        <w:rPr>
          <w:i/>
          <w:iCs/>
        </w:rPr>
        <w:t>Hoffmann-La Roche</w:t>
      </w:r>
      <w:r w:rsidRPr="00AD2F44">
        <w:t xml:space="preserve"> was an action brought under the ADEA rather than the FLSA, but both statutes follow the same collective action procedures in §216(b) of the FLSA. </w:t>
      </w:r>
      <w:r w:rsidRPr="00AD2F44">
        <w:rPr>
          <w:i/>
          <w:iCs/>
        </w:rPr>
        <w:t>See</w:t>
      </w:r>
      <w:r w:rsidRPr="00AD2F44">
        <w:t xml:space="preserve"> 29 U.S.C. §626(b); </w:t>
      </w:r>
      <w:r w:rsidRPr="00AD2F44">
        <w:rPr>
          <w:i/>
          <w:iCs/>
        </w:rPr>
        <w:t>Hoffmann-La Roche</w:t>
      </w:r>
      <w:r w:rsidRPr="00AD2F44">
        <w:t>, 493 U.S. at 169 (stating that ADEA, 29 U.S.C. §626(b), incorporates 29 U.S.C. §216(b)).</w:t>
      </w:r>
    </w:p>
  </w:footnote>
  <w:footnote w:id="290">
    <w:p w14:paraId="0043A5A2" w14:textId="77777777" w:rsidR="004322B1" w:rsidRPr="00AD2F44" w:rsidRDefault="004322B1">
      <w:pPr>
        <w:pStyle w:val="14Footnote"/>
      </w:pPr>
      <w:r w:rsidRPr="00AD2F44">
        <w:rPr>
          <w:vertAlign w:val="superscript"/>
        </w:rPr>
        <w:footnoteRef/>
      </w:r>
      <w:r w:rsidRPr="00AD2F44">
        <w:t>493 U.S. at 168.</w:t>
      </w:r>
    </w:p>
  </w:footnote>
  <w:footnote w:id="291">
    <w:p w14:paraId="3E35E6D5"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292">
    <w:p w14:paraId="34E55A73" w14:textId="77777777" w:rsidR="004322B1" w:rsidRPr="00AD2F44" w:rsidRDefault="004322B1">
      <w:pPr>
        <w:pStyle w:val="14Footnote"/>
      </w:pPr>
      <w:r w:rsidRPr="00AD2F44">
        <w:rPr>
          <w:vertAlign w:val="superscript"/>
        </w:rPr>
        <w:footnoteRef/>
      </w:r>
      <w:r w:rsidRPr="00AD2F44">
        <w:rPr>
          <w:i/>
          <w:iCs/>
        </w:rPr>
        <w:t>Id</w:t>
      </w:r>
      <w:r w:rsidRPr="00AD2F44">
        <w:t>. at 169–70.</w:t>
      </w:r>
    </w:p>
  </w:footnote>
  <w:footnote w:id="293">
    <w:p w14:paraId="5DCBAC6A" w14:textId="77777777" w:rsidR="004322B1" w:rsidRPr="00AD2F44" w:rsidRDefault="004322B1">
      <w:pPr>
        <w:pStyle w:val="14Footnote"/>
      </w:pPr>
      <w:r w:rsidRPr="00AD2F44">
        <w:rPr>
          <w:vertAlign w:val="superscript"/>
        </w:rPr>
        <w:footnoteRef/>
      </w:r>
      <w:r w:rsidRPr="00AD2F44">
        <w:t>486 U.S. 466 (1988).</w:t>
      </w:r>
    </w:p>
  </w:footnote>
  <w:footnote w:id="294">
    <w:p w14:paraId="69A25903" w14:textId="77777777" w:rsidR="004322B1" w:rsidRPr="00AD2F44" w:rsidRDefault="004322B1">
      <w:pPr>
        <w:pStyle w:val="14Footnote"/>
      </w:pPr>
      <w:r w:rsidRPr="00AD2F44">
        <w:rPr>
          <w:vertAlign w:val="superscript"/>
        </w:rPr>
        <w:footnoteRef/>
      </w:r>
      <w:r w:rsidRPr="00AD2F44">
        <w:t>452 U.S. 89 (1981).</w:t>
      </w:r>
    </w:p>
  </w:footnote>
  <w:footnote w:id="295">
    <w:p w14:paraId="143DC79F" w14:textId="77777777" w:rsidR="004322B1" w:rsidRPr="00AD2F44" w:rsidRDefault="004322B1">
      <w:pPr>
        <w:pStyle w:val="14Footnote"/>
      </w:pPr>
      <w:r w:rsidRPr="00AD2F44">
        <w:rPr>
          <w:vertAlign w:val="superscript"/>
        </w:rPr>
        <w:footnoteRef/>
      </w:r>
      <w:r w:rsidRPr="00AD2F44">
        <w:rPr>
          <w:i/>
          <w:iCs/>
        </w:rPr>
        <w:t>Shapero</w:t>
      </w:r>
      <w:r w:rsidRPr="00AD2F44">
        <w:t xml:space="preserve">, 486 U.S. at 473–77. The plurality in </w:t>
      </w:r>
      <w:r w:rsidRPr="00AD2F44">
        <w:rPr>
          <w:i/>
          <w:iCs/>
        </w:rPr>
        <w:t>Shapero</w:t>
      </w:r>
      <w:r w:rsidRPr="00AD2F44">
        <w:t xml:space="preserve"> went further and evaluated the actual letter at issue, finding that it was not deceptive or misleading, and rejected the arguments of respondents that the use of particular fonts or “subjective predictions of client satisfaction” were inappropriate, stating that “so long as the First Amendment protects the right to solicit legal business, the State may claim no substantial interest in restricting truthful and non-deceptive lawyer solicitations to those least likely to be read by the recipient.” </w:t>
      </w:r>
      <w:r w:rsidRPr="00AD2F44">
        <w:rPr>
          <w:i/>
          <w:iCs/>
        </w:rPr>
        <w:t>Id</w:t>
      </w:r>
      <w:r w:rsidRPr="00AD2F44">
        <w:t>. at 479.</w:t>
      </w:r>
    </w:p>
  </w:footnote>
  <w:footnote w:id="296">
    <w:p w14:paraId="211FD816" w14:textId="77777777" w:rsidR="004322B1" w:rsidRPr="00AD2F44" w:rsidRDefault="004322B1">
      <w:pPr>
        <w:pStyle w:val="14Footnote"/>
      </w:pPr>
      <w:r w:rsidRPr="00AD2F44">
        <w:rPr>
          <w:vertAlign w:val="superscript"/>
        </w:rPr>
        <w:footnoteRef/>
      </w:r>
      <w:r w:rsidRPr="00AD2F44">
        <w:rPr>
          <w:i/>
          <w:iCs/>
        </w:rPr>
        <w:t>Gulf Oil</w:t>
      </w:r>
      <w:r w:rsidRPr="00AD2F44">
        <w:t>, 452 U.S. at 101–04 (affirming circuit court’s reversal of district court ban on all communications with putative class members without prior approval of the court in Rule 23 class action context, and holding that such a prior restraint on speech was not permitted where it was not based on “a clear record and specific findings that reflect a weighing of the need for a limitation and the potential interference with the rights of the parties”).</w:t>
      </w:r>
    </w:p>
  </w:footnote>
  <w:footnote w:id="297">
    <w:p w14:paraId="5DB175BE" w14:textId="77777777" w:rsidR="004322B1" w:rsidRPr="00AD2F44" w:rsidRDefault="004322B1">
      <w:pPr>
        <w:pStyle w:val="14Footnote"/>
      </w:pPr>
      <w:r w:rsidRPr="00AD2F44">
        <w:rPr>
          <w:vertAlign w:val="superscript"/>
        </w:rPr>
        <w:footnoteRef/>
      </w:r>
      <w:r w:rsidRPr="00AD2F44">
        <w:rPr>
          <w:i/>
          <w:iCs/>
        </w:rPr>
        <w:t>See, e.g.,</w:t>
      </w:r>
    </w:p>
    <w:p w14:paraId="7BFEEB3D" w14:textId="77777777" w:rsidR="004322B1" w:rsidRPr="00AD2F44" w:rsidRDefault="004322B1">
      <w:pPr>
        <w:pStyle w:val="14Footnote"/>
      </w:pPr>
      <w:r w:rsidRPr="00AD2F44">
        <w:rPr>
          <w:i/>
          <w:iCs/>
        </w:rPr>
        <w:t>First Circuit:</w:t>
      </w:r>
      <w:r w:rsidRPr="00AD2F44">
        <w:t xml:space="preserve"> Melendez Cintron v. Hershey P.R., Inc., 363 F. Supp. 2d 10, 17–19 (D.P.R. 2005) (granting request to strike consent forms but refusing to sanction plaintiffs under Rule 11 of the Federal Rules of Civil Procedure for precertification letter to potential collective action members that did not make false representations and was not misleading).</w:t>
      </w:r>
    </w:p>
    <w:p w14:paraId="7D936E9B" w14:textId="77777777" w:rsidR="004322B1" w:rsidRPr="00AD2F44" w:rsidRDefault="004322B1">
      <w:pPr>
        <w:pStyle w:val="14Footnote"/>
      </w:pPr>
      <w:r w:rsidRPr="00AD2F44">
        <w:rPr>
          <w:i/>
          <w:iCs/>
          <w:lang w:val="fr-FR"/>
        </w:rPr>
        <w:t>Second Circuit:</w:t>
      </w:r>
      <w:r w:rsidRPr="00AD2F44">
        <w:rPr>
          <w:lang w:val="fr-FR"/>
        </w:rPr>
        <w:t xml:space="preserve"> Mendez v. Enecon Ne. </w:t>
      </w:r>
      <w:r w:rsidRPr="00AD2F44">
        <w:t>Applied Polymer Sys., Inc., 2015 WL 4249219, at *1–2 (E.D.N.Y. July 13, 2015) (rejecting defendants’ request for “remedial relief” based on letter sent to putative class members by plaintiffs’ counsel, reasoning that defendants failed to show that letter was misleading or improper, or otherwise warranted judicial intervention; letter sought information relevant to investigation).</w:t>
      </w:r>
    </w:p>
    <w:p w14:paraId="1C071C6F" w14:textId="77777777" w:rsidR="004322B1" w:rsidRPr="00AD2F44" w:rsidRDefault="004322B1">
      <w:pPr>
        <w:pStyle w:val="14Footnote"/>
      </w:pPr>
      <w:r w:rsidRPr="00AD2F44">
        <w:rPr>
          <w:i/>
          <w:iCs/>
        </w:rPr>
        <w:t>Fourth Circuit:</w:t>
      </w:r>
      <w:r w:rsidRPr="00AD2F44">
        <w:t xml:space="preserve"> Solais v. Vesuvio’s II Pizza &amp; Grill, Inc., 2016 WL 1057038, at *3 (M.D.N.C. Mar. 14, 2016) (denying motion for protective order based on alleged attempted solicitation of class members because defendants did not show “a clear record of attempted solicitation”); Barton v. Pantry, Inc., 2006 WL 2568462, at *2 (M.D.N.C. Aug. 31, 2006) (holding that, absent evidence of an improper or inaccurate communication, no basis existed to limit plaintiff’s counsel’s communications with putative collective action members, which consisted of a widespread advertising campaign).</w:t>
      </w:r>
    </w:p>
    <w:p w14:paraId="57DA85FF" w14:textId="77777777" w:rsidR="004322B1" w:rsidRPr="00AD2F44" w:rsidRDefault="004322B1">
      <w:pPr>
        <w:pStyle w:val="14Footnote"/>
      </w:pPr>
      <w:r w:rsidRPr="00AD2F44">
        <w:rPr>
          <w:i/>
          <w:iCs/>
        </w:rPr>
        <w:t>Sixth Circuit:</w:t>
      </w:r>
      <w:r w:rsidRPr="00AD2F44">
        <w:t xml:space="preserve"> Cowan v. National Mut. Ins. Co., 2019 WL 4667497, at *4 (S.D. Ohio Sept. 25, 2019) (denying defendant’s motion to strike, finding plaintiffs’ pre-certification notice neither contradicted court notice nor was misleading or improper); Frye v. Baptist Mem’l Hosp., Inc., 2008 WL 2117264, at *4–5 (W.D. Tenn. May 20, 2008) (denying defendant’s motion that plaintiff’s counsel cease and desist from communicating with putative collective action members, where—although plaintiff’s counsel’s letter did not comply with Tennessee Rule of Professional Conduct—counsel revised letter and website to address defendant’s objections); Carlson v. Leprino Foods Co., 2006 WL 3231266, at *1 (W.D. Mich. Nov. 7, 2006) (denying defendant’s motion for contempt or sanctions in connection with plaintiff’s counsel’s contacts with potential collective action members because the court’s prior order did not prohibit such communications, a contempt order would constitute prior restraint in violation of the First Amendment, and plaintiff’s communications, though “close to the line of communicating inaccurate information,” were not so inaccurate that a corrective notice would be helpful).</w:t>
      </w:r>
    </w:p>
    <w:p w14:paraId="75535FE6" w14:textId="77777777" w:rsidR="004322B1" w:rsidRPr="00AD2F44" w:rsidRDefault="004322B1">
      <w:pPr>
        <w:pStyle w:val="14Footnote"/>
      </w:pPr>
      <w:r w:rsidRPr="00AD2F44">
        <w:rPr>
          <w:i/>
          <w:iCs/>
        </w:rPr>
        <w:t>Ninth Circuit:</w:t>
      </w:r>
      <w:r w:rsidRPr="00AD2F44">
        <w:t xml:space="preserve"> Bollinger v. Residential Capital, LLC, 761 F. Supp. 2d 1114, 1121–22 (W.D. Wash. 2011) (refusing to strike consent forms gathered before conditional certification, and rejecting defendant’s argument that plaintiff’s website constituted improper solicitation and was misleading, reasoning that although the website had language that could create “false sense of urgency,” it was a passive communication vehicle, and putative plaintiffs must seek out information, rather than it being pushed to them as with direct phone calls and other more aggressive behavior).</w:t>
      </w:r>
    </w:p>
    <w:p w14:paraId="1A92F9B6" w14:textId="77777777" w:rsidR="004322B1" w:rsidRPr="00AD2F44" w:rsidRDefault="004322B1">
      <w:pPr>
        <w:pStyle w:val="14Footnote"/>
      </w:pPr>
      <w:r w:rsidRPr="00AD2F44">
        <w:rPr>
          <w:i/>
          <w:iCs/>
        </w:rPr>
        <w:t>Eleventh Circuit:</w:t>
      </w:r>
      <w:r w:rsidRPr="00AD2F44">
        <w:t xml:space="preserve"> Bennett v. Advanced Cable Contractors, Inc., 2012 WL 1600443, at *9–11 (N.D. Ga. May 7, 2012) (denying motion for sanctions where (1) plaintiff’s counsel’s non-attorney representative telephoned putative class members without discussing it with attorneys in violation of Georgia’s professional conduct rules, but plaintiff’s counsel ceased contact upon receipt of cease-and-desist letter; (2) defendant failed to show bad faith; and (3) First Amendment protects ability to gather facts and develop one’s case); West v. Mando Am. Corp., 2008 U.S. Dist. LEXIS 81296, at *5–10 (M.D. Ala. Oct. 8, 2008) (refusing to order plaintiff’s counsel to cease running nonmisleading advertisements soliciting putative collective action members, but explaining that courts could prohibit “‘unqualified, misleading statements’ in communications with potential plaintiffs”).</w:t>
      </w:r>
    </w:p>
  </w:footnote>
  <w:footnote w:id="298">
    <w:p w14:paraId="13827809" w14:textId="77777777" w:rsidR="004322B1" w:rsidRPr="00AD2F44" w:rsidRDefault="004322B1">
      <w:pPr>
        <w:pStyle w:val="14Footnote"/>
      </w:pPr>
      <w:r w:rsidRPr="00AD2F44">
        <w:rPr>
          <w:vertAlign w:val="superscript"/>
        </w:rPr>
        <w:footnoteRef/>
      </w:r>
      <w:r w:rsidRPr="00AD2F44">
        <w:t xml:space="preserve">Garner v. G.D. Searle Pharms. &amp; Co., 802 F. Supp. 418, 421 (M.D. Ala. 1991); </w:t>
      </w:r>
      <w:r w:rsidRPr="00AD2F44">
        <w:rPr>
          <w:i/>
          <w:iCs/>
        </w:rPr>
        <w:t>see also</w:t>
      </w:r>
      <w:r w:rsidRPr="00AD2F44">
        <w:t xml:space="preserve"> Ferry v. SGS Control Servs., Inc., 2007 WL 2005549, at *3–4 (S.D.N.Y. 2007) (denying motion for protective order where court found that plaintiff’s counsel’s website was not misleading); </w:t>
      </w:r>
      <w:r w:rsidRPr="00AD2F44">
        <w:rPr>
          <w:i/>
          <w:iCs/>
        </w:rPr>
        <w:t>cf</w:t>
      </w:r>
      <w:r w:rsidRPr="00AD2F44">
        <w:t>. Mackenzie v. Kindred Hosps. E., LLC, 276 F. Supp. 2d 1211, 1220 n.6 (M.D. Fla. 2003) (noting that plaintiff had “not been precluded from communicating with potential plaintiffs,” had ample time to solicit other opt-ins, and could not point to local rule prohibiting solicitation as basis for inability to locate other opt-ins since that rule only applied to Rule 23 actions and had expired in 2002); Tucker v. Labor Leasing, Inc., 872 F. Supp. 941, 949–50 (M.D. Fla. 1994) (denying motion for sanctions where individual who previously was a plaintiff in action called another employee in an attempt to solicit an additional opt-in, on basis that local rule prohibiting such actions arguably only applied to Rule 23, and noting that the contact occurred prior to the court issuing an order requiring leave of the court for all contact by plaintiffs with potentially similarly situated persons).</w:t>
      </w:r>
    </w:p>
  </w:footnote>
  <w:footnote w:id="299">
    <w:p w14:paraId="0F43BE99" w14:textId="77777777" w:rsidR="004322B1" w:rsidRPr="00AD2F44" w:rsidRDefault="004322B1">
      <w:pPr>
        <w:pStyle w:val="14Footnote"/>
      </w:pPr>
      <w:r w:rsidRPr="00AD2F44">
        <w:rPr>
          <w:vertAlign w:val="superscript"/>
        </w:rPr>
        <w:footnoteRef/>
      </w:r>
      <w:r w:rsidRPr="00AD2F44">
        <w:t>Lynch v. United Serv. Auto Ass’n, 2007 U.S. Dist. LEXIS 32642, at *34 (S.D.N.Y. Apr. 25, 2007) (citing Shapero v. Kentucky Bar Ass’n, 486 U.S. 466 (1988)).</w:t>
      </w:r>
    </w:p>
  </w:footnote>
  <w:footnote w:id="300">
    <w:p w14:paraId="34F3B871" w14:textId="77777777" w:rsidR="004322B1" w:rsidRPr="00AD2F44" w:rsidRDefault="004322B1">
      <w:pPr>
        <w:pStyle w:val="14Footnote"/>
      </w:pPr>
      <w:r w:rsidRPr="00AD2F44">
        <w:rPr>
          <w:vertAlign w:val="superscript"/>
        </w:rPr>
        <w:footnoteRef/>
      </w:r>
      <w:r w:rsidRPr="00AD2F44">
        <w:t>Discovery of names and addresses of putative collective action members is addressed in detail in §III.B [The Two-Stage Process Used to Determine if a Collective Action May Proceed to Trial; Stage I: Standard for Determining Whether Conditional Certifications Should Be Granted] of this chapter.</w:t>
      </w:r>
    </w:p>
  </w:footnote>
  <w:footnote w:id="301">
    <w:p w14:paraId="04F79E1F" w14:textId="77777777" w:rsidR="004322B1" w:rsidRPr="00AD2F44" w:rsidRDefault="004322B1">
      <w:pPr>
        <w:pStyle w:val="14Footnote"/>
      </w:pPr>
      <w:r w:rsidRPr="00AD2F44">
        <w:rPr>
          <w:vertAlign w:val="superscript"/>
        </w:rPr>
        <w:footnoteRef/>
      </w:r>
      <w:r w:rsidRPr="00AD2F44">
        <w:t xml:space="preserve">Levine v. Gunther Motor Co. of Plantation, 2010 WL 5140590, at *3 (S.D. Fla. Dec. 9, 2010) (finding precertification requests to be premature); Stephens v. Erosion Containment Mgmt., Inc., 2008 WL 2157095, at *1 (M.D. Fla. May 21, 2008) (holding that interrogatories requesting information on other individuals who performed similar duties to the named plaintiff and were compensated in a similar manner to the named plaintiff were premature prior to conditional certification); Recinos-Recinos v. Express Forestry, Inc., 2006 WL 197030, at *12–13 (E.D. La. Jan. 24, 2006) (holding that discovery of contact information for potential plaintiffs was “premature and should await the ruling on preliminary certification”);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Pr>
          <w:b/>
          <w:bCs/>
        </w:rPr>
        <w:t xml:space="preserve">; </w:t>
      </w:r>
      <w:r w:rsidRPr="00AD2F44">
        <w:t>Crawford v. Dothan City Bd. of Educ., 214 F.R.D. 694, 695 (M.D. Ala. 2003) (denying plaintiff’s request prior to conditional certification for discovery of the identity of any employees to whom a self-audit revealed wages should have been paid under the minimum wage or overtime provisions of the FLSA) (citing Brooks v. Bellsouth Telecomms., Inc., 164 F.R.D. 561, 571 (N.D. Ala. 1995)).</w:t>
      </w:r>
    </w:p>
  </w:footnote>
  <w:footnote w:id="302">
    <w:p w14:paraId="2A79C149" w14:textId="77777777" w:rsidR="004322B1" w:rsidRPr="00AD2F44" w:rsidRDefault="004322B1">
      <w:pPr>
        <w:pStyle w:val="14Footnote"/>
      </w:pPr>
      <w:r w:rsidRPr="00AD2F44">
        <w:rPr>
          <w:vertAlign w:val="superscript"/>
        </w:rPr>
        <w:footnoteRef/>
      </w:r>
      <w:r w:rsidRPr="00AD2F44">
        <w:rPr>
          <w:i/>
          <w:iCs/>
        </w:rPr>
        <w:t>See, e.g.,</w:t>
      </w:r>
    </w:p>
    <w:p w14:paraId="1BF8E5F0" w14:textId="77777777" w:rsidR="004322B1" w:rsidRPr="00AD2F44" w:rsidRDefault="004322B1">
      <w:pPr>
        <w:pStyle w:val="14Footnote"/>
      </w:pPr>
      <w:r w:rsidRPr="00AD2F44">
        <w:rPr>
          <w:i/>
          <w:iCs/>
        </w:rPr>
        <w:t>First Circuit:</w:t>
      </w:r>
      <w:r w:rsidRPr="00AD2F44">
        <w:t xml:space="preserve"> Melendez Cintron v. Hershey P.R., Inc., 363 F. Supp. 2d 10, 17 (D.P.R. 2005) (holding that court authorization is required before plaintiffs may send consent-to-join forms to putative collective action members and granting motion to strike consent forms previously gathered).</w:t>
      </w:r>
    </w:p>
    <w:p w14:paraId="3699E88D" w14:textId="77777777" w:rsidR="004322B1" w:rsidRPr="00AD2F44" w:rsidRDefault="004322B1">
      <w:pPr>
        <w:pStyle w:val="14Footnote"/>
      </w:pPr>
      <w:r w:rsidRPr="00AD2F44">
        <w:rPr>
          <w:i/>
          <w:iCs/>
        </w:rPr>
        <w:t>Third Circuit:</w:t>
      </w:r>
      <w:r w:rsidRPr="00AD2F44">
        <w:t xml:space="preserve"> Bouder v. Prudential Fin., Inc., 2007 WL 3396303, at *2–3 (D.N.J. Nov. 8, 2007) (concluding that it was improper for plaintiffs’ counsel to send consent-to-join forms to all registered representatives prior to a ruling on a motion for notice and conditional certification because it usurped the court’s power to oversee the certification and notice process, the letters were misleading, and plaintiffs had not established that the recipients in various positions all were similarly situated to each other).</w:t>
      </w:r>
    </w:p>
    <w:p w14:paraId="497B442F" w14:textId="77777777" w:rsidR="004322B1" w:rsidRPr="00AD2F44" w:rsidRDefault="004322B1">
      <w:pPr>
        <w:pStyle w:val="14Footnote"/>
      </w:pPr>
      <w:r w:rsidRPr="00AD2F44">
        <w:rPr>
          <w:i/>
          <w:iCs/>
        </w:rPr>
        <w:t>Eighth Circuit:</w:t>
      </w:r>
      <w:r w:rsidRPr="00AD2F44">
        <w:t xml:space="preserve"> Knutson v. Blue Cross &amp; Blue Shield of Minn., 254 F.R.D. 553, 556–57 (D. Minn. 2008) (denying plaintiff’s request to compel defendant to produce the contact information of other customer service representatives, where plaintiff had had “ample opportunity” to collect that information during her tenure with the employer and her only timely stated grounds for requesting such information was to solicit additional opt-in plaintiffs, although stating that in a situation in which a “plaintiff has been given no access to contact information by the defendant and, because of her short tenure with her employer, she is unlikely to possess such information,” an “order compelling production might be appropriate”).</w:t>
      </w:r>
    </w:p>
    <w:p w14:paraId="18F3AC8C" w14:textId="77777777" w:rsidR="004322B1" w:rsidRPr="00AD2F44" w:rsidRDefault="004322B1">
      <w:pPr>
        <w:pStyle w:val="14Footnote"/>
      </w:pPr>
      <w:r w:rsidRPr="00AD2F44">
        <w:rPr>
          <w:i/>
          <w:iCs/>
        </w:rPr>
        <w:t>Eleventh Circuit:</w:t>
      </w:r>
      <w:r w:rsidRPr="00AD2F44">
        <w:t xml:space="preserve"> Hamm v. TBC Corp., 345 F. App’x 406 (11th Cir. 2009) (affirming extent of sanctions entered by district court for improper solicitation of putative opt-in plaintiffs by plaintiffs’ law firm where plaintiffs’ law firm did not challenge the propriety of the underlying sanctions, but only challenged the type of sanctions entered).</w:t>
      </w:r>
    </w:p>
  </w:footnote>
  <w:footnote w:id="303">
    <w:p w14:paraId="572F38CC" w14:textId="77777777" w:rsidR="004322B1" w:rsidRPr="00AD2F44" w:rsidRDefault="004322B1">
      <w:pPr>
        <w:pStyle w:val="14Footnote"/>
      </w:pPr>
      <w:r w:rsidRPr="00AD2F44">
        <w:rPr>
          <w:vertAlign w:val="superscript"/>
        </w:rPr>
        <w:footnoteRef/>
      </w:r>
      <w:r w:rsidRPr="00AD2F44">
        <w:rPr>
          <w:i/>
          <w:iCs/>
        </w:rPr>
        <w:t>See, e.g.,</w:t>
      </w:r>
    </w:p>
    <w:p w14:paraId="49A2BDF4" w14:textId="77777777" w:rsidR="004322B1" w:rsidRPr="00AD2F44" w:rsidRDefault="004322B1">
      <w:pPr>
        <w:pStyle w:val="14Footnote"/>
      </w:pPr>
      <w:r w:rsidRPr="00AD2F44">
        <w:rPr>
          <w:i/>
          <w:iCs/>
        </w:rPr>
        <w:t>Second Circuit:</w:t>
      </w:r>
      <w:r w:rsidRPr="00AD2F44">
        <w:t xml:space="preserve"> Rubery v. Buth-Na-Bodhaige, Inc., 514 F. Supp. 2d 431, 434–35 (W.D.N.Y. 2007) (holding that inaccuracies in plaintiffs’ letter to putative collective action members could be remedied by issuing a corrective notice if the class were later certified).</w:t>
      </w:r>
      <w:r w:rsidRPr="00AD2F44">
        <w:rPr>
          <w:i/>
          <w:iCs/>
        </w:rPr>
        <w:t xml:space="preserve"> Cf</w:t>
      </w:r>
      <w:r w:rsidRPr="00AD2F44">
        <w:t>. Ruggles v. Wellpoint, Inc., 591 F. Supp. 2d 150, 163–64 (N.D.N.Y. 2008) (granting plaintiff’s motion for notice to putative collective action members, but ordering plaintiffs’ counsel to cease advertising to putative collective action members and to remove contents from its website that did not comport with the court-ordered notice).</w:t>
      </w:r>
    </w:p>
    <w:p w14:paraId="035E1D4D" w14:textId="77777777" w:rsidR="004322B1" w:rsidRPr="00AD2F44" w:rsidRDefault="004322B1">
      <w:pPr>
        <w:pStyle w:val="14Footnote"/>
      </w:pPr>
      <w:r w:rsidRPr="00AD2F44">
        <w:rPr>
          <w:i/>
          <w:iCs/>
        </w:rPr>
        <w:t>Third Circuit:</w:t>
      </w:r>
      <w:r w:rsidRPr="00AD2F44">
        <w:t xml:space="preserve"> </w:t>
      </w:r>
      <w:r w:rsidRPr="00AD2F44">
        <w:rPr>
          <w:i/>
          <w:iCs/>
        </w:rPr>
        <w:t>Bouder</w:t>
      </w:r>
      <w:r w:rsidRPr="00AD2F44">
        <w:t>, 2007 WL 3396303, at *3 (ordering plaintiffs to cease mass communications to putative collective action members because the letter and enclosed consent-to-sue form were deceptive and misleading and contained multiple false statements).</w:t>
      </w:r>
    </w:p>
    <w:p w14:paraId="4C96B66A" w14:textId="77777777" w:rsidR="004322B1" w:rsidRPr="00AD2F44" w:rsidRDefault="004322B1">
      <w:pPr>
        <w:pStyle w:val="14Footnote"/>
      </w:pPr>
      <w:r w:rsidRPr="00AD2F44">
        <w:rPr>
          <w:i/>
          <w:iCs/>
        </w:rPr>
        <w:t>Fifth Circuit:</w:t>
      </w:r>
      <w:r w:rsidRPr="00AD2F44">
        <w:t xml:space="preserve"> Vogt v. Texas Instruments, Inc., 2006 WL 4660133, at *4–11 (N.D. Tex. Aug. 8, 2006) (prohibiting plaintiffs’ counsel’s use of flyer and email deemed misleading, but holding that a different advertising mailing to putative collection action members was not misleading, coercive, or a threat to undermine the purpose of the collective action process because it (1) contained factual information, (2) was specifically labeled as an advertisement, and (3) was modeled after the notice authorized by the court in another case).</w:t>
      </w:r>
    </w:p>
    <w:p w14:paraId="4CE0D720" w14:textId="77777777" w:rsidR="004322B1" w:rsidRPr="00AD2F44" w:rsidRDefault="004322B1">
      <w:pPr>
        <w:pStyle w:val="14Footnote"/>
      </w:pPr>
      <w:r w:rsidRPr="00AD2F44">
        <w:rPr>
          <w:i/>
          <w:iCs/>
        </w:rPr>
        <w:t xml:space="preserve">Seventh Circuit: </w:t>
      </w:r>
      <w:r w:rsidRPr="00AD2F44">
        <w:t>Spoerle v. Kraft Foods Global, Inc., 253 F.R.D. 434, 443 (W.D. Wis. 2008) (ordering plaintiffs’ counsel to send curative notices to, and attempt to obtain new consent-to-sue forms from, putative collective action members, where plaintiffs’ counsel had sent notices containing misleading information, but holding that this “isolated blunder” did not warrant additional sanctions barring plaintiffs’ counsel’s unsupervised contact with putative collective action members).</w:t>
      </w:r>
    </w:p>
    <w:p w14:paraId="68A9BF90" w14:textId="77777777" w:rsidR="004322B1" w:rsidRPr="00AD2F44" w:rsidRDefault="004322B1">
      <w:pPr>
        <w:pStyle w:val="14Footnote"/>
      </w:pPr>
      <w:r w:rsidRPr="00AD2F44">
        <w:rPr>
          <w:i/>
          <w:iCs/>
        </w:rPr>
        <w:t>Eighth Circuit</w:t>
      </w:r>
      <w:r w:rsidRPr="00AD2F44">
        <w:t>: Sandoval v. Serco, Inc., 2019 WL 2075910, at *7 (E.D. Mo. May 10, 2019) (court found that plaintiff’s counsel’s communications with putative class members were “inaccurate and misleading” when it told putative class members that “every person who joins makes the case stronger and pushes [defendant] to settle more quickly” and ultimately struck plaintiff’s consents-to-join, dismissed all opt-in plaintiffs without prejudice, and ordered plaintiff to issue a curative notice to all previously opted-in plaintiffs).</w:t>
      </w:r>
    </w:p>
    <w:p w14:paraId="5326E874" w14:textId="77777777" w:rsidR="004322B1" w:rsidRPr="00AD2F44" w:rsidRDefault="004322B1">
      <w:pPr>
        <w:pStyle w:val="14Footnote"/>
      </w:pPr>
      <w:r w:rsidRPr="00AD2F44">
        <w:rPr>
          <w:i/>
          <w:iCs/>
        </w:rPr>
        <w:t>Ninth Circuit:</w:t>
      </w:r>
      <w:r w:rsidRPr="00AD2F44">
        <w:t xml:space="preserve"> Piper v. RGIS Inventory Specialists, Inc., 2007 WL 1690887, at *7–9 (N.D. Cal. June 11, 2007) (observing that courts may limit communications prior to conditional certification when a party has engaged in misleading or improper communications, and concluding that alleged “cold-calls” were not misleading or inappropriate, but directing plaintiffs’ counsel to modify their conversation with putative collective action members who were contacted pursuant to an inquiry made to plaintiffs’ counsel’s website to ask whether the individual contacted had entered his or her information into counsel’s website and to include a warning on the website that individuals could not enter contact information for other putative collective action members).</w:t>
      </w:r>
    </w:p>
    <w:p w14:paraId="16B08E9F" w14:textId="77777777" w:rsidR="004322B1" w:rsidRPr="00AD2F44" w:rsidRDefault="004322B1">
      <w:pPr>
        <w:pStyle w:val="14Footnote"/>
      </w:pPr>
      <w:r w:rsidRPr="00AD2F44">
        <w:rPr>
          <w:i/>
          <w:iCs/>
        </w:rPr>
        <w:t>Eleventh Circuit:</w:t>
      </w:r>
      <w:r w:rsidRPr="00AD2F44">
        <w:t xml:space="preserve"> Gerondidakis v. BL Rest. Operations, LLC, 2012 WL 2872849, at *3–5 (M.D. Fla. July 12, 2012) (denying defendant’s motion to sanction plaintiff’s counsel for advertisements for witness information, but limiting future advertisements from being posted on employer’s website in job section, and advertisements could not claim to be seeking class action status or imply that entities not named in suit were defendants); Ojeda–Sanchez v. Bland Farms, 600 F. Supp. 2d 1373, 1379 (S.D. Ga. 2009) (chastising but not sanctioning parties’ unilateral and unsolicited communications with putative class); Taylor v. Compusa, 2004 U.S. Dist. LEXIS 14520, at *12 (N.D. Ga. June 29, 2004) (holding that until the court ruled on conditional certification and approved an official notice, plaintiffs were prohibited from making “unqualified, misleading statements” to putative collective action members).</w:t>
      </w:r>
    </w:p>
  </w:footnote>
  <w:footnote w:id="304">
    <w:p w14:paraId="0E5C337F" w14:textId="77777777" w:rsidR="004322B1" w:rsidRPr="00AD2F44" w:rsidRDefault="004322B1">
      <w:pPr>
        <w:pStyle w:val="14Footnote"/>
      </w:pPr>
      <w:r w:rsidRPr="00AD2F44">
        <w:rPr>
          <w:vertAlign w:val="superscript"/>
        </w:rPr>
        <w:footnoteRef/>
      </w:r>
      <w:r w:rsidRPr="00AD2F44">
        <w:rPr>
          <w:i/>
          <w:iCs/>
        </w:rPr>
        <w:t>Spoerle</w:t>
      </w:r>
      <w:r w:rsidRPr="00AD2F44">
        <w:t>, 253 F.R.D. at 443.</w:t>
      </w:r>
    </w:p>
  </w:footnote>
  <w:footnote w:id="305">
    <w:p w14:paraId="0230386D" w14:textId="77777777" w:rsidR="004322B1" w:rsidRPr="00AD2F44" w:rsidRDefault="004322B1">
      <w:pPr>
        <w:pStyle w:val="14Footnote"/>
      </w:pPr>
      <w:r w:rsidRPr="00AD2F44">
        <w:rPr>
          <w:vertAlign w:val="superscript"/>
        </w:rPr>
        <w:footnoteRef/>
      </w:r>
      <w:r w:rsidRPr="00AD2F44">
        <w:rPr>
          <w:i/>
          <w:iCs/>
        </w:rPr>
        <w:t>Bouder</w:t>
      </w:r>
      <w:r w:rsidRPr="00AD2F44">
        <w:t>, 2007 WL 339603, at *3.</w:t>
      </w:r>
    </w:p>
  </w:footnote>
  <w:footnote w:id="306">
    <w:p w14:paraId="0EF1644C" w14:textId="77777777" w:rsidR="004322B1" w:rsidRPr="00AD2F44" w:rsidRDefault="004322B1">
      <w:pPr>
        <w:pStyle w:val="14Footnote"/>
      </w:pPr>
      <w:r w:rsidRPr="00AD2F44">
        <w:rPr>
          <w:vertAlign w:val="superscript"/>
        </w:rPr>
        <w:footnoteRef/>
      </w:r>
      <w:r w:rsidRPr="00AD2F44">
        <w:rPr>
          <w:i/>
          <w:iCs/>
        </w:rPr>
        <w:t>Rubery</w:t>
      </w:r>
      <w:r w:rsidRPr="00AD2F44">
        <w:t>, 514 F. Supp. 2d at 434–45.</w:t>
      </w:r>
    </w:p>
  </w:footnote>
  <w:footnote w:id="307">
    <w:p w14:paraId="5DA18204" w14:textId="77777777" w:rsidR="004322B1" w:rsidRPr="00AD2F44" w:rsidRDefault="004322B1">
      <w:pPr>
        <w:pStyle w:val="14Footnote"/>
      </w:pPr>
      <w:r w:rsidRPr="00AD2F44">
        <w:rPr>
          <w:vertAlign w:val="superscript"/>
        </w:rPr>
        <w:footnoteRef/>
      </w:r>
      <w:r w:rsidRPr="00AD2F44">
        <w:t xml:space="preserve">Katz v. DNC Servs. Corp., 275 F. Supp. 3d 579, 583 (E.D. Pa. 2017) (emphasis added) (finding that three statements on plaintiff’s counsel’s website were misleading and requiring plaintiff’s counsel to modify website and issue curative notice to opt-in plaintiffs, giving them opportunity to rescind their consents). </w:t>
      </w:r>
      <w:r w:rsidRPr="00AD2F44">
        <w:rPr>
          <w:i/>
          <w:iCs/>
        </w:rPr>
        <w:t>See also</w:t>
      </w:r>
      <w:r w:rsidRPr="00AD2F44">
        <w:t xml:space="preserve"> </w:t>
      </w:r>
    </w:p>
    <w:p w14:paraId="1805AC19" w14:textId="77777777" w:rsidR="004322B1" w:rsidRPr="00AD2F44" w:rsidRDefault="004322B1">
      <w:pPr>
        <w:pStyle w:val="14Footnote"/>
      </w:pPr>
      <w:r w:rsidRPr="00AD2F44">
        <w:rPr>
          <w:i/>
          <w:iCs/>
        </w:rPr>
        <w:t>Eighth Circuit:</w:t>
      </w:r>
      <w:r w:rsidRPr="00AD2F44">
        <w:t xml:space="preserve"> Jones v. Casey’s Gen. Stores, 517 F. Supp. 2d 1080, 1085–89 (S.D. Iowa 2007) (prohibiting plaintiffs’ counsel from initiating future contact with putative collective action members based on specific evidence that prior ex parte communications with such individuals violated ethical rules against solicitations, holding that website was misleading, and ordering plaintiffs’ counsel to change the contents of their website to address the court’s concerns).</w:t>
      </w:r>
    </w:p>
    <w:p w14:paraId="2CA7E9FD" w14:textId="77777777" w:rsidR="004322B1" w:rsidRPr="00AD2F44" w:rsidRDefault="004322B1">
      <w:pPr>
        <w:pStyle w:val="14Footnote"/>
      </w:pPr>
      <w:r w:rsidRPr="00AD2F44">
        <w:rPr>
          <w:i/>
          <w:iCs/>
        </w:rPr>
        <w:t xml:space="preserve">Tenth Circuit: </w:t>
      </w:r>
      <w:r w:rsidRPr="00AD2F44">
        <w:t>Self v. TPUSA, Inc., 2008 U.S. Dist. LEXIS 71341, at *13–15 (D. Utah Sept. 19, 2008) (ordering plaintiffs’ counsel to modify their website to qualify or remove conclusory language and to state instead that the allegations were contested, and ordering them to send curative letters to all opt-in plaintiffs informing them of the misleading statements on the website and that they must submit a new consent form to remain in the lawsuit).</w:t>
      </w:r>
    </w:p>
    <w:p w14:paraId="40C85D83" w14:textId="77777777" w:rsidR="004322B1" w:rsidRPr="00AD2F44" w:rsidRDefault="004322B1">
      <w:pPr>
        <w:pStyle w:val="14Footnote"/>
      </w:pPr>
      <w:r w:rsidRPr="00AD2F44">
        <w:rPr>
          <w:i/>
          <w:iCs/>
        </w:rPr>
        <w:t>Eleventh Circuit:</w:t>
      </w:r>
      <w:r w:rsidRPr="00AD2F44">
        <w:t xml:space="preserve"> Maddox v. Knowledge Learning Corp., 499 F. Supp. 2d 1338, 1344–45 (N.D. Ga. 2007) (ordering plaintiffs’ counsel to remove or edit certain statements on their website that the court deemed to be “inappropriate,” but refusing to order that the entire website be shut down).</w:t>
      </w:r>
    </w:p>
  </w:footnote>
  <w:footnote w:id="308">
    <w:p w14:paraId="61B832D2" w14:textId="77777777" w:rsidR="004322B1" w:rsidRPr="00AD2F44" w:rsidRDefault="004322B1">
      <w:pPr>
        <w:pStyle w:val="14Footnote"/>
      </w:pPr>
      <w:r w:rsidRPr="00AD2F44">
        <w:rPr>
          <w:vertAlign w:val="superscript"/>
        </w:rPr>
        <w:footnoteRef/>
      </w:r>
      <w:r w:rsidRPr="00AD2F44">
        <w:t xml:space="preserve">Gulf Oil Co. v. Bernard, 452 U.S. 89 (1981). </w:t>
      </w:r>
    </w:p>
  </w:footnote>
  <w:footnote w:id="309">
    <w:p w14:paraId="72828006" w14:textId="77777777" w:rsidR="004322B1" w:rsidRPr="00AD2F44" w:rsidRDefault="004322B1">
      <w:pPr>
        <w:pStyle w:val="14Footnote"/>
      </w:pPr>
      <w:r w:rsidRPr="00AD2F44">
        <w:rPr>
          <w:vertAlign w:val="superscript"/>
        </w:rPr>
        <w:footnoteRef/>
      </w:r>
      <w:r w:rsidRPr="00AD2F44">
        <w:rPr>
          <w:i/>
          <w:iCs/>
        </w:rPr>
        <w:t xml:space="preserve">Compare </w:t>
      </w:r>
      <w:r w:rsidRPr="00AD2F44">
        <w:t xml:space="preserve">Vogt v. Texas Instruments, Inc., 2006 WL 4660133, at *3 (N.D. Tex. Aug. 8, 2006) (holding that after the moving party identifies the particular abuses by which it is threatened, the court must tailor any restrictions to those abuses and ensure “that the relief sought would be consistent with the policies of Section 216(b) and the Federal Rules of Civil Procedure, giving explicit consideration to the narrowest possible relief which would protect the respective parties”) (citing </w:t>
      </w:r>
      <w:r w:rsidRPr="00AD2F44">
        <w:rPr>
          <w:i/>
          <w:iCs/>
        </w:rPr>
        <w:t>Gulf Oil</w:t>
      </w:r>
      <w:r w:rsidRPr="00AD2F44">
        <w:t xml:space="preserve">, 452 U.S. at 102; Belt v. Emcare, Inc., 299 F. Supp. 2d 664, 667 (E.D. Tex. 2003)), </w:t>
      </w:r>
      <w:r w:rsidRPr="00AD2F44">
        <w:rPr>
          <w:i/>
          <w:iCs/>
        </w:rPr>
        <w:t>with</w:t>
      </w:r>
      <w:r w:rsidRPr="00AD2F44">
        <w:t xml:space="preserve"> Alaniz v. Sam Kane Beef Processors, Inc., 2007 WL 4290659, at *1–2 (S.D. Tex. Dec. 4, 2007) (entering preliminary injunction requiring plaintiffs’ counsel to cease and desist from continuing to use misleading mailings, radio advertisements, billboards, or other communications to communicate with putative collective action members and ordering removal of the particular misleading communications, which failed to disclose the limitation period for the FLSA claims at issue) (citing </w:t>
      </w:r>
      <w:r w:rsidRPr="00AD2F44">
        <w:rPr>
          <w:i/>
          <w:iCs/>
        </w:rPr>
        <w:t>Gulf Oil</w:t>
      </w:r>
      <w:r w:rsidRPr="00AD2F44">
        <w:t xml:space="preserve">, 452 U.S. at 89; </w:t>
      </w:r>
      <w:r w:rsidRPr="00AD2F44">
        <w:rPr>
          <w:i/>
          <w:iCs/>
        </w:rPr>
        <w:t>Belt</w:t>
      </w:r>
      <w:r w:rsidRPr="00AD2F44">
        <w:t>, 299 F. Supp. 2d at 667).</w:t>
      </w:r>
    </w:p>
  </w:footnote>
  <w:footnote w:id="310">
    <w:p w14:paraId="137648F0" w14:textId="77777777" w:rsidR="004322B1" w:rsidRPr="00AD2F44" w:rsidRDefault="004322B1">
      <w:pPr>
        <w:pStyle w:val="14Footnote"/>
      </w:pPr>
      <w:r w:rsidRPr="00AD2F44">
        <w:rPr>
          <w:vertAlign w:val="superscript"/>
        </w:rPr>
        <w:footnoteRef/>
      </w:r>
      <w:r w:rsidRPr="00AD2F44">
        <w:t xml:space="preserve">Hamm v. TBC Corp., 597 F. Supp. 2d 1338, 1351–53 (S.D. Fla. 2009) (holding that plaintiffs’ counsel’s pre–conditional certification telephone communications with potential opt-in plaintiffs amounted to improper solicitations under the Local Rules and Florida Bar rules and imposing sanctions on plaintiff’s counsel that, among other things, barred them from representing, or collecting fees or costs for work performed on behalf of, individuals who did not work with the named plaintiffs), </w:t>
      </w:r>
      <w:r w:rsidRPr="00AD2F44">
        <w:rPr>
          <w:i/>
          <w:iCs/>
        </w:rPr>
        <w:t>aff’d</w:t>
      </w:r>
      <w:r w:rsidRPr="00AD2F44">
        <w:t>, 2009 U.S. App. LEXIS 19059 (11th Cir. Aug. 25, 2009).</w:t>
      </w:r>
    </w:p>
  </w:footnote>
  <w:footnote w:id="311">
    <w:p w14:paraId="3BD8E240" w14:textId="77777777" w:rsidR="004322B1" w:rsidRPr="00AD2F44" w:rsidRDefault="004322B1">
      <w:pPr>
        <w:pStyle w:val="14Footnote"/>
      </w:pPr>
      <w:r w:rsidRPr="00AD2F44">
        <w:rPr>
          <w:vertAlign w:val="superscript"/>
        </w:rPr>
        <w:footnoteRef/>
      </w:r>
      <w:r w:rsidRPr="00AD2F44">
        <w:rPr>
          <w:i/>
          <w:iCs/>
        </w:rPr>
        <w:t>Compare</w:t>
      </w:r>
      <w:r w:rsidRPr="00AD2F44">
        <w:t xml:space="preserve"> Morisky v. Public Serv. Elec. &amp; Gas Co., 191 F.R.D. 419, 423–24 (D.N.J. 2000) (holding that where, in putative class and FLSA collective action, questionnaires were distributed to defendant’s employees at a public meeting two weeks before a lawsuit was filed, and those in attendance distributed the questionnaire to other employees, the ultimate purpose of the questionnaire was to “solicit potential clients” and thus neither attorney-client privilege nor work-product privileges applied to the 141 completed questionnaires), Agee v. Wayne Farms, LLC, 2007 WL 2903208, at *1–2 (S.D. Miss. Oct. 1, 2007) (denying plaintiffs’ motion to quash subpoena of third-party service hired by plaintiffs’ counsel to advertise for FLSA claimants and answer phone calls in response to the advertisements), </w:t>
      </w:r>
      <w:r w:rsidRPr="00AD2F44">
        <w:rPr>
          <w:i/>
          <w:iCs/>
        </w:rPr>
        <w:t>and</w:t>
      </w:r>
      <w:r w:rsidRPr="00AD2F44">
        <w:t xml:space="preserve"> Devries v. Morgan Stanley &amp; Co., 2013 WL 3243370 (S.D. Fla. June 26, 2013) (defendant employer sought production of emails or letters sent by plaintiff to recruit or solicit opt-in plaintiffs and district court required the production, finding the plaintiff’s privilege had been waived by the plaintiffs’ failure to provide a privilege log), </w:t>
      </w:r>
      <w:r w:rsidRPr="00AD2F44">
        <w:rPr>
          <w:i/>
          <w:iCs/>
        </w:rPr>
        <w:t>with</w:t>
      </w:r>
      <w:r w:rsidRPr="00AD2F44">
        <w:t xml:space="preserve"> Gates v. Rohm and Haas Co., 2006 WL 3420591, at *5 (E.D. Pa. Nov. 22, 2006) (holding questionnaires distributed to putative class members were protected by attorney-client privilege because attorneys organized meeting where questionnaires were distributed, attorneys instructed those that were not seeking advice or representation to leave meeting, and individuals who eventually completed questionnaires received them directly from and returned them to attorneys), </w:t>
      </w:r>
      <w:r w:rsidRPr="00AD2F44">
        <w:rPr>
          <w:i/>
          <w:iCs/>
        </w:rPr>
        <w:t>and</w:t>
      </w:r>
      <w:r w:rsidRPr="00AD2F44">
        <w:t xml:space="preserve"> Vodak v. City of Chi., 2004 WL 783051, at *3 (N.D. Ill. Jan. 16, 2004) (holding that attorney-client privilege attached to questionnaires distributed at public meeting because plaintiffs had “established that the persons who completed the form questionnaires reasonably believed that they were consulting counsel in their capacity as lawyers and they completed the questionnaire for the purpose of requesting legal representation”).</w:t>
      </w:r>
    </w:p>
  </w:footnote>
  <w:footnote w:id="312">
    <w:p w14:paraId="0A6C7A89" w14:textId="77777777" w:rsidR="004322B1" w:rsidRPr="00AD2F44" w:rsidRDefault="004322B1">
      <w:pPr>
        <w:pStyle w:val="14Footnote"/>
      </w:pPr>
      <w:r w:rsidRPr="00AD2F44">
        <w:rPr>
          <w:vertAlign w:val="superscript"/>
        </w:rPr>
        <w:footnoteRef/>
      </w:r>
      <w:r w:rsidRPr="00AD2F44">
        <w:rPr>
          <w:i/>
          <w:iCs/>
        </w:rPr>
        <w:t>Compare</w:t>
      </w:r>
      <w:r w:rsidRPr="00AD2F44">
        <w:t xml:space="preserve"> Weeks v. Independent Sch. Dist. No. I-89, 230 F.3d 1201, 1208–11 (10th Cir. 2000) (holding that plaintiffs’ counsel’s ex parte communications with managerial and supervisory employees who had “‘speaking authority’ such that they could bind the defendant school district in a legal evidentiary sense” were improper under Rule 4.2 of the Oklahoma Rules of Professional Conduct—the corollary to Rule 4.2 of the Model Rules of Professional Conduct), </w:t>
      </w:r>
      <w:r w:rsidRPr="00AD2F44">
        <w:rPr>
          <w:i/>
          <w:iCs/>
        </w:rPr>
        <w:t>with</w:t>
      </w:r>
      <w:r w:rsidRPr="00AD2F44">
        <w:t xml:space="preserve"> Martin v. All Care Registry, Inc., 822 F. Supp. 977, 978–79 (E.D.N.Y. 1993) (holding that Secretary’s ex parte communications with defendant’s employees did not violate New York Code of Professional Responsibility because, among other things, such contact was expressly authorized by §211(a) of FLSA and none of contacted employees was a manager). This restriction may not apply to plaintiffs’ efforts to communicate with fellow employees. </w:t>
      </w:r>
      <w:r w:rsidRPr="00AD2F44">
        <w:rPr>
          <w:i/>
          <w:iCs/>
        </w:rPr>
        <w:t>See</w:t>
      </w:r>
      <w:r w:rsidRPr="00AD2F44">
        <w:t xml:space="preserve"> Carda v. E.H. Oftedal &amp; Sons, Inc., 2005 WL 2121972, at *3 (D.S.D. Aug. 30, 2005) (holding that named plaintiff’s precertification contact with other employees did not violate South Dakota corollary to Rule 4.2 of Model Rules of Professional Conduct because rule did not apply to non-attorney and there was no evidence that plaintiff’s attorneys contacted any “represented person[s]”).</w:t>
      </w:r>
    </w:p>
  </w:footnote>
  <w:footnote w:id="313">
    <w:p w14:paraId="7EA57F9B" w14:textId="77777777" w:rsidR="004322B1" w:rsidRPr="00AD2F44" w:rsidRDefault="004322B1">
      <w:pPr>
        <w:pStyle w:val="14Footnote"/>
      </w:pPr>
      <w:r w:rsidRPr="00AD2F44">
        <w:rPr>
          <w:vertAlign w:val="superscript"/>
        </w:rPr>
        <w:footnoteRef/>
      </w:r>
      <w:r w:rsidRPr="00AD2F44">
        <w:t>Davis v. Westgate Planet Hollywood Las Vegas, LLC, 2009 WL 4019424 (D. Nev. Nov. 19, 2009).</w:t>
      </w:r>
    </w:p>
  </w:footnote>
  <w:footnote w:id="314">
    <w:p w14:paraId="2E1D5319" w14:textId="77777777" w:rsidR="004322B1" w:rsidRPr="00AD2F44" w:rsidRDefault="004322B1">
      <w:pPr>
        <w:pStyle w:val="14Footnote"/>
      </w:pPr>
      <w:r w:rsidRPr="00AD2F44">
        <w:rPr>
          <w:vertAlign w:val="superscript"/>
        </w:rPr>
        <w:footnoteRef/>
      </w:r>
      <w:r w:rsidRPr="00AD2F44">
        <w:rPr>
          <w:i/>
          <w:iCs/>
        </w:rPr>
        <w:t>See, e.g.,</w:t>
      </w:r>
    </w:p>
    <w:p w14:paraId="3609AE3D" w14:textId="77777777" w:rsidR="004322B1" w:rsidRPr="00AD2F44" w:rsidRDefault="004322B1">
      <w:pPr>
        <w:pStyle w:val="14Footnote"/>
      </w:pPr>
      <w:r w:rsidRPr="00AD2F44">
        <w:rPr>
          <w:i/>
          <w:iCs/>
        </w:rPr>
        <w:t>Second Circuit:</w:t>
      </w:r>
      <w:r w:rsidRPr="00AD2F44">
        <w:t xml:space="preserve"> Strauch v. Computer Scis. Corp., 2015 WL 3727804, at *6 (D. Conn. June 9, 2015) (permitting a court-approved reminder notice to be sent via email and/or mail); Fengler v. Crouse Health Found., Inc., 2009 WL 2045161, at *1 (N.D.N.Y. July 1, 2009) (refusing to require plaintiffs’ counsel to provide advance copies of mass class communications to defense counsel before dissemination, but directing both sides to provide copies of mass class communications to opposing counsel contemporaneously with dissemination).</w:t>
      </w:r>
    </w:p>
    <w:p w14:paraId="2C6E30EE" w14:textId="77777777" w:rsidR="004322B1" w:rsidRPr="00AD2F44" w:rsidRDefault="004322B1">
      <w:pPr>
        <w:pStyle w:val="14Footnote"/>
      </w:pPr>
      <w:r w:rsidRPr="00AD2F44">
        <w:rPr>
          <w:i/>
          <w:iCs/>
        </w:rPr>
        <w:t>Third Circuit:</w:t>
      </w:r>
      <w:r w:rsidRPr="00AD2F44">
        <w:t xml:space="preserve"> Camesi v. University of Pittsburgh Med. Ctr., 2009 WL 3719483 (W.D. Pa. Nov. 4, 2009) (refusing to enter sanctions, but requiring plaintiffs’ counsel to notify and confer with court and defendant’s counsel prior to issuing additional communications prior to status conference); Taylor v. Pittsburgh Mercy Health Sys., Inc., 2009 WL 3769409 (W.D. Pa. Nov. 10, 2009) (refusing to impose sanctions for same reasons as in </w:t>
      </w:r>
      <w:r w:rsidRPr="00AD2F44">
        <w:rPr>
          <w:i/>
          <w:iCs/>
        </w:rPr>
        <w:t>Camesi</w:t>
      </w:r>
      <w:r w:rsidRPr="00AD2F44">
        <w:t>—same defense and plaintiffs’ counsel and related business entities).</w:t>
      </w:r>
    </w:p>
    <w:p w14:paraId="1A57DAFA" w14:textId="77777777" w:rsidR="004322B1" w:rsidRPr="00AD2F44" w:rsidRDefault="004322B1">
      <w:pPr>
        <w:pStyle w:val="14Footnote"/>
      </w:pPr>
      <w:r w:rsidRPr="00AD2F44">
        <w:rPr>
          <w:i/>
          <w:iCs/>
        </w:rPr>
        <w:t>Fourth Circuit:</w:t>
      </w:r>
      <w:r w:rsidRPr="00AD2F44">
        <w:t xml:space="preserve"> Calderon v. GEICO Gen. Ins. Co., 2011 WL 98197, at *8 (D. Md. Jan. 12, 2011) (rejecting request by plaintiffs’ counsel for permission to send “reminder notices” to potential class members because it “has the potential to unnecessarily ‘stir up litigation’”); Byard v. Verizon W. Va., Inc., 287 F.R.D. 365, 373 (N.D.W. Va. 2012).</w:t>
      </w:r>
    </w:p>
    <w:p w14:paraId="37786B5C" w14:textId="77777777" w:rsidR="004322B1" w:rsidRPr="00AD2F44" w:rsidRDefault="004322B1">
      <w:pPr>
        <w:pStyle w:val="14Footnote"/>
      </w:pPr>
      <w:r w:rsidRPr="00AD2F44">
        <w:rPr>
          <w:i/>
          <w:iCs/>
        </w:rPr>
        <w:t>Fifth Circuit:</w:t>
      </w:r>
      <w:r w:rsidRPr="00AD2F44">
        <w:t xml:space="preserve"> Rodriguez v. Mechanical Tech. Servs., Inc., 2014 WL 1778915 (W.D. Tex. Apr. 17, 2014) (permitting the issuance of a supplemental notice in light of the fact that 66 of 312 notices had been marked as “undeliverable”); Spence v. Irving Holdings, Inc., 2010 WL 5609023, at *2–3 (N.D. Tex. Dec. 15, 2010) (requiring defendant to provide to plaintiffs list of putative class members given to third-party administrator, but requiring plaintiffs’ counsel to notify defendant of any individual or mass communication and give copy of it to defendants at least 14 days before sending, and allowing defendant up to 7 days after notification to object).</w:t>
      </w:r>
    </w:p>
    <w:p w14:paraId="21BB674A" w14:textId="77777777" w:rsidR="004322B1" w:rsidRPr="00AD2F44" w:rsidRDefault="004322B1">
      <w:pPr>
        <w:pStyle w:val="14Footnote"/>
      </w:pPr>
      <w:r w:rsidRPr="00AD2F44">
        <w:rPr>
          <w:i/>
          <w:iCs/>
        </w:rPr>
        <w:t xml:space="preserve">Sixth Circuit: </w:t>
      </w:r>
      <w:r w:rsidRPr="00AD2F44">
        <w:t>Kutzback v. LMS Intellibound LLC, 2014 WL 7187006 (W.D. Tenn. Dec. 16, 2014) (reminder postcard permitted).</w:t>
      </w:r>
    </w:p>
    <w:p w14:paraId="2D764492" w14:textId="77777777" w:rsidR="004322B1" w:rsidRPr="00AD2F44" w:rsidRDefault="004322B1">
      <w:pPr>
        <w:pStyle w:val="14Footnote"/>
      </w:pPr>
      <w:r w:rsidRPr="00AD2F44">
        <w:rPr>
          <w:i/>
          <w:iCs/>
        </w:rPr>
        <w:t>Seventh Circuit:</w:t>
      </w:r>
      <w:r w:rsidRPr="00AD2F44">
        <w:t xml:space="preserve"> Howard v. Securitas Sec. Servs., USA Inc., 630 F. Supp. 2d 905 (N.D. Ill. 2009) (refusing to sanction plaintiffs’ counsel for website that allegedly conflicted with notice, but requiring that they review and modify contents of website to ensure factual accuracy).</w:t>
      </w:r>
    </w:p>
    <w:p w14:paraId="2D3161D8" w14:textId="77777777" w:rsidR="004322B1" w:rsidRPr="00AD2F44" w:rsidRDefault="004322B1">
      <w:pPr>
        <w:pStyle w:val="14Footnote"/>
      </w:pPr>
      <w:r w:rsidRPr="00AD2F44">
        <w:rPr>
          <w:i/>
          <w:iCs/>
        </w:rPr>
        <w:t xml:space="preserve">Eighth Circuit: </w:t>
      </w:r>
      <w:r w:rsidRPr="00AD2F44">
        <w:t>Rhodes v. Truman Med. Ctr., Inc., 2014 WL 4722285 (W.D. Mo. Sept. 23, 2014) (permitting reminder notice by email).</w:t>
      </w:r>
    </w:p>
    <w:p w14:paraId="5A8355E9" w14:textId="77777777" w:rsidR="004322B1" w:rsidRPr="00AD2F44" w:rsidRDefault="004322B1">
      <w:pPr>
        <w:pStyle w:val="14Footnote"/>
      </w:pPr>
      <w:r w:rsidRPr="00AD2F44">
        <w:rPr>
          <w:i/>
          <w:iCs/>
        </w:rPr>
        <w:t>Ninth Circuit:</w:t>
      </w:r>
      <w:r w:rsidRPr="00AD2F44">
        <w:t xml:space="preserve"> Davis v. Social Serv. Coordinators, Inc., 2012 WL 5361746, at *26–27 (E.D. Cal. Oct. 30, 2012), </w:t>
      </w:r>
      <w:r w:rsidRPr="00AD2F44">
        <w:rPr>
          <w:i/>
          <w:iCs/>
        </w:rPr>
        <w:t>report and recommendation adopted as modified</w:t>
      </w:r>
      <w:r w:rsidRPr="00AD2F44">
        <w:t>, 2012 WL 5838825, at *4–6 (E.D. Cal. Nov. 15, 2012) (prohibiting plaintiffs’ counsel from initiating contact with members of putative class during 60-day notice period, although they could respond to inquiries from putative class members); Madrid v. Peak Constr., Inc., 2009 WL 3710719, at *2 (D. Ariz. Nov. 2, 2009) (reiterating earlier order that prohibited either party from “any affirmative contact with potential collective action members beyond the approved notice”).</w:t>
      </w:r>
    </w:p>
    <w:p w14:paraId="7B83BF8E" w14:textId="77777777" w:rsidR="004322B1" w:rsidRPr="00AD2F44" w:rsidRDefault="004322B1">
      <w:pPr>
        <w:pStyle w:val="14Footnote"/>
      </w:pPr>
      <w:r w:rsidRPr="00AD2F44">
        <w:rPr>
          <w:i/>
          <w:iCs/>
        </w:rPr>
        <w:t>But see</w:t>
      </w:r>
      <w:r w:rsidRPr="00AD2F44">
        <w:t xml:space="preserve"> Garcia v. TWC Admin., LLC, 2015 WL 1737932, at *6 (W.D. Tex. Apr. 16, 2015) (denying plaintiff’s request to send reminder notice).</w:t>
      </w:r>
    </w:p>
  </w:footnote>
  <w:footnote w:id="315">
    <w:p w14:paraId="0858AAB8" w14:textId="77777777" w:rsidR="004322B1" w:rsidRPr="00AD2F44" w:rsidRDefault="004322B1">
      <w:pPr>
        <w:pStyle w:val="14Footnote"/>
      </w:pPr>
      <w:r w:rsidRPr="00AD2F44">
        <w:rPr>
          <w:vertAlign w:val="superscript"/>
        </w:rPr>
        <w:footnoteRef/>
      </w:r>
      <w:r w:rsidRPr="00AD2F44">
        <w:rPr>
          <w:i/>
          <w:iCs/>
        </w:rPr>
        <w:t>See, e.g.,</w:t>
      </w:r>
      <w:r w:rsidRPr="00AD2F44">
        <w:t xml:space="preserve"> Espenscheid v. Direct</w:t>
      </w:r>
      <w:r w:rsidRPr="00AD2F44">
        <w:rPr>
          <w:caps/>
        </w:rPr>
        <w:t>sat</w:t>
      </w:r>
      <w:r w:rsidRPr="00AD2F44">
        <w:t xml:space="preserve"> USA, LLC, 2010 WL 2330309, at *5 (W.D. Wis. June 7, 2010) (allowing plaintiffs’ counsel to contact putative class members during opt-in period, to investigate potential state law Rule 23 claims, but not to encourage opting into FLSA case).</w:t>
      </w:r>
    </w:p>
  </w:footnote>
  <w:footnote w:id="316">
    <w:p w14:paraId="4C99F955" w14:textId="77777777" w:rsidR="004322B1" w:rsidRPr="00AD2F44" w:rsidRDefault="004322B1">
      <w:pPr>
        <w:pStyle w:val="14Footnote"/>
      </w:pPr>
      <w:r w:rsidRPr="00AD2F44">
        <w:rPr>
          <w:vertAlign w:val="superscript"/>
        </w:rPr>
        <w:footnoteRef/>
      </w:r>
      <w:r w:rsidRPr="00AD2F44">
        <w:rPr>
          <w:i/>
          <w:iCs/>
        </w:rPr>
        <w:t>See, e.g.,</w:t>
      </w:r>
      <w:r w:rsidRPr="00AD2F44">
        <w:t xml:space="preserve"> Jackson v. Bloomberg, L.P., 2015 WL 1822695 (S.D.N.Y. Apr. 22, 2015) (rejecting defendant’s request to contact seven class members as improper ex parte communications); Parks v. Eastwood Ins. Serv., Inc., 235 F. Supp. 2d 1082, 1083 (C.D. Cal. 2002) (“The restrictions on defendant communication with class action or representative action plaintiffs arise from the existence of an attorney-client relationship. A lawyer is forbidden from communicating with a party the lawyer knows to be represented by counsel, regarding the subject of the representation, without counsel’s consent.”); </w:t>
      </w:r>
      <w:r w:rsidRPr="00AD2F44">
        <w:rPr>
          <w:i/>
          <w:iCs/>
        </w:rPr>
        <w:t>see also</w:t>
      </w:r>
      <w:r w:rsidRPr="00AD2F44">
        <w:t xml:space="preserve"> Kleiner v. First Nat’l Bank of Atlanta, 751 F.2d 1193, 1207 n.28 (11th Cir. 1985) (stating, in the context of a Rule 23(b)(3) class action, that “class counsel represents all class members as soon as a class is certified”) (citing Van Gemert v. Boeing Co., 590 F.2d 433, 440 n.15 (2d Cir. 1978), </w:t>
      </w:r>
      <w:r w:rsidRPr="00AD2F44">
        <w:rPr>
          <w:i/>
          <w:iCs/>
        </w:rPr>
        <w:t>aff’d</w:t>
      </w:r>
      <w:r w:rsidRPr="00AD2F44">
        <w:t xml:space="preserve">, 444 U.S. 472 (1980)). </w:t>
      </w:r>
      <w:r w:rsidRPr="00AD2F44">
        <w:rPr>
          <w:i/>
          <w:iCs/>
        </w:rPr>
        <w:t xml:space="preserve">But see </w:t>
      </w:r>
      <w:r w:rsidRPr="00AD2F44">
        <w:t>Morisky v. Public Serv. Elec. &amp; Gas Co., 191 F.R.D. 419, 424 (D.N.J. 2000) (holding that employees who had filed notices seeking to join an FLSA collective action prior to conditional certification of the collective action were not clients of the named plaintiffs’ counsel for the purpose of invoking the attorney-client privilege) (citing Penk v. Oregon State Bd. of Higher Educ., 99 F.R.D. 511, 516 (D. Or. 1983)).</w:t>
      </w:r>
    </w:p>
  </w:footnote>
  <w:footnote w:id="317">
    <w:p w14:paraId="49FF1D53"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AD2F44">
        <w:rPr>
          <w:i/>
          <w:iCs/>
        </w:rPr>
        <w:t>Parks</w:t>
      </w:r>
      <w:r w:rsidRPr="00AD2F44">
        <w:t>, 235 F. Supp. 2d at 1083 (“Until they ‘opt-in,’ prospective §216(b) plaintiffs are not yet parties to the action, they have no attorney, and no attorney-client relation is yet in issue.”).</w:t>
      </w:r>
    </w:p>
  </w:footnote>
  <w:footnote w:id="318">
    <w:p w14:paraId="5B14E51F" w14:textId="77777777" w:rsidR="004322B1" w:rsidRPr="00AD2F44" w:rsidRDefault="004322B1">
      <w:pPr>
        <w:pStyle w:val="14Footnote"/>
      </w:pPr>
      <w:r w:rsidRPr="00AD2F44">
        <w:rPr>
          <w:vertAlign w:val="superscript"/>
        </w:rPr>
        <w:footnoteRef/>
      </w:r>
      <w:r w:rsidRPr="00AD2F44">
        <w:t xml:space="preserve">Gulf Oil Co. v. Bernard, 452 U.S. 89 (1981). </w:t>
      </w:r>
    </w:p>
  </w:footnote>
  <w:footnote w:id="319">
    <w:p w14:paraId="4BA6CCA6" w14:textId="77777777" w:rsidR="004322B1" w:rsidRPr="00AD2F44" w:rsidRDefault="004322B1">
      <w:pPr>
        <w:pStyle w:val="14Footnote"/>
      </w:pPr>
      <w:r w:rsidRPr="00AD2F44">
        <w:rPr>
          <w:vertAlign w:val="superscript"/>
        </w:rPr>
        <w:footnoteRef/>
      </w:r>
      <w:r w:rsidRPr="00AD2F44">
        <w:rPr>
          <w:i/>
        </w:rPr>
        <w:t xml:space="preserve">See, e.g., </w:t>
      </w:r>
    </w:p>
    <w:p w14:paraId="5905D5D8" w14:textId="77777777" w:rsidR="004322B1" w:rsidRPr="00AD2F44" w:rsidRDefault="004322B1">
      <w:pPr>
        <w:pStyle w:val="14Footnote"/>
      </w:pPr>
      <w:r w:rsidRPr="00AD2F44">
        <w:rPr>
          <w:i/>
          <w:iCs/>
        </w:rPr>
        <w:t>Third Circuit:</w:t>
      </w:r>
      <w:r w:rsidRPr="00AD2F44">
        <w:t xml:space="preserve"> Bobryk v. Durand Glass Mfg. Co., Inc., 2013 WL 5574504, at *8 (D.N.J. Oct. 9, 2013) (refusing to limit further precertification communications between defense counsel and unrepresented putative class members “[i]n the absence of a clear record that defense counsel misrepresented facts about the plaintiffs’ action, discouraged participation in the suit, or undermined the putative class members’ confidence in, or cooperation with plaintiffs’ counsel”). </w:t>
      </w:r>
      <w:r w:rsidRPr="00AD2F44">
        <w:rPr>
          <w:i/>
          <w:iCs/>
        </w:rPr>
        <w:t>Cf</w:t>
      </w:r>
      <w:r w:rsidRPr="00AD2F44">
        <w:t xml:space="preserve">. Smith v. Merck &amp; Co., Inc., 2016 WL 1690087, at *6–7 (D.N.J. Apr. 27, 2016) (denying motion for corrective notice in Equal Pay Act collective action based on defendant’s policy for employees on interacting with government officials and other third parties about investigations, reasoning that policy related to company products, policy had been in place long before litigation, and plaintiffs failed to show that it was form of abusive communication under </w:t>
      </w:r>
      <w:r w:rsidRPr="00AD2F44">
        <w:rPr>
          <w:i/>
          <w:iCs/>
        </w:rPr>
        <w:t>Gulf Oil</w:t>
      </w:r>
      <w:r w:rsidRPr="00AD2F44">
        <w:t>; plaintiffs’ belief that they or others may have been dissuaded from speaking with plaintiffs’ counsel about collective action was insufficient).</w:t>
      </w:r>
    </w:p>
    <w:p w14:paraId="4FE99BA1" w14:textId="77777777" w:rsidR="004322B1" w:rsidRPr="00AD2F44" w:rsidRDefault="004322B1">
      <w:pPr>
        <w:pStyle w:val="14Footnote"/>
      </w:pPr>
      <w:r w:rsidRPr="00AD2F44">
        <w:rPr>
          <w:i/>
          <w:iCs/>
        </w:rPr>
        <w:t>Fourth Circuit:</w:t>
      </w:r>
      <w:r w:rsidRPr="00AD2F44">
        <w:t xml:space="preserve"> Solais v. Vesuvio’s II Pizza &amp; Grill, Inc., 2016 WL 1057038, at *4–5 (M.D.N.C. Mar. 14, 2016) (denying plaintiffs’ motion for protective order based on alleged threats against plaintiffs, finding that assertions were sufficiently disputed, unverified, or inadmissible and, thus, there was not “‘clear record’ of specific abuse” needed for order limiting communications); Jones v. Hoffberger Moving Servs. LLC, 2013 WL 5972145, at *3 (D. Md. Nov. 8, 2013) (finding that “the inherently coercive nature of the employer-employee relationship, by itself, [was] insufficient to demonstrate that a communication was improper”).</w:t>
      </w:r>
    </w:p>
    <w:p w14:paraId="5004595C" w14:textId="77777777" w:rsidR="004322B1" w:rsidRPr="00AD2F44" w:rsidRDefault="004322B1">
      <w:pPr>
        <w:pStyle w:val="14Footnote"/>
      </w:pPr>
      <w:r w:rsidRPr="00AD2F44">
        <w:rPr>
          <w:i/>
          <w:iCs/>
        </w:rPr>
        <w:t>Fifth Circuit:</w:t>
      </w:r>
      <w:r w:rsidRPr="00AD2F44">
        <w:t xml:space="preserve"> Kalenga v. Irving Holdings, Inc., 2020 WL 7496208 (N.D. Tex. Dec. 20, 2020) (denying plaintiffs’ motion for protective order, holding defendant’s implementation of arbitration agreement policy shortly after lawsuit filing was not sufficient basis for restricting defendant’s speech); Garcia v. TWC Admin., LLC, 2015 WL 1737932, at *4 (W.D. Tex. Apr. 16, 2015) (finding plaintiffs’ speculation of wrongdoing insufficient).</w:t>
      </w:r>
    </w:p>
    <w:p w14:paraId="51E51183" w14:textId="77777777" w:rsidR="004322B1" w:rsidRPr="00AD2F44" w:rsidRDefault="004322B1">
      <w:pPr>
        <w:pStyle w:val="14Footnote"/>
      </w:pPr>
      <w:r w:rsidRPr="00AD2F44">
        <w:rPr>
          <w:i/>
          <w:iCs/>
        </w:rPr>
        <w:t>Sixth Circuit:</w:t>
      </w:r>
      <w:r w:rsidRPr="00AD2F44">
        <w:t xml:space="preserve"> Jackson v. Papa John’s USA, Inc., 2009 WL 650181, at *2 (N.D. Ohio Mar. 10, 2009) (denying plaintiff’s motion for a protective order, which would have prevented defendant from communicating with putative collective action members during the notice period, where there was no evidence that the six precertification interviews that the defendant employer conducted were coercive, misleading, or improper).</w:t>
      </w:r>
    </w:p>
    <w:p w14:paraId="5BDDA86D" w14:textId="77777777" w:rsidR="004322B1" w:rsidRPr="00AD2F44" w:rsidRDefault="004322B1">
      <w:pPr>
        <w:pStyle w:val="14Footnote"/>
      </w:pPr>
      <w:r w:rsidRPr="00AD2F44">
        <w:rPr>
          <w:i/>
          <w:iCs/>
        </w:rPr>
        <w:t>Seventh Circuit:</w:t>
      </w:r>
      <w:r w:rsidRPr="00AD2F44">
        <w:t xml:space="preserve"> Jonites v. Exelon Corp., 2006 WL 2873198, at *7 (N.D. Ill. Oct. 4, 2006) (declining to grant protective order barring defendants from contacting putative class and/or collective action members where plaintiffs failed to present facts indicating need for such a limitation); Flores v. Lifeway Foods, Inc., 289 F. Supp. 2d 1042, 1047 (N.D. Ill. 2003) (holding that an order that bars or limits communications between a party and putative collective action members must be based on a clear record and weigh the need for limitation with potential interference with the rights of the parties, and that plaintiffs had not demonstrated clear record and specific findings necessary to limit defendant’s communications).</w:t>
      </w:r>
    </w:p>
    <w:p w14:paraId="619355A2" w14:textId="77777777" w:rsidR="004322B1" w:rsidRPr="00AD2F44" w:rsidRDefault="004322B1">
      <w:pPr>
        <w:pStyle w:val="14Footnote"/>
      </w:pPr>
      <w:r w:rsidRPr="00AD2F44">
        <w:rPr>
          <w:i/>
          <w:iCs/>
        </w:rPr>
        <w:t xml:space="preserve">Ninth Circuit: </w:t>
      </w:r>
      <w:r w:rsidRPr="00AD2F44">
        <w:t>Talamantes v. PPG Indus., Inc., 2014 WL 4145405 (N.D. Cal. Aug. 21, 2014) (agreement that stipulated notice would be only communication during opt-in period was not violated by pre–opt-in period communication sent by defendant to employees regarding case).</w:t>
      </w:r>
    </w:p>
    <w:p w14:paraId="6C49013D" w14:textId="77777777" w:rsidR="004322B1" w:rsidRPr="00AD2F44" w:rsidRDefault="004322B1">
      <w:pPr>
        <w:pStyle w:val="14Footnote"/>
      </w:pPr>
      <w:r w:rsidRPr="00AD2F44">
        <w:rPr>
          <w:i/>
          <w:iCs/>
        </w:rPr>
        <w:t>Eleventh Circuit:</w:t>
      </w:r>
      <w:r w:rsidRPr="00AD2F44">
        <w:t xml:space="preserve"> Palma v. Metro PCS Wireless, Inc., 2013 WL 5179989, at *2 (M.D. Fla. Sept. 13, 2013) (finding plaintiff’s evidence of impropriety to be “scant” and noting the employer-provided evidence that allegedly FLSA compliant procedures had been used in communicating with prospective class members).</w:t>
      </w:r>
    </w:p>
  </w:footnote>
  <w:footnote w:id="320">
    <w:p w14:paraId="47C175C0" w14:textId="77777777" w:rsidR="004322B1" w:rsidRPr="00AD2F44" w:rsidRDefault="004322B1">
      <w:pPr>
        <w:pStyle w:val="14Footnote"/>
        <w:rPr>
          <w:i/>
          <w:iCs/>
        </w:rPr>
      </w:pPr>
      <w:r w:rsidRPr="00AD2F44">
        <w:rPr>
          <w:vertAlign w:val="superscript"/>
        </w:rPr>
        <w:footnoteRef/>
      </w:r>
      <w:r w:rsidRPr="00AD2F44">
        <w:rPr>
          <w:i/>
          <w:iCs/>
        </w:rPr>
        <w:t>See</w:t>
      </w:r>
    </w:p>
    <w:p w14:paraId="63CF1280" w14:textId="77777777" w:rsidR="004322B1" w:rsidRPr="00AD2F44" w:rsidRDefault="004322B1">
      <w:pPr>
        <w:pStyle w:val="14Footnote"/>
      </w:pPr>
      <w:r w:rsidRPr="00AD2F44">
        <w:rPr>
          <w:i/>
          <w:iCs/>
        </w:rPr>
        <w:t>Third Circuit:</w:t>
      </w:r>
      <w:r w:rsidRPr="00AD2F44">
        <w:rPr>
          <w:rFonts w:ascii="Arial" w:hAnsi="Arial" w:cs="Arial"/>
          <w:color w:val="000000"/>
          <w:sz w:val="24"/>
        </w:rPr>
        <w:t xml:space="preserve"> </w:t>
      </w:r>
      <w:r w:rsidRPr="00AD2F44">
        <w:t xml:space="preserve">Jones v. Giant Eagle, Inc., 2020 BL 361237, 2020 WL 5642276 (W.D. Pa. Sept. 22, 2020) (granting plaintiffs’ protective order and requiring curative notice after defendant required existing employees to fill out form regarding whether they agreed their job position was properly classified as salaried and exempt). </w:t>
      </w:r>
    </w:p>
    <w:p w14:paraId="1A05AAD8" w14:textId="77777777" w:rsidR="004322B1" w:rsidRPr="00AD2F44" w:rsidRDefault="004322B1">
      <w:pPr>
        <w:pStyle w:val="14Footnote"/>
      </w:pPr>
      <w:r w:rsidRPr="00AD2F44">
        <w:rPr>
          <w:i/>
          <w:iCs/>
        </w:rPr>
        <w:t xml:space="preserve">Fifth Circuit: </w:t>
      </w:r>
      <w:r w:rsidRPr="00AD2F44">
        <w:t>Velazquez v. FPS LP, 2014 BL 122952, 2014 WL 1758214 (S.D. Tex. Apr. 28, 2014) (request for direct communications with potential plaintiffs denied where plaintiffs submitted declarations regarding intimidation, threats, and coercion regarding their participation in the class).</w:t>
      </w:r>
    </w:p>
    <w:p w14:paraId="6677DAFC" w14:textId="77777777" w:rsidR="004322B1" w:rsidRPr="00AD2F44" w:rsidRDefault="004322B1">
      <w:pPr>
        <w:pStyle w:val="14Footnote"/>
      </w:pPr>
      <w:r w:rsidRPr="00AD2F44">
        <w:rPr>
          <w:i/>
          <w:iCs/>
        </w:rPr>
        <w:t>Eighth Circuit</w:t>
      </w:r>
      <w:r w:rsidRPr="00AD2F44">
        <w:t>: Grove v. Meltech, Inc., 2020 BL 471906,</w:t>
      </w:r>
      <w:r w:rsidRPr="00AD2F44">
        <w:rPr>
          <w:rFonts w:ascii="Arial" w:eastAsia="Cambria" w:hAnsi="Arial" w:cs="Arial"/>
          <w:sz w:val="24"/>
          <w:szCs w:val="20"/>
        </w:rPr>
        <w:t xml:space="preserve"> </w:t>
      </w:r>
      <w:r w:rsidRPr="00AD2F44">
        <w:t xml:space="preserve">2020 WL 7126554 (D. Neb. Dec. 3, 2020) (granting plaintiffs’ motion for preliminary injunction, finding defendant’s threats of termination and legal claims were retaliatory and had chilling effect). </w:t>
      </w:r>
    </w:p>
    <w:p w14:paraId="1F18F06E" w14:textId="77777777" w:rsidR="004322B1" w:rsidRPr="00AD2F44" w:rsidRDefault="004322B1">
      <w:pPr>
        <w:pStyle w:val="14Footnote"/>
      </w:pPr>
      <w:r w:rsidRPr="00AD2F44">
        <w:rPr>
          <w:i/>
          <w:iCs/>
        </w:rPr>
        <w:t xml:space="preserve">Ninth Circuit: </w:t>
      </w:r>
      <w:r w:rsidRPr="00AD2F44">
        <w:t>Perez Gutierrez v. Mariscos El Puerto, Inc., 2019 WL 6050727 (D. Nev. Nov. 15, 2019) (issuing temporary restraining order against defendants who allegedly made physical and economic threats against plaintiffs and cut their hours and wages after filing their complaint).</w:t>
      </w:r>
    </w:p>
    <w:p w14:paraId="1ACC819B" w14:textId="77777777" w:rsidR="004322B1" w:rsidRPr="00AD2F44" w:rsidRDefault="004322B1">
      <w:pPr>
        <w:pStyle w:val="14Footnote"/>
      </w:pPr>
      <w:r w:rsidRPr="00AD2F44">
        <w:rPr>
          <w:i/>
          <w:iCs/>
        </w:rPr>
        <w:t>Tenth Circuit</w:t>
      </w:r>
      <w:r w:rsidRPr="00AD2F44">
        <w:t xml:space="preserve">: Felps v. Mewbourne Oil Co., Inc., 2020 BL 263610, 2020 WL 4001869 (D.N.M. July 15, 2020) (granting plaintiff’s motion for corrective notice, finding proposal of settlement in letter by defendant to its employees prior to conditional certification was misleading, including about what claims existed in lawsuit and what claims would be released, failing to suggest consultation with any counsel or providing information about plaintiff’s counsel who could be consulted, and that letter and how it was delivered was implicitly coercive to current employees). </w:t>
      </w:r>
    </w:p>
    <w:p w14:paraId="3294E263" w14:textId="77777777" w:rsidR="004322B1" w:rsidRPr="00AD2F44" w:rsidRDefault="004322B1">
      <w:pPr>
        <w:pStyle w:val="14Footnote"/>
      </w:pPr>
      <w:r w:rsidRPr="00AD2F44">
        <w:rPr>
          <w:i/>
          <w:iCs/>
        </w:rPr>
        <w:t xml:space="preserve">Eleventh Circuit: </w:t>
      </w:r>
      <w:r w:rsidRPr="00AD2F44">
        <w:t>Ojeda-Sanchez v. Bland Farms, 600 F. Supp. 2d 1373 (S.D. Ga. 2009) (communications prohibited where defendants coerced potential plaintiffs by visiting them in person and taking a picture of a family member).</w:t>
      </w:r>
    </w:p>
  </w:footnote>
  <w:footnote w:id="321">
    <w:p w14:paraId="14BDC9F5" w14:textId="77777777" w:rsidR="004322B1" w:rsidRPr="00AD2F44" w:rsidRDefault="004322B1">
      <w:pPr>
        <w:pStyle w:val="14Footnote"/>
      </w:pPr>
      <w:r w:rsidRPr="00AD2F44">
        <w:rPr>
          <w:vertAlign w:val="superscript"/>
        </w:rPr>
        <w:footnoteRef/>
      </w:r>
      <w:r w:rsidRPr="00AD2F44">
        <w:rPr>
          <w:i/>
          <w:iCs/>
        </w:rPr>
        <w:t>See, e.g.,</w:t>
      </w:r>
    </w:p>
    <w:p w14:paraId="4FF97540" w14:textId="77777777" w:rsidR="004322B1" w:rsidRPr="00AD2F44" w:rsidRDefault="004322B1">
      <w:pPr>
        <w:pStyle w:val="14Footnote"/>
      </w:pPr>
      <w:r w:rsidRPr="00AD2F44">
        <w:rPr>
          <w:i/>
          <w:iCs/>
        </w:rPr>
        <w:t>Second Circuit:</w:t>
      </w:r>
      <w:r w:rsidRPr="00AD2F44">
        <w:t xml:space="preserve"> Agerbrink v. Model Serv. LLC,</w:t>
      </w:r>
      <w:r w:rsidRPr="00AD2F44">
        <w:rPr>
          <w:i/>
          <w:iCs/>
        </w:rPr>
        <w:t xml:space="preserve"> </w:t>
      </w:r>
      <w:r w:rsidRPr="00AD2F44">
        <w:t>2015 WL 6473005, at *11 (S.D.N.Y. Oct. 27, 2015) (granting motion for corrective notice, based on precertification email from chief operating officer (COO) to putative class members, because court found that email, as a whole, could chill participation, given description of plaintiff’s counsel as only fee driven, implication that selecting plaintiff’s counsel could lead to discovery against class member, and skewed discussion of tax treatment and independent contractor obligations, along with fact that putative class members looked to defendant for “guidance” and were “economically dependent” on it); Bowens v. Atlantic Maint. Corp., 546 F. Supp. 2d 55, 90 (E.D.N.Y. 2008) (finding that defendant’s post-certification communications with potential opt-in class members without providing notice to plaintiffs’ counsel would be improper).</w:t>
      </w:r>
    </w:p>
    <w:p w14:paraId="3013E966" w14:textId="77777777" w:rsidR="004322B1" w:rsidRPr="00AD2F44" w:rsidRDefault="004322B1">
      <w:pPr>
        <w:pStyle w:val="14Footnote"/>
      </w:pPr>
      <w:r w:rsidRPr="00AD2F44">
        <w:rPr>
          <w:i/>
          <w:iCs/>
        </w:rPr>
        <w:t>Fifth Circuit:</w:t>
      </w:r>
      <w:r w:rsidRPr="00AD2F44">
        <w:t xml:space="preserve"> Pacheco v. Aldeeb, 127 F. Supp. 3d 694, 698 (W.D. Tex. 2015) (granting motion to enjoin defendants from contacting class members because there was “ample evidence that Defendants have improperly discouraged their employees from joining this suit, and have further attempted to use their influence as employers to force plaintiffs who have joined to the suit to drop their claims,” including withholding paychecks, offering raises, seeking signatures on agreement stating that employees had been paid fully, and insisting that employees bring disputes to defendants before seeking counsel); Castillo v. Hernandez, 2011 WL 1528762 (W.D. Tex. Apr. 20, 2011) (prohibiting defendant from contacting employees to obtain Social Security numbers or taxpayer identification numbers as that information implicated the employees’ immigration status, which was not discoverable in an FLSA case).</w:t>
      </w:r>
    </w:p>
    <w:p w14:paraId="06EDBD08" w14:textId="77777777" w:rsidR="004322B1" w:rsidRPr="00AD2F44" w:rsidRDefault="004322B1">
      <w:pPr>
        <w:pStyle w:val="14Footnote"/>
      </w:pPr>
      <w:r w:rsidRPr="00AD2F44">
        <w:rPr>
          <w:i/>
          <w:iCs/>
        </w:rPr>
        <w:t>Sixth Circuit:</w:t>
      </w:r>
      <w:r w:rsidRPr="00AD2F44">
        <w:t xml:space="preserve"> Crosby v. Stage Stores, Inc., 377 F. Supp. 3d 882 (M.D. Tenn. 2019) (refusing to sanction defendant based on plaintiff’s counsel’s declaration stating that four employees reported being intimidated by their employer, and thus did not opt in, where plaintiff’s counsel’s declaration lacked foundation and was based on hearsay); Lee v. GAB Telecom, Inc., 2013 WL 4041875 (E.D. Mich. Aug. 8, 2013) (extending the deadline to submit consent forms through the end of discovery based on the defendant’s direct and improper contact with putative class members).</w:t>
      </w:r>
    </w:p>
    <w:p w14:paraId="6979A09D" w14:textId="77777777" w:rsidR="004322B1" w:rsidRPr="00AD2F44" w:rsidRDefault="004322B1">
      <w:pPr>
        <w:pStyle w:val="14Footnote"/>
      </w:pPr>
      <w:r w:rsidRPr="00AD2F44">
        <w:rPr>
          <w:i/>
          <w:iCs/>
        </w:rPr>
        <w:t>Seventh Circuit:</w:t>
      </w:r>
      <w:r w:rsidRPr="00AD2F44">
        <w:t xml:space="preserve"> Taillon v. Kohler Rental Power, Inc., 2003 WL 2006593, at *4 (N.D. Ill. Apr. 29, 2003) (“An order limiting Defendant’s communication with class members regarding this action will cause Defendant no harm and generally promote a fair notification procedure.”).</w:t>
      </w:r>
    </w:p>
    <w:p w14:paraId="7A139686" w14:textId="77777777" w:rsidR="004322B1" w:rsidRPr="00AD2F44" w:rsidRDefault="004322B1">
      <w:pPr>
        <w:pStyle w:val="14Footnote"/>
      </w:pPr>
      <w:r w:rsidRPr="00AD2F44">
        <w:rPr>
          <w:i/>
          <w:iCs/>
        </w:rPr>
        <w:t>Eighth Circuit:</w:t>
      </w:r>
      <w:r w:rsidRPr="00AD2F44">
        <w:t xml:space="preserve"> Ahle v. Veracity Rsch. Co., 663 F. Supp. 2d 713, 717–18 (D. Minn. 2009) (rejecting defendant’s request to send memorandum to opt-ins reminding them of their obligations regarding confidential and trade secret information, because it risked chilling their rights to access courts and to consult with counsel, but, recognizing that defendant had right to communicate with its employees about confidential information, authorizing defendant to issue such memorandum to all employees, not just opt-ins).</w:t>
      </w:r>
    </w:p>
    <w:p w14:paraId="5C829DAC" w14:textId="77777777" w:rsidR="004322B1" w:rsidRPr="00AD2F44" w:rsidRDefault="004322B1">
      <w:pPr>
        <w:pStyle w:val="14Footnote"/>
      </w:pPr>
      <w:r w:rsidRPr="00AD2F44">
        <w:rPr>
          <w:i/>
          <w:iCs/>
        </w:rPr>
        <w:t>Ninth Circuit:</w:t>
      </w:r>
      <w:r w:rsidRPr="00AD2F44">
        <w:t xml:space="preserve"> Madrid v. Peak Constr., Inc., 2009 WL 3710719, at *2 (D. Ariz. Nov. 2, 2009) (reiterating earlier order that prohibited either party from “any affirmative contact with potential collective action members beyond the approved notice”); Parks v. Eastwood Ins. Serv., Inc., 235 F. Supp. 2d 1082, 1083 (C.D. Cal. 2002) (observing that, after a court authorizes a notice in a collective action under §216(b), “the Court has an interest that no defense communication undermine or contradict the Court’s own notice”).</w:t>
      </w:r>
    </w:p>
  </w:footnote>
  <w:footnote w:id="322">
    <w:p w14:paraId="19E7A73A" w14:textId="77777777" w:rsidR="004322B1" w:rsidRPr="00AD2F44" w:rsidRDefault="004322B1">
      <w:pPr>
        <w:pStyle w:val="14Footnote"/>
      </w:pPr>
      <w:r w:rsidRPr="00AD2F44">
        <w:rPr>
          <w:vertAlign w:val="superscript"/>
        </w:rPr>
        <w:footnoteRef/>
      </w:r>
      <w:r w:rsidRPr="00AD2F44">
        <w:rPr>
          <w:i/>
          <w:iCs/>
        </w:rPr>
        <w:t>See, e.g.,</w:t>
      </w:r>
    </w:p>
    <w:p w14:paraId="67072A71" w14:textId="77777777" w:rsidR="004322B1" w:rsidRPr="00AD2F44" w:rsidRDefault="004322B1">
      <w:pPr>
        <w:pStyle w:val="14Footnote"/>
      </w:pPr>
      <w:r w:rsidRPr="00AD2F44">
        <w:rPr>
          <w:i/>
          <w:iCs/>
        </w:rPr>
        <w:t>Fourth Circuit:</w:t>
      </w:r>
      <w:r w:rsidRPr="00AD2F44">
        <w:t xml:space="preserve"> Ross v. Wolf Fire Prot., Inc., 799 F. Supp. 2d 518, 526–27 (D. Md. 2011) (refusing to strike affidavits gathered by defendant’s counsel from employees in a post-suit-filing meeting held in the company parking lot with the company president, reasoning that defendant’s communications were not a “‘blatant attempt’ to subvert the class action process” or demonstrative of the “bad faith” necessary to strike the affidavits, where the employees were informed that their participation was voluntary and given the express instruction to ensure the information was accurate; however, the court found it “troubling” that defendant’s counsel did not advise the employees that their statements might preclude their joining the action or that she did not represent them).</w:t>
      </w:r>
    </w:p>
    <w:p w14:paraId="18F4311B" w14:textId="77777777" w:rsidR="004322B1" w:rsidRPr="00AD2F44" w:rsidRDefault="004322B1">
      <w:pPr>
        <w:pStyle w:val="14Footnote"/>
      </w:pPr>
      <w:r w:rsidRPr="00AD2F44">
        <w:rPr>
          <w:i/>
          <w:iCs/>
        </w:rPr>
        <w:t>Sixth Circuit:</w:t>
      </w:r>
      <w:r w:rsidRPr="00AD2F44">
        <w:t xml:space="preserve"> Snide v. Discount Drug Mart, Inc., 2011 WL 5434016, at *9–11 (N.D. Ohio Oct. 7, 2011) (denying motion for protective order where plaintiff submitted an affidavit from an employee claiming she was misled because the attorney and company representative referred to questions they asked her as a “survey” and did not disclose the existence of a lawsuit, but defendant submitted evidence that it conducted the interviews to obtain facts about the lawsuit and disclosed the nature of the interviews).</w:t>
      </w:r>
    </w:p>
    <w:p w14:paraId="6B0C9C8B" w14:textId="77777777" w:rsidR="004322B1" w:rsidRDefault="004322B1">
      <w:pPr>
        <w:pStyle w:val="14Footnote"/>
      </w:pPr>
      <w:r w:rsidRPr="00AD2F44">
        <w:rPr>
          <w:i/>
          <w:iCs/>
        </w:rPr>
        <w:t>Seventh Circuit:</w:t>
      </w:r>
      <w:r w:rsidRPr="00AD2F44">
        <w:t xml:space="preserve"> Dominguez v. Don Pedro Rest., 2007 WL 1650289, at *2–3 (N.D. Ind. 2007) (concluding that defendant’s actions in obtaining declarations were legitimate attempts to gather evidence showing that no FLSA violation had occurred, and there was no evidence that defendant had discouraged participation in the lawsuit; the fact of the employer-employee relationship was not sufficient to find coercion).</w:t>
      </w:r>
    </w:p>
    <w:p w14:paraId="5DDE6220" w14:textId="77777777" w:rsidR="004322B1" w:rsidRPr="00860921" w:rsidRDefault="004322B1">
      <w:pPr>
        <w:pStyle w:val="14Footnote"/>
      </w:pPr>
      <w:r>
        <w:rPr>
          <w:i/>
          <w:iCs/>
        </w:rPr>
        <w:t>Ninth Circuit</w:t>
      </w:r>
      <w:r>
        <w:t xml:space="preserve">: </w:t>
      </w:r>
      <w:r w:rsidRPr="00860921">
        <w:t>Ward v. Sutter Valley Hosps.</w:t>
      </w:r>
      <w:r>
        <w:t xml:space="preserve">, </w:t>
      </w:r>
      <w:r w:rsidRPr="00171A69">
        <w:t>2022 BL 247672</w:t>
      </w:r>
      <w:r>
        <w:t xml:space="preserve">, </w:t>
      </w:r>
      <w:r w:rsidRPr="00860921">
        <w:t>2022 WL 2805965 (E.D. Cal. July 18, 2022)</w:t>
      </w:r>
      <w:r>
        <w:t xml:space="preserve"> (declining</w:t>
      </w:r>
      <w:r w:rsidRPr="00860921">
        <w:t xml:space="preserve"> to strike declarations </w:t>
      </w:r>
      <w:r>
        <w:t>gathered by defendant where</w:t>
      </w:r>
      <w:r w:rsidRPr="00860921">
        <w:t xml:space="preserve"> each declarant had signed a form explaining the declarant’s status as a potential class member and defendant’s adverse interest</w:t>
      </w:r>
      <w:r>
        <w:t xml:space="preserve">). </w:t>
      </w:r>
    </w:p>
    <w:p w14:paraId="3767598A" w14:textId="77777777" w:rsidR="004322B1" w:rsidRPr="00AD2F44" w:rsidRDefault="004322B1">
      <w:pPr>
        <w:pStyle w:val="14Footnote"/>
      </w:pPr>
      <w:r w:rsidRPr="00AD2F44">
        <w:rPr>
          <w:i/>
          <w:iCs/>
        </w:rPr>
        <w:t>Eleventh Circuit:</w:t>
      </w:r>
      <w:r w:rsidRPr="00AD2F44">
        <w:t xml:space="preserve"> Kerce v. West Telemarketing Corp. &amp; W. Telemarketing LP, 575 F. Supp. 2d 1354, 1366–67 (S.D. Ga. 2008) (denying plaintiff’s motion to strike declarations, made by certain putative collective action members and submitted by defendants, in which the individuals stated that they did not want to join the litigation, because there was no evidence that defendants misrepresented facts or discouraged participation in the suit).</w:t>
      </w:r>
    </w:p>
  </w:footnote>
  <w:footnote w:id="323">
    <w:p w14:paraId="12E2DCE6" w14:textId="77777777" w:rsidR="004322B1" w:rsidRPr="00AD2F44" w:rsidRDefault="004322B1">
      <w:pPr>
        <w:pStyle w:val="14Footnote"/>
      </w:pPr>
      <w:r w:rsidRPr="00AD2F44">
        <w:rPr>
          <w:vertAlign w:val="superscript"/>
        </w:rPr>
        <w:footnoteRef/>
      </w:r>
      <w:r w:rsidRPr="00AD2F44">
        <w:rPr>
          <w:i/>
          <w:iCs/>
        </w:rPr>
        <w:t>See, e.g</w:t>
      </w:r>
      <w:r w:rsidRPr="00AD2F44">
        <w:t xml:space="preserve">., Beasley v. Custom Commc’ns, Inc., 2016 WL 6684206, at *5 (E.D.N.C. Nov. 14, 2016) (denying motion to restrict defendant’s communications with putative class members, finding that chief executive officer’s reference to lawsuit as “meritless” and stating his intention to “fight this case to the end” and sue plaintiffs for attorneys’ fees were insufficient to warrant issuance of corrective notice). </w:t>
      </w:r>
    </w:p>
  </w:footnote>
  <w:footnote w:id="324">
    <w:p w14:paraId="24412E43" w14:textId="77777777" w:rsidR="004322B1" w:rsidRPr="00AD2F44" w:rsidRDefault="004322B1">
      <w:pPr>
        <w:pStyle w:val="14Footnote"/>
      </w:pPr>
      <w:r w:rsidRPr="00AD2F44">
        <w:rPr>
          <w:vertAlign w:val="superscript"/>
        </w:rPr>
        <w:footnoteRef/>
      </w:r>
      <w:r w:rsidRPr="00AD2F44">
        <w:t>2006 WL 824652 (N.D. Cal. Mar. 28, 2006).</w:t>
      </w:r>
    </w:p>
  </w:footnote>
  <w:footnote w:id="325">
    <w:p w14:paraId="7398777C" w14:textId="77777777" w:rsidR="004322B1" w:rsidRPr="00AD2F44" w:rsidRDefault="004322B1">
      <w:pPr>
        <w:pStyle w:val="14Footnote"/>
      </w:pPr>
      <w:r w:rsidRPr="00AD2F44">
        <w:rPr>
          <w:vertAlign w:val="superscript"/>
        </w:rPr>
        <w:footnoteRef/>
      </w:r>
      <w:r w:rsidRPr="00AD2F44">
        <w:rPr>
          <w:i/>
          <w:iCs/>
        </w:rPr>
        <w:t>Id.</w:t>
      </w:r>
      <w:r w:rsidRPr="00AD2F44">
        <w:t xml:space="preserve"> at *5. </w:t>
      </w:r>
    </w:p>
  </w:footnote>
  <w:footnote w:id="326">
    <w:p w14:paraId="3B2CC443" w14:textId="77777777" w:rsidR="004322B1" w:rsidRPr="00AD2F44" w:rsidRDefault="004322B1">
      <w:pPr>
        <w:pStyle w:val="14Footnote"/>
      </w:pPr>
      <w:r w:rsidRPr="00AD2F44">
        <w:rPr>
          <w:vertAlign w:val="superscript"/>
        </w:rPr>
        <w:footnoteRef/>
      </w:r>
      <w:r w:rsidRPr="00AD2F44">
        <w:rPr>
          <w:i/>
          <w:iCs/>
        </w:rPr>
        <w:t>Id</w:t>
      </w:r>
      <w:r w:rsidRPr="00AD2F44">
        <w:t>. at *5–7.</w:t>
      </w:r>
    </w:p>
  </w:footnote>
  <w:footnote w:id="327">
    <w:p w14:paraId="3F720DB0" w14:textId="77777777" w:rsidR="004322B1" w:rsidRPr="00AD2F44" w:rsidRDefault="004322B1">
      <w:pPr>
        <w:pStyle w:val="14Footnote"/>
      </w:pPr>
      <w:r w:rsidRPr="00AD2F44">
        <w:rPr>
          <w:vertAlign w:val="superscript"/>
        </w:rPr>
        <w:footnoteRef/>
      </w:r>
      <w:r w:rsidRPr="00AD2F44">
        <w:rPr>
          <w:i/>
        </w:rPr>
        <w:t xml:space="preserve">See, e.g., </w:t>
      </w:r>
    </w:p>
    <w:p w14:paraId="1584007E" w14:textId="77777777" w:rsidR="004322B1" w:rsidRPr="00AD2F44" w:rsidRDefault="004322B1">
      <w:pPr>
        <w:pStyle w:val="14Footnote"/>
      </w:pPr>
      <w:r w:rsidRPr="00AD2F44">
        <w:rPr>
          <w:i/>
          <w:iCs/>
        </w:rPr>
        <w:t>Second Circuit: Agerbrink</w:t>
      </w:r>
      <w:r w:rsidRPr="00AD2F44">
        <w:t>,</w:t>
      </w:r>
      <w:r w:rsidRPr="00AD2F44">
        <w:rPr>
          <w:i/>
          <w:iCs/>
        </w:rPr>
        <w:t xml:space="preserve"> </w:t>
      </w:r>
      <w:r w:rsidRPr="00AD2F44">
        <w:t>2015 WL 6473005, at *11 (relying in part on fact that plaintiffs were “economically dependent” on defendant and looked to defendant for “guidance” to find that email from COO had potential to dissuade participation in collective action, and issuing corrective notice); Gortat v. Capala Bros., Inc., 2009 WL 3347091, at *11–12 (E.D.N.Y. Oct. 16, 2009) (after defendants submitted affidavits from current employees disclaiming interest in joining action, magistrate judge recommended issuance of order to show cause why they should not be barred from communicating with any class member about case and be required to give copies of notice and plaintiffs’ counsel’s contact information, because of concerns that defendants had engaged in coercive conduct in obtaining affidavits given ongoing employment relationship with current employees).</w:t>
      </w:r>
    </w:p>
    <w:p w14:paraId="0413964D" w14:textId="77777777" w:rsidR="004322B1" w:rsidRPr="00AD2F44" w:rsidRDefault="004322B1">
      <w:pPr>
        <w:pStyle w:val="14Footnote"/>
      </w:pPr>
      <w:r w:rsidRPr="00AD2F44">
        <w:rPr>
          <w:i/>
          <w:iCs/>
        </w:rPr>
        <w:t xml:space="preserve">Third Circuit: </w:t>
      </w:r>
      <w:r w:rsidRPr="00AD2F44">
        <w:t xml:space="preserve">Maddy v. General Elec. Co., 2015 WL 1344626 (D.N.J. Mar. 23, 2015) (communicating policy prohibiting off-the-clock work was improper as joining suit would require employees to admit breaking policy). </w:t>
      </w:r>
    </w:p>
    <w:p w14:paraId="7E79C81C" w14:textId="77777777" w:rsidR="004322B1" w:rsidRPr="00AD2F44" w:rsidRDefault="004322B1">
      <w:pPr>
        <w:pStyle w:val="14Footnote"/>
      </w:pPr>
      <w:r w:rsidRPr="00AD2F44">
        <w:rPr>
          <w:i/>
          <w:iCs/>
        </w:rPr>
        <w:t xml:space="preserve">Fifth Circuit: </w:t>
      </w:r>
      <w:r w:rsidRPr="00AD2F44">
        <w:t>Recinos-Recinos v. Express Forestry, Inc., 2006 WL 197030, at *12 (E.D. La. Jan. 24, 2006) (recognizing that, where defendant had hired agent to go to Guatemala and discuss litigation with migrant workers who were putative collective action members, “an ongoing business relationship between the defendants and the plaintiffs and potential plaintiffs may cause communications to be coercive,” and where such inherently coercive relationship exists, “the court need not make a finding that a particular abuse occurred”); Belt v. Emcare, Inc., 299 F. Supp. 2d 664, 668 (E.D. Tex. 2003) (holding that, where defendant sent letter encouraging employees not to join lawsuit, “any statements in [employer-defendant]’s letter have heightened potential for coercion because where the absent class member and the defendant are involved in an ongoing business relationship, such as employer-employee, any communications are more likely to be coercive”).</w:t>
      </w:r>
    </w:p>
    <w:p w14:paraId="20FEC698" w14:textId="77777777" w:rsidR="004322B1" w:rsidRPr="00AD2F44" w:rsidRDefault="004322B1">
      <w:pPr>
        <w:pStyle w:val="14Footnote"/>
      </w:pPr>
      <w:r w:rsidRPr="00AD2F44">
        <w:rPr>
          <w:i/>
          <w:iCs/>
        </w:rPr>
        <w:t>Seventh Circuit:</w:t>
      </w:r>
      <w:r w:rsidRPr="00AD2F44">
        <w:t xml:space="preserve"> Brashier v. Quincy Prop. LLC, 2017 WL 4330381 (C.D. Ill. Sept. 29, 2017)</w:t>
      </w:r>
      <w:r w:rsidRPr="00AD2F44">
        <w:rPr>
          <w:i/>
          <w:iCs/>
        </w:rPr>
        <w:t xml:space="preserve"> </w:t>
      </w:r>
      <w:r w:rsidRPr="00AD2F44">
        <w:t xml:space="preserve">(granting plaintiffs’ motion for protective order and requiring corrective notice to employees interviewed by defendants and who signed preprinted declarations with a misleading statement in them; ordering defendants to make certain disclosures to employees and former employees before interviewing them in the future and to refrain from asking employees to sign preprinted form declarations). </w:t>
      </w:r>
    </w:p>
    <w:p w14:paraId="691588C3" w14:textId="77777777" w:rsidR="004322B1" w:rsidRPr="00AD2F44" w:rsidRDefault="004322B1">
      <w:pPr>
        <w:pStyle w:val="14Footnote"/>
      </w:pPr>
      <w:r w:rsidRPr="00AD2F44">
        <w:rPr>
          <w:i/>
          <w:iCs/>
        </w:rPr>
        <w:t>Eighth Circuit:</w:t>
      </w:r>
      <w:r w:rsidRPr="00AD2F44">
        <w:t xml:space="preserve"> Cope v. Let’s Eat Out, Inc., 354 F. Supp. 3d 976 (W.D. Mo. 2019) (ignoring declarations obtained by defendant in support of motion to decertify because defendant employer obtained declarations without informing declarants of their rights or even identifying that interviewer was employer’s counsel).</w:t>
      </w:r>
    </w:p>
    <w:p w14:paraId="7A2C8EFB" w14:textId="77777777" w:rsidR="004322B1" w:rsidRPr="00AD2F44" w:rsidRDefault="004322B1">
      <w:pPr>
        <w:pStyle w:val="14Footnote"/>
      </w:pPr>
      <w:r w:rsidRPr="00AD2F44">
        <w:rPr>
          <w:i/>
          <w:iCs/>
        </w:rPr>
        <w:t xml:space="preserve">Eleventh Circuit: </w:t>
      </w:r>
      <w:r w:rsidRPr="00AD2F44">
        <w:t xml:space="preserve">Ojeda-Sanchez v. Bland Farms, Inc., 600 F. Supp. 2d 1373, 1379–81 (S.D. Ga. 2009) (finding that, although employer-employee communications in context of employee lawsuit are not always coercive, in context of in-person communications where three plaintiffs were asked to advise whether they had designated plaintiffs’ counsel as their representative and had to make decision in moment, and coupled with fact that all three distanced themselves from litigation and two recanted their statements later, situation did present enough risk of abuse to warrant limited protective order). </w:t>
      </w:r>
    </w:p>
  </w:footnote>
  <w:footnote w:id="328">
    <w:p w14:paraId="1A7633D7" w14:textId="77777777" w:rsidR="004322B1" w:rsidRPr="00AD2F44" w:rsidRDefault="004322B1">
      <w:pPr>
        <w:pStyle w:val="14Footnote"/>
      </w:pPr>
      <w:r w:rsidRPr="00AD2F44">
        <w:rPr>
          <w:vertAlign w:val="superscript"/>
        </w:rPr>
        <w:footnoteRef/>
      </w:r>
      <w:r w:rsidRPr="00AD2F44">
        <w:rPr>
          <w:i/>
          <w:iCs/>
        </w:rPr>
        <w:t>Compare</w:t>
      </w:r>
      <w:r w:rsidRPr="00AD2F44">
        <w:t xml:space="preserve"> Carusillo v. FanSided, Inc.,</w:t>
      </w:r>
      <w:r w:rsidRPr="00AD2F44">
        <w:rPr>
          <w:rFonts w:ascii="Arial" w:eastAsia="Cambria" w:hAnsi="Arial" w:cs="Arial"/>
          <w:sz w:val="24"/>
          <w:szCs w:val="20"/>
        </w:rPr>
        <w:t xml:space="preserve"> </w:t>
      </w:r>
      <w:r w:rsidRPr="00AD2F44">
        <w:t xml:space="preserve">2021 BL 357288, 2021 WL 4311167 (S.D.N.Y. Sept. 21, 2021), </w:t>
      </w:r>
      <w:r w:rsidRPr="00AD2F44">
        <w:rPr>
          <w:i/>
          <w:iCs/>
        </w:rPr>
        <w:t>motion to certify appeal denied,</w:t>
      </w:r>
      <w:r w:rsidRPr="00AD2F44">
        <w:t xml:space="preserve"> 2021 WL 5166958 (S.D.N.Y. Nov. 5, 2021) (allowing defendants to send updated agreement to putative collective members that included opt-out arbitration agreement without carve-out for pending litigation), Kalenga v. Irving Holdings, Inc., 2020 BL 495091, 2020 WL 7496208 (N.D. Tex. Dec. 20, 2020) (denying plaintiffs’ motion for protective order, holding defendant’s implementation of arbitration agreement policy shortly after lawsuit filing was not sufficient basis for restricting defendant’s speech) </w:t>
      </w:r>
      <w:r w:rsidRPr="00AD2F44">
        <w:rPr>
          <w:i/>
          <w:iCs/>
        </w:rPr>
        <w:t>and</w:t>
      </w:r>
      <w:r w:rsidRPr="00AD2F44">
        <w:t xml:space="preserve"> Gauzza v. Prospect Medical Holdings, Inc., 2018 WL 4853294 (E.D. Pa. Oct. 4, 2018) (finding that a defendant should not be sanctioned for entering into arbitration agreements with new hires (who were also putative collective members) when it was part of defendant’s preexisting policy to require new hires to sign arbitration agreements), </w:t>
      </w:r>
      <w:r w:rsidRPr="00AD2F44">
        <w:rPr>
          <w:i/>
          <w:iCs/>
        </w:rPr>
        <w:t>with</w:t>
      </w:r>
      <w:r w:rsidRPr="00AD2F44">
        <w:t xml:space="preserve"> Degidio v. Crazy Horse Saloon &amp; Rest., Inc., 880 F.3d 135, 137, 144 (4th Cir. 2018) (“Arbitration is a valuable means of resolving disputes expeditiously, but this case shows that it can sometimes be abused to prolong litigation, exploit the judicial process, and give defendants two opportunities to prevail on the merits.”), O’Conner v. Agilant Sols., Inc., 2020 WL 1233749 (S.D.N.Y. Mar. 12, 2020) (granting motion to invalidate arbitration agreements and send corrective notice after defendants required arbitration agreements as condition of continued employment after plaintiffs moved for conditional certification), </w:t>
      </w:r>
      <w:r w:rsidRPr="00AD2F44">
        <w:rPr>
          <w:i/>
          <w:iCs/>
        </w:rPr>
        <w:t>and</w:t>
      </w:r>
      <w:r w:rsidRPr="00AD2F44">
        <w:t xml:space="preserve"> Mueller v. Chesapeake Bay Seafood House Assocs., LLC, 2018 WL 1898557 (D. Md. Apr. 20, 2018) (finding that defendant’s presenting of arbitration agreements to putative class members two months after complaint was filed but before conditional certification, whether intentional or not, may have confused potential opt-ins, and during notice period could have dissuaded those employees from joining litigation even though arbitration agreement had a carve-out provision for pending litigation; ruling that putative class members who received arbitration agreements were entitled to new notice with language making clear that arbitration agreement did not prevent them from joining the action).</w:t>
      </w:r>
    </w:p>
  </w:footnote>
  <w:footnote w:id="329">
    <w:p w14:paraId="43AF6DF0" w14:textId="77777777" w:rsidR="004322B1" w:rsidRPr="00AD2F44" w:rsidRDefault="004322B1">
      <w:pPr>
        <w:pStyle w:val="14Footnote"/>
      </w:pPr>
      <w:r w:rsidRPr="00AD2F44">
        <w:rPr>
          <w:vertAlign w:val="superscript"/>
        </w:rPr>
        <w:footnoteRef/>
      </w:r>
      <w:r w:rsidRPr="00AD2F44">
        <w:rPr>
          <w:i/>
          <w:iCs/>
        </w:rPr>
        <w:t>Belt</w:t>
      </w:r>
      <w:r w:rsidRPr="00AD2F44">
        <w:t xml:space="preserve">, 299 F. Supp. 2d at 668–69; </w:t>
      </w:r>
      <w:r w:rsidRPr="00AD2F44">
        <w:rPr>
          <w:i/>
          <w:iCs/>
        </w:rPr>
        <w:t>see also Recinos-Recinos</w:t>
      </w:r>
      <w:r w:rsidRPr="00AD2F44">
        <w:t xml:space="preserve">, 2006 WL 197030, at *4, 12 (granting plaintiffs’ motion for a protective order where defendants’ counsel had contacted plaintiffs and putative collective action members and their families and threatened them and/or offered them work and money as part of an effort to persuade them to drop, or refrain from participating in, the lawsuit). Although agreeing that defendants can provide “one-sided information” about their position on a lawsuit, one district court ordered a defendant to pay for and send a curative notice when the court held that the defendant had violated a stipulation “not to encourage, directly or indirectly, Potential Plaintiffs concerning opt-in decisions” when it circulated a memorandum that suggested a lawsuit could reduce employees’ “flexibility” and require them to fill out time cards. Bullock v. Automobile Club of S. Cal., 2002 WL 432003, at *3 (C.D. Cal. Jan. 28, 2002). The defendant had agreed to limit its speech, and thus First Amendment concerns were not implicated, according to the court. </w:t>
      </w:r>
      <w:r w:rsidRPr="00AD2F44">
        <w:rPr>
          <w:i/>
          <w:iCs/>
        </w:rPr>
        <w:t>Id</w:t>
      </w:r>
      <w:r w:rsidRPr="00AD2F44">
        <w:t>.</w:t>
      </w:r>
    </w:p>
  </w:footnote>
  <w:footnote w:id="330">
    <w:p w14:paraId="3C1957D2" w14:textId="77777777" w:rsidR="004322B1" w:rsidRPr="00AD2F44" w:rsidRDefault="004322B1">
      <w:pPr>
        <w:pStyle w:val="14Footnote"/>
      </w:pPr>
      <w:r w:rsidRPr="00AD2F44">
        <w:rPr>
          <w:vertAlign w:val="superscript"/>
        </w:rPr>
        <w:footnoteRef/>
      </w:r>
      <w:r w:rsidRPr="00AD2F44">
        <w:t xml:space="preserve">Oetinger v. First Residential Mortg. Network, Inc., 2008 WL 2168965, at *2–3 (W.D. Ky. May 23, 2008). Courts have offered conflicting views about whether </w:t>
      </w:r>
      <w:r w:rsidRPr="00AD2F44">
        <w:rPr>
          <w:i/>
          <w:iCs/>
        </w:rPr>
        <w:t>court-authorized</w:t>
      </w:r>
      <w:r w:rsidRPr="00AD2F44">
        <w:t xml:space="preserve"> notice may include information on the potential discovery or trial obligations of potential collective action members.</w:t>
      </w:r>
    </w:p>
    <w:p w14:paraId="334ADFA4" w14:textId="77777777" w:rsidR="004322B1" w:rsidRPr="00AD2F44" w:rsidRDefault="004322B1">
      <w:pPr>
        <w:pStyle w:val="14Footnote"/>
      </w:pPr>
      <w:r w:rsidRPr="00AD2F44">
        <w:rPr>
          <w:i/>
        </w:rPr>
        <w:t>Compare</w:t>
      </w:r>
    </w:p>
    <w:p w14:paraId="5A7273F0" w14:textId="77777777" w:rsidR="004322B1" w:rsidRPr="00AD2F44" w:rsidRDefault="004322B1">
      <w:pPr>
        <w:pStyle w:val="14Footnote"/>
      </w:pPr>
      <w:r w:rsidRPr="00AD2F44">
        <w:rPr>
          <w:i/>
          <w:iCs/>
        </w:rPr>
        <w:t>Seventh Circuit:</w:t>
      </w:r>
      <w:r w:rsidRPr="00AD2F44">
        <w:t xml:space="preserve"> Garcia v. Elite Labor Serv., Ltd., 1996 U.S. Dist. LEXIS 9824, at *13–14 (N.D. Ill. July 11, 1996) (rejecting defendant’s argument that potential collective action members should be informed of their duties as litigants, i.e., “[that they may be] required to respond to discovery and/or to testify in a deposition or court,” and of the potential costs and expenses, because the information is unnecessary and could intimidate the potential members, and “given the fact that the class could exceed 1000 individuals, it is unlikely that most members will be deposed or testify in court”), </w:t>
      </w:r>
      <w:r w:rsidRPr="00AD2F44">
        <w:rPr>
          <w:i/>
          <w:iCs/>
        </w:rPr>
        <w:t>and</w:t>
      </w:r>
      <w:r w:rsidRPr="00AD2F44">
        <w:t xml:space="preserve"> Taillon v. Kohler Rental Power, Inc., 2003 WL 2006593, at *4 (N.D. Ill. Apr. 29, 2003) (rejecting defendant’s attempt to include in a court-authorized FLSA notice a warning regarding individual plaintiffs’ potential discovery obligations),</w:t>
      </w:r>
    </w:p>
    <w:p w14:paraId="73D6A476" w14:textId="77777777" w:rsidR="004322B1" w:rsidRPr="00AD2F44" w:rsidRDefault="004322B1">
      <w:pPr>
        <w:pStyle w:val="14Footnote"/>
        <w:rPr>
          <w:i/>
          <w:iCs/>
        </w:rPr>
      </w:pPr>
      <w:r w:rsidRPr="00AD2F44">
        <w:rPr>
          <w:i/>
          <w:iCs/>
        </w:rPr>
        <w:t>with</w:t>
      </w:r>
    </w:p>
    <w:p w14:paraId="0C7040C0" w14:textId="77777777" w:rsidR="004322B1" w:rsidRPr="00AD2F44" w:rsidRDefault="004322B1">
      <w:pPr>
        <w:pStyle w:val="14Footnote"/>
        <w:rPr>
          <w:i/>
          <w:iCs/>
        </w:rPr>
      </w:pPr>
      <w:r w:rsidRPr="00AD2F44">
        <w:rPr>
          <w:i/>
          <w:iCs/>
        </w:rPr>
        <w:t>Second Circuit:</w:t>
      </w:r>
      <w:r w:rsidRPr="00AD2F44">
        <w:t xml:space="preserve"> Lee v. ABC Carpet &amp; Home, 2008 WL 2073932, at *2–3 (S.D.N.Y. May 9, 2008) (modifying the plaintiff’s proposed notice to “include a statement advising potential litigants of the possibility that class members may be required to sit for trial or be deposed”), </w:t>
      </w:r>
      <w:r w:rsidRPr="00AD2F44">
        <w:rPr>
          <w:i/>
          <w:iCs/>
        </w:rPr>
        <w:t>and</w:t>
      </w:r>
    </w:p>
    <w:p w14:paraId="4970BF38" w14:textId="77777777" w:rsidR="004322B1" w:rsidRPr="00AD2F44" w:rsidRDefault="004322B1">
      <w:pPr>
        <w:pStyle w:val="14Footnote"/>
      </w:pPr>
      <w:r w:rsidRPr="00AD2F44">
        <w:rPr>
          <w:i/>
          <w:iCs/>
        </w:rPr>
        <w:t>Third Circuit:</w:t>
      </w:r>
      <w:r w:rsidRPr="00AD2F44">
        <w:t xml:space="preserve"> Stillman v. Staples, Inc., 2008 WL 1843998, at *5 (D.N.J. Apr. 22, 2008) (directing plaintiff’s counsel to advise putative collective action members, prior to joining the collective action, that they may be required to provide factual information in discovery).</w:t>
      </w:r>
    </w:p>
  </w:footnote>
  <w:footnote w:id="331">
    <w:p w14:paraId="0564AD66" w14:textId="77777777" w:rsidR="004322B1" w:rsidRPr="00AD2F44" w:rsidRDefault="004322B1">
      <w:pPr>
        <w:pStyle w:val="14Footnote"/>
      </w:pPr>
      <w:r w:rsidRPr="00AD2F44">
        <w:rPr>
          <w:vertAlign w:val="superscript"/>
        </w:rPr>
        <w:footnoteRef/>
      </w:r>
      <w:r w:rsidRPr="00AD2F44">
        <w:t xml:space="preserve">Rosiles-Perez v. Superior Forestry Serv., Inc., 652 F. Supp. 2d 887, 897–901 (M.D. Tenn. 2009) (finding that defendants attempted to interfere with court-ordered meeting by plaintiffs with plaintiffs’ counsel and refused to stop communicating ex parte about merits of case with class members, and that all of this conduct was designed to deter class members from participating in action; therefore, court sanctioned defendant by prohibiting it from introducing evidence on damages, and warned that any further misconduct would result in default sanction); Mevorah v. Wells Fargo Home Mortg., Inc., 2005 WL 4813532 (N.D. Cal. Nov. 17, 2005) (concluding that the defendants misled putative collective action members by warning that if the lawsuit succeeded they would be paid an hourly wage instead of commissions, where plaintiffs offered specific testimony that individuals were in fact misled by such communications); </w:t>
      </w:r>
      <w:r w:rsidRPr="00AD2F44">
        <w:rPr>
          <w:i/>
          <w:iCs/>
        </w:rPr>
        <w:t>see also</w:t>
      </w:r>
      <w:r w:rsidRPr="00AD2F44">
        <w:t xml:space="preserve"> Longcrier v. HL-A Co., Inc., 595 F. Supp. 2d 1218, 1224–31 (S.D. Ala. 2008) (striking declarations proffered by defendant where its counsel’s representations to putative collective action members were misleading in that they claimed to be “conducting a survey” for informational purposes and did not mention the lawsuit, and requiring that all future communications must be preceded by a written disclosure form describing the nature of the litigation); Sjoblom v. Charter Commc’ns, LLC, 2007 WL 5314916, at *3–4 (W.D. Wis. Dec. 26, 2007) (striking declarations and finding that a corrective notice would be necessary for those individuals who signed declarations if conditional certification were granted, where defendant’s counsel “advised potential class members” of the existence of a class action but “did not notify them that they might be entitled to become a part of the lawsuit” and the declarations were obtained at an employee training event).</w:t>
      </w:r>
    </w:p>
  </w:footnote>
  <w:footnote w:id="332">
    <w:p w14:paraId="025CE4AC" w14:textId="77777777" w:rsidR="004322B1" w:rsidRPr="00AD2F44" w:rsidRDefault="004322B1">
      <w:pPr>
        <w:pStyle w:val="14Footnote"/>
      </w:pPr>
      <w:r w:rsidRPr="00AD2F44">
        <w:rPr>
          <w:vertAlign w:val="superscript"/>
        </w:rPr>
        <w:footnoteRef/>
      </w:r>
      <w:r w:rsidRPr="00AD2F44">
        <w:rPr>
          <w:i/>
          <w:iCs/>
        </w:rPr>
        <w:t>See, e.g.,</w:t>
      </w:r>
    </w:p>
    <w:p w14:paraId="40BD39F4" w14:textId="77777777" w:rsidR="004322B1" w:rsidRPr="00AD2F44" w:rsidRDefault="004322B1">
      <w:pPr>
        <w:pStyle w:val="14Footnote"/>
      </w:pPr>
      <w:r w:rsidRPr="00AD2F44">
        <w:rPr>
          <w:i/>
          <w:iCs/>
        </w:rPr>
        <w:t>Second Circuit:</w:t>
      </w:r>
      <w:r w:rsidRPr="00AD2F44">
        <w:t xml:space="preserve"> Griffin v. Aldi, Inc., 2017 WL 1957021 (N.D.N.Y. May 11, 2017) (ordering corrective notice where defendant provided releases to former store managers in putative class after collective action lawsuit was filed but prior to court granting conditional certification, and further ordering that defendant carve out litigation from further separation agreements offered to store managers); Urtubia v. B.A. Victory Corp., 857 F. Supp. 2d 476, 484–85 (S.D.N.Y. 2012) (prohibiting contact by defendants with class members regarding subject matter of lawsuit without prior court permission where employer allegedly forced employees to sign affidavits and threatened to report opt-in to immigration authorities); Bowens v. Atlantic Maint. Corp., 546 F. Supp. 2d 55, 62–63, 72–73 (E.D.N.Y. 2008) (concluding that defendants violated a court order that prohibited them from communicating with putative collective action members, where defendants offered an employee money to “drop th[e] case and discharge his attorneys”).</w:t>
      </w:r>
    </w:p>
    <w:p w14:paraId="36652A93" w14:textId="77777777" w:rsidR="004322B1" w:rsidRPr="00AD2F44" w:rsidRDefault="004322B1">
      <w:pPr>
        <w:pStyle w:val="14Footnote"/>
      </w:pPr>
      <w:r w:rsidRPr="00AD2F44">
        <w:rPr>
          <w:i/>
          <w:iCs/>
        </w:rPr>
        <w:t xml:space="preserve">Fourth Circuit: </w:t>
      </w:r>
      <w:r w:rsidRPr="00AD2F44">
        <w:t xml:space="preserve">Randolph v. PowerComm Constr., Inc., 41 F. Supp. 3d 461 (D. Md. 2014) (prohibiting further communications by defendant where defendant sought to obtain releases by threatening employees’ employment). </w:t>
      </w:r>
    </w:p>
    <w:p w14:paraId="621F0737" w14:textId="77777777" w:rsidR="004322B1" w:rsidRPr="00AD2F44" w:rsidRDefault="004322B1">
      <w:pPr>
        <w:pStyle w:val="14Footnote"/>
      </w:pPr>
      <w:r w:rsidRPr="00AD2F44">
        <w:rPr>
          <w:i/>
          <w:iCs/>
        </w:rPr>
        <w:t xml:space="preserve">Fifth Circuit: </w:t>
      </w:r>
      <w:r w:rsidRPr="00AD2F44">
        <w:t>Pacheco v. Aldeeb, 127 F. Supp. 3d 694, 698 (W.D. Tex. 2015) (sanctioning defendants where they sought to coerce class members into not joining suit or dropping claims).</w:t>
      </w:r>
    </w:p>
    <w:p w14:paraId="5B64C390" w14:textId="77777777" w:rsidR="004322B1" w:rsidRPr="00AD2F44" w:rsidRDefault="004322B1">
      <w:pPr>
        <w:pStyle w:val="14Footnote"/>
      </w:pPr>
      <w:r w:rsidRPr="00AD2F44">
        <w:rPr>
          <w:i/>
          <w:iCs/>
        </w:rPr>
        <w:t>Seventh Circuit:</w:t>
      </w:r>
      <w:r w:rsidRPr="00AD2F44">
        <w:t xml:space="preserve"> O’Brien v. Encotech Constr. Servs., 203 F.R.D. 346, 348–50 (N.D. Ill. 2001) (voiding the FLSA portion of employees’ releases acquired by employer defendant and ordering corrective notice advising employees they still retained their rights to sue under the FLSA).</w:t>
      </w:r>
    </w:p>
    <w:p w14:paraId="43AF4B72" w14:textId="77777777" w:rsidR="004322B1" w:rsidRPr="00AD2F44" w:rsidRDefault="004322B1">
      <w:pPr>
        <w:pStyle w:val="14Footnote"/>
      </w:pPr>
      <w:r w:rsidRPr="00AD2F44">
        <w:rPr>
          <w:i/>
          <w:iCs/>
        </w:rPr>
        <w:t>Eleventh Circuit:</w:t>
      </w:r>
      <w:r w:rsidRPr="00AD2F44">
        <w:t xml:space="preserve"> Allen v. Suntrust Banks, Inc., 549 F. Supp. 2d 1379, 1383 (N.D. Ga. 2008) (granting plaintiff’s motion for temporary restraining order where defendant offered severance packages to its employees conditioned on their execution of releases requiring dismissal of any pending action against Suntrust, and ordering the defendant to issue a written statement to class members confirming that participation in the lawsuit would not affect their eligibility for severance benefits).</w:t>
      </w:r>
    </w:p>
  </w:footnote>
  <w:footnote w:id="333">
    <w:p w14:paraId="36EE2FFA" w14:textId="77777777" w:rsidR="004322B1" w:rsidRPr="00AD2F44" w:rsidRDefault="004322B1">
      <w:pPr>
        <w:pStyle w:val="14Footnote"/>
      </w:pPr>
      <w:r w:rsidRPr="00AD2F44">
        <w:rPr>
          <w:vertAlign w:val="superscript"/>
        </w:rPr>
        <w:footnoteRef/>
      </w:r>
      <w:r w:rsidRPr="00AD2F44">
        <w:rPr>
          <w:i/>
          <w:iCs/>
        </w:rPr>
        <w:t>See, e.g.,</w:t>
      </w:r>
    </w:p>
    <w:p w14:paraId="6AB3624F" w14:textId="77777777" w:rsidR="004322B1" w:rsidRPr="00AD2F44" w:rsidRDefault="004322B1">
      <w:pPr>
        <w:pStyle w:val="14Footnote"/>
      </w:pPr>
      <w:r w:rsidRPr="00AD2F44">
        <w:rPr>
          <w:i/>
          <w:iCs/>
        </w:rPr>
        <w:t>Second Circuit:</w:t>
      </w:r>
      <w:r w:rsidRPr="00AD2F44">
        <w:t xml:space="preserve"> Agerbrink v. Model Serv. LLC,</w:t>
      </w:r>
      <w:r w:rsidRPr="00AD2F44">
        <w:rPr>
          <w:i/>
          <w:iCs/>
        </w:rPr>
        <w:t xml:space="preserve"> </w:t>
      </w:r>
      <w:r w:rsidRPr="00AD2F44">
        <w:t xml:space="preserve">2015 WL 6473005, at *11 (S.D.N.Y. Oct. 27, 2015) (ordering corrective notice and production of all correspondence to putative class members by COO who had written email that was subject of motion for corrective relief, to remedy email that was deemed, as whole, to have “the potential to chill participation”). </w:t>
      </w:r>
    </w:p>
    <w:p w14:paraId="7ECF5E64" w14:textId="77777777" w:rsidR="004322B1" w:rsidRPr="00AD2F44" w:rsidRDefault="004322B1">
      <w:pPr>
        <w:pStyle w:val="14Footnote"/>
      </w:pPr>
      <w:r w:rsidRPr="00AD2F44">
        <w:rPr>
          <w:i/>
          <w:iCs/>
        </w:rPr>
        <w:t xml:space="preserve">Third Circuit: </w:t>
      </w:r>
      <w:r w:rsidRPr="00AD2F44">
        <w:t>Maddy v. General Elec. Co., 2015 WL 1344626 (D.N.J. Mar. 23, 2015) (curative notice required to remedy improper communications by employer).</w:t>
      </w:r>
    </w:p>
    <w:p w14:paraId="74651F88" w14:textId="77777777" w:rsidR="004322B1" w:rsidRPr="00AD2F44" w:rsidRDefault="004322B1">
      <w:pPr>
        <w:pStyle w:val="14Footnote"/>
      </w:pPr>
      <w:r w:rsidRPr="00AD2F44">
        <w:rPr>
          <w:i/>
          <w:iCs/>
        </w:rPr>
        <w:t>Fourth Circuit:</w:t>
      </w:r>
      <w:r w:rsidRPr="00AD2F44">
        <w:t xml:space="preserve"> </w:t>
      </w:r>
      <w:r w:rsidRPr="00AD2F44">
        <w:rPr>
          <w:i/>
          <w:iCs/>
        </w:rPr>
        <w:t>Randolph</w:t>
      </w:r>
      <w:r w:rsidRPr="00AD2F44">
        <w:t>, 41 F. Supp. 3d 461 (curative notice required where defendant sought to obtain releases from employees by threatening their employment; releases invalidated as result).</w:t>
      </w:r>
    </w:p>
    <w:p w14:paraId="66779253" w14:textId="77777777" w:rsidR="004322B1" w:rsidRPr="00AD2F44" w:rsidRDefault="004322B1">
      <w:pPr>
        <w:pStyle w:val="14Footnote"/>
      </w:pPr>
      <w:r w:rsidRPr="00AD2F44">
        <w:rPr>
          <w:i/>
          <w:iCs/>
        </w:rPr>
        <w:t>Fifth Circuit:</w:t>
      </w:r>
      <w:r w:rsidRPr="00AD2F44">
        <w:t xml:space="preserve"> </w:t>
      </w:r>
      <w:r w:rsidRPr="00AD2F44">
        <w:rPr>
          <w:i/>
          <w:iCs/>
        </w:rPr>
        <w:t>Pacheco</w:t>
      </w:r>
      <w:r w:rsidRPr="00AD2F44">
        <w:t>, 127 F. Supp. 3d at 699 (ordering issuance of corrective notice by mail and posting at defendants’ stores, at defendants’ expense, as well as payment of plaintiffs’ attorneys’ fees, and giving class members additional 45 days to file consents to join lawsuit); Velazquez v. FPS LP, 2014 WL 1367421 (S.D. Tex. Aug. 4, 2014) (requiring curative notice that individuals who had withdrawn from case could rejoin without fear of retaliation; declining to invalidate withdrawal letters); Belt v. Emcare, Inc., 299 F. Supp. 2d 664, 669–70 (E.D. Tex. 2003) (ordering corrective notice to remedy any prejudice caused by defendant’s unauthorized ex parte communications with putative collective action members).</w:t>
      </w:r>
    </w:p>
    <w:p w14:paraId="143565FA" w14:textId="77777777" w:rsidR="004322B1" w:rsidRPr="00AD2F44" w:rsidRDefault="004322B1">
      <w:pPr>
        <w:pStyle w:val="14Footnote"/>
      </w:pPr>
      <w:r w:rsidRPr="00AD2F44">
        <w:rPr>
          <w:i/>
          <w:iCs/>
        </w:rPr>
        <w:t xml:space="preserve">Sixth Circuit: </w:t>
      </w:r>
      <w:r w:rsidRPr="00AD2F44">
        <w:t>Potts v. Nashville Limo &amp; Transp., LLC, 2016 WL 1622015, at *14–16 (M.D. Tenn. Apr. 19, 2016) (based on post-notice communications by defendant, including misleading statements and seeking releases, court invalidated releases, allowed plaintiffs to keep payments received (but with offset), reopened notice period, and tolled statute of limitations, but denied request for attorneys’ fees).</w:t>
      </w:r>
    </w:p>
    <w:p w14:paraId="5F95E9E8" w14:textId="77777777" w:rsidR="004322B1" w:rsidRPr="00AD2F44" w:rsidRDefault="004322B1">
      <w:pPr>
        <w:pStyle w:val="14Footnote"/>
      </w:pPr>
      <w:r w:rsidRPr="00AD2F44">
        <w:rPr>
          <w:i/>
          <w:iCs/>
        </w:rPr>
        <w:t>Seventh Circuit:</w:t>
      </w:r>
      <w:r w:rsidRPr="00AD2F44">
        <w:t xml:space="preserve"> </w:t>
      </w:r>
      <w:r w:rsidRPr="00AD2F44">
        <w:rPr>
          <w:i/>
          <w:iCs/>
        </w:rPr>
        <w:t>O’Brien</w:t>
      </w:r>
      <w:r w:rsidRPr="00AD2F44">
        <w:t>, 203 F.R.D. at 350 (ordering corrective notices to notify employees that they retained their rights to sue under the FLSA, after voiding the FLSA provisions of releases signed by the employees).</w:t>
      </w:r>
    </w:p>
    <w:p w14:paraId="153B4B11" w14:textId="77777777" w:rsidR="004322B1" w:rsidRPr="00AD2F44" w:rsidRDefault="004322B1">
      <w:pPr>
        <w:pStyle w:val="14Footnote"/>
      </w:pPr>
      <w:r w:rsidRPr="00AD2F44">
        <w:rPr>
          <w:i/>
          <w:iCs/>
        </w:rPr>
        <w:t>Ninth Circuit:</w:t>
      </w:r>
      <w:r w:rsidRPr="00AD2F44">
        <w:t xml:space="preserve"> Altamirano-Santiago v. Better Produce, Inc., 2019 WL 6039941 (C.D. Cal. Nov. 13, 2019) (granting motion for corrective notice, permission to proceed under pseudonym, and order prohibiting defense counsel from disclosing names of opt-in plaintiffs to defendants, where defendant sent supervisor to plaintiffs’ homes in Mexico and organized meetings with them in United States to sign opt-out forms); Johnson v. Serenity Transp., Inc., 2017 WL 4236798 (N.D. Cal. Sept. 25, 2017) (finding that defendant actively discouraged its employees from participating in lawsuit; invalidating coercive releases; and ordering issuance of curative notice reinstating FLSA opt-in period for 60 days from sending of new notice); Marino v. CACafe, Inc., 2017 WL 1540717 (N.D. Cal. Apr. 28, 2017) (ordering corrective notice, invalidating releases, and enjoining defendants from communicating with putative class members after defendant sent $500 incentive payments to putative class members in exchange for signing releases without including in communication any reference to class action lawsuit or plaintiff’s counsel);</w:t>
      </w:r>
      <w:r w:rsidRPr="00AD2F44">
        <w:rPr>
          <w:i/>
          <w:iCs/>
        </w:rPr>
        <w:t xml:space="preserve"> Bullock</w:t>
      </w:r>
      <w:r w:rsidRPr="00AD2F44">
        <w:t>, 2002 WL 432003, at *3 (ordering corrective notices where defendant provided its employees with a memorandum that the court found discouraged participation in the FLSA lawsuit in violation of the parties’ stipulation not to solicit or encourage, directly or indirectly, potential plaintiffs regarding their opt-in decisions).</w:t>
      </w:r>
    </w:p>
  </w:footnote>
  <w:footnote w:id="334">
    <w:p w14:paraId="1EBB803A" w14:textId="77777777" w:rsidR="004322B1" w:rsidRPr="00AD2F44" w:rsidRDefault="004322B1">
      <w:pPr>
        <w:pStyle w:val="14Footnote"/>
        <w:rPr>
          <w:i/>
          <w:iCs/>
        </w:rPr>
      </w:pPr>
      <w:r w:rsidRPr="00AD2F44">
        <w:rPr>
          <w:vertAlign w:val="superscript"/>
        </w:rPr>
        <w:footnoteRef/>
      </w:r>
      <w:r w:rsidRPr="00AD2F44">
        <w:rPr>
          <w:i/>
          <w:iCs/>
        </w:rPr>
        <w:t>Rosiles-Perez</w:t>
      </w:r>
      <w:r w:rsidRPr="00AD2F44">
        <w:t xml:space="preserve">, 652 F. Supp. 2d at 897–901 (finding that defendants attempted to interfere with court-ordered meeting by plaintiffs with plaintiffs’ counsel and refused to stop communicating ex parte about merits of case with class members, and that all of this conduct was designed to deter class members from participating in action; directing defendant to re-issue notice to all nonsupervisory H-2B employees, in English and Spanish, at its own expense, among other sanctions); </w:t>
      </w:r>
      <w:r w:rsidRPr="00AD2F44">
        <w:rPr>
          <w:i/>
          <w:iCs/>
        </w:rPr>
        <w:t>see</w:t>
      </w:r>
      <w:r w:rsidRPr="00AD2F44">
        <w:t xml:space="preserve"> </w:t>
      </w:r>
      <w:r w:rsidRPr="00AD2F44">
        <w:rPr>
          <w:i/>
          <w:iCs/>
        </w:rPr>
        <w:t>Bullock</w:t>
      </w:r>
      <w:r w:rsidRPr="00AD2F44">
        <w:t xml:space="preserve">, 2002 WL 432003, at *3; </w:t>
      </w:r>
      <w:r w:rsidRPr="00AD2F44">
        <w:rPr>
          <w:i/>
          <w:iCs/>
        </w:rPr>
        <w:t>see also</w:t>
      </w:r>
    </w:p>
    <w:p w14:paraId="1A32FBA0" w14:textId="77777777" w:rsidR="004322B1" w:rsidRPr="00AD2F44" w:rsidRDefault="004322B1">
      <w:pPr>
        <w:pStyle w:val="14Footnote"/>
      </w:pPr>
      <w:r w:rsidRPr="00AD2F44">
        <w:rPr>
          <w:i/>
          <w:iCs/>
        </w:rPr>
        <w:t xml:space="preserve">Fifth Circuit: </w:t>
      </w:r>
      <w:r w:rsidRPr="00AD2F44">
        <w:t>Velazquez v. FPS LP, 2014 WL 1758214 (S.D. Tex. Apr. 28, 2014).</w:t>
      </w:r>
    </w:p>
    <w:p w14:paraId="30EBF8B3" w14:textId="77777777" w:rsidR="004322B1" w:rsidRPr="00AD2F44" w:rsidRDefault="004322B1">
      <w:pPr>
        <w:pStyle w:val="14Footnote"/>
      </w:pPr>
      <w:r w:rsidRPr="00AD2F44">
        <w:rPr>
          <w:i/>
          <w:iCs/>
        </w:rPr>
        <w:t xml:space="preserve">Sixth Circuit: </w:t>
      </w:r>
      <w:r w:rsidRPr="00AD2F44">
        <w:t>Lee v. GAB Telecom, Inc., 2013 WL 4041875 (E.D. Mich. Aug. 8, 2013) (extending the deadline to submit consent forms through the end of discovery based on the defendant’s direct and improper contact with putative class members).</w:t>
      </w:r>
    </w:p>
    <w:p w14:paraId="67B0C11E" w14:textId="77777777" w:rsidR="004322B1" w:rsidRPr="00AD2F44" w:rsidRDefault="004322B1">
      <w:pPr>
        <w:pStyle w:val="14Footnote"/>
      </w:pPr>
      <w:r w:rsidRPr="00AD2F44">
        <w:rPr>
          <w:i/>
          <w:iCs/>
        </w:rPr>
        <w:t>Eleventh Circuit:</w:t>
      </w:r>
      <w:r w:rsidRPr="00AD2F44">
        <w:t xml:space="preserve"> Ojeda-Sanchez v. Bland Farms, 600 F. Supp. 2d 1373 (S.D. Ga. 2009).</w:t>
      </w:r>
    </w:p>
  </w:footnote>
  <w:footnote w:id="335">
    <w:p w14:paraId="02ED90CA" w14:textId="77777777" w:rsidR="004322B1" w:rsidRPr="00AD2F44" w:rsidRDefault="004322B1">
      <w:pPr>
        <w:pStyle w:val="14Footnote"/>
      </w:pPr>
      <w:r w:rsidRPr="00AD2F44">
        <w:rPr>
          <w:vertAlign w:val="superscript"/>
        </w:rPr>
        <w:footnoteRef/>
      </w:r>
      <w:r w:rsidRPr="00AD2F44">
        <w:t xml:space="preserve">Hoffmann-La Roche, Inc. v. Sperling, 493 U.S. 165, 171–72 (1989). </w:t>
      </w:r>
      <w:r w:rsidRPr="00AD2F44">
        <w:rPr>
          <w:i/>
          <w:iCs/>
        </w:rPr>
        <w:t>But see</w:t>
      </w:r>
      <w:r w:rsidRPr="00AD2F44">
        <w:t xml:space="preserve"> Heitmann v. City of Chi., 2004 WL 1718420, at *2 (N.D. Ill. July 30, 2004) (plaintiff seeking to give notice under §216(b) of a collective action need not obtain court approval, but the obligation to first communicate that intent to defendant is “inferred” from the FLSA and Rule 83).</w:t>
      </w:r>
    </w:p>
  </w:footnote>
  <w:footnote w:id="336">
    <w:p w14:paraId="6ED856A5" w14:textId="77777777" w:rsidR="004322B1" w:rsidRPr="00AD2F44" w:rsidRDefault="004322B1">
      <w:pPr>
        <w:pStyle w:val="14Footnote"/>
      </w:pPr>
      <w:r w:rsidRPr="00AD2F44">
        <w:rPr>
          <w:vertAlign w:val="superscript"/>
        </w:rPr>
        <w:footnoteRef/>
      </w:r>
      <w:r w:rsidRPr="00AD2F44">
        <w:t xml:space="preserve">493 U.S. 165. </w:t>
      </w:r>
    </w:p>
  </w:footnote>
  <w:footnote w:id="337">
    <w:p w14:paraId="7C80D9CC" w14:textId="77777777" w:rsidR="004322B1" w:rsidRPr="00AD2F44" w:rsidRDefault="004322B1">
      <w:pPr>
        <w:pStyle w:val="14Footnote"/>
      </w:pPr>
      <w:r w:rsidRPr="00AD2F44">
        <w:rPr>
          <w:vertAlign w:val="superscript"/>
        </w:rPr>
        <w:footnoteRef/>
      </w:r>
      <w:r w:rsidRPr="00AD2F44">
        <w:rPr>
          <w:i/>
          <w:iCs/>
        </w:rPr>
        <w:t>Id.</w:t>
      </w:r>
      <w:r w:rsidRPr="00AD2F44">
        <w:t xml:space="preserve"> at 171 (“Because trial court involvement in the notice process is inevitable in cases with numerous plaintiffs where written consent is required by statute, it lies within the discretion of a district court to begin its involvement early, at the point of the initial notice, rather than at some later time.”).</w:t>
      </w:r>
    </w:p>
  </w:footnote>
  <w:footnote w:id="338">
    <w:p w14:paraId="76306091" w14:textId="77777777" w:rsidR="004322B1" w:rsidRPr="00AD2F44" w:rsidRDefault="004322B1">
      <w:pPr>
        <w:pStyle w:val="14Footnote"/>
      </w:pPr>
      <w:r w:rsidRPr="00AD2F44">
        <w:rPr>
          <w:vertAlign w:val="superscript"/>
        </w:rPr>
        <w:footnoteRef/>
      </w:r>
      <w:r w:rsidRPr="00AD2F44">
        <w:rPr>
          <w:i/>
          <w:iCs/>
        </w:rPr>
        <w:t>See, e.g.,</w:t>
      </w:r>
    </w:p>
    <w:p w14:paraId="38F58573" w14:textId="77777777" w:rsidR="004322B1" w:rsidRPr="00AD2F44" w:rsidRDefault="004322B1">
      <w:pPr>
        <w:pStyle w:val="14Footnote"/>
      </w:pPr>
      <w:r w:rsidRPr="00AD2F44">
        <w:rPr>
          <w:i/>
          <w:iCs/>
        </w:rPr>
        <w:t>First Circuit:</w:t>
      </w:r>
      <w:r w:rsidRPr="00AD2F44">
        <w:t xml:space="preserve"> Tidd v. Adecco USA, Inc., 2008 WL 4286512 (D. Mass. Sept. 17, 2008).</w:t>
      </w:r>
    </w:p>
    <w:p w14:paraId="3E0D6079" w14:textId="77777777" w:rsidR="004322B1" w:rsidRPr="00AD2F44" w:rsidRDefault="004322B1">
      <w:pPr>
        <w:pStyle w:val="14Footnote"/>
      </w:pPr>
      <w:r w:rsidRPr="00AD2F44">
        <w:rPr>
          <w:i/>
          <w:iCs/>
        </w:rPr>
        <w:t>Second Circuit:</w:t>
      </w:r>
      <w:r w:rsidRPr="00AD2F44">
        <w:t xml:space="preserve"> Colozzi v. St. Joseph’s Hosp. Health Ctr., 2009 WL 211401 (N.D.N.Y. Jan. 26, 2009); Suarez v. S &amp; A Painting &amp; Renovation Corp., 2008 WL 5054201 (E.D.N.Y. Nov. 21, 2008); Marcus v. American Contract Bridge League, 254 F.R.D. 44 (D. Conn. 2008); Davis v. Abercrombie &amp; Fitch Co., 2008 WL 4702840 (S.D.N.Y. Oct. 23, 2008); Bowens v. Atlantic Maint. Corp., 546 F. Supp. 2d 55 (E.D.N.Y. 2008). </w:t>
      </w:r>
      <w:r w:rsidRPr="00AD2F44">
        <w:rPr>
          <w:i/>
          <w:iCs/>
        </w:rPr>
        <w:t>But cf</w:t>
      </w:r>
      <w:r w:rsidRPr="00AD2F44">
        <w:t>. Cuzco v. Orion Builders, Inc., 477 F. Supp. 2d 628, 635 (S.D.N.Y. 2007) (declining defendants’ meet-and-confer request and approving plaintiff’s proposed notice where defendants had not submitted their own proposed notice and “given that any negotiations between these parties could be acrimonious and time consuming”).</w:t>
      </w:r>
    </w:p>
    <w:p w14:paraId="223AD7AD" w14:textId="77777777" w:rsidR="004322B1" w:rsidRPr="00AD2F44" w:rsidRDefault="004322B1">
      <w:pPr>
        <w:pStyle w:val="14Footnote"/>
      </w:pPr>
      <w:r w:rsidRPr="00AD2F44">
        <w:rPr>
          <w:i/>
          <w:iCs/>
        </w:rPr>
        <w:t>Third Circuit:</w:t>
      </w:r>
      <w:r w:rsidRPr="00AD2F44">
        <w:t xml:space="preserve"> Harris v. Healthcare Servs. Grp., Inc., 2007 WL 2221411 (E.D. Pa. July 31, 2007).</w:t>
      </w:r>
    </w:p>
    <w:p w14:paraId="4670D9E5" w14:textId="77777777" w:rsidR="004322B1" w:rsidRPr="00AD2F44" w:rsidRDefault="004322B1">
      <w:pPr>
        <w:pStyle w:val="14Footnote"/>
      </w:pPr>
      <w:r w:rsidRPr="00AD2F44">
        <w:rPr>
          <w:i/>
          <w:iCs/>
        </w:rPr>
        <w:t>Fourth Circuit:</w:t>
      </w:r>
      <w:r w:rsidRPr="00AD2F44">
        <w:t xml:space="preserve"> Williams v. Long, 585 F. Supp. 2d 679 (D. Md. 2008).</w:t>
      </w:r>
    </w:p>
    <w:p w14:paraId="7263FC0E" w14:textId="77777777" w:rsidR="004322B1" w:rsidRPr="00AD2F44" w:rsidRDefault="004322B1">
      <w:pPr>
        <w:pStyle w:val="14Footnote"/>
      </w:pPr>
      <w:r w:rsidRPr="00AD2F44">
        <w:rPr>
          <w:i/>
          <w:iCs/>
        </w:rPr>
        <w:t>Fifth Circuit:</w:t>
      </w:r>
      <w:r w:rsidRPr="00AD2F44">
        <w:t xml:space="preserve"> Mims v. Carrier Corp., 2008 WL 906335 (E.D. Tex. Mar. 31, 2008); Montgomery v. Wal-Mart Stores, Inc., 2007 WL 2783348 (S.D. Miss. Sept. 24, 2007); Jackson v. City of San Antonio, 220 F.R.D. 55 (W.D. Tex. 2003).</w:t>
      </w:r>
    </w:p>
    <w:p w14:paraId="00C9AB70" w14:textId="77777777" w:rsidR="004322B1" w:rsidRPr="00AD2F44" w:rsidRDefault="004322B1">
      <w:pPr>
        <w:pStyle w:val="14Footnote"/>
      </w:pPr>
      <w:r w:rsidRPr="00AD2F44">
        <w:rPr>
          <w:i/>
          <w:iCs/>
        </w:rPr>
        <w:t>Sixth Circuit:</w:t>
      </w:r>
      <w:r w:rsidRPr="00AD2F44">
        <w:t xml:space="preserve"> Shabazz v. Asurion Ins. Serv., 2008 WL 1730318 (M.D. Tenn. Apr. 10, 2008).</w:t>
      </w:r>
    </w:p>
    <w:p w14:paraId="53C28F06" w14:textId="77777777" w:rsidR="004322B1" w:rsidRPr="00AD2F44" w:rsidRDefault="004322B1">
      <w:pPr>
        <w:pStyle w:val="14Footnote"/>
      </w:pPr>
      <w:r w:rsidRPr="00AD2F44">
        <w:rPr>
          <w:i/>
          <w:iCs/>
        </w:rPr>
        <w:t>Seventh Circuit:</w:t>
      </w:r>
      <w:r w:rsidRPr="00AD2F44">
        <w:t xml:space="preserve"> Jirak v. Abbott Lab., Inc., 566 F. Supp. 2d 845 (N.D. Ill. 2008).</w:t>
      </w:r>
    </w:p>
    <w:p w14:paraId="69F5C0E1" w14:textId="77777777" w:rsidR="004322B1" w:rsidRPr="00AD2F44" w:rsidRDefault="004322B1">
      <w:pPr>
        <w:pStyle w:val="14Footnote"/>
      </w:pPr>
      <w:r w:rsidRPr="00AD2F44">
        <w:rPr>
          <w:i/>
          <w:iCs/>
        </w:rPr>
        <w:t>Eighth Circuit:</w:t>
      </w:r>
      <w:r w:rsidRPr="00AD2F44">
        <w:t xml:space="preserve"> Kalish v. High Tech Inst., Inc., 2005 WL 1073645 (D. Minn. Apr. 22, 2005).</w:t>
      </w:r>
    </w:p>
    <w:p w14:paraId="13F56C08" w14:textId="77777777" w:rsidR="004322B1" w:rsidRPr="00AD2F44" w:rsidRDefault="004322B1">
      <w:pPr>
        <w:pStyle w:val="14Footnote"/>
      </w:pPr>
      <w:r w:rsidRPr="00AD2F44">
        <w:rPr>
          <w:i/>
          <w:iCs/>
        </w:rPr>
        <w:t>Ninth Circuit:</w:t>
      </w:r>
      <w:r w:rsidRPr="00AD2F44">
        <w:t xml:space="preserve"> Zissa v. County of L.A., 2019 WL 8953355 (C.D. Cal. Sept. 20, 2019); Davis v. Westgate Planet Hollywood Las Vegas, LLC, 2009 WL 102735 (D. Nev. Jan. 12, 2009); Beauperthuy v. 24 Hour Fitness USA, Inc., 2008 WL 793838 (N.D. Cal. Mar. 24, 2008); Wong v. HSBC Mortg. Corp. (USA), 2008 WL 753889 (N.D. Cal. Mar. 19, 2008); Centurioni v. City &amp; Cnty. of S.F., 2008 WL 295096 (N.D. Cal. Feb. 1, 2008); Wren v. RGIS Inventory Specialists, 2007 WL 4532218 (N.D. Cal. Dec. 19, 2007); Prentice v. Fund for Pub. Interest Research, Inc., 2007 WL 2729187 (N.D. Cal. Sept. 18, 2007); Delgado v. Ortho-McNeil, Inc., 2007 WL 2847238 (C.D. Cal. Aug. 7, 2007).</w:t>
      </w:r>
    </w:p>
    <w:p w14:paraId="493E1EC9" w14:textId="77777777" w:rsidR="004322B1" w:rsidRPr="00AD2F44" w:rsidRDefault="004322B1">
      <w:pPr>
        <w:pStyle w:val="14Footnote"/>
      </w:pPr>
      <w:r w:rsidRPr="00AD2F44">
        <w:rPr>
          <w:i/>
          <w:iCs/>
        </w:rPr>
        <w:t>Tenth Circuit:</w:t>
      </w:r>
      <w:r w:rsidRPr="00AD2F44">
        <w:t xml:space="preserve"> Guidry v. Chenega Integrated Sys., LLC, 2009 WL 312069 (W.D. Okla. Feb. 6, 2009); </w:t>
      </w:r>
      <w:r w:rsidRPr="00AD2F44">
        <w:rPr>
          <w:i/>
          <w:iCs/>
        </w:rPr>
        <w:t>In re</w:t>
      </w:r>
      <w:r w:rsidRPr="00AD2F44">
        <w:t xml:space="preserve"> American Family Mut. Ins. Co. Overtime Pay Litig., 2009 WL 248677 (D. Colo. Feb. 3, 2009).</w:t>
      </w:r>
    </w:p>
    <w:p w14:paraId="6F2FE17A" w14:textId="77777777" w:rsidR="004322B1" w:rsidRPr="00AD2F44" w:rsidRDefault="004322B1">
      <w:pPr>
        <w:pStyle w:val="14Footnote"/>
      </w:pPr>
      <w:r w:rsidRPr="00AD2F44">
        <w:rPr>
          <w:i/>
          <w:iCs/>
        </w:rPr>
        <w:t>Eleventh Circuit:</w:t>
      </w:r>
      <w:r w:rsidRPr="00AD2F44">
        <w:t xml:space="preserve"> Pendlebury v. Starbucks Coffee Co., 2005 WL 84500 (S.D. Fla. Jan. 3, 2005).</w:t>
      </w:r>
    </w:p>
    <w:p w14:paraId="1AEA0B12" w14:textId="77777777" w:rsidR="004322B1" w:rsidRPr="00AD2F44" w:rsidRDefault="004322B1">
      <w:pPr>
        <w:pStyle w:val="14Footnote"/>
      </w:pPr>
      <w:r w:rsidRPr="00AD2F44">
        <w:rPr>
          <w:i/>
          <w:iCs/>
        </w:rPr>
        <w:t>D.C. Circuit:</w:t>
      </w:r>
      <w:r w:rsidRPr="00AD2F44">
        <w:t xml:space="preserve"> Lindsay v. Government Emps. Ins. Co., 251 F.R.D. 51 (D.D.C. 2008).</w:t>
      </w:r>
    </w:p>
  </w:footnote>
  <w:footnote w:id="339">
    <w:p w14:paraId="1FB76DDC" w14:textId="77777777" w:rsidR="004322B1" w:rsidRPr="00AD2F44" w:rsidRDefault="004322B1">
      <w:pPr>
        <w:pStyle w:val="14Footnote"/>
      </w:pPr>
      <w:r w:rsidRPr="00AD2F44">
        <w:rPr>
          <w:vertAlign w:val="superscript"/>
        </w:rPr>
        <w:footnoteRef/>
      </w:r>
      <w:r w:rsidRPr="00AD2F44">
        <w:rPr>
          <w:i/>
          <w:iCs/>
        </w:rPr>
        <w:t>See, e.g.,</w:t>
      </w:r>
    </w:p>
    <w:p w14:paraId="5AFE4CDD" w14:textId="77777777" w:rsidR="004322B1" w:rsidRPr="00AD2F44" w:rsidRDefault="004322B1">
      <w:pPr>
        <w:pStyle w:val="14Footnote"/>
      </w:pPr>
      <w:r w:rsidRPr="00AD2F44">
        <w:rPr>
          <w:i/>
          <w:iCs/>
        </w:rPr>
        <w:t>Second Circuit:</w:t>
      </w:r>
      <w:r w:rsidRPr="00AD2F44">
        <w:t xml:space="preserve"> Barrus v. Dick’s Sporting Goods, Inc., 2006 WL 3373117 (W.D.N.Y. Nov. 3, 2006); Young v. Cooper Cameron Corp., 229 F.R.D. 50, 56 (S.D.N.Y. 2005); Gjurovich v. Emmanuel’s Marketplace, Inc., 282 F. Supp. 2d 101 (S.D.N.Y. 2003).</w:t>
      </w:r>
    </w:p>
    <w:p w14:paraId="68D7A01C" w14:textId="77777777" w:rsidR="004322B1" w:rsidRPr="00AD2F44" w:rsidRDefault="004322B1">
      <w:pPr>
        <w:pStyle w:val="14Footnote"/>
      </w:pPr>
      <w:r w:rsidRPr="00AD2F44">
        <w:rPr>
          <w:i/>
          <w:iCs/>
        </w:rPr>
        <w:t>Third Circuit:</w:t>
      </w:r>
      <w:r w:rsidRPr="00AD2F44">
        <w:t xml:space="preserve"> Bland v. Calfrac Well Servs. Corp., 2013 WL 4054594, at *1–2 (W.D. Pa. Aug. 12, 2013).</w:t>
      </w:r>
    </w:p>
    <w:p w14:paraId="33264C9B" w14:textId="77777777" w:rsidR="004322B1" w:rsidRPr="00AD2F44" w:rsidRDefault="004322B1">
      <w:pPr>
        <w:pStyle w:val="14Footnote"/>
      </w:pPr>
      <w:r w:rsidRPr="00AD2F44">
        <w:rPr>
          <w:i/>
          <w:iCs/>
        </w:rPr>
        <w:t>Fourth Circuit:</w:t>
      </w:r>
      <w:r w:rsidRPr="00AD2F44">
        <w:t xml:space="preserve"> Rehberg v. Flowers Foods, Inc., 2013 WL 1190290, at *3 (W.D.N.C. Mar. 22, 2013).</w:t>
      </w:r>
    </w:p>
    <w:p w14:paraId="5F55A881" w14:textId="77777777" w:rsidR="004322B1" w:rsidRPr="00AD2F44" w:rsidRDefault="004322B1">
      <w:pPr>
        <w:pStyle w:val="14Footnote"/>
      </w:pPr>
      <w:r w:rsidRPr="00AD2F44">
        <w:rPr>
          <w:i/>
          <w:iCs/>
        </w:rPr>
        <w:t>Fifth Circuit:</w:t>
      </w:r>
      <w:r w:rsidRPr="00AD2F44">
        <w:t xml:space="preserve"> Moore v. Special Distribution Servs. Inc., 2007 WL 2318478 (S.D. Tex. Aug. 8, 2007) (granting unopposed motion to issue notice); Pedigo v. 3003 S. Lamar, LLP, 666 F. Supp. 2d 693, 701 (W.D. Tex. 2009).</w:t>
      </w:r>
    </w:p>
    <w:p w14:paraId="742E40AA" w14:textId="77777777" w:rsidR="004322B1" w:rsidRPr="00AD2F44" w:rsidRDefault="004322B1">
      <w:pPr>
        <w:pStyle w:val="14Footnote"/>
      </w:pPr>
      <w:r w:rsidRPr="00AD2F44">
        <w:rPr>
          <w:i/>
          <w:iCs/>
        </w:rPr>
        <w:t>Sixth Circuit:</w:t>
      </w:r>
      <w:r w:rsidRPr="00AD2F44">
        <w:t xml:space="preserve"> Kidd v. Mathis Tire &amp; Auto Serv., Inc., 2014 WL 4923004, at *3 (W.D. Tenn. Sept. 18, 2014).</w:t>
      </w:r>
    </w:p>
    <w:p w14:paraId="2D73B7DD" w14:textId="77777777" w:rsidR="004322B1" w:rsidRPr="00AD2F44" w:rsidRDefault="004322B1">
      <w:pPr>
        <w:pStyle w:val="14Footnote"/>
      </w:pPr>
      <w:r w:rsidRPr="00AD2F44">
        <w:rPr>
          <w:i/>
          <w:iCs/>
        </w:rPr>
        <w:t>Seventh Circuit:</w:t>
      </w:r>
      <w:r w:rsidRPr="00AD2F44">
        <w:t xml:space="preserve"> Mares v. Caesars Entm’t, Inc., 2007 WL 118877 (S.D. Ind. Jan. 10, 2007); Dominguez v. Don Pedro Rest., 2007 WL 271567 (N.D. Ind. Jan. 25, 2007).</w:t>
      </w:r>
    </w:p>
    <w:p w14:paraId="4B6167BC" w14:textId="77777777" w:rsidR="004322B1" w:rsidRPr="00AD2F44" w:rsidRDefault="004322B1">
      <w:pPr>
        <w:pStyle w:val="14Footnote"/>
      </w:pPr>
      <w:r w:rsidRPr="00AD2F44">
        <w:rPr>
          <w:i/>
          <w:iCs/>
        </w:rPr>
        <w:t>Eighth Circuit:</w:t>
      </w:r>
      <w:r w:rsidRPr="00AD2F44">
        <w:t xml:space="preserve"> Perez-Benites v. Candy Brand, LLC, 2008 WL 4809105 (W.D. Ark. Oct. 31, 2008).</w:t>
      </w:r>
    </w:p>
    <w:p w14:paraId="72D577F4" w14:textId="77777777" w:rsidR="004322B1" w:rsidRPr="00AD2F44" w:rsidRDefault="004322B1">
      <w:pPr>
        <w:pStyle w:val="14Footnote"/>
      </w:pPr>
      <w:r w:rsidRPr="00AD2F44">
        <w:rPr>
          <w:i/>
          <w:iCs/>
        </w:rPr>
        <w:t>Ninth Circuit:</w:t>
      </w:r>
      <w:r w:rsidRPr="00AD2F44">
        <w:t xml:space="preserve"> Cranney v. Carriage Servs., Inc., 2008 WL 608639 (D. Nev. Feb. 29, 2008).</w:t>
      </w:r>
    </w:p>
    <w:p w14:paraId="0267B19F" w14:textId="77777777" w:rsidR="004322B1" w:rsidRPr="00AD2F44" w:rsidRDefault="004322B1">
      <w:pPr>
        <w:pStyle w:val="14Footnote"/>
      </w:pPr>
      <w:r w:rsidRPr="00AD2F44">
        <w:rPr>
          <w:i/>
          <w:iCs/>
        </w:rPr>
        <w:t>Eleventh Circuit:</w:t>
      </w:r>
      <w:r w:rsidRPr="00AD2F44">
        <w:t xml:space="preserve"> Hoy v. American Coach Lines of Orlando, 2011 WL 6181830, at *1 (M.D. Fla. Nov. 2, 2011), </w:t>
      </w:r>
      <w:r w:rsidRPr="00AD2F44">
        <w:rPr>
          <w:i/>
          <w:iCs/>
        </w:rPr>
        <w:t>report and recommendation adopted sub nom.</w:t>
      </w:r>
      <w:r w:rsidRPr="00AD2F44">
        <w:t xml:space="preserve"> Hoy v. American Coach Lines of Orlando, Inc., 2011 WL 6205899 (M.D. Fla. Dec. 13, 2011).</w:t>
      </w:r>
    </w:p>
  </w:footnote>
  <w:footnote w:id="340">
    <w:p w14:paraId="5F15DC7A" w14:textId="77777777" w:rsidR="004322B1" w:rsidRPr="00AD2F44" w:rsidRDefault="004322B1">
      <w:pPr>
        <w:pStyle w:val="14Footnote"/>
      </w:pPr>
      <w:r w:rsidRPr="00AD2F44">
        <w:rPr>
          <w:vertAlign w:val="superscript"/>
        </w:rPr>
        <w:footnoteRef/>
      </w:r>
      <w:r w:rsidRPr="00AD2F44">
        <w:rPr>
          <w:i/>
          <w:iCs/>
        </w:rPr>
        <w:t>Moore</w:t>
      </w:r>
      <w:r w:rsidRPr="00AD2F44">
        <w:t xml:space="preserve">, 2007 WL 2318478 (ordering that notice be redrafted to strike reference to having been approved by the magistrate judge); </w:t>
      </w:r>
      <w:r w:rsidRPr="00AD2F44">
        <w:rPr>
          <w:i/>
          <w:iCs/>
        </w:rPr>
        <w:t xml:space="preserve">see also </w:t>
      </w:r>
      <w:r w:rsidRPr="00AD2F44">
        <w:t>Walter v. Buffets Inc., 2015 WL 3903382, at *7 (D.S.C. June 25, 2015); Dunkel v. Warrior Energy Servs., Inc., 304 F.R.D. 193, 204 (W.D. Pa. 2014); Struck v. PNC Bank N.A., 931 F. Supp. 2d 842, 849 (S.D. Ohio 2013).</w:t>
      </w:r>
    </w:p>
  </w:footnote>
  <w:footnote w:id="341">
    <w:p w14:paraId="64B82B9B" w14:textId="77777777" w:rsidR="004322B1" w:rsidRPr="00AD2F44" w:rsidRDefault="004322B1">
      <w:pPr>
        <w:pStyle w:val="14Footnote"/>
      </w:pPr>
      <w:r w:rsidRPr="00AD2F44">
        <w:rPr>
          <w:vertAlign w:val="superscript"/>
        </w:rPr>
        <w:footnoteRef/>
      </w:r>
      <w:r w:rsidRPr="00AD2F44">
        <w:t>Hamelin v. Faxton-St. Luke’s Healthcare, 2009 WL 2045326, at *4 (N.D.N.Y. May 27, 2009) (rejecting magistrate judge’s inclusion of paragraph in notice that limited opt-ins to claims for working during unpaid meal breaks; reasoning that decision to opt in is to opt in to the action, not a single claim); Harris v. Hinds Cnty., Miss., 2014 WL 457913, at *7 (S.D. Miss. Feb. 4, 2014).</w:t>
      </w:r>
    </w:p>
  </w:footnote>
  <w:footnote w:id="342">
    <w:p w14:paraId="086DD0BF" w14:textId="77777777" w:rsidR="004322B1" w:rsidRPr="00AD2F44" w:rsidRDefault="004322B1">
      <w:pPr>
        <w:pStyle w:val="14Footnote"/>
      </w:pPr>
      <w:r w:rsidRPr="00AD2F44">
        <w:rPr>
          <w:vertAlign w:val="superscript"/>
        </w:rPr>
        <w:footnoteRef/>
      </w:r>
      <w:r w:rsidRPr="00AD2F44">
        <w:t xml:space="preserve">This section should provide sufficient information for the putative collective members to determine whether they are members of the putative collective. Thus, any limitations on the scope of the collective should be included. </w:t>
      </w:r>
      <w:r w:rsidRPr="00AD2F44">
        <w:rPr>
          <w:i/>
          <w:iCs/>
        </w:rPr>
        <w:t>See, e</w:t>
      </w:r>
      <w:r w:rsidRPr="00AD2F44">
        <w:t>.</w:t>
      </w:r>
      <w:r w:rsidRPr="00AD2F44">
        <w:rPr>
          <w:i/>
          <w:iCs/>
        </w:rPr>
        <w:t>g</w:t>
      </w:r>
      <w:r w:rsidRPr="00AD2F44">
        <w:t xml:space="preserve">., </w:t>
      </w:r>
    </w:p>
    <w:p w14:paraId="77EDF764" w14:textId="77777777" w:rsidR="004322B1" w:rsidRPr="00AD2F44" w:rsidRDefault="004322B1">
      <w:pPr>
        <w:pStyle w:val="14Footnote"/>
      </w:pPr>
      <w:r w:rsidRPr="00AD2F44">
        <w:rPr>
          <w:i/>
          <w:iCs/>
        </w:rPr>
        <w:t>Seventh Circuit:</w:t>
      </w:r>
      <w:r w:rsidRPr="00AD2F44">
        <w:t xml:space="preserve"> Carter v. Indianapolis Power &amp; Light Co., 2003 WL 23142183 (S.D. Ind. Dec. 23, 2003) (ordering plaintiffs to submit revised notice that properly describes putative class).</w:t>
      </w:r>
    </w:p>
    <w:p w14:paraId="7F38A685" w14:textId="77777777" w:rsidR="004322B1" w:rsidRPr="00AD2F44" w:rsidRDefault="004322B1">
      <w:pPr>
        <w:pStyle w:val="14Footnote"/>
      </w:pPr>
      <w:r w:rsidRPr="00AD2F44">
        <w:rPr>
          <w:i/>
          <w:iCs/>
        </w:rPr>
        <w:t xml:space="preserve">Tenth Circuit: </w:t>
      </w:r>
      <w:r w:rsidRPr="00AD2F44">
        <w:t>Young v. Dollar Tree Stores, Inc., 2012 WL 3705005, at *2–3 (D. Colo. Aug. 24, 2012) (revising notice where language of class description was overly broad); Pack v. Investools, Inc., 2011 WL 5325290, at *3 (D. Utah Nov. 3, 2011) (accepting description of putative class members in notice that was used in plaintiffs’ motion for conditional certification, given that court had not defined scope in its order, but requiring that description reflect that employee must have worked overtime and have been paid less than 1.5 times minimum wage to be eligible).</w:t>
      </w:r>
    </w:p>
    <w:p w14:paraId="3B592B70" w14:textId="77777777" w:rsidR="004322B1" w:rsidRPr="00AD2F44" w:rsidRDefault="004322B1">
      <w:pPr>
        <w:pStyle w:val="14Footnote"/>
      </w:pPr>
      <w:r w:rsidRPr="00AD2F44">
        <w:rPr>
          <w:i/>
          <w:iCs/>
        </w:rPr>
        <w:t xml:space="preserve">Eleventh Circuit: </w:t>
      </w:r>
      <w:r w:rsidRPr="00AD2F44">
        <w:t>Trentman v. RWL Commc’ns, Inc., 2015 WL 2062816, at *4 (M.D. Fla. May 4, 2015) (notice describing class as persons “who did not receive proper overtime compensation” implied finding of improper payment and must be revised).</w:t>
      </w:r>
    </w:p>
  </w:footnote>
  <w:footnote w:id="343">
    <w:p w14:paraId="66E4298C" w14:textId="77777777" w:rsidR="004322B1" w:rsidRPr="00AD2F44" w:rsidRDefault="004322B1" w:rsidP="000B6C5F">
      <w:pPr>
        <w:pStyle w:val="FootnoteText"/>
      </w:pPr>
      <w:r w:rsidRPr="00AD2F44">
        <w:rPr>
          <w:rStyle w:val="FootnoteReference"/>
        </w:rPr>
        <w:footnoteRef/>
      </w:r>
      <w:r w:rsidRPr="00AD2F44">
        <w:rPr>
          <w:i/>
          <w:iCs/>
        </w:rPr>
        <w:t xml:space="preserve">See, e.g., </w:t>
      </w:r>
      <w:r w:rsidRPr="00AD2F44">
        <w:t>Mebane v. GKN Driveline N. Am., Inc., 337 F.R.D. 479 (M.D.N.C. 2020) (holding that notice must make clear that court had not ruled on the merits of plaintiffs’ claims).</w:t>
      </w:r>
    </w:p>
    <w:p w14:paraId="5A1AD319" w14:textId="77777777" w:rsidR="004322B1" w:rsidRPr="00AD2F44" w:rsidRDefault="004322B1" w:rsidP="000B6C5F">
      <w:pPr>
        <w:pStyle w:val="FootnoteText"/>
      </w:pPr>
    </w:p>
  </w:footnote>
  <w:footnote w:id="344">
    <w:p w14:paraId="52214DDB" w14:textId="77777777" w:rsidR="004322B1" w:rsidRPr="00AD2F44" w:rsidRDefault="004322B1">
      <w:pPr>
        <w:pStyle w:val="14Footnote"/>
      </w:pPr>
      <w:r w:rsidRPr="00AD2F44">
        <w:rPr>
          <w:vertAlign w:val="superscript"/>
        </w:rPr>
        <w:footnoteRef/>
      </w:r>
      <w:r w:rsidRPr="00AD2F44">
        <w:rPr>
          <w:i/>
          <w:iCs/>
        </w:rPr>
        <w:t>See, e.g.,</w:t>
      </w:r>
    </w:p>
    <w:p w14:paraId="62B4BA5A" w14:textId="77777777" w:rsidR="004322B1" w:rsidRPr="00AD2F44" w:rsidRDefault="004322B1">
      <w:pPr>
        <w:pStyle w:val="14Footnote"/>
      </w:pPr>
      <w:r w:rsidRPr="00AD2F44">
        <w:rPr>
          <w:i/>
          <w:iCs/>
        </w:rPr>
        <w:t>Second Circuit:</w:t>
      </w:r>
      <w:r w:rsidRPr="00AD2F44">
        <w:t xml:space="preserve"> Sobczak v. AWL Indus., Inc., 540 F. Supp. 2d 354 (E.D.N.Y. 2007).</w:t>
      </w:r>
    </w:p>
    <w:p w14:paraId="4A5DE8D5" w14:textId="77777777" w:rsidR="004322B1" w:rsidRPr="00AD2F44" w:rsidRDefault="004322B1">
      <w:pPr>
        <w:pStyle w:val="14Footnote"/>
      </w:pPr>
      <w:r w:rsidRPr="00AD2F44">
        <w:rPr>
          <w:i/>
          <w:iCs/>
        </w:rPr>
        <w:t>Fifth Circuit:</w:t>
      </w:r>
      <w:r w:rsidRPr="00AD2F44">
        <w:t xml:space="preserve"> Valentine v. Harris Cnty., 2003 WL 23741412 (S.D. Tex. Aug. 25, 2003); De La Rosa Ortiz v. Rain King, Inc., 2003 WL 23741409 (S.D. Tex. Mar. 10, 2003); Senglin v. Cypress Creek Emergency Med. Servs. Ass’n, 2002 WL 32639766 (S.D. Tex. Feb. 8, 2002).</w:t>
      </w:r>
    </w:p>
    <w:p w14:paraId="0FBA20ED" w14:textId="77777777" w:rsidR="004322B1" w:rsidRPr="00AD2F44" w:rsidRDefault="004322B1">
      <w:pPr>
        <w:pStyle w:val="14Footnote"/>
      </w:pPr>
      <w:r w:rsidRPr="00AD2F44">
        <w:rPr>
          <w:i/>
          <w:iCs/>
        </w:rPr>
        <w:t>Sixth Circuit:</w:t>
      </w:r>
      <w:r w:rsidRPr="00AD2F44">
        <w:t xml:space="preserve"> Bailey v. Youth Vills., Inc., 2008 WL 2987201 (W.D. Tenn. July 30, 2008).</w:t>
      </w:r>
    </w:p>
    <w:p w14:paraId="728DED00" w14:textId="77777777" w:rsidR="004322B1" w:rsidRPr="00AD2F44" w:rsidRDefault="004322B1">
      <w:pPr>
        <w:pStyle w:val="14Footnote"/>
      </w:pPr>
      <w:r w:rsidRPr="00AD2F44">
        <w:rPr>
          <w:i/>
          <w:iCs/>
        </w:rPr>
        <w:t>Seventh Circuit:</w:t>
      </w:r>
      <w:r w:rsidRPr="00AD2F44">
        <w:t xml:space="preserve"> Krieg v. Pell’s, Inc., 2001 WL 548394 (S.D. Ind. Mar. 29, 2001).</w:t>
      </w:r>
    </w:p>
    <w:p w14:paraId="49CA0F16" w14:textId="77777777" w:rsidR="004322B1" w:rsidRPr="00AD2F44" w:rsidRDefault="004322B1">
      <w:pPr>
        <w:pStyle w:val="14Footnote"/>
      </w:pPr>
      <w:r w:rsidRPr="00AD2F44">
        <w:rPr>
          <w:i/>
          <w:iCs/>
        </w:rPr>
        <w:t>Eighth Circuit:</w:t>
      </w:r>
      <w:r w:rsidRPr="00AD2F44">
        <w:t xml:space="preserve"> Martinez v. Cargill Meat Sols., 265 F.R.D. 490, 500 (D. Neb. 2009).</w:t>
      </w:r>
    </w:p>
    <w:p w14:paraId="67B1A305" w14:textId="77777777" w:rsidR="004322B1" w:rsidRPr="00AD2F44" w:rsidRDefault="004322B1">
      <w:pPr>
        <w:pStyle w:val="14Footnote"/>
      </w:pPr>
      <w:r w:rsidRPr="00AD2F44">
        <w:rPr>
          <w:i/>
          <w:iCs/>
        </w:rPr>
        <w:t>Ninth Circuit:</w:t>
      </w:r>
      <w:r w:rsidRPr="00AD2F44">
        <w:t xml:space="preserve"> Hoffman v. Construction Protective Servs., Inc., 2004 WL 5642136 (C.D. Cal. July 13, 2004).</w:t>
      </w:r>
    </w:p>
    <w:p w14:paraId="24C7E377" w14:textId="77777777" w:rsidR="004322B1" w:rsidRPr="00AD2F44" w:rsidRDefault="004322B1">
      <w:pPr>
        <w:pStyle w:val="14Footnote"/>
      </w:pPr>
      <w:r w:rsidRPr="00AD2F44">
        <w:rPr>
          <w:i/>
          <w:iCs/>
        </w:rPr>
        <w:t>Eleventh Circuit:</w:t>
      </w:r>
      <w:r w:rsidRPr="00AD2F44">
        <w:t xml:space="preserve"> Albritton v. Cagle’s, Inc., 508 F.3d 1012 (11th Cir. 2007); Abdullah v. Equity Grp.-Ga. Div., LLC, 2006 WL 5063131 (M.D. Ga. Oct. 13, 2006).</w:t>
      </w:r>
    </w:p>
  </w:footnote>
  <w:footnote w:id="345">
    <w:p w14:paraId="236E0E3F" w14:textId="77777777" w:rsidR="004322B1" w:rsidRPr="00AD2F44" w:rsidRDefault="004322B1">
      <w:pPr>
        <w:pStyle w:val="14Footnote"/>
      </w:pPr>
      <w:r w:rsidRPr="00AD2F44">
        <w:rPr>
          <w:vertAlign w:val="superscript"/>
        </w:rPr>
        <w:footnoteRef/>
      </w:r>
      <w:r w:rsidRPr="00AD2F44">
        <w:rPr>
          <w:i/>
          <w:iCs/>
        </w:rPr>
        <w:t>See, e.g.,</w:t>
      </w:r>
    </w:p>
    <w:p w14:paraId="50253B56" w14:textId="77777777" w:rsidR="004322B1" w:rsidRPr="00AD2F44" w:rsidRDefault="004322B1">
      <w:pPr>
        <w:pStyle w:val="14Footnote"/>
      </w:pPr>
      <w:r w:rsidRPr="00AD2F44">
        <w:rPr>
          <w:i/>
          <w:iCs/>
        </w:rPr>
        <w:t>First Circuit:</w:t>
      </w:r>
      <w:r w:rsidRPr="00AD2F44">
        <w:t xml:space="preserve"> Curtis v. Scholarship Storage Inc., 2015 WL 1241365, at *6 (D. Me. Mar. 18, 2015).</w:t>
      </w:r>
    </w:p>
    <w:p w14:paraId="3F6231C7" w14:textId="77777777" w:rsidR="004322B1" w:rsidRPr="00AD2F44" w:rsidRDefault="004322B1">
      <w:pPr>
        <w:pStyle w:val="14Footnote"/>
      </w:pPr>
      <w:r w:rsidRPr="00AD2F44">
        <w:rPr>
          <w:i/>
          <w:iCs/>
        </w:rPr>
        <w:t>Second Circuit:</w:t>
      </w:r>
      <w:r w:rsidRPr="00AD2F44">
        <w:t xml:space="preserve"> Iriarte v. Redwood Deli &amp; Catering, Inc., 2008 WL 2622929 (E.D.N.Y. June 30, 2008); Francis v. A &amp; E Stores, Inc., 2008 WL 2588851 (S.D.N.Y. June 26, 2008); Sobczak v. AWL Indus., Inc., 540 F. Supp. 2d 354 (E.D.N.Y. 2007); Anglada v. Linens ‘N Things, Inc., 2007 WL 1552511 (S.D.N.Y. Apr. 26, 2007); Lynch v. United Servs. Auto. Ass’n, 491 F. Supp. 2d 357, 367 (S.D.N.Y. 2007).</w:t>
      </w:r>
    </w:p>
    <w:p w14:paraId="351C6979" w14:textId="77777777" w:rsidR="004322B1" w:rsidRPr="00AD2F44" w:rsidRDefault="004322B1">
      <w:pPr>
        <w:pStyle w:val="14Footnote"/>
      </w:pPr>
      <w:r w:rsidRPr="00AD2F44">
        <w:rPr>
          <w:i/>
          <w:iCs/>
        </w:rPr>
        <w:t>Third Circuit:</w:t>
      </w:r>
      <w:r w:rsidRPr="00AD2F44">
        <w:t xml:space="preserve"> Ritzer v. UBS Fin. Servs., Inc., 2008 WL 4372784, at *11–12 (D.N.J. Sept. 22, 2008).</w:t>
      </w:r>
    </w:p>
    <w:p w14:paraId="1E071A0E" w14:textId="77777777" w:rsidR="004322B1" w:rsidRPr="00AD2F44" w:rsidRDefault="004322B1">
      <w:pPr>
        <w:pStyle w:val="14Footnote"/>
      </w:pPr>
      <w:r w:rsidRPr="00AD2F44">
        <w:rPr>
          <w:i/>
          <w:iCs/>
        </w:rPr>
        <w:t>Fourth Circuit:</w:t>
      </w:r>
      <w:r w:rsidRPr="00AD2F44">
        <w:t xml:space="preserve"> Mancia v. Mayflower Textile Servs. Co., 2008 WL 4735344, at *4 (D. Md. Oct. 14, 2008).</w:t>
      </w:r>
    </w:p>
    <w:p w14:paraId="117F4F6C" w14:textId="77777777" w:rsidR="004322B1" w:rsidRPr="00AD2F44" w:rsidRDefault="004322B1">
      <w:pPr>
        <w:pStyle w:val="14Footnote"/>
      </w:pPr>
      <w:r w:rsidRPr="00AD2F44">
        <w:rPr>
          <w:i/>
          <w:iCs/>
        </w:rPr>
        <w:t>Fifth Circuit:</w:t>
      </w:r>
      <w:r w:rsidRPr="00AD2F44">
        <w:t xml:space="preserve"> Reyes v. Quality Logging, Inc., 52 F. Supp. 3d 849, 853 (S.D. Tex. 2014); Updite v. Delta Beverage Grp., Inc., 2006 WL 3718229 (W.D. La. Dec. 15, 2006); Vogt v. Texas Instruments, Inc., 2006 WL 4660134 (N.D. Tex. Sept. 19, 2006); Alba v. Loncar, 2004 WL 1144052 (N.D. Tex. May 20, 2004); Belt v. Emcare, Inc., 299 F. Supp. 2d 664 (E.D. Tex. 2003); Solis v. Hotels.com Tex. Inc., 2003 WL 22272008 (N.D. Tex. Oct. 1, 2003).</w:t>
      </w:r>
    </w:p>
    <w:p w14:paraId="5C16AEE2" w14:textId="77777777" w:rsidR="004322B1" w:rsidRPr="00AD2F44" w:rsidRDefault="004322B1">
      <w:pPr>
        <w:pStyle w:val="14Footnote"/>
      </w:pPr>
      <w:r w:rsidRPr="00AD2F44">
        <w:rPr>
          <w:i/>
          <w:iCs/>
        </w:rPr>
        <w:t>Sixth Circuit:</w:t>
      </w:r>
      <w:r w:rsidRPr="00AD2F44">
        <w:t xml:space="preserve"> Hardesty v. Litton’s Mkt. &amp; Rest., Inc., 2012 WL 6046743, at *6 (E.D. Tenn. Sept. 28, 2012) </w:t>
      </w:r>
      <w:r w:rsidRPr="00AD2F44">
        <w:rPr>
          <w:i/>
          <w:iCs/>
        </w:rPr>
        <w:t>report and recommendation adopted</w:t>
      </w:r>
      <w:r w:rsidRPr="00AD2F44">
        <w:t>, 2012 WL 6046697 (E.D. Tenn. Dec. 5, 2012); Adams v. Medplans Partners, Inc., 2007 WL 4291303 (W.D. Ky. Dec. 5, 2007); Carlson v. Leprino Foods Co., 2006 WL 2375046 (W.D. Mich. Aug. 15, 2006); Belcher v. Shoney’s, Inc., 927 F. Supp. 249, 252–55 (M.D. Tenn. 1996).</w:t>
      </w:r>
    </w:p>
    <w:p w14:paraId="6D400D55" w14:textId="77777777" w:rsidR="004322B1" w:rsidRPr="00AD2F44" w:rsidRDefault="004322B1">
      <w:pPr>
        <w:pStyle w:val="14Footnote"/>
      </w:pPr>
      <w:r w:rsidRPr="00AD2F44">
        <w:rPr>
          <w:i/>
          <w:iCs/>
        </w:rPr>
        <w:t>Seventh Circuit:</w:t>
      </w:r>
      <w:r w:rsidRPr="00AD2F44">
        <w:t xml:space="preserve"> Craft v. Ray’s, LLC, 2008 WL 5458947 (S.D. Ind. Dec. 31, 2008); Cheesman v. Nexstar Broad. Grp., Inc., 2008 WL 2225617 (S.D. Ind. May 27, 2008); Heckler v. DK Funding, LLC, 502 F. Supp. 2d 777 (N.D. Ill. 2007); Vennet v. American Intercontinental Univ. Online, 2005 WL 6215171 (N.D. Ill. Dec. 22, 2005); Ponce v. Tim’s Time, Inc., 2004 WL 1921038 (N.D. Ill. July 8, 2004).</w:t>
      </w:r>
    </w:p>
    <w:p w14:paraId="4D4C7209" w14:textId="77777777" w:rsidR="004322B1" w:rsidRPr="00AD2F44" w:rsidRDefault="004322B1">
      <w:pPr>
        <w:pStyle w:val="14Footnote"/>
      </w:pPr>
      <w:r w:rsidRPr="00AD2F44">
        <w:rPr>
          <w:i/>
          <w:iCs/>
        </w:rPr>
        <w:t>Eighth Circuit:</w:t>
      </w:r>
      <w:r w:rsidRPr="00AD2F44">
        <w:t xml:space="preserve"> </w:t>
      </w:r>
      <w:r w:rsidRPr="00AD2F44">
        <w:rPr>
          <w:i/>
          <w:iCs/>
        </w:rPr>
        <w:t>In re</w:t>
      </w:r>
      <w:r w:rsidRPr="00AD2F44">
        <w:t xml:space="preserve"> Pilgrim’s Pride Fair Labor Standards Act Litig., 2008 WL 2061265 (W.D. Ark. May 14, 2008); Huang v. Gateway Hotel Holdings, 248 F.R.D. 225 (E.D. Mo. 2008); Davis v. Novastar Mortg., Inc., 2005 WL 3662438 (W.D. Mo. Dec. 13, 2005); Saunders v. Ace Mortg. Funding, Inc., 2005 WL 3054594 (D. Minn. Nov. 14, 2005).</w:t>
      </w:r>
    </w:p>
    <w:p w14:paraId="08BF9C5D" w14:textId="77777777" w:rsidR="004322B1" w:rsidRPr="00AD2F44" w:rsidRDefault="004322B1">
      <w:pPr>
        <w:pStyle w:val="14Footnote"/>
      </w:pPr>
      <w:r w:rsidRPr="00AD2F44">
        <w:rPr>
          <w:i/>
          <w:iCs/>
        </w:rPr>
        <w:t>Ninth Circuit:</w:t>
      </w:r>
      <w:r w:rsidRPr="00AD2F44">
        <w:t xml:space="preserve"> Lemus v. Burnham Painting &amp; Drywall Corp, 2007 WL 1875540 (D. Nev. June 25, 2007); Williams v. Trendwest Resorts, Inc., 2006 WL 3690686 (D. Nev. Dec. 7, 2006); Veliz v. Cintas Corp., 2004 WL 2623909 (N.D. Cal. Nov. 12, 2004).</w:t>
      </w:r>
    </w:p>
    <w:p w14:paraId="39DE4E23" w14:textId="77777777" w:rsidR="004322B1" w:rsidRPr="00AD2F44" w:rsidRDefault="004322B1">
      <w:pPr>
        <w:pStyle w:val="14Footnote"/>
      </w:pPr>
      <w:r w:rsidRPr="00AD2F44">
        <w:rPr>
          <w:i/>
          <w:iCs/>
        </w:rPr>
        <w:t>Tenth Circuit:</w:t>
      </w:r>
      <w:r w:rsidRPr="00AD2F44">
        <w:t xml:space="preserve"> Pack v. Investools, Inc., 2011 WL 5325290, at *4 (D. Utah Nov. 3, 2011) (allowing inclusion of sentence in retaliation section of notice that was directed to current employees and included statement “your decision about whether or not to join this lawsuit will not affect your employment in any way,” reasoning that it allowed notice recipients to “apply the cited law to their own situation, and does so clearly”); Fortna v. QC Holdings, Inc., 2006 WL 2385303 (N.D. Okla. Aug. 17, 2006); Reab v. Electronic Arts, Inc., 214 F.R.D. 623, 629 (D. Colo. 2002).</w:t>
      </w:r>
    </w:p>
    <w:p w14:paraId="206870F4" w14:textId="77777777" w:rsidR="004322B1" w:rsidRPr="00AD2F44" w:rsidRDefault="004322B1">
      <w:pPr>
        <w:pStyle w:val="14Footnote"/>
      </w:pPr>
      <w:r w:rsidRPr="00AD2F44">
        <w:rPr>
          <w:i/>
          <w:iCs/>
        </w:rPr>
        <w:t>Eleventh Circuit:</w:t>
      </w:r>
      <w:r w:rsidRPr="00AD2F44">
        <w:t xml:space="preserve"> Ohsann v. L.V. Stabler Hosp., 2008 WL 2468559 (M.D. Ala. June 17, 2008); Garrison v. Chuck, Carol &amp; Co., 2007 WL 1106128 (M.D. Fla. Apr. 11, 2007); Gutescu v. Carey Int’l, Inc., 2003 WL 25586749 (S.D. Fla. July 21, 2003). </w:t>
      </w:r>
    </w:p>
    <w:p w14:paraId="61C20B1E" w14:textId="77777777" w:rsidR="004322B1" w:rsidRPr="00AD2F44" w:rsidRDefault="004322B1">
      <w:pPr>
        <w:pStyle w:val="14Footnote"/>
      </w:pPr>
      <w:r w:rsidRPr="00AD2F44">
        <w:rPr>
          <w:i/>
          <w:iCs/>
        </w:rPr>
        <w:t>Federal Circuit:</w:t>
      </w:r>
      <w:r w:rsidRPr="00AD2F44">
        <w:t xml:space="preserve"> Gayle v. United States, 85 Fed. Cl. 72 (2008).</w:t>
      </w:r>
    </w:p>
  </w:footnote>
  <w:footnote w:id="346">
    <w:p w14:paraId="6C316CDD" w14:textId="77777777" w:rsidR="004322B1" w:rsidRPr="00AD2F44" w:rsidRDefault="004322B1">
      <w:pPr>
        <w:pStyle w:val="14Footnote"/>
      </w:pPr>
      <w:r w:rsidRPr="00AD2F44">
        <w:rPr>
          <w:vertAlign w:val="superscript"/>
        </w:rPr>
        <w:footnoteRef/>
      </w:r>
      <w:r w:rsidRPr="00AD2F44">
        <w:rPr>
          <w:i/>
          <w:iCs/>
        </w:rPr>
        <w:t>See, e.g.,</w:t>
      </w:r>
    </w:p>
    <w:p w14:paraId="3F2A5ADD" w14:textId="77777777" w:rsidR="004322B1" w:rsidRPr="00AD2F44" w:rsidRDefault="004322B1">
      <w:pPr>
        <w:pStyle w:val="14Footnote"/>
      </w:pPr>
      <w:r w:rsidRPr="00AD2F44">
        <w:rPr>
          <w:i/>
          <w:iCs/>
        </w:rPr>
        <w:t>Second Circuit:</w:t>
      </w:r>
      <w:r w:rsidRPr="00AD2F44">
        <w:t xml:space="preserve"> Lynch v. United Servs. Auto Ass’n., 491 F. Supp. 2d 357 (S.D.N.Y. 2007); Anglada v. Linens ‘N Things, Inc., 2007 U.S. Dist. LEXIS 39105 (S.D.N.Y. Apr. 26, 2007).</w:t>
      </w:r>
    </w:p>
    <w:p w14:paraId="56EC9E6F" w14:textId="77777777" w:rsidR="004322B1" w:rsidRPr="00AD2F44" w:rsidRDefault="004322B1">
      <w:pPr>
        <w:pStyle w:val="14Footnote"/>
      </w:pPr>
      <w:r w:rsidRPr="00AD2F44">
        <w:rPr>
          <w:i/>
          <w:iCs/>
        </w:rPr>
        <w:t>Third Circuit:</w:t>
      </w:r>
      <w:r w:rsidRPr="00AD2F44">
        <w:t xml:space="preserve"> Mott v. Driveline Retail Merch., Inc., 23 F. Supp. 3d 483, 491 (E.D. Pa. 2014); Ritzer v. UBS Fin. Servs., Inc., 2008 WL 4372784 (D.N.J. Sept. 22, 2008).</w:t>
      </w:r>
    </w:p>
    <w:p w14:paraId="4E86F379" w14:textId="77777777" w:rsidR="004322B1" w:rsidRPr="00AD2F44" w:rsidRDefault="004322B1">
      <w:pPr>
        <w:pStyle w:val="14Footnote"/>
      </w:pPr>
      <w:r w:rsidRPr="00AD2F44">
        <w:rPr>
          <w:i/>
          <w:iCs/>
        </w:rPr>
        <w:t>Fourth Circuit:</w:t>
      </w:r>
      <w:r w:rsidRPr="00AD2F44">
        <w:t xml:space="preserve"> De Luna-Guerrero v. North Carolina Grower’s Ass’n, Inc., 338 F. Supp. 2d 649, 666–67 (E.D.N.C. 2004).</w:t>
      </w:r>
    </w:p>
    <w:p w14:paraId="2A37390F" w14:textId="77777777" w:rsidR="004322B1" w:rsidRPr="00AD2F44" w:rsidRDefault="004322B1">
      <w:pPr>
        <w:pStyle w:val="14Footnote"/>
      </w:pPr>
      <w:r w:rsidRPr="00AD2F44">
        <w:rPr>
          <w:i/>
          <w:iCs/>
        </w:rPr>
        <w:t>Fifth Circuit:</w:t>
      </w:r>
      <w:r w:rsidRPr="00AD2F44">
        <w:t xml:space="preserve"> Updite v. Delta Beverage Grp., Inc., 2006 WL 3718229 (W.D. La. Dec. 15, 2006); </w:t>
      </w:r>
      <w:r w:rsidRPr="00AD2F44">
        <w:rPr>
          <w:i/>
          <w:iCs/>
        </w:rPr>
        <w:t>Vogt</w:t>
      </w:r>
      <w:r w:rsidRPr="00AD2F44">
        <w:t xml:space="preserve">, 2006 WL 4660134; </w:t>
      </w:r>
      <w:r w:rsidRPr="00AD2F44">
        <w:rPr>
          <w:i/>
          <w:iCs/>
        </w:rPr>
        <w:t>Belt</w:t>
      </w:r>
      <w:r w:rsidRPr="00AD2F44">
        <w:t>, 299 F. Supp. 2d 664; Solis v. Hotels.com Tex. Inc., 2003 WL 22272008 (N.D. Tex. Oct. 1, 2003).</w:t>
      </w:r>
    </w:p>
    <w:p w14:paraId="2394AE98" w14:textId="77777777" w:rsidR="004322B1" w:rsidRPr="00AD2F44" w:rsidRDefault="004322B1">
      <w:pPr>
        <w:pStyle w:val="14Footnote"/>
      </w:pPr>
      <w:r w:rsidRPr="00AD2F44">
        <w:rPr>
          <w:i/>
          <w:iCs/>
        </w:rPr>
        <w:t>Sixth Circuit:</w:t>
      </w:r>
      <w:r w:rsidRPr="00AD2F44">
        <w:t xml:space="preserve"> Hardesty v. Litton’s Mkt. &amp; Rest., Inc., 2012 WL 6046743, at *6 (E.D. Tenn. Sept. 28, 2012), </w:t>
      </w:r>
      <w:r w:rsidRPr="00AD2F44">
        <w:rPr>
          <w:i/>
          <w:iCs/>
        </w:rPr>
        <w:t>report and recommendation adopted</w:t>
      </w:r>
      <w:r w:rsidRPr="00AD2F44">
        <w:t>, 2012 WL 6046697 (E.D. Tenn. Dec. 5, 2012); Belcher v. Shoney’s, Inc., 927 F. Supp. 249 (M.D. Tenn. 1996).</w:t>
      </w:r>
    </w:p>
    <w:p w14:paraId="19FAD543" w14:textId="77777777" w:rsidR="004322B1" w:rsidRPr="00AD2F44" w:rsidRDefault="004322B1">
      <w:pPr>
        <w:pStyle w:val="14Footnote"/>
      </w:pPr>
      <w:r w:rsidRPr="00AD2F44">
        <w:rPr>
          <w:i/>
          <w:iCs/>
        </w:rPr>
        <w:t>Seventh Circuit:</w:t>
      </w:r>
      <w:r w:rsidRPr="00AD2F44">
        <w:t xml:space="preserve"> Carlson v. Leprino Foods Co., 2006 WL 2375046 (W.D. Mich. Aug. 15, 2006); Monroe v. United Air Lines, Inc., 90 F.R.D. 638 (C.D. Ill. 1981).</w:t>
      </w:r>
    </w:p>
    <w:p w14:paraId="46D42F3A" w14:textId="77777777" w:rsidR="004322B1" w:rsidRPr="00AD2F44" w:rsidRDefault="004322B1">
      <w:pPr>
        <w:pStyle w:val="14Footnote"/>
      </w:pPr>
      <w:r w:rsidRPr="00AD2F44">
        <w:rPr>
          <w:i/>
          <w:iCs/>
        </w:rPr>
        <w:t>Eighth Circuit:</w:t>
      </w:r>
      <w:r w:rsidRPr="00AD2F44">
        <w:t xml:space="preserve"> </w:t>
      </w:r>
      <w:r w:rsidRPr="00AD2F44">
        <w:rPr>
          <w:i/>
          <w:iCs/>
        </w:rPr>
        <w:t>In re</w:t>
      </w:r>
      <w:r w:rsidRPr="00AD2F44">
        <w:t xml:space="preserve"> Pilgrim’s Pride Fair Labor Standards Act Litig., 2008 WL 2061265 (W.D. Ark. May 14, 2008); Davis v. Novastar Mortg., Inc., 2005 WL 3662438 (W.D. Mo. Dec. 13, 2005).</w:t>
      </w:r>
    </w:p>
    <w:p w14:paraId="55248D46" w14:textId="77777777" w:rsidR="004322B1" w:rsidRPr="00AD2F44" w:rsidRDefault="004322B1">
      <w:pPr>
        <w:pStyle w:val="14Footnote"/>
      </w:pPr>
      <w:r w:rsidRPr="00AD2F44">
        <w:rPr>
          <w:i/>
          <w:iCs/>
        </w:rPr>
        <w:t>Ninth Circuit:</w:t>
      </w:r>
      <w:r w:rsidRPr="00AD2F44">
        <w:t xml:space="preserve"> Russell v. Wells Fargo &amp; Co., 2008 WL 4104212 (N.D. Cal. Sept. 3, 2008); Veliz v. Cintas Corp., 2004 WL 2623909 (N.D. Cal. Nov. 12, 2004); Hoffman v. Construction Protective Servs., Inc., 2004 WL 5642136 (C.D. Cal. July 13, 2004).</w:t>
      </w:r>
    </w:p>
    <w:p w14:paraId="764CA206" w14:textId="77777777" w:rsidR="004322B1" w:rsidRPr="00AD2F44" w:rsidRDefault="004322B1">
      <w:pPr>
        <w:pStyle w:val="14Footnote"/>
      </w:pPr>
      <w:r w:rsidRPr="00AD2F44">
        <w:rPr>
          <w:i/>
          <w:iCs/>
        </w:rPr>
        <w:t>Tenth Circuit:</w:t>
      </w:r>
      <w:r w:rsidRPr="00AD2F44">
        <w:t xml:space="preserve"> Fortna v. QC Holdings, Inc., 2006 WL 2385303 (N.D. Okla. Aug. 17, 2006).</w:t>
      </w:r>
    </w:p>
    <w:p w14:paraId="74F0BA16" w14:textId="77777777" w:rsidR="004322B1" w:rsidRPr="00AD2F44" w:rsidRDefault="004322B1">
      <w:pPr>
        <w:pStyle w:val="14Footnote"/>
      </w:pPr>
      <w:r w:rsidRPr="00AD2F44">
        <w:rPr>
          <w:i/>
          <w:iCs/>
        </w:rPr>
        <w:t>Eleventh Circuit:</w:t>
      </w:r>
      <w:r w:rsidRPr="00AD2F44">
        <w:t xml:space="preserve"> Ohsann v. L.V. Stabler Hosp., 2008 WL 2468559 (M.D. Ala. June 17, 2008).</w:t>
      </w:r>
    </w:p>
    <w:p w14:paraId="521FCC36" w14:textId="77777777" w:rsidR="004322B1" w:rsidRPr="00AD2F44" w:rsidRDefault="004322B1">
      <w:pPr>
        <w:pStyle w:val="14Footnote"/>
      </w:pPr>
      <w:r w:rsidRPr="00AD2F44">
        <w:rPr>
          <w:i/>
          <w:iCs/>
        </w:rPr>
        <w:t>Federal Circuit:</w:t>
      </w:r>
      <w:r w:rsidRPr="00AD2F44">
        <w:t xml:space="preserve"> Whalen v. United States, 85 Fed. Cl. 380 (2009); Gayle v. United States, 85 Fed. Cl. 72, 81 (2008).</w:t>
      </w:r>
    </w:p>
  </w:footnote>
  <w:footnote w:id="347">
    <w:p w14:paraId="28EA14F3" w14:textId="77777777" w:rsidR="004322B1" w:rsidRPr="00AD2F44" w:rsidRDefault="004322B1">
      <w:pPr>
        <w:pStyle w:val="14Footnote"/>
      </w:pPr>
      <w:r w:rsidRPr="00AD2F44">
        <w:rPr>
          <w:vertAlign w:val="superscript"/>
        </w:rPr>
        <w:footnoteRef/>
      </w:r>
      <w:r w:rsidRPr="00AD2F44">
        <w:rPr>
          <w:i/>
          <w:iCs/>
        </w:rPr>
        <w:t>See, e.g.,</w:t>
      </w:r>
    </w:p>
    <w:p w14:paraId="3732863E" w14:textId="77777777" w:rsidR="004322B1" w:rsidRPr="00AD2F44" w:rsidRDefault="004322B1">
      <w:pPr>
        <w:pStyle w:val="14Footnote"/>
      </w:pPr>
      <w:r w:rsidRPr="00AD2F44">
        <w:rPr>
          <w:i/>
          <w:iCs/>
        </w:rPr>
        <w:t>First Circuit:</w:t>
      </w:r>
      <w:r w:rsidRPr="00AD2F44">
        <w:t xml:space="preserve"> Curtis v. Scholarship Storage Inc., 2015 WL 1241365, at *6 (D. Me. Mar. 18, 2015).</w:t>
      </w:r>
    </w:p>
    <w:p w14:paraId="2854DBCE" w14:textId="77777777" w:rsidR="004322B1" w:rsidRPr="00AD2F44" w:rsidRDefault="004322B1">
      <w:pPr>
        <w:pStyle w:val="14Footnote"/>
      </w:pPr>
      <w:r w:rsidRPr="00AD2F44">
        <w:rPr>
          <w:i/>
          <w:iCs/>
        </w:rPr>
        <w:t>Second Circuit:</w:t>
      </w:r>
      <w:r w:rsidRPr="00AD2F44">
        <w:t xml:space="preserve"> Ayers v. SGS Control Servs., Inc., 2004 WL 2978296, at *2 (S.D.N.Y. Dec. 21, 2004) (language should be “fair and balanced”).</w:t>
      </w:r>
    </w:p>
    <w:p w14:paraId="5A813B29" w14:textId="77777777" w:rsidR="004322B1" w:rsidRPr="00AD2F44" w:rsidRDefault="004322B1">
      <w:pPr>
        <w:pStyle w:val="14Footnote"/>
      </w:pPr>
      <w:r w:rsidRPr="00AD2F44">
        <w:rPr>
          <w:i/>
          <w:iCs/>
        </w:rPr>
        <w:t>Third Circuit:</w:t>
      </w:r>
      <w:r w:rsidRPr="00AD2F44">
        <w:t xml:space="preserve"> Zanes v. Flagship Resort Dev., 2010 WL 4687814, at *5 (D.N.J. Nov. 9, 2010) (rejecting defendant’s request that any court-authorized notice “make explicit reference to the import and consequence of the relevant statutory exemptions,” finding that “[t]he statutory exemptions are complex and defined by lengthy federal regulations and substantial case law”); Camesi v. University of Pittsburgh Med. Ctr., 2009 WL 1652216 (W.D. Pa. June 10, 2009) (approving the use of the Federal Judiciary Center’s (FJC’s) model notice forms, finding that the format and content of the FJC’s model notices facilitate the communication of complex legal issues in an easily readable and understandable fashion).</w:t>
      </w:r>
    </w:p>
    <w:p w14:paraId="2AC77F1E" w14:textId="77777777" w:rsidR="004322B1" w:rsidRPr="00AD2F44" w:rsidRDefault="004322B1">
      <w:pPr>
        <w:pStyle w:val="14Footnote"/>
      </w:pPr>
      <w:r w:rsidRPr="00AD2F44">
        <w:rPr>
          <w:i/>
          <w:iCs/>
        </w:rPr>
        <w:t>Fourth Circuit:</w:t>
      </w:r>
      <w:r w:rsidRPr="00AD2F44">
        <w:t xml:space="preserve"> Byard v. Verizon W. Va., Inc., 287 F.R.D. 365, 372–73 (N.D. W. Va. 2012) (ordering the plaintiff to modify the proposed notice to be less confusing).</w:t>
      </w:r>
    </w:p>
    <w:p w14:paraId="426478F7" w14:textId="77777777" w:rsidR="004322B1" w:rsidRPr="00AD2F44" w:rsidRDefault="004322B1">
      <w:pPr>
        <w:pStyle w:val="14Footnote"/>
      </w:pPr>
      <w:r w:rsidRPr="00AD2F44">
        <w:rPr>
          <w:i/>
          <w:iCs/>
        </w:rPr>
        <w:t>Sixth Circuit:</w:t>
      </w:r>
      <w:r w:rsidRPr="00AD2F44">
        <w:t xml:space="preserve"> Swallows v. City of Brentwood, 2007 WL 2402735, at *3 (M.D. Tenn. Aug. 20, 2007) (“Counsel for the parties are expected to formulate an agreed-notice which is neutral in tone … .”); Baden-Winterwood v. Life Time Fitness, 2006 WL 2225825, at *3 (S.D. Ohio Aug. 2, 2006) (selecting defendant’s proposed notice, since it clearly informed the potential plaintiffs of the “who, why, when, where, and how,” used “plain English and contain[ed], in an organized manner, all of the information a prospective plaintiff needs to know in order to make an informed decision about whether to complete and return the consent form”).</w:t>
      </w:r>
    </w:p>
    <w:p w14:paraId="2381781E" w14:textId="77777777" w:rsidR="004322B1" w:rsidRPr="00AD2F44" w:rsidRDefault="004322B1">
      <w:pPr>
        <w:pStyle w:val="14Footnote"/>
      </w:pPr>
      <w:r w:rsidRPr="00AD2F44">
        <w:rPr>
          <w:i/>
          <w:iCs/>
        </w:rPr>
        <w:t>Seventh Circuit:</w:t>
      </w:r>
      <w:r w:rsidRPr="00AD2F44">
        <w:t xml:space="preserve"> Garcia v. Elite Labor Serv., Ltd., 1996 WL 33500122, at *3 (N.D. Ill. July 11, 1996) (“Class notices must contain neutral, clear and understandable language in order to be valid.”).</w:t>
      </w:r>
    </w:p>
    <w:p w14:paraId="38E9EF51" w14:textId="77777777" w:rsidR="004322B1" w:rsidRPr="00AD2F44" w:rsidRDefault="004322B1">
      <w:pPr>
        <w:pStyle w:val="14Footnote"/>
      </w:pPr>
      <w:r w:rsidRPr="00AD2F44">
        <w:rPr>
          <w:i/>
          <w:iCs/>
        </w:rPr>
        <w:t>Ninth Circuit:</w:t>
      </w:r>
      <w:r w:rsidRPr="00AD2F44">
        <w:t xml:space="preserve"> Mowdy v. Beneto Bulk Transp., 2008 WL 901546, at *10 (N.D. Cal. Mar. 31, 2008) (stating the purpose of notice is to provide a “neutral” discussion and noting the court’s concern with “ensuring that any notice sent out is clear and understandable”); Gerlach v. Wells Fargo &amp; Co., 2006 WL 824652, at *4 (N.D. Cal. Mar. 28, 2006) (rejecting defendants’ four-sentence description of the lawsuit as inadequate and criticizing plaintiffs’ description as “one-sided and argumentative”).</w:t>
      </w:r>
    </w:p>
    <w:p w14:paraId="018EB6CB" w14:textId="77777777" w:rsidR="004322B1" w:rsidRPr="00AD2F44" w:rsidRDefault="004322B1">
      <w:pPr>
        <w:pStyle w:val="14Footnote"/>
      </w:pPr>
      <w:r w:rsidRPr="00AD2F44">
        <w:rPr>
          <w:i/>
          <w:iCs/>
        </w:rPr>
        <w:t xml:space="preserve">Tenth Circuit: </w:t>
      </w:r>
      <w:r w:rsidRPr="00AD2F44">
        <w:t>Pack v. Investools, Inc., 2011 WL 5325290, at *1, 3 (D. Utah Nov. 3, 2011) (rejecting argument that use of term “class action” would be confusing to laypeople, especially given its interchangeable use with collective action by practitioners and commentators; modifying plaintiffs’ proposed phrase “right to join” with “your participation in a lawsuit” regarding FLSA, because “right to join” implied entitlement to participate and potentially raised false hopes of financial recovery).</w:t>
      </w:r>
    </w:p>
    <w:p w14:paraId="5B073E58" w14:textId="77777777" w:rsidR="004322B1" w:rsidRPr="00AD2F44" w:rsidRDefault="004322B1">
      <w:pPr>
        <w:pStyle w:val="14Footnote"/>
      </w:pPr>
      <w:r w:rsidRPr="00AD2F44">
        <w:rPr>
          <w:i/>
          <w:iCs/>
        </w:rPr>
        <w:t>Eleventh Circuit:</w:t>
      </w:r>
      <w:r w:rsidRPr="00AD2F44">
        <w:t xml:space="preserve"> Wajcman v. Hartman &amp; Tyner, Inc., 2008 WL 203579, at *2 (S.D. Fla. Jan. 23, 2008) (adopting defendant’s notice since it was “more neutral in its tone and therefore more appropriate”).</w:t>
      </w:r>
    </w:p>
    <w:p w14:paraId="3FEFA371" w14:textId="77777777" w:rsidR="004322B1" w:rsidRPr="00AD2F44" w:rsidRDefault="004322B1">
      <w:pPr>
        <w:pStyle w:val="14Footnote"/>
      </w:pPr>
      <w:r w:rsidRPr="00AD2F44">
        <w:t xml:space="preserve">Courts have found too much legal jargon to be confusing, but have also rejected oversimplified notices as inadequate. </w:t>
      </w:r>
      <w:r w:rsidRPr="00AD2F44">
        <w:rPr>
          <w:i/>
          <w:iCs/>
        </w:rPr>
        <w:t>See</w:t>
      </w:r>
      <w:r w:rsidRPr="00AD2F44">
        <w:t xml:space="preserve"> Bifulco v. Mortgage Zone Inc., 262 F.R.D. 209 (E.D.N.Y. Nov. 9, 2009) (finding the use of the word “class” potentially confusing and requiring amendment to “collective”). </w:t>
      </w:r>
      <w:r w:rsidRPr="00AD2F44">
        <w:rPr>
          <w:i/>
          <w:iCs/>
        </w:rPr>
        <w:t>Compare</w:t>
      </w:r>
      <w:r w:rsidRPr="00AD2F44">
        <w:t xml:space="preserve"> Garcia v. Elite Labor Serv., Ltd., 1996 WL 33500122, at *3 (N.D. Ill. July 11, 1996) (rejecting proposed notice that incorporated legal terminology as potentially confusing to members of putative class of day laborers), </w:t>
      </w:r>
      <w:r w:rsidRPr="00AD2F44">
        <w:rPr>
          <w:i/>
          <w:iCs/>
        </w:rPr>
        <w:t>with</w:t>
      </w:r>
      <w:r w:rsidRPr="00AD2F44">
        <w:t xml:space="preserve"> Gerlach v. Wells Fargo &amp; Co., 2006 WL 824652, at *4 (N.D. Cal. Mar. 28, 2006) (rejecting defendants’ four-sentence description of the lawsuit as inadequate).</w:t>
      </w:r>
    </w:p>
  </w:footnote>
  <w:footnote w:id="348">
    <w:p w14:paraId="675DF373" w14:textId="77777777" w:rsidR="004322B1" w:rsidRPr="00AD2F44" w:rsidRDefault="004322B1">
      <w:pPr>
        <w:pStyle w:val="14Footnote"/>
      </w:pPr>
      <w:r w:rsidRPr="00AD2F44">
        <w:rPr>
          <w:vertAlign w:val="superscript"/>
        </w:rPr>
        <w:footnoteRef/>
      </w:r>
      <w:r w:rsidRPr="00AD2F44">
        <w:rPr>
          <w:i/>
          <w:iCs/>
        </w:rPr>
        <w:t>See, e.g.,</w:t>
      </w:r>
    </w:p>
    <w:p w14:paraId="1A5174F8" w14:textId="77777777" w:rsidR="004322B1" w:rsidRPr="00AD2F44" w:rsidRDefault="004322B1">
      <w:pPr>
        <w:pStyle w:val="14Footnote"/>
      </w:pPr>
      <w:r w:rsidRPr="00AD2F44">
        <w:rPr>
          <w:i/>
          <w:iCs/>
        </w:rPr>
        <w:t>Second Circuit:</w:t>
      </w:r>
      <w:r w:rsidRPr="00AD2F44">
        <w:t xml:space="preserve"> Nyarko v. M&amp;A Projects Restoration Inc., 2021 BL 345815, 2021 WL 4755602 (E.D.N.Y. Sept. 13, 2021) (allowing, without objection, notation in notice translated into native language of non-English-speaking groups that allowed request for translated notice and consent form); Gortat v. Capala Bros., 2010 WL 1423018, at *12 (E.D.N.Y. Apr. 9, 2010), </w:t>
      </w:r>
      <w:r w:rsidRPr="00AD2F44">
        <w:rPr>
          <w:i/>
          <w:iCs/>
        </w:rPr>
        <w:t>aff’d sub nom.</w:t>
      </w:r>
      <w:r w:rsidRPr="00AD2F44">
        <w:t xml:space="preserve"> Gortat v. Capala Bros., Inc., 568 F. App’x 78 (2d Cir. 2014) (approving publication in Polish language newspaper); Diaz v. S &amp; H Bondi’s Dep’t Store, 2012 WL 137460, at *8 (S.D.N.Y. Jan. 18, 2012) (ordering notice be provided in English and Spanish); Cuzco v. Orion Builders, Inc., 477 F. Supp. 2d 628, 632 (S.D.N.Y. 2007) (directing distribution of notice in English and Spanish but declining to order distribution in additional languages); Sobczak v. AWL Indus., Inc., 540 F. Supp. 2d 354 (E.D.N.Y. 2007); Gjurovich v. Emmanuel’s Marketplace, Inc., 282 F. Supp. 2d 101, 108 (S.D.N.Y. 2003) (ordering translation of notice if a “substantial number (25 percent or more) of potential plaintiffs speak a language other than English”); Roebuck v. Hudson Valley Farms, Inc., 239 F. Supp. 2d 234, 240 (N.D.N.Y. 2002).</w:t>
      </w:r>
    </w:p>
    <w:p w14:paraId="4201210A" w14:textId="77777777" w:rsidR="004322B1" w:rsidRPr="00AD2F44" w:rsidRDefault="004322B1">
      <w:pPr>
        <w:pStyle w:val="14Footnote"/>
      </w:pPr>
      <w:r w:rsidRPr="00AD2F44">
        <w:rPr>
          <w:i/>
          <w:iCs/>
        </w:rPr>
        <w:t>Third Circuit:</w:t>
      </w:r>
      <w:r w:rsidRPr="00AD2F44">
        <w:t xml:space="preserve"> De Asencio v. Tyson Foods, Inc., 130 F. Supp. 2d 660 (E.D. Pa. 2001).</w:t>
      </w:r>
    </w:p>
    <w:p w14:paraId="405D5965" w14:textId="77777777" w:rsidR="004322B1" w:rsidRPr="00AD2F44" w:rsidRDefault="004322B1">
      <w:pPr>
        <w:pStyle w:val="14Footnote"/>
      </w:pPr>
      <w:r w:rsidRPr="00AD2F44">
        <w:rPr>
          <w:i/>
          <w:iCs/>
        </w:rPr>
        <w:t>Fourth Circuit:</w:t>
      </w:r>
      <w:r w:rsidRPr="00AD2F44">
        <w:t xml:space="preserve"> McLaurin v. Prestage Foods, Inc., 271 F.R.D. 465, 479 (E.D.N.C. 2010) (“The parties shall submit English and Spanish versions of the class notice and appropriate forms, with the Spanish translation prepared by an individual certified as a Spanish–English Federal Court Interpreter by the Administrative Office of the United States Courts.”).</w:t>
      </w:r>
    </w:p>
    <w:p w14:paraId="583B4C96" w14:textId="77777777" w:rsidR="004322B1" w:rsidRPr="00AD2F44" w:rsidRDefault="004322B1">
      <w:pPr>
        <w:pStyle w:val="14Footnote"/>
      </w:pPr>
      <w:r w:rsidRPr="00AD2F44">
        <w:rPr>
          <w:i/>
          <w:iCs/>
        </w:rPr>
        <w:t>Fifth Circuit:</w:t>
      </w:r>
      <w:r w:rsidRPr="00AD2F44">
        <w:t xml:space="preserve"> Albanil v. Coast 2 Coast, Inc., 2008 WL 4937565 (S.D. Tex. Nov. 17, 2008); Lima v. International Catastrophe Sols., Inc., 493 F. Supp. 2d 793 (E.D. La. 2007) (ordering publication of notice in certain Portuguese, Spanish, and English language newspapers along the Gulf Coast and through certain foreign consulates and embassies); Aguilar v. Complete Landsculpture, Inc., 2004 WL 2293842 (N.D. Tex. Oct. 7, 2004); De La Rosa Ortiz v. Rain King, Inc., 2003 WL 23741409 (S.D. Tex. Mar. 10, 2003).</w:t>
      </w:r>
    </w:p>
    <w:p w14:paraId="75F5E89C" w14:textId="77777777" w:rsidR="004322B1" w:rsidRPr="00AD2F44" w:rsidRDefault="004322B1">
      <w:pPr>
        <w:pStyle w:val="14Footnote"/>
      </w:pPr>
      <w:r w:rsidRPr="00AD2F44">
        <w:rPr>
          <w:i/>
          <w:iCs/>
        </w:rPr>
        <w:t>Sixth Circuit:</w:t>
      </w:r>
      <w:r w:rsidRPr="00AD2F44">
        <w:t xml:space="preserve"> Dillworth v. Case Farms Processing, Inc., 2010 WL 776933, at *1 (N.D. Ohio Mar. 8, 2010) (notice provided in Spanish and English); Roslies-Perez v. Superior Forestry Serv., Inc., 652 F. Supp. 2d 887, 900 (M.D. Tenn. 2009) (same).</w:t>
      </w:r>
    </w:p>
    <w:p w14:paraId="75E9ABDE" w14:textId="77777777" w:rsidR="004322B1" w:rsidRPr="00AD2F44" w:rsidRDefault="004322B1">
      <w:pPr>
        <w:pStyle w:val="14Footnote"/>
      </w:pPr>
      <w:r w:rsidRPr="00AD2F44">
        <w:rPr>
          <w:i/>
          <w:iCs/>
        </w:rPr>
        <w:t>Seventh Circuit:</w:t>
      </w:r>
      <w:r w:rsidRPr="00AD2F44">
        <w:t xml:space="preserve"> Dominguez v. Don Pedro Rest., 2007 WL 271567 (N.D. Ind. Jan. 25, 2007).</w:t>
      </w:r>
    </w:p>
    <w:p w14:paraId="207365F3" w14:textId="77777777" w:rsidR="004322B1" w:rsidRPr="00AD2F44" w:rsidRDefault="004322B1">
      <w:pPr>
        <w:pStyle w:val="14Footnote"/>
      </w:pPr>
      <w:r w:rsidRPr="00AD2F44">
        <w:rPr>
          <w:i/>
          <w:iCs/>
        </w:rPr>
        <w:t>Eighth Circuit:</w:t>
      </w:r>
      <w:r w:rsidRPr="00AD2F44">
        <w:t xml:space="preserve"> Martinez v. Cargill Meat Sols., 265 F.R.D. 490, 502 (D. Neb. 2009); Perez-Benites v. Candy Brand, LLC, 2008 WL 4809105 (W.D. Ark. Oct. 31, 2008); </w:t>
      </w:r>
      <w:r w:rsidRPr="00AD2F44">
        <w:rPr>
          <w:i/>
          <w:iCs/>
        </w:rPr>
        <w:t>In re</w:t>
      </w:r>
      <w:r w:rsidRPr="00AD2F44">
        <w:t xml:space="preserve"> Pilgrim’s Pride Fair Labor Standards Act Litig., 2008 WL 2061265 (W.D. Ark. May 14, 2008).</w:t>
      </w:r>
    </w:p>
    <w:p w14:paraId="061AF053" w14:textId="77777777" w:rsidR="004322B1" w:rsidRPr="00AD2F44" w:rsidRDefault="004322B1">
      <w:pPr>
        <w:pStyle w:val="14Footnote"/>
      </w:pPr>
      <w:r w:rsidRPr="00AD2F44">
        <w:rPr>
          <w:i/>
          <w:iCs/>
        </w:rPr>
        <w:t>Ninth Circuit:</w:t>
      </w:r>
      <w:r w:rsidRPr="00AD2F44">
        <w:t xml:space="preserve"> Does I v. Advance Textile Corp., 2001 WL 1773179 (D.N. Mar. I. Oct. 16, 2001).</w:t>
      </w:r>
    </w:p>
    <w:p w14:paraId="528259D9" w14:textId="77777777" w:rsidR="004322B1" w:rsidRPr="00AD2F44" w:rsidRDefault="004322B1">
      <w:pPr>
        <w:pStyle w:val="14Footnote"/>
      </w:pPr>
      <w:r w:rsidRPr="00AD2F44">
        <w:rPr>
          <w:i/>
          <w:iCs/>
        </w:rPr>
        <w:t>Tenth Circuit:</w:t>
      </w:r>
      <w:r w:rsidRPr="00AD2F44">
        <w:t xml:space="preserve"> Sanchez v. Creekstone Farms Premium Beef, LLC, 2012 WL 380279, at *3 (D. Kan. Feb. 6, 2012) (ordering conspicuous posting of the notice in both English and Spanish).</w:t>
      </w:r>
    </w:p>
    <w:p w14:paraId="6DBDAE6C" w14:textId="77777777" w:rsidR="004322B1" w:rsidRPr="00AD2F44" w:rsidRDefault="004322B1">
      <w:pPr>
        <w:pStyle w:val="14Footnote"/>
      </w:pPr>
      <w:r w:rsidRPr="00AD2F44">
        <w:rPr>
          <w:i/>
          <w:iCs/>
        </w:rPr>
        <w:t>Eleventh Circuit:</w:t>
      </w:r>
      <w:r w:rsidRPr="00AD2F44">
        <w:t xml:space="preserve"> Hernandez v. Two Bros. Farm, LLC, 2008 WL 4613069 (S.D. Fla. Oct. 15, 2008) (ordering posting of notice in Spanish, Creole, and English)</w:t>
      </w:r>
    </w:p>
  </w:footnote>
  <w:footnote w:id="349">
    <w:p w14:paraId="20D96836" w14:textId="77777777" w:rsidR="004322B1" w:rsidRPr="00AD2F44" w:rsidRDefault="004322B1">
      <w:pPr>
        <w:pStyle w:val="14Footnote"/>
      </w:pPr>
      <w:r w:rsidRPr="00AD2F44">
        <w:rPr>
          <w:vertAlign w:val="superscript"/>
        </w:rPr>
        <w:footnoteRef/>
      </w:r>
      <w:r w:rsidRPr="00AD2F44">
        <w:rPr>
          <w:i/>
          <w:iCs/>
        </w:rPr>
        <w:t>See, e.g.,</w:t>
      </w:r>
    </w:p>
    <w:p w14:paraId="4F7FA693"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443BBD">
        <w:t>2022 BL 459417</w:t>
      </w:r>
      <w:r>
        <w:t xml:space="preserve">, </w:t>
      </w:r>
      <w:r w:rsidRPr="00AD0C2E">
        <w:t xml:space="preserve">2022 WL 17820139 </w:t>
      </w:r>
      <w:r>
        <w:t xml:space="preserve">(E.D.N.Y. Sept. 27, 2022); </w:t>
      </w:r>
      <w:r w:rsidRPr="00AD2F44">
        <w:t>Hernandez v. Immortal Rise, Inc., 2012 WL 4369746, at *7–8 (E.D.N.Y. Sept. 24, 2012).</w:t>
      </w:r>
    </w:p>
    <w:p w14:paraId="6F262FC3" w14:textId="77777777" w:rsidR="004322B1" w:rsidRPr="00AD2F44" w:rsidRDefault="004322B1">
      <w:pPr>
        <w:pStyle w:val="14Footnote"/>
      </w:pPr>
      <w:r w:rsidRPr="00AD2F44">
        <w:rPr>
          <w:i/>
          <w:iCs/>
        </w:rPr>
        <w:t>Third Circuit:</w:t>
      </w:r>
      <w:r w:rsidRPr="00AD2F44">
        <w:t xml:space="preserve"> Stillman v. Staples, Inc., 2008 WL 1843998 (D.N.J. Apr. 22, 2008).</w:t>
      </w:r>
    </w:p>
    <w:p w14:paraId="27034E4B" w14:textId="77777777" w:rsidR="004322B1" w:rsidRPr="00AD2F44" w:rsidRDefault="004322B1">
      <w:pPr>
        <w:pStyle w:val="14Footnote"/>
      </w:pPr>
      <w:r w:rsidRPr="00AD2F44">
        <w:rPr>
          <w:i/>
          <w:iCs/>
        </w:rPr>
        <w:t>Eighth Circuit:</w:t>
      </w:r>
      <w:r w:rsidRPr="00AD2F44">
        <w:t xml:space="preserve"> Halsey v. Casino One Corp., 2012 WL 6200531, at *5 (E.D. Mo. Dec. 12, 2012); Martinez v. Cargill Meat Sols., 265 F.R.D. 490, 500 (D. Neb. 2009).</w:t>
      </w:r>
    </w:p>
    <w:p w14:paraId="44DF4FDD" w14:textId="77777777" w:rsidR="004322B1" w:rsidRPr="00AD2F44" w:rsidRDefault="004322B1">
      <w:pPr>
        <w:pStyle w:val="14Footnote"/>
      </w:pPr>
      <w:r w:rsidRPr="00AD2F44">
        <w:rPr>
          <w:i/>
          <w:iCs/>
        </w:rPr>
        <w:t>Tenth Circuit:</w:t>
      </w:r>
      <w:r w:rsidRPr="00AD2F44">
        <w:t xml:space="preserve"> Clayton v. Velociti, Inc., 2009 WL 304190 (D. Kan. Feb. 9, 2009) (slip op.).</w:t>
      </w:r>
    </w:p>
    <w:p w14:paraId="4607A91A" w14:textId="77777777" w:rsidR="004322B1" w:rsidRPr="00AD2F44" w:rsidRDefault="004322B1">
      <w:pPr>
        <w:pStyle w:val="14Footnote"/>
      </w:pPr>
      <w:r w:rsidRPr="00AD2F44">
        <w:rPr>
          <w:i/>
          <w:iCs/>
        </w:rPr>
        <w:t>D.C. Circuit:</w:t>
      </w:r>
      <w:r w:rsidRPr="00AD2F44">
        <w:t xml:space="preserve"> Robinson–Smith v. Government Emps. Ins. Co., 424 F. Supp. 2d 117, 121 (D.D.C. 2006)</w:t>
      </w:r>
    </w:p>
  </w:footnote>
  <w:footnote w:id="350">
    <w:p w14:paraId="2EEF1FCA" w14:textId="77777777" w:rsidR="004322B1" w:rsidRPr="00AD2F44" w:rsidRDefault="004322B1">
      <w:pPr>
        <w:pStyle w:val="14Footnote"/>
      </w:pPr>
      <w:r w:rsidRPr="00AD2F44">
        <w:rPr>
          <w:vertAlign w:val="superscript"/>
        </w:rPr>
        <w:footnoteRef/>
      </w:r>
      <w:r w:rsidRPr="00AD2F44">
        <w:rPr>
          <w:i/>
          <w:iCs/>
        </w:rPr>
        <w:t>See, e.g.,</w:t>
      </w:r>
    </w:p>
    <w:p w14:paraId="26A35DF4" w14:textId="77777777" w:rsidR="004322B1" w:rsidRPr="00AD2F44" w:rsidRDefault="004322B1">
      <w:pPr>
        <w:pStyle w:val="14Footnote"/>
      </w:pPr>
      <w:r w:rsidRPr="00AD2F44">
        <w:rPr>
          <w:i/>
          <w:iCs/>
        </w:rPr>
        <w:t>Second Circuit:</w:t>
      </w:r>
      <w:r w:rsidRPr="00AD2F44">
        <w:t xml:space="preserve"> Iriarte v. Redwood Deli &amp; Catering, Inc., 2008 WL 2622929 (E.D.N.Y. June 30, 2008); Sobczak v. AWL Indus., Inc., 540 F. Supp. 2d 354 (E.D.N.Y. 2007); Masson v. Ecolab, Inc., 2005 WL 2000133 (S.D.N.Y. Aug. 17, 2005); Gjurovich v. Emmanuel’s Marketplace, Inc., 282 F. Supp. 2d 101 (S.D.N.Y. 2003).</w:t>
      </w:r>
    </w:p>
    <w:p w14:paraId="64581DC0" w14:textId="77777777" w:rsidR="004322B1" w:rsidRPr="00AD2F44" w:rsidRDefault="004322B1">
      <w:pPr>
        <w:pStyle w:val="14Footnote"/>
      </w:pPr>
      <w:r w:rsidRPr="00AD2F44">
        <w:rPr>
          <w:i/>
          <w:iCs/>
        </w:rPr>
        <w:t>Fifth Circuit:</w:t>
      </w:r>
      <w:r w:rsidRPr="00AD2F44">
        <w:t xml:space="preserve"> Camp v. Progressive Corp., 2002 WL 31496661 (E.D. La. Nov. 8, 2002).</w:t>
      </w:r>
    </w:p>
    <w:p w14:paraId="237A2CDD" w14:textId="77777777" w:rsidR="004322B1" w:rsidRPr="00AD2F44" w:rsidRDefault="004322B1">
      <w:pPr>
        <w:pStyle w:val="14Footnote"/>
      </w:pPr>
      <w:r w:rsidRPr="00AD2F44">
        <w:rPr>
          <w:i/>
          <w:iCs/>
        </w:rPr>
        <w:t>Sixth Circuit:</w:t>
      </w:r>
      <w:r w:rsidRPr="00AD2F44">
        <w:t xml:space="preserve"> Belcher v. Shoney’s, Inc., 927 F. Supp. 249, 252–55 (M.D. Tenn. 1996).</w:t>
      </w:r>
    </w:p>
    <w:p w14:paraId="2117D328" w14:textId="77777777" w:rsidR="004322B1" w:rsidRPr="00AD2F44" w:rsidRDefault="004322B1">
      <w:pPr>
        <w:pStyle w:val="14Footnote"/>
      </w:pPr>
      <w:r w:rsidRPr="00AD2F44">
        <w:rPr>
          <w:i/>
          <w:iCs/>
        </w:rPr>
        <w:t>Seventh Circuit:</w:t>
      </w:r>
      <w:r w:rsidRPr="00AD2F44">
        <w:t xml:space="preserve"> Bontempo v. Metro Networks Commc’ns Ltd. P’ship, 2002 WL 1925911 (N.D. Ill. May 3, 2002).</w:t>
      </w:r>
    </w:p>
    <w:p w14:paraId="2A0C7A34" w14:textId="77777777" w:rsidR="004322B1" w:rsidRPr="00AD2F44" w:rsidRDefault="004322B1">
      <w:pPr>
        <w:pStyle w:val="14Footnote"/>
      </w:pPr>
      <w:r w:rsidRPr="00AD2F44">
        <w:rPr>
          <w:i/>
          <w:iCs/>
        </w:rPr>
        <w:t>Ninth Circuit:</w:t>
      </w:r>
      <w:r w:rsidRPr="00AD2F44">
        <w:t xml:space="preserve"> Lemus v. Burnham Painting &amp; Drywall Corp., 2007 WL 1875540 (D. Nev. June 25, 2007).</w:t>
      </w:r>
    </w:p>
    <w:p w14:paraId="3BB8DA1C" w14:textId="77777777" w:rsidR="004322B1" w:rsidRPr="00AD2F44" w:rsidRDefault="004322B1">
      <w:pPr>
        <w:pStyle w:val="14Footnote"/>
      </w:pPr>
      <w:r w:rsidRPr="00AD2F44">
        <w:rPr>
          <w:i/>
          <w:iCs/>
        </w:rPr>
        <w:t>Tenth Circuit:</w:t>
      </w:r>
      <w:r w:rsidRPr="00AD2F44">
        <w:t xml:space="preserve"> Reab v. Electronic Arts, Inc., 214 F.R.D. 623, 629 (D. Colo. 2002).</w:t>
      </w:r>
    </w:p>
    <w:p w14:paraId="3D942702" w14:textId="77777777" w:rsidR="004322B1" w:rsidRPr="00AD2F44" w:rsidRDefault="004322B1">
      <w:pPr>
        <w:pStyle w:val="14Footnote"/>
      </w:pPr>
      <w:r w:rsidRPr="00AD2F44">
        <w:rPr>
          <w:i/>
          <w:iCs/>
        </w:rPr>
        <w:t>Federal Circuit:</w:t>
      </w:r>
      <w:r w:rsidRPr="00AD2F44">
        <w:t xml:space="preserve"> Whalen v. United States, 85 Fed. Cl. 380 (Fed. Cl. 2009).</w:t>
      </w:r>
    </w:p>
  </w:footnote>
  <w:footnote w:id="351">
    <w:p w14:paraId="77A95276" w14:textId="77777777" w:rsidR="004322B1" w:rsidRPr="00AD2F44" w:rsidRDefault="004322B1">
      <w:pPr>
        <w:pStyle w:val="14Footnote"/>
      </w:pPr>
      <w:r w:rsidRPr="00AD2F44">
        <w:rPr>
          <w:vertAlign w:val="superscript"/>
        </w:rPr>
        <w:footnoteRef/>
      </w:r>
      <w:r w:rsidRPr="00AD2F44">
        <w:rPr>
          <w:i/>
          <w:iCs/>
        </w:rPr>
        <w:t>See</w:t>
      </w:r>
      <w:r w:rsidRPr="00AD2F44">
        <w:t xml:space="preserve"> Rosario v. Valentine Ave. Discount Store, Co., 828 F. Supp. 2d 508, 520 (E.D.N.Y. 2011) (collecting cases from New York federal district courts); </w:t>
      </w:r>
      <w:r w:rsidRPr="00AD2F44">
        <w:rPr>
          <w:i/>
          <w:iCs/>
        </w:rPr>
        <w:t>see also</w:t>
      </w:r>
      <w:r w:rsidRPr="00AD2F44">
        <w:t xml:space="preserve"> Bath v. Red Vision Sys., Inc., 2014 WL 2436100, at *7 (D.N.J. May 29, 2014) (finding that such statements have the potential of chilling participation in the collective action).</w:t>
      </w:r>
    </w:p>
  </w:footnote>
  <w:footnote w:id="352">
    <w:p w14:paraId="35CD77CC" w14:textId="77777777" w:rsidR="004322B1" w:rsidRPr="00AD2F44" w:rsidRDefault="004322B1">
      <w:pPr>
        <w:pStyle w:val="14Footnote"/>
      </w:pPr>
      <w:r w:rsidRPr="00AD2F44">
        <w:rPr>
          <w:vertAlign w:val="superscript"/>
        </w:rPr>
        <w:footnoteRef/>
      </w:r>
      <w:r w:rsidRPr="00AD2F44">
        <w:rPr>
          <w:i/>
          <w:iCs/>
        </w:rPr>
        <w:t>See, e.g.,</w:t>
      </w:r>
    </w:p>
    <w:p w14:paraId="26799B90" w14:textId="77777777" w:rsidR="004322B1" w:rsidRPr="003B2A44" w:rsidRDefault="004322B1">
      <w:pPr>
        <w:pStyle w:val="14Footnote"/>
      </w:pPr>
      <w:r w:rsidRPr="00AD2F44">
        <w:rPr>
          <w:i/>
          <w:iCs/>
        </w:rPr>
        <w:t>Second Circuit:</w:t>
      </w:r>
      <w:r w:rsidRPr="00AD2F44">
        <w:t xml:space="preserve"> </w:t>
      </w:r>
      <w:r w:rsidRPr="00E64B4B">
        <w:t>Rodney v. Casella Waste Sys., Inc</w:t>
      </w:r>
      <w:r w:rsidRPr="00A25B5B">
        <w:t>.,</w:t>
      </w:r>
      <w:r w:rsidRPr="002F69CA">
        <w:rPr>
          <w:rFonts w:eastAsiaTheme="minorEastAsia"/>
          <w:color w:val="3D3D3D"/>
          <w:sz w:val="22"/>
          <w:szCs w:val="22"/>
          <w:shd w:val="clear" w:color="auto" w:fill="FFFFFF"/>
        </w:rPr>
        <w:t xml:space="preserve"> </w:t>
      </w:r>
      <w:r w:rsidRPr="002F69CA">
        <w:rPr>
          <w:color w:val="3D3D3D"/>
          <w:shd w:val="clear" w:color="auto" w:fill="FFFFFF"/>
        </w:rPr>
        <w:t>2023 BL 17561,</w:t>
      </w:r>
      <w:r>
        <w:rPr>
          <w:rFonts w:ascii="Source Sans Pro" w:hAnsi="Source Sans Pro"/>
          <w:color w:val="3D3D3D"/>
          <w:shd w:val="clear" w:color="auto" w:fill="FFFFFF"/>
        </w:rPr>
        <w:t xml:space="preserve"> </w:t>
      </w:r>
      <w:r w:rsidRPr="00E64B4B">
        <w:t>2023 WL 313929</w:t>
      </w:r>
      <w:r>
        <w:t xml:space="preserve"> (</w:t>
      </w:r>
      <w:r w:rsidRPr="00E64B4B">
        <w:t>D. Vt. Jan. 19, 2023)</w:t>
      </w:r>
      <w:r>
        <w:t xml:space="preserve"> (permitting inclusion in notice of defendant’s Motor Carrier Act exemption defense); Pierre v. City of New York, </w:t>
      </w:r>
      <w:r w:rsidRPr="003B2A44">
        <w:t>2022 BL 342037</w:t>
      </w:r>
      <w:r>
        <w:t xml:space="preserve">, </w:t>
      </w:r>
      <w:r w:rsidRPr="00AD0C2E">
        <w:t>2022 WL 4482295</w:t>
      </w:r>
      <w:r>
        <w:t xml:space="preserve">, at *9 (S.D.N.Y. Sept. 27, 2022) (allowing statement of denial but refusing to permit defendants to include statement they plan to move for decertification as “confusing and premature”); Zimnicki v. Krysiak Constr. Corp., </w:t>
      </w:r>
      <w:r w:rsidRPr="00443BBD">
        <w:t>2022 BL 459417</w:t>
      </w:r>
      <w:r>
        <w:t xml:space="preserve">, </w:t>
      </w:r>
      <w:r w:rsidRPr="00AD0C2E">
        <w:t xml:space="preserve">2022 WL 17820139 </w:t>
      </w:r>
      <w:r>
        <w:t xml:space="preserve">(E.D.N.Y. Sept. 27, 2022) (requiring plaintiffs to add general denial by defendants of violating the FLSA); </w:t>
      </w:r>
      <w:r w:rsidRPr="00AD2F44">
        <w:t>Hernandez v. City of N.Y., 2017 WL 2829816, at *8–9 (S.D.N.Y. June 29, 2017) (permitting defendant to include in notice statement that defendant maintains plaintiffs were compensated appropriately and lawsuit was meritless, information about potential discovery obligations of opt-in plaintiffs, language notifying plaintiffs that they could retain their own counsel, and defense counsel’s contact information); Mendoza v. Ashiya Sushi 5, Inc., 2013 WL 5211939 (S.D.N.Y. Sept. 16, 2013); Hernandez v. Merrill Lynch &amp; Co., 2012 WL 1193836, at *5 (S.D.N.Y. Apr. 6, 2012) (permitting defendant to submit language regarding their position in case, with “proportionality as the correct touchstone”); Moore v. Eagle Sanitation, Inc., 276 F.R.D. 54, 60 (E.D.N.Y. 2011) (rejecting defendants’ request for notice to contain specific reference to defense of Motor Carrier Act, explaining notice already contained statement that defendants deny allegations); Sexton v. Franklin First Fin., Ltd., 2009 WL 1706535 (E.D.N.Y. June 16, 2009); Rubery v. Buth-Na-Bodhaige, Inc., 569 F. Supp. 2d 334 (W.D.N.Y. 2008); Roebuck v. Hudson Valley Farms, Inc., 239 F. Supp. 2d 234, 240 (N.D.N.Y. 2002).</w:t>
      </w:r>
    </w:p>
    <w:p w14:paraId="22519D9C" w14:textId="77777777" w:rsidR="004322B1" w:rsidRPr="00AD2F44" w:rsidRDefault="004322B1">
      <w:pPr>
        <w:pStyle w:val="14Footnote"/>
      </w:pPr>
      <w:r w:rsidRPr="00AD2F44">
        <w:rPr>
          <w:i/>
          <w:iCs/>
        </w:rPr>
        <w:t xml:space="preserve">Third Circuit: </w:t>
      </w:r>
      <w:r w:rsidRPr="00AD2F44">
        <w:t>Kuznyetsov v. West Penn Allegheny Health Sys., Inc., 2009 WL 2145297, at *2 (W.D. Pa. July 15, 2009) (requiring that defendant’s denial of wrongdoing be moved from third page to first page, to make notice more balanced).</w:t>
      </w:r>
    </w:p>
    <w:p w14:paraId="3018294A" w14:textId="77777777" w:rsidR="004322B1" w:rsidRPr="00AD2F44" w:rsidRDefault="004322B1">
      <w:pPr>
        <w:pStyle w:val="14Footnote"/>
      </w:pPr>
      <w:r w:rsidRPr="00AD2F44">
        <w:rPr>
          <w:i/>
          <w:iCs/>
        </w:rPr>
        <w:t>Fourth Circuit:</w:t>
      </w:r>
      <w:r w:rsidRPr="00AD2F44">
        <w:t xml:space="preserve"> Byard v. Verizon W. Va., Inc., 287 F.R.D. 365, 373–74 (N.D. W. Va. 2012) (approving statement that “Verizon and Frontier deny the allegations and maintain these individuals were properly paid” and rejecting defendant’s request to include “sample[s] of their legal defenses in order to ‘balance’ the text of the notice.”).</w:t>
      </w:r>
    </w:p>
    <w:p w14:paraId="29F4B787" w14:textId="77777777" w:rsidR="004322B1" w:rsidRPr="00AD2F44" w:rsidRDefault="004322B1">
      <w:pPr>
        <w:pStyle w:val="14Footnote"/>
      </w:pPr>
      <w:r w:rsidRPr="00AD2F44">
        <w:rPr>
          <w:i/>
          <w:iCs/>
        </w:rPr>
        <w:t>Fifth Circuit:</w:t>
      </w:r>
      <w:r w:rsidRPr="00AD2F44">
        <w:t xml:space="preserve"> Britt v. Mississippi Farm Bureau Cas. Ins. Co., 2019 WL 943404, at *6 (N.D. Miss. Feb. 26, 2019) (granting defendant’s objection to plaintiff’s pro-posed notice because, among other things, the description of defendant’s defense in the notice did not contain a “basis for disputing liability”); Tolentino v. C &amp; J Spec-Rent Servs. Inc., 716 F. Supp. 2d 642, 655 (S.D. Tex. 2010); </w:t>
      </w:r>
      <w:r w:rsidRPr="00AD2F44">
        <w:rPr>
          <w:i/>
          <w:iCs/>
        </w:rPr>
        <w:t>Lima</w:t>
      </w:r>
      <w:r w:rsidRPr="00AD2F44">
        <w:t>, 493 F. Supp. 2d 793.</w:t>
      </w:r>
    </w:p>
    <w:p w14:paraId="2C318000" w14:textId="77777777" w:rsidR="004322B1" w:rsidRPr="00AD2F44" w:rsidRDefault="004322B1">
      <w:pPr>
        <w:pStyle w:val="14Footnote"/>
      </w:pPr>
      <w:r w:rsidRPr="00AD2F44">
        <w:rPr>
          <w:i/>
          <w:iCs/>
        </w:rPr>
        <w:t>Sixth Circuit:</w:t>
      </w:r>
      <w:r w:rsidRPr="00AD2F44">
        <w:t xml:space="preserve"> Gomez v. ERMC Mgmt. Co., LLC, 2014 WL 3053210 (N.D. Ohio July 7, 2014) (approving statement denying liability but excluding additional information (such as good faith defense) as confusing); Bailey v. Youth Vills., Inc., 2008 WL 2987201 (W.D. Tenn. July 30, 2008); Shabazz v. Asurion Ins., 2008 WL 1730318 (M.D. Tenn. Apr. 10, 2008); Swallows v. City of Brentwood, 2007 WL 2402735 (M.D. Tenn. Aug. 20, 2007).</w:t>
      </w:r>
    </w:p>
    <w:p w14:paraId="02083E32" w14:textId="77777777" w:rsidR="004322B1" w:rsidRPr="00AD2F44" w:rsidRDefault="004322B1">
      <w:pPr>
        <w:pStyle w:val="14Footnote"/>
      </w:pPr>
      <w:r w:rsidRPr="00AD2F44">
        <w:rPr>
          <w:i/>
          <w:iCs/>
        </w:rPr>
        <w:t>Seventh Circuit:</w:t>
      </w:r>
      <w:r w:rsidRPr="00AD2F44">
        <w:t xml:space="preserve"> Kelly v. Bluegreen Corp., 2009 WL 425809 (W.D. Wis. Feb. 20, 2009); Garcia v. Elite Labor Serv., Ltd., 1996 WL 33500122 (N.D. Ill. July 11, 1996); Allen v. Marshall Field &amp; Co., 93 F.R.D. 438 (N.D. Ill. 1982).</w:t>
      </w:r>
    </w:p>
    <w:p w14:paraId="1146AE80" w14:textId="77777777" w:rsidR="004322B1" w:rsidRPr="00AD2F44" w:rsidRDefault="004322B1">
      <w:pPr>
        <w:pStyle w:val="14Footnote"/>
      </w:pPr>
      <w:r w:rsidRPr="00AD2F44">
        <w:rPr>
          <w:i/>
          <w:iCs/>
        </w:rPr>
        <w:t>Ninth Circuit:</w:t>
      </w:r>
      <w:r w:rsidRPr="00AD2F44">
        <w:t xml:space="preserve"> Barrera v. US Airways Grp., Inc., 2013 WL 4654567, at *8 (D. Ariz. Aug. 30, 2013) (permitting inclusion of “US Airways denies that it violated the FLSA and claims that security guards were properly paid under the carrier by air exemption of the FLSA.”); Gomez v. H&amp;R Gunlund Ranches, Inc., 2010 WL 5232973, at *9–10 (E.D. Cal. Dec. 16, 2010); Mevorah v. Wells Fargo Home Mortg., Inc., 2005 WL 4813532 (N.D. Cal. Nov. 17, 2005).</w:t>
      </w:r>
    </w:p>
    <w:p w14:paraId="5FA13007" w14:textId="77777777" w:rsidR="004322B1" w:rsidRPr="00AD2F44" w:rsidRDefault="004322B1">
      <w:pPr>
        <w:pStyle w:val="14Footnote"/>
      </w:pPr>
      <w:r w:rsidRPr="00AD2F44">
        <w:rPr>
          <w:i/>
          <w:iCs/>
        </w:rPr>
        <w:t>Tenth Circuit:</w:t>
      </w:r>
      <w:r w:rsidRPr="00AD2F44">
        <w:t xml:space="preserve"> Wass v. NPC Int’l, Inc., 2011 WL 1118774, at *10 (D. Kan. Mar. 28, 2011) (ordering that notice contain defendant’s position that it denied paying drivers below minimum wage </w:t>
      </w:r>
      <w:r w:rsidRPr="00AD2F44">
        <w:rPr>
          <w:i/>
          <w:iCs/>
        </w:rPr>
        <w:t>and</w:t>
      </w:r>
      <w:r w:rsidRPr="00AD2F44">
        <w:t xml:space="preserve"> that its reimbursements reasonably approximated expenses drivers primarily incurred for its benefit, rather than simply denial of claims); Gieseke v. First Horizon Home Loan Corp., 2006 WL 2919076 (D. Kan. Oct. 11, 2006).</w:t>
      </w:r>
    </w:p>
    <w:p w14:paraId="45BC70FB" w14:textId="77777777" w:rsidR="004322B1" w:rsidRPr="00AD2F44" w:rsidRDefault="004322B1">
      <w:pPr>
        <w:pStyle w:val="14Footnote"/>
      </w:pPr>
      <w:r w:rsidRPr="00AD2F44">
        <w:rPr>
          <w:i/>
          <w:iCs/>
        </w:rPr>
        <w:t>Eleventh Circuit:</w:t>
      </w:r>
      <w:r w:rsidRPr="00AD2F44">
        <w:t xml:space="preserve"> Holmes v. Swissport Fueling, Inc., 2017 WL 6520737 (M.D. Fla. Dec. 5, 2017) (approving defendants’ proposed language for notice, including denial of allegations, available defenses, and compliance with FLSA); Alexander v. Cydcor, Inc., 2012 WL 1142449, at *6 (N.D. Ga. Apr. 6, 2012) (permitting defendant to include “statement of defense” in notice).</w:t>
      </w:r>
    </w:p>
    <w:p w14:paraId="6947315C" w14:textId="77777777" w:rsidR="004322B1" w:rsidRPr="00AD2F44" w:rsidRDefault="004322B1">
      <w:pPr>
        <w:pStyle w:val="14Footnote"/>
      </w:pPr>
      <w:r w:rsidRPr="00AD2F44">
        <w:rPr>
          <w:i/>
        </w:rPr>
        <w:t>But see</w:t>
      </w:r>
    </w:p>
    <w:p w14:paraId="6B3D9101" w14:textId="77777777" w:rsidR="004322B1" w:rsidRPr="00AD2F44" w:rsidRDefault="004322B1">
      <w:pPr>
        <w:pStyle w:val="14Footnote"/>
      </w:pPr>
      <w:r w:rsidRPr="00AD2F44">
        <w:rPr>
          <w:i/>
          <w:iCs/>
        </w:rPr>
        <w:t xml:space="preserve">Second Circuit: </w:t>
      </w:r>
      <w:r w:rsidRPr="00AD2F44">
        <w:t>McBeth v. Gabrielli Truck Sales, Ltd., 768 F. Supp. 2d 396, 398–99 (E.D.N.Y. 2011) (refusing to include in description statement that employees were excluded if they met definition of exempt workers under Motor Carrier Act, because it would be confusing and potentially discouraging, defendant bore burden of proof to demonstrate exemption applies, and there was no record evidence yet that any class members met the exemption).</w:t>
      </w:r>
    </w:p>
    <w:p w14:paraId="33F0B37F" w14:textId="77777777" w:rsidR="004322B1" w:rsidRPr="00AD2F44" w:rsidRDefault="004322B1">
      <w:pPr>
        <w:pStyle w:val="14Footnote"/>
      </w:pPr>
      <w:r w:rsidRPr="00AD2F44">
        <w:rPr>
          <w:i/>
          <w:iCs/>
        </w:rPr>
        <w:t>Third Circuit:</w:t>
      </w:r>
      <w:r w:rsidRPr="00AD2F44">
        <w:t xml:space="preserve"> Zanes v. Flagship Resort Dev., LLC, 2010 WL 4687814, at *5 (D. N.J. Nov. 9, 2010) (rejecting employer’s request to reference “import and consequence” of possible exemptions because exemptions are complex and do not lend themselves to reference in notice). </w:t>
      </w:r>
    </w:p>
    <w:p w14:paraId="3422EAC6" w14:textId="77777777" w:rsidR="004322B1" w:rsidRPr="00AD2F44" w:rsidRDefault="004322B1">
      <w:pPr>
        <w:pStyle w:val="14Footnote"/>
        <w:rPr>
          <w:b/>
          <w:bCs/>
        </w:rPr>
      </w:pPr>
      <w:r w:rsidRPr="00AD2F44">
        <w:rPr>
          <w:i/>
          <w:iCs/>
        </w:rPr>
        <w:t>Sixth Circuit</w:t>
      </w:r>
      <w:r w:rsidRPr="00AD2F44">
        <w:t>: Farmer v. LHC Grp. Inc., 2020 BL 494607, 2020 WL 7416946 (S.D. Ohio Dec. 18, 2020) (rejecting employer’s request to include defense counsel’s contact information and statement of defenses).</w:t>
      </w:r>
    </w:p>
  </w:footnote>
  <w:footnote w:id="353">
    <w:p w14:paraId="3A958D64" w14:textId="77777777" w:rsidR="004322B1" w:rsidRPr="00AD2F44" w:rsidRDefault="004322B1">
      <w:pPr>
        <w:pStyle w:val="14Footnote"/>
      </w:pPr>
      <w:r w:rsidRPr="00AD2F44">
        <w:rPr>
          <w:vertAlign w:val="superscript"/>
        </w:rPr>
        <w:footnoteRef/>
      </w:r>
      <w:r w:rsidRPr="00AD2F44">
        <w:rPr>
          <w:i/>
          <w:iCs/>
        </w:rPr>
        <w:t>See, e.g.,</w:t>
      </w:r>
    </w:p>
    <w:p w14:paraId="165DF88B" w14:textId="77777777" w:rsidR="004322B1" w:rsidRPr="00AD2F44" w:rsidRDefault="004322B1">
      <w:pPr>
        <w:pStyle w:val="14Footnote"/>
      </w:pPr>
      <w:r w:rsidRPr="00AD2F44">
        <w:rPr>
          <w:i/>
          <w:iCs/>
        </w:rPr>
        <w:t xml:space="preserve">First Circuit: </w:t>
      </w:r>
      <w:r w:rsidRPr="00AD2F44">
        <w:t>Scovil v. Fedex Ground Package Sys. Inc., 2011 WL 5526033, at *2 (D. Me. Nov. 14, 2011).</w:t>
      </w:r>
    </w:p>
    <w:p w14:paraId="2E149D5A" w14:textId="77777777" w:rsidR="004322B1" w:rsidRPr="00AD2F44" w:rsidRDefault="004322B1">
      <w:pPr>
        <w:pStyle w:val="14Footnote"/>
      </w:pPr>
      <w:r w:rsidRPr="00AD2F44">
        <w:rPr>
          <w:i/>
          <w:iCs/>
        </w:rPr>
        <w:t>Second Circuit:</w:t>
      </w:r>
      <w:r w:rsidRPr="00AD2F44">
        <w:t xml:space="preserve"> Zaldivar v. JMJ Caterers, Inc.,</w:t>
      </w:r>
      <w:r w:rsidRPr="00AD2F44">
        <w:rPr>
          <w:b/>
          <w:bCs/>
        </w:rPr>
        <w:t xml:space="preserve"> </w:t>
      </w:r>
      <w:r w:rsidRPr="00AD2F44">
        <w:t>2016 WL 1029494, at *2 (E.D.N.Y. Mar. 15, 2016) (directing that notice “should include ‘a neutral and non-technical reference to discovery obligations’ so that such plaintiffs ‘understand that their participation would entail greater obligations than participation in some Rule 23 class actions’”) (citation omitted); Mendoza v. Ashiya Sushi 5, Inc., 2013 WL 5211939 (S.D.N.Y. Sept. 16, 2013); Hernandez v. Immortal Rise, Inc., 2012 WL 4369746, at *7–8 (E.D.N.Y. Sept. 24, 2012); Sexton v. Franklin First Fin., Ltd., 2009 WL 1706535 (E.D.N.Y. June 16, 2009); Lee v. ABC Carpet &amp; Home, 2008 WL 2073932 (S.D.N.Y. May 9, 2008).</w:t>
      </w:r>
    </w:p>
    <w:p w14:paraId="67E549A7" w14:textId="77777777" w:rsidR="004322B1" w:rsidRPr="00AD2F44" w:rsidRDefault="004322B1">
      <w:pPr>
        <w:pStyle w:val="14Footnote"/>
      </w:pPr>
      <w:r w:rsidRPr="00AD2F44">
        <w:rPr>
          <w:i/>
          <w:iCs/>
        </w:rPr>
        <w:t>Third Circuit:</w:t>
      </w:r>
      <w:r w:rsidRPr="00AD2F44">
        <w:t xml:space="preserve"> </w:t>
      </w:r>
      <w:r>
        <w:t>Weinmann v. Cont. Land Staff, LLC,</w:t>
      </w:r>
      <w:r w:rsidRPr="004C58B9">
        <w:rPr>
          <w:rFonts w:ascii="Arial" w:hAnsi="Arial" w:cs="Arial"/>
          <w:color w:val="292E31"/>
          <w:sz w:val="24"/>
        </w:rPr>
        <w:t xml:space="preserve"> </w:t>
      </w:r>
      <w:r w:rsidRPr="004C58B9">
        <w:t>2023 BL 200591</w:t>
      </w:r>
      <w:r>
        <w:t xml:space="preserve">, </w:t>
      </w:r>
      <w:r w:rsidRPr="00AD0C2E">
        <w:t xml:space="preserve">2023 WL 3881394 </w:t>
      </w:r>
      <w:r>
        <w:t xml:space="preserve">(W.D. Pa. June 8, 2023) (requiring notice to advise putative opt-ins they may have to participate in discovery); </w:t>
      </w:r>
      <w:r w:rsidRPr="00AD2F44">
        <w:t>Bishop v. AT&amp;T Corp., 256 F.R.D. 503 (W.D. Pa. 2009).</w:t>
      </w:r>
    </w:p>
    <w:p w14:paraId="62478234" w14:textId="77777777" w:rsidR="004322B1" w:rsidRPr="00AD2F44" w:rsidRDefault="004322B1">
      <w:pPr>
        <w:pStyle w:val="14Footnote"/>
      </w:pPr>
      <w:r w:rsidRPr="00AD2F44">
        <w:rPr>
          <w:i/>
          <w:iCs/>
        </w:rPr>
        <w:t>Fourth Circuit:</w:t>
      </w:r>
      <w:r w:rsidRPr="00AD2F44">
        <w:t xml:space="preserve"> Regan v. City of Charleston, 2014 WL 3530135 (D.S.C. July 16, 2014) (notice required to include that opt-in members could be required to produce documents, respond to written interrogatories, appear for deposition under oath, and testify at trial); Byard v. Verizon W. Va., Inc., 287 F.R.D. 365, 374 (N.D. W. Va. 2012) (requiring that notice include language that class members could be required to provide information, sit for depositions, and testify in court, and that class members could share in potential costs should defendant prevail).</w:t>
      </w:r>
    </w:p>
    <w:p w14:paraId="6C5AEC5D" w14:textId="77777777" w:rsidR="004322B1" w:rsidRPr="00AD2F44" w:rsidRDefault="004322B1">
      <w:pPr>
        <w:pStyle w:val="14Footnote"/>
      </w:pPr>
      <w:r w:rsidRPr="00AD2F44">
        <w:rPr>
          <w:i/>
          <w:iCs/>
        </w:rPr>
        <w:t>Fifth Circuit:</w:t>
      </w:r>
      <w:r w:rsidRPr="00AD2F44">
        <w:t xml:space="preserve"> Halle v. Galliano Marine Serv., LLC, 2018 WL 1757343, at *3–4 (E.D. La. Apr. 12, 2018) (allowing notice to include opt-in plaintiffs’ obligations to answer interrogatories, provide documents, appear at deposition, and/or testify in court); Garcia v. TWC Admin., LLC, 2015 WL 1737932, at *7 (W.D. Tex. Apr. 16, 2015); Behnken v. Luminant Min. Co., LLC, 997 F. Supp. 2d 511, 524 (N.D. Tex. 2014).</w:t>
      </w:r>
    </w:p>
    <w:p w14:paraId="772AA611" w14:textId="77777777" w:rsidR="004322B1" w:rsidRPr="00AD2F44" w:rsidRDefault="004322B1">
      <w:pPr>
        <w:pStyle w:val="14Footnote"/>
      </w:pPr>
      <w:r w:rsidRPr="00AD2F44">
        <w:rPr>
          <w:i/>
          <w:iCs/>
        </w:rPr>
        <w:t>Sixth Circuit:</w:t>
      </w:r>
      <w:r w:rsidRPr="00AD2F44">
        <w:t xml:space="preserve"> Baden–Winterwood v. Life Time Fitness, 2006 WL 2225825 (S.D. Ohio Aug. 2, 2006).</w:t>
      </w:r>
    </w:p>
    <w:p w14:paraId="3A31C4CD" w14:textId="77777777" w:rsidR="004322B1" w:rsidRPr="00AD2F44" w:rsidRDefault="004322B1">
      <w:pPr>
        <w:pStyle w:val="14Footnote"/>
      </w:pPr>
      <w:r w:rsidRPr="00AD2F44">
        <w:rPr>
          <w:i/>
          <w:iCs/>
        </w:rPr>
        <w:t>Seventh Circuit:</w:t>
      </w:r>
      <w:r w:rsidRPr="00AD2F44">
        <w:t xml:space="preserve"> Osterholt v. Corepower Yoga, LLC, 2017 WL 2180483 (N.D. Ill. May 18, 2017); Frebes v. Mask Rests., LLC, 2014 WL 1848461, at *6 (N.D. Ill. May 8, 2014); Freeman v. Total Sec. Mgmt., 2013 WL 4049542 (W.D. Wis. Aug. 9, 2013); Espenscheid v. Direct</w:t>
      </w:r>
      <w:r w:rsidRPr="00AD2F44">
        <w:rPr>
          <w:caps/>
        </w:rPr>
        <w:t>sat</w:t>
      </w:r>
      <w:r w:rsidRPr="00AD2F44">
        <w:t xml:space="preserve"> USA, LLC, 2010 WL 2330309, at *13 (W.D. Wis. June 7, 2010); Russell v. Illinois Bell Tel. Co., 575 F. Supp. 2d 930 (N.D. Ill. 2008).</w:t>
      </w:r>
    </w:p>
    <w:p w14:paraId="2257B23C" w14:textId="77777777" w:rsidR="004322B1" w:rsidRPr="00AD2F44" w:rsidRDefault="004322B1">
      <w:pPr>
        <w:pStyle w:val="14Footnote"/>
      </w:pPr>
      <w:r w:rsidRPr="00AD2F44">
        <w:rPr>
          <w:i/>
          <w:iCs/>
        </w:rPr>
        <w:t>Eighth Circuit:</w:t>
      </w:r>
      <w:r w:rsidRPr="00AD2F44">
        <w:t xml:space="preserve"> Knaak v. Armour-Eckrich Meats, LLC, 991 F. Supp. 2d 1052 (D. Minn. 2014); Halsey v. Casino One Corp., 2012 WL 6200531, at *5 (E.D. Mo. Dec. 12, 2012); Ahle v. Veracity Rsch. Co., 2009 WL 3103852, at *6 (D. Minn. Sept. 23, 2009).</w:t>
      </w:r>
    </w:p>
    <w:p w14:paraId="195D5F65" w14:textId="77777777" w:rsidR="004322B1" w:rsidRPr="00AD2F44" w:rsidRDefault="004322B1">
      <w:pPr>
        <w:pStyle w:val="14Footnote"/>
      </w:pPr>
      <w:r w:rsidRPr="00AD2F44">
        <w:rPr>
          <w:i/>
          <w:iCs/>
        </w:rPr>
        <w:t>Ninth Circuit:</w:t>
      </w:r>
      <w:r w:rsidRPr="00AD2F44">
        <w:t xml:space="preserve"> Benedict v. Hewlett-Packard Co., 2014 WL 587135 (N.D. Cal. Feb. 13, 2014) (finding it appropriate to include language informing potential plaintiffs of possible obligations if they do elect to opt in); Luque v. AT&amp;T Corp., 2010 WL 4807088, at *7 (N.D. Cal. Nov. 19, 2010) (holding that notice should include statement that opt-in plaintiffs “might ‘be required to provide information’”).</w:t>
      </w:r>
    </w:p>
    <w:p w14:paraId="2E2176FD" w14:textId="77777777" w:rsidR="004322B1" w:rsidRPr="00AD2F44" w:rsidRDefault="004322B1">
      <w:pPr>
        <w:pStyle w:val="14Footnote"/>
      </w:pPr>
      <w:r w:rsidRPr="00AD2F44">
        <w:rPr>
          <w:i/>
          <w:iCs/>
        </w:rPr>
        <w:t>Tenth Circuit:</w:t>
      </w:r>
      <w:r w:rsidRPr="00AD2F44">
        <w:t xml:space="preserve"> Wass v. NPC Int’l, Inc., 2011 WL 1118774, at *10 (D. Kan. Mar. 28, 2011) (requiring inclusion of statement that opt-in plaintiffs may be deposed, have to respond to written discovery, testify at trial, and appear in Kansas City at proceedings); </w:t>
      </w:r>
      <w:r w:rsidRPr="00AD2F44">
        <w:rPr>
          <w:i/>
          <w:iCs/>
        </w:rPr>
        <w:t>Reab</w:t>
      </w:r>
      <w:r w:rsidRPr="00AD2F44">
        <w:t>, 214 F.R.D. 623.</w:t>
      </w:r>
    </w:p>
    <w:p w14:paraId="54DEA4D2" w14:textId="77777777" w:rsidR="004322B1" w:rsidRPr="00AD2F44" w:rsidRDefault="004322B1">
      <w:pPr>
        <w:pStyle w:val="14Footnote"/>
      </w:pPr>
      <w:r w:rsidRPr="00AD2F44">
        <w:rPr>
          <w:i/>
          <w:iCs/>
        </w:rPr>
        <w:t>Eleventh Circuit:</w:t>
      </w:r>
      <w:r w:rsidRPr="00AD2F44">
        <w:t xml:space="preserve"> Metzler v. Medical Mgmt. Int’l Inc., 2020 WL 1674310, at *6 (M.D. Fla. Mar. 4, 2020) (revising notice to include language that opt ins may be required to appear for trial and participate in discovery, as well as that defendant may try to recover costs); Gonzalez v. TZ Ins. Sols.,</w:t>
      </w:r>
      <w:r w:rsidRPr="00AD2F44">
        <w:rPr>
          <w:i/>
          <w:iCs/>
        </w:rPr>
        <w:t xml:space="preserve"> </w:t>
      </w:r>
      <w:r w:rsidRPr="00AD2F44">
        <w:t>LLC, 2014 WL 1248154 (M.D. Fla. Mar. 26, 2014); Cox v. Appliance Direct, Inc., 2008 WL 3050050, at *1 (M.D. Fla. Aug. 1, 2008) (requiring inclusion of language about opt-in plaintiffs’ discovery obligations).</w:t>
      </w:r>
    </w:p>
    <w:p w14:paraId="7C65EF1E" w14:textId="77777777" w:rsidR="004322B1" w:rsidRPr="00AD2F44" w:rsidRDefault="004322B1">
      <w:pPr>
        <w:pStyle w:val="14Footnote"/>
      </w:pPr>
      <w:r w:rsidRPr="00AD2F44">
        <w:rPr>
          <w:i/>
          <w:iCs/>
        </w:rPr>
        <w:t>Federal Circuit:</w:t>
      </w:r>
      <w:r w:rsidRPr="00AD2F44">
        <w:t xml:space="preserve"> Whalen v. United States, 85 Fed. Cl. 380 (2009); Gayle v. United States, 85 Fed. Cl. 72 (2008). </w:t>
      </w:r>
    </w:p>
  </w:footnote>
  <w:footnote w:id="354">
    <w:p w14:paraId="6D934223" w14:textId="77777777" w:rsidR="004322B1" w:rsidRPr="00AD2F44" w:rsidRDefault="004322B1">
      <w:pPr>
        <w:pStyle w:val="14Footnote"/>
      </w:pPr>
      <w:r w:rsidRPr="00AD2F44">
        <w:rPr>
          <w:vertAlign w:val="superscript"/>
        </w:rPr>
        <w:footnoteRef/>
      </w:r>
      <w:r w:rsidRPr="00AD2F44">
        <w:rPr>
          <w:i/>
          <w:iCs/>
        </w:rPr>
        <w:t>Third Circuit:</w:t>
      </w:r>
      <w:r w:rsidRPr="00AD2F44">
        <w:t xml:space="preserve"> Bath v. Red Vision Sys., Inc., 2014 WL 2436100, at *7 (D.N.J. May 29, 2014) (finding that “a statement in the notice that highlights the opt-in plaintiffs’ discovery obligations and possibility of having to pay defense costs is unwarranted” because “[s]uch statements have the potential of chilling participation in the collective action.”).</w:t>
      </w:r>
    </w:p>
    <w:p w14:paraId="455D3CD0" w14:textId="77777777" w:rsidR="004322B1" w:rsidRPr="00AD2F44" w:rsidRDefault="004322B1">
      <w:pPr>
        <w:pStyle w:val="14Footnote"/>
      </w:pPr>
      <w:r w:rsidRPr="00AD2F44">
        <w:rPr>
          <w:i/>
          <w:iCs/>
        </w:rPr>
        <w:t>Seventh Circuit:</w:t>
      </w:r>
      <w:r w:rsidRPr="00AD2F44">
        <w:t xml:space="preserve"> Garcia v. Elite Labor Serv., Ltd., 1996 WL 33500122 (N.D. Ill. July 11, 1996) (declining to include language that recipient may be subject to discovery or required to testify, in part because such language was potentially intimidating and class members in a class of approximately 1,000 employees were unlikely to be deposed or testify).</w:t>
      </w:r>
    </w:p>
    <w:p w14:paraId="24F2DA65" w14:textId="77777777" w:rsidR="004322B1" w:rsidRPr="00AD2F44" w:rsidRDefault="004322B1">
      <w:pPr>
        <w:pStyle w:val="14Footnote"/>
      </w:pPr>
      <w:r w:rsidRPr="00AD2F44">
        <w:rPr>
          <w:i/>
          <w:iCs/>
        </w:rPr>
        <w:t>Ninth Circuit:</w:t>
      </w:r>
      <w:r w:rsidRPr="00AD2F44">
        <w:t xml:space="preserve"> Prentice v. Fund for Pub. Interest Rsch., Inc., 2007 WL 2729187, at *5 (N.D. Cal. Sept. 18, 2007) (declining to include language advising potential plaintiffs of possible obligation to answer interrogatories, be deposed, or testify because “individual discovery is rarely appropriate in FLSA collective actions”).</w:t>
      </w:r>
    </w:p>
    <w:p w14:paraId="13B11E93" w14:textId="77777777" w:rsidR="004322B1" w:rsidRPr="00AD2F44" w:rsidRDefault="004322B1">
      <w:pPr>
        <w:pStyle w:val="14Footnote"/>
      </w:pPr>
      <w:r w:rsidRPr="00AD2F44">
        <w:rPr>
          <w:i/>
          <w:iCs/>
        </w:rPr>
        <w:t>Eleventh Circuit:</w:t>
      </w:r>
      <w:r w:rsidRPr="00AD2F44">
        <w:t xml:space="preserve"> Earle v. Convergent Outsourcing, Inc., 2013 WL 6252422 (M.D. Ala. Sept. 5, 2013) (finding such language unnecessary and atypical).</w:t>
      </w:r>
    </w:p>
  </w:footnote>
  <w:footnote w:id="355">
    <w:p w14:paraId="0CEEA4A1" w14:textId="77777777" w:rsidR="004322B1" w:rsidRPr="00AD2F44" w:rsidRDefault="004322B1">
      <w:pPr>
        <w:pStyle w:val="14Footnote"/>
      </w:pPr>
      <w:r w:rsidRPr="00AD2F44">
        <w:rPr>
          <w:vertAlign w:val="superscript"/>
        </w:rPr>
        <w:footnoteRef/>
      </w:r>
      <w:r w:rsidRPr="00AD2F44">
        <w:rPr>
          <w:i/>
          <w:iCs/>
        </w:rPr>
        <w:t>See, e.g</w:t>
      </w:r>
      <w:r w:rsidRPr="00AD2F44">
        <w:t xml:space="preserve">., </w:t>
      </w:r>
    </w:p>
    <w:p w14:paraId="3A2E62F2" w14:textId="77777777" w:rsidR="004322B1" w:rsidRPr="00AD2F44" w:rsidRDefault="004322B1">
      <w:pPr>
        <w:pStyle w:val="14Footnote"/>
      </w:pPr>
      <w:r w:rsidRPr="00AD2F44">
        <w:rPr>
          <w:i/>
          <w:iCs/>
        </w:rPr>
        <w:t>Sixth Circuit:</w:t>
      </w:r>
      <w:r w:rsidRPr="00AD2F44">
        <w:rPr>
          <w:rFonts w:asciiTheme="minorHAnsi" w:eastAsiaTheme="minorEastAsia" w:hAnsiTheme="minorHAnsi" w:cstheme="minorBidi"/>
          <w:sz w:val="22"/>
          <w:szCs w:val="22"/>
        </w:rPr>
        <w:t xml:space="preserve"> </w:t>
      </w:r>
      <w:r w:rsidRPr="00AD2F44">
        <w:t>Farmer v. LHC Grp. Inc., 2020 BL 494607, 2020 WL 7416946 (S.D. Ohio Dec. 18, 2020) (rejecting inclusion of language that plaintiffs may have to travel to Columbus, Ohio, to testify, finding plaintiffs’ inclusion of language that opt-ins may have to participate in written discovery, deposition, or testify at trial to be sufficient).</w:t>
      </w:r>
    </w:p>
    <w:p w14:paraId="2096A912" w14:textId="77777777" w:rsidR="004322B1" w:rsidRPr="00AD2F44" w:rsidRDefault="004322B1">
      <w:pPr>
        <w:pStyle w:val="14Footnote"/>
      </w:pPr>
      <w:r w:rsidRPr="00AD2F44">
        <w:rPr>
          <w:i/>
          <w:iCs/>
        </w:rPr>
        <w:t xml:space="preserve">Eighth Circuit: </w:t>
      </w:r>
      <w:r w:rsidRPr="00AD2F44">
        <w:t>Perrin v. Papa John’s Int’l, Inc., 2011 WL 4815246, at *4 (E.D. Mo. Oct. 11, 2011) (rejecting inclusion of language telling potential opt-ins they may have to travel to jurisdiction to testify or be deposed, because such language was unnecessary and discouraging, and “especially inappropriate in FLSA cases where discovery is limited and Plaintiffs are not likely to be called on to provide deposition testimony”).</w:t>
      </w:r>
    </w:p>
    <w:p w14:paraId="4EE0D222" w14:textId="77777777" w:rsidR="004322B1" w:rsidRPr="00AD2F44" w:rsidRDefault="004322B1">
      <w:pPr>
        <w:pStyle w:val="14Footnote"/>
      </w:pPr>
      <w:r w:rsidRPr="00AD2F44">
        <w:rPr>
          <w:i/>
          <w:iCs/>
        </w:rPr>
        <w:t xml:space="preserve">Ninth Circuit: </w:t>
      </w:r>
      <w:r w:rsidRPr="00AD2F44">
        <w:t>Morden v. T-Mobile USA, Inc., 2006 WL 2620320, at *4 (W.D. Wash. Sept. 12, 2006) (rejecting defendant’s request to include language that potential plaintiffs may be required to travel to Seattle, Washington, at their own expense to sit for depositions or testify at trial, since travel will not be necessary for most, if not all, opt-in plaintiffs).</w:t>
      </w:r>
    </w:p>
    <w:p w14:paraId="21EA3DD7" w14:textId="77777777" w:rsidR="004322B1" w:rsidRPr="00AD2F44" w:rsidRDefault="004322B1">
      <w:pPr>
        <w:pStyle w:val="14Footnote"/>
      </w:pPr>
      <w:r w:rsidRPr="00AD2F44">
        <w:rPr>
          <w:i/>
          <w:iCs/>
        </w:rPr>
        <w:t>Tenth Circuit:</w:t>
      </w:r>
      <w:r w:rsidRPr="00AD2F44">
        <w:t xml:space="preserve"> Robertson v. REP Processing, LLC, 2021 BL 353240, 2021 WL 4255027, at *5 (D. Colo. Sept. 16, 2021) (rejecting defendant’s request to include statement that opt-in plaintiffs may be required to travel to Denver, Colorado, for deposition or trial, finding it “unnecessary, inaccurate, and aimed at discouraging participation”). </w:t>
      </w:r>
    </w:p>
  </w:footnote>
  <w:footnote w:id="356">
    <w:p w14:paraId="325332A1" w14:textId="77777777" w:rsidR="004322B1" w:rsidRPr="00AD2F44" w:rsidRDefault="004322B1">
      <w:pPr>
        <w:pStyle w:val="14Footnote"/>
      </w:pPr>
      <w:r w:rsidRPr="00AD2F44">
        <w:rPr>
          <w:vertAlign w:val="superscript"/>
        </w:rPr>
        <w:footnoteRef/>
      </w:r>
      <w:r w:rsidRPr="00AD2F44">
        <w:rPr>
          <w:i/>
        </w:rPr>
        <w:t xml:space="preserve">See, e.g., </w:t>
      </w:r>
    </w:p>
    <w:p w14:paraId="3CCA15F1" w14:textId="77777777" w:rsidR="004322B1" w:rsidRPr="00AD2F44" w:rsidRDefault="004322B1">
      <w:pPr>
        <w:pStyle w:val="14Footnote"/>
      </w:pPr>
      <w:r w:rsidRPr="00AD2F44">
        <w:rPr>
          <w:i/>
          <w:iCs/>
        </w:rPr>
        <w:t>Fifth Circuit:</w:t>
      </w:r>
      <w:r w:rsidRPr="00AD2F44">
        <w:t xml:space="preserve"> Britt v. Mississippi Farm Bureau Cas. Ins. Co., 2019 WL 943404, at *8 (N.D. Miss. Feb. 26, 2018) (rejecting proposed language in the notice that indicated that opt-in plaintiffs could have their own counsel, the court noted that opt-in plaintiffs were “bound by the acts of class counsel”); Updite v. Delta Beverage Grp., Inc., 2006 WL 3718229 (W.D. La. Dec. 15, 2006).</w:t>
      </w:r>
    </w:p>
    <w:p w14:paraId="2FB89505" w14:textId="77777777" w:rsidR="004322B1" w:rsidRPr="00AD2F44" w:rsidRDefault="004322B1">
      <w:pPr>
        <w:pStyle w:val="14Footnote"/>
      </w:pPr>
      <w:r w:rsidRPr="00AD2F44">
        <w:rPr>
          <w:i/>
          <w:iCs/>
        </w:rPr>
        <w:t xml:space="preserve">Sixth Circuit: </w:t>
      </w:r>
      <w:r w:rsidRPr="00AD2F44">
        <w:t>Bassett v. Tennessee Valley Auth., 2010 WL 3092251, at *4 (W.D. Ky. Aug. 5, 2010) (holding that allowing opt-in plaintiffs to retain separate counsel in collective action would “only serve to complicate procedural issues of this case,” and limiting notice to providing that they could retain separate counsel and file separate action).</w:t>
      </w:r>
    </w:p>
    <w:p w14:paraId="5739ABD2" w14:textId="77777777" w:rsidR="004322B1" w:rsidRPr="00AD2F44" w:rsidRDefault="004322B1">
      <w:pPr>
        <w:pStyle w:val="14Footnote"/>
      </w:pPr>
      <w:r w:rsidRPr="00AD2F44">
        <w:rPr>
          <w:i/>
          <w:iCs/>
        </w:rPr>
        <w:t>Seventh Circuit:</w:t>
      </w:r>
      <w:r w:rsidRPr="00AD2F44">
        <w:t xml:space="preserve"> Kelly v. Bluegreen Corp., 256 F.R.D. 626, 632 (W.D. Wis. 2009) (rejecting language advising individuals that they could seek their own counsel because it could be confusing and unnecessary); Russell v. Illinois Bell Tel. Co., 575 F. Supp. 2d 930 (N.D. Ill. 2008).</w:t>
      </w:r>
    </w:p>
    <w:p w14:paraId="5A816A4F" w14:textId="77777777" w:rsidR="004322B1" w:rsidRPr="00AD2F44" w:rsidRDefault="004322B1">
      <w:pPr>
        <w:pStyle w:val="14Footnote"/>
      </w:pPr>
      <w:r w:rsidRPr="00AD2F44">
        <w:rPr>
          <w:i/>
          <w:iCs/>
        </w:rPr>
        <w:t>Eighth Circuit:</w:t>
      </w:r>
      <w:r w:rsidRPr="00AD2F44">
        <w:t xml:space="preserve"> Martinez v. Cargill Meat Sols., 265 F.R.D. 490, 500 (D. Neb. 2009) (refusing to include language allowing individuals to retain their own counsel in instant action as multiple counsel in the pending action would create confusion); Davis v. Novastar Mortg., Inc., 2005 WL 3662438 (W.D. Mo. Dec. 13, 2005).</w:t>
      </w:r>
    </w:p>
    <w:p w14:paraId="31D83C6E" w14:textId="77777777" w:rsidR="004322B1" w:rsidRPr="00AD2F44" w:rsidRDefault="004322B1">
      <w:pPr>
        <w:pStyle w:val="14Footnote"/>
      </w:pPr>
      <w:r w:rsidRPr="00AD2F44">
        <w:rPr>
          <w:i/>
          <w:iCs/>
        </w:rPr>
        <w:t>Ninth Circuit:</w:t>
      </w:r>
      <w:r w:rsidRPr="00AD2F44">
        <w:t xml:space="preserve"> Adams v. Inter-Con Sec. Sys., Inc., 242 F.R.D. 530 (N.D. Cal. 2007).</w:t>
      </w:r>
    </w:p>
    <w:p w14:paraId="4F9318BC" w14:textId="77777777" w:rsidR="004322B1" w:rsidRPr="00AD2F44" w:rsidRDefault="004322B1">
      <w:pPr>
        <w:pStyle w:val="14Footnote"/>
      </w:pPr>
      <w:r w:rsidRPr="00AD2F44">
        <w:rPr>
          <w:i/>
          <w:iCs/>
        </w:rPr>
        <w:t>Eleventh Circuit:</w:t>
      </w:r>
      <w:r w:rsidRPr="00AD2F44">
        <w:t xml:space="preserve"> Gutescu v. Carey Int’l, Inc., 2003 WL 25586749 (S.D. Fla. July 21, 2003).</w:t>
      </w:r>
    </w:p>
  </w:footnote>
  <w:footnote w:id="357">
    <w:p w14:paraId="5928B6CB" w14:textId="77777777" w:rsidR="004322B1" w:rsidRPr="00AD2F44" w:rsidRDefault="004322B1">
      <w:pPr>
        <w:pStyle w:val="14Footnote"/>
      </w:pPr>
      <w:r w:rsidRPr="00AD2F44">
        <w:rPr>
          <w:vertAlign w:val="superscript"/>
        </w:rPr>
        <w:footnoteRef/>
      </w:r>
      <w:r w:rsidRPr="00AD2F44">
        <w:rPr>
          <w:i/>
          <w:iCs/>
        </w:rPr>
        <w:t>See, e.g.,</w:t>
      </w:r>
    </w:p>
    <w:p w14:paraId="09F96310" w14:textId="77777777" w:rsidR="004322B1" w:rsidRPr="00AD2F44" w:rsidRDefault="004322B1">
      <w:pPr>
        <w:pStyle w:val="14Footnote"/>
      </w:pPr>
      <w:r w:rsidRPr="00AD2F44">
        <w:rPr>
          <w:i/>
          <w:iCs/>
        </w:rPr>
        <w:t>Second Circuit:</w:t>
      </w:r>
      <w:r w:rsidRPr="00AD2F44">
        <w:t xml:space="preserve"> Garcia v. Pancho Villa’s, 678 F. Supp. 2d 89, 95 (E.D.N.Y. 2010) (directing plaintiffs “to modify the proposed Notice so that potential plaintiffs are informed that they may retain their own counsel, should they choose to join the within litigation, as an alternative to Plaintiffs’ counsel’s firm”); Laroque v. Domino’s Pizza, LLC, 557 F. Supp. 2d 346 (E.D.N.Y. 2008).</w:t>
      </w:r>
    </w:p>
    <w:p w14:paraId="3F5A2412" w14:textId="77777777" w:rsidR="004322B1" w:rsidRPr="00AD2F44" w:rsidRDefault="004322B1">
      <w:pPr>
        <w:pStyle w:val="14Footnote"/>
      </w:pPr>
      <w:r w:rsidRPr="00AD2F44">
        <w:rPr>
          <w:i/>
          <w:iCs/>
        </w:rPr>
        <w:t>Third Circuit:</w:t>
      </w:r>
      <w:r w:rsidRPr="00AD2F44">
        <w:t xml:space="preserve"> Stillman v. Staples, Inc., 2008 WL 1843998 (D.N.J. Apr. 22, 2008).</w:t>
      </w:r>
    </w:p>
    <w:p w14:paraId="0026966B" w14:textId="77777777" w:rsidR="004322B1" w:rsidRPr="00AD2F44" w:rsidRDefault="004322B1">
      <w:pPr>
        <w:pStyle w:val="14Footnote"/>
      </w:pPr>
      <w:r w:rsidRPr="00AD2F44">
        <w:rPr>
          <w:i/>
          <w:iCs/>
        </w:rPr>
        <w:t>Seventh Circuit:</w:t>
      </w:r>
      <w:r w:rsidRPr="00AD2F44">
        <w:t xml:space="preserve"> Heitmann v. City of Chi., 2004 WL 1718420 (N.D. Ill. July 30, 2004).</w:t>
      </w:r>
    </w:p>
    <w:p w14:paraId="63652C1C" w14:textId="77777777" w:rsidR="004322B1" w:rsidRPr="00AD2F44" w:rsidRDefault="004322B1">
      <w:pPr>
        <w:pStyle w:val="14Footnote"/>
      </w:pPr>
      <w:r w:rsidRPr="00AD2F44">
        <w:rPr>
          <w:i/>
          <w:iCs/>
        </w:rPr>
        <w:t>Eleventh Circuit:</w:t>
      </w:r>
      <w:r w:rsidRPr="00AD2F44">
        <w:t xml:space="preserve"> Tafarella v. Hollywood Greyhound Track, Inc., 2007 WL 2254553 (S.D. Fla. Aug. 1, 2007).</w:t>
      </w:r>
    </w:p>
  </w:footnote>
  <w:footnote w:id="358">
    <w:p w14:paraId="3B5A1294" w14:textId="77777777" w:rsidR="004322B1" w:rsidRPr="00AD2F44" w:rsidRDefault="004322B1">
      <w:pPr>
        <w:pStyle w:val="14Footnote"/>
      </w:pPr>
      <w:r w:rsidRPr="00AD2F44">
        <w:rPr>
          <w:vertAlign w:val="superscript"/>
        </w:rPr>
        <w:footnoteRef/>
      </w:r>
      <w:r w:rsidRPr="00AD2F44">
        <w:rPr>
          <w:i/>
          <w:iCs/>
        </w:rPr>
        <w:t>Second Circuit:</w:t>
      </w:r>
      <w:r w:rsidRPr="00AD2F44">
        <w:t xml:space="preserve"> Williams v. TSU Global Servs. Inc., 2018 WL 6075668, at *9 (E.D.N.Y. Nov. 20, 2018), </w:t>
      </w:r>
      <w:r w:rsidRPr="00AD2F44">
        <w:rPr>
          <w:i/>
          <w:iCs/>
        </w:rPr>
        <w:t>report and recommendation adopted</w:t>
      </w:r>
      <w:r w:rsidRPr="00AD2F44">
        <w:t>, 2019 WL 1056273 (E.D.N.Y. Mar. 1, 2019) (revising the language of a notice to make clear that opt-in plaintiffs could elect to retain their own counsel when the submitted noticed stated “[y]ou do not need to hire your own lawyers because plaintiffs’ counsel will be working on your behalf,” which the court found to be misleading); Keawsri v. Ramen-Ya, Inc., 2018 WL 279756, at *6–7 (S.D.N.Y. Jan. 2, 2018) (requiring in notice that potential plaintiffs be notified of their right to seek independent counsel); Cordova v. SCCF, Inc., 2014 WL 3512820 (S.D.N.Y. July 16, 2014); Laroque v. Domino’s Pizza, LLC, 557 F. Supp. 2d (E.D.N.Y. 2008).</w:t>
      </w:r>
    </w:p>
    <w:p w14:paraId="098788EB" w14:textId="77777777" w:rsidR="004322B1" w:rsidRPr="00AD2F44" w:rsidRDefault="004322B1">
      <w:pPr>
        <w:pStyle w:val="14Footnote"/>
      </w:pPr>
      <w:r w:rsidRPr="00AD2F44">
        <w:rPr>
          <w:i/>
          <w:iCs/>
        </w:rPr>
        <w:t>Third Circuit:</w:t>
      </w:r>
      <w:r w:rsidRPr="00AD2F44">
        <w:t xml:space="preserve"> Stillman v. Staples, Inc., 2008 WL 1843998 (D.N.J. Apr. 22, 2008).</w:t>
      </w:r>
    </w:p>
    <w:p w14:paraId="2F9C47FC" w14:textId="77777777" w:rsidR="004322B1" w:rsidRPr="00AD2F44" w:rsidRDefault="004322B1">
      <w:pPr>
        <w:pStyle w:val="14Footnote"/>
      </w:pPr>
      <w:r w:rsidRPr="00AD2F44">
        <w:rPr>
          <w:i/>
          <w:iCs/>
        </w:rPr>
        <w:t xml:space="preserve">Fifth Circuit: </w:t>
      </w:r>
      <w:r w:rsidRPr="00AD2F44">
        <w:t>Ratliff v. Pason Sys. USA Corp., 196 F. Supp. 3d 699 (S.D. Tex. 2016) (requiring notice to include language advising opt-in plaintiffs of right to be represented by counsel other than plaintiffs’ counsel); Reyes v. Quality Logging, Inc., 52 F. Supp. 3d 849 (S.D. Tex. 2014) (notice required to include language informing potential plaintiffs of their right to seek their own counsel).</w:t>
      </w:r>
    </w:p>
    <w:p w14:paraId="19825342" w14:textId="77777777" w:rsidR="004322B1" w:rsidRPr="00AD2F44" w:rsidRDefault="004322B1">
      <w:pPr>
        <w:pStyle w:val="14Footnote"/>
      </w:pPr>
      <w:r w:rsidRPr="00AD2F44">
        <w:rPr>
          <w:i/>
          <w:iCs/>
        </w:rPr>
        <w:t>Seventh Circuit:</w:t>
      </w:r>
      <w:r w:rsidRPr="00AD2F44">
        <w:t xml:space="preserve"> Russell v. Illinois Bell Tel. Co., 575 F. Supp. 2d 930 (N.D. Ill. 2008); Gambo v. Lucent Tech., Inc., 2005 WL 3542485 (N.D. Ill. Dec. 22, 2005); Heitmann v. City of Chi., 2004 WL 1718420 (N.D. Ill. July 30, 2004).</w:t>
      </w:r>
    </w:p>
    <w:p w14:paraId="37C0D41B" w14:textId="77777777" w:rsidR="004322B1" w:rsidRPr="00AD2F44" w:rsidRDefault="004322B1">
      <w:pPr>
        <w:pStyle w:val="14Footnote"/>
      </w:pPr>
      <w:r w:rsidRPr="00AD2F44">
        <w:t xml:space="preserve"> </w:t>
      </w:r>
      <w:r w:rsidRPr="00AD2F44">
        <w:rPr>
          <w:i/>
          <w:iCs/>
        </w:rPr>
        <w:t xml:space="preserve">Tenth Circuit: </w:t>
      </w:r>
      <w:r w:rsidRPr="00AD2F44">
        <w:t xml:space="preserve">Sanders v. Glendale Rest. Concepts, LP, 2019 WL 6799459, at *5 (D. Colo. Dec. 13, 2019) (requiring notice language that opt ins had option to retain collective action counsel, their own counsel, or proceed pro se). </w:t>
      </w:r>
    </w:p>
    <w:p w14:paraId="7B95F46F" w14:textId="77777777" w:rsidR="004322B1" w:rsidRPr="00AD2F44" w:rsidRDefault="004322B1">
      <w:pPr>
        <w:pStyle w:val="14Footnote"/>
      </w:pPr>
      <w:r w:rsidRPr="00AD2F44">
        <w:rPr>
          <w:i/>
          <w:iCs/>
        </w:rPr>
        <w:t>Eleventh Circuit:</w:t>
      </w:r>
      <w:r w:rsidRPr="00AD2F44">
        <w:t xml:space="preserve"> Tafarella v. Hollywood Greyhound Track, Inc., 2007 WL 2254553 (S.D. Fla. Aug. 1, 2007); Gutescu v. Carey Int’l, Inc., 2003 WL 25586749 (S.D. Fla. July 21, 2003).</w:t>
      </w:r>
    </w:p>
  </w:footnote>
  <w:footnote w:id="359">
    <w:p w14:paraId="42CF445B" w14:textId="77777777" w:rsidR="004322B1" w:rsidRPr="00AD2F44" w:rsidRDefault="004322B1">
      <w:pPr>
        <w:pStyle w:val="14Footnote"/>
      </w:pPr>
      <w:r w:rsidRPr="00AD2F44">
        <w:rPr>
          <w:vertAlign w:val="superscript"/>
        </w:rPr>
        <w:footnoteRef/>
      </w:r>
      <w:r w:rsidRPr="00AD2F44">
        <w:rPr>
          <w:i/>
          <w:iCs/>
        </w:rPr>
        <w:t>See, e.g.</w:t>
      </w:r>
      <w:r w:rsidRPr="00AD2F44">
        <w:t xml:space="preserve">, </w:t>
      </w:r>
    </w:p>
    <w:p w14:paraId="247E1E9E" w14:textId="77777777" w:rsidR="004322B1" w:rsidRPr="00AD2F44" w:rsidRDefault="004322B1">
      <w:pPr>
        <w:pStyle w:val="14Footnote"/>
      </w:pPr>
      <w:r w:rsidRPr="00AD2F44">
        <w:rPr>
          <w:i/>
          <w:iCs/>
        </w:rPr>
        <w:t xml:space="preserve">Second Circuit: </w:t>
      </w:r>
      <w:r w:rsidRPr="00AD2F44">
        <w:t xml:space="preserve">Jibowu v. Target Corp., 2020 BL 489899, 2020 WL 7385695 (E.D.N.Y. Dec. 16, 2020) (rejecting defendant’s request that notice state that opt-in plaintiffs may choose their own counsel, because plaintiffs’ counsel already included that option, but revising notice because notice was confusing about submitting consent form if someone chose separate counsel). </w:t>
      </w:r>
    </w:p>
    <w:p w14:paraId="156958C9" w14:textId="77777777" w:rsidR="004322B1" w:rsidRPr="00AD2F44" w:rsidRDefault="004322B1">
      <w:pPr>
        <w:pStyle w:val="14Footnote"/>
      </w:pPr>
      <w:r w:rsidRPr="00AD2F44">
        <w:rPr>
          <w:i/>
          <w:iCs/>
        </w:rPr>
        <w:t xml:space="preserve">Sixth Circuit: </w:t>
      </w:r>
      <w:r w:rsidRPr="00AD2F44">
        <w:t>Gomez v. ERMC Mgmt. Co., LLC, 2014 WL 3053210 (N.D. Ohio July 7, 2014) (rejecting request to advise opt-in plaintiffs of right to retain other counsel, as additional counsel could impair efficiency of proceeding collectively).</w:t>
      </w:r>
    </w:p>
    <w:p w14:paraId="057FD224" w14:textId="77777777" w:rsidR="004322B1" w:rsidRPr="00AD2F44" w:rsidRDefault="004322B1">
      <w:pPr>
        <w:pStyle w:val="14Footnote"/>
      </w:pPr>
      <w:r w:rsidRPr="00AD2F44">
        <w:rPr>
          <w:i/>
          <w:iCs/>
        </w:rPr>
        <w:t>Eighth Circuit:</w:t>
      </w:r>
      <w:r w:rsidRPr="00AD2F44">
        <w:t xml:space="preserve"> Bilskey v. Bluff City Ice, Inc., 2014 WL 320568 (E.D. Mo. Jan. 29, 2014) (refusing to require that notice advise opt-in plaintiffs that they may seek other counsel). </w:t>
      </w:r>
    </w:p>
  </w:footnote>
  <w:footnote w:id="360">
    <w:p w14:paraId="13AD6E9F" w14:textId="77777777" w:rsidR="004322B1" w:rsidRPr="00AD2F44" w:rsidRDefault="004322B1">
      <w:pPr>
        <w:pStyle w:val="14Footnote"/>
      </w:pPr>
      <w:r w:rsidRPr="00AD2F44">
        <w:rPr>
          <w:vertAlign w:val="superscript"/>
        </w:rPr>
        <w:footnoteRef/>
      </w:r>
      <w:r w:rsidRPr="00AD2F44">
        <w:rPr>
          <w:i/>
          <w:iCs/>
        </w:rPr>
        <w:t>See, e.g.,</w:t>
      </w:r>
    </w:p>
    <w:p w14:paraId="7F797E6F" w14:textId="77777777" w:rsidR="004322B1" w:rsidRPr="00AD2F44" w:rsidRDefault="004322B1">
      <w:pPr>
        <w:pStyle w:val="14Footnote"/>
      </w:pPr>
      <w:r w:rsidRPr="00AD2F44">
        <w:rPr>
          <w:i/>
          <w:iCs/>
        </w:rPr>
        <w:t>Second Circuit:</w:t>
      </w:r>
      <w:r w:rsidRPr="00AD2F44">
        <w:t xml:space="preserve"> Bittencourt v. Ferrara Bakery &amp; Café, Inc., 310 F.R.D. 106, 117–18 (S.D.N.Y. 2015) (refusing to include in notice possibility of paying costs and expenses) (citations omitted); Dilonez v. Fox Linen Serv., Inc., 35 F. Supp. 3d 247, 256 (E.D.N.Y. 2014); Hernandez v. Immortal Rise, Inc., 2012 WL 4369746, at *7–8 (E.D.N.Y. Sept. 24, 2012) (allowing language in notice that referenced opt-in plaintiffs’ discovery obligations and statement that they would be bound by any ruling, settlement, or judgment entered in the case, whether favorable or unfavorable, but following other courts in Eastern District of New York and refusing to include language about imposition of costs); Diaz v. S &amp; H Bondi’s Dep’t Store, 2012 WL 137460, at *7 (S.D.N.Y. Jan. 18, 2012); Rosario v. Valentine Ave. Discount Store, Co., 828 F. Supp. 2d 508, 520 (E.D.N.Y. 2011) (rejecting request to include warning about liability for costs); Lujan v. Cabana Mgmt., Inc., 2011 WL 317984, at *11 (E.D.N.Y. Feb. 1, 2011) (refusing to include information about potential costs being awarded, given remote possibility of other than de minimis amounts, and risk of “in terrorem” effect out of proportion to real risk of costs); Whitehorn v. Wolfgang’s Steakhouse, Inc., 767 F. Supp. 2d 445, 451 (S.D.N.Y. 2011).</w:t>
      </w:r>
    </w:p>
    <w:p w14:paraId="72F45CC3" w14:textId="77777777" w:rsidR="004322B1" w:rsidRPr="00AD2F44" w:rsidRDefault="004322B1">
      <w:pPr>
        <w:pStyle w:val="14Footnote"/>
      </w:pPr>
      <w:r w:rsidRPr="00AD2F44">
        <w:rPr>
          <w:i/>
          <w:iCs/>
        </w:rPr>
        <w:t>Third Circuit:</w:t>
      </w:r>
      <w:r w:rsidRPr="00AD2F44">
        <w:t xml:space="preserve"> Bath v. Red Vision Sys., Inc., 2014 WL 2436100, at *7 (D.N.J. May 29, 2014) (finding that “a statement in the notice that highlights the opt-in plaintiffs’ discovery obligations and possibility of having to pay defense costs is unwarranted” because “[s]uch statements have the potential of chilling participation in the collective action”).</w:t>
      </w:r>
    </w:p>
    <w:p w14:paraId="2397892C" w14:textId="77777777" w:rsidR="004322B1" w:rsidRPr="00AD2F44" w:rsidRDefault="004322B1">
      <w:pPr>
        <w:pStyle w:val="14Footnote"/>
      </w:pPr>
      <w:r w:rsidRPr="00AD2F44">
        <w:rPr>
          <w:i/>
          <w:iCs/>
        </w:rPr>
        <w:t xml:space="preserve">Fourth Circuit: </w:t>
      </w:r>
      <w:r w:rsidRPr="00AD2F44">
        <w:t xml:space="preserve">Ricketts v. NV5, LLC, 2022 BL 107595, </w:t>
      </w:r>
      <w:r w:rsidRPr="00AD0C2E">
        <w:rPr>
          <w:lang w:val="es-ES"/>
        </w:rPr>
        <w:t>2022 WL 949947 (S.D. W. Va. Mar. 29, 2022) (rejecting defendant’s argument that notice should include language on potential liability on costs, defendant’s litigation position, and plaintiffs’ counsel’s contingency fee arrangement).</w:t>
      </w:r>
    </w:p>
    <w:p w14:paraId="077618DB" w14:textId="77777777" w:rsidR="004322B1" w:rsidRPr="00AD2F44" w:rsidRDefault="004322B1">
      <w:pPr>
        <w:pStyle w:val="14Footnote"/>
      </w:pPr>
      <w:r w:rsidRPr="00AD2F44">
        <w:rPr>
          <w:i/>
          <w:iCs/>
        </w:rPr>
        <w:t>Fifth Circuit:</w:t>
      </w:r>
      <w:r w:rsidRPr="00AD2F44">
        <w:t xml:space="preserve"> Murillo v. Berry Bros. Gen. Contractors, Inc., 2019 WL 4640010, at *6 (W.D. La. Sept. 23, 2019) (rejecting employer’s requested language on taxable costs, noting “likely unsophisticated opt-in plaintiffs” and disproportionate “in terrorem effect” of providing such notice); Abeldano v. HMG Park Manor of Westchase, 2016 WL 5848890 (S.D. Tex. Oct. 6, 2016) (ruling that defendant’s proposed language regarding plaintiffs’ liability if they lost should not be included, reasoning that inclusion of such language was likely to dissuade participation in case and was unnecessary because it was unlikely that any costs would be significant for putative class members); Reyes v. Quality Logging, Inc., 52 F. Supp. 3d 849, 854 (S.D. Tex. 2014) (finding the language may have an </w:t>
      </w:r>
      <w:r w:rsidRPr="00AD2F44">
        <w:rPr>
          <w:i/>
          <w:iCs/>
        </w:rPr>
        <w:t>in terrorem</w:t>
      </w:r>
      <w:r w:rsidRPr="00AD2F44">
        <w:t xml:space="preserve"> effect that disproportionately outweighs the likelihood that these costs will occur to any significant magnitude).</w:t>
      </w:r>
    </w:p>
    <w:p w14:paraId="58A4420E" w14:textId="77777777" w:rsidR="004322B1" w:rsidRPr="00AD2F44" w:rsidRDefault="004322B1">
      <w:pPr>
        <w:pStyle w:val="14Footnote"/>
      </w:pPr>
      <w:r w:rsidRPr="00AD2F44">
        <w:rPr>
          <w:i/>
          <w:iCs/>
        </w:rPr>
        <w:t xml:space="preserve">Sixth Circuit: </w:t>
      </w:r>
      <w:r w:rsidRPr="00AD2F44">
        <w:t>Farmer v. LHC Grp. Inc., 2020 BL 494607, 2020 WL 7416946 (S.D. Ohio, Dec. 18, 2020) (rejecting inclusion of language that plaintiffs may be assessed costs and expenses if they join);</w:t>
      </w:r>
      <w:r w:rsidRPr="00AD2F44">
        <w:rPr>
          <w:b/>
          <w:bCs/>
        </w:rPr>
        <w:t xml:space="preserve"> </w:t>
      </w:r>
      <w:r w:rsidRPr="00AD2F44">
        <w:t>Matthews v. ALC Partner, Inc., 2009 WL 2591497, at *9 (E.D. Mich. Aug. 24, 2009) (declining to include language in notice that defendant would seek attorneys’ fees in event it was successful in litigation).</w:t>
      </w:r>
    </w:p>
    <w:p w14:paraId="3086EB47" w14:textId="77777777" w:rsidR="004322B1" w:rsidRPr="00AD2F44" w:rsidRDefault="004322B1">
      <w:pPr>
        <w:pStyle w:val="14Footnote"/>
      </w:pPr>
      <w:r w:rsidRPr="00AD2F44">
        <w:rPr>
          <w:i/>
          <w:iCs/>
        </w:rPr>
        <w:t>Seventh Circuit:</w:t>
      </w:r>
      <w:r w:rsidRPr="00AD2F44">
        <w:t xml:space="preserve"> Espenscheid v. Directstat USA, LLC, 2010 WL 2330309 (W.D. Wis. June 7, 2010); Jackson v. Go-Tane Servs. Inc., 2000 WL 1221642 (N.D. Ill. Aug. 21, 2000); Herrera v. Unified Mgmt. Corp., 2000 WL 1220973 (N.D. Ill. Aug. 18, 2000); King v. ITT Continental Baking Co., 1986 WL 2628 (N.D. Ill. Feb. 13, 1986).</w:t>
      </w:r>
    </w:p>
    <w:p w14:paraId="42FCD49D" w14:textId="77777777" w:rsidR="004322B1" w:rsidRPr="00AD2F44" w:rsidRDefault="004322B1">
      <w:pPr>
        <w:pStyle w:val="14Footnote"/>
      </w:pPr>
      <w:r w:rsidRPr="00AD2F44">
        <w:rPr>
          <w:i/>
          <w:iCs/>
        </w:rPr>
        <w:t>Eighth Circuit:</w:t>
      </w:r>
      <w:r w:rsidRPr="00AD2F44">
        <w:t xml:space="preserve"> Volz v. Provider Plus, Inc., 2015 WL 4255614, at *3–4 (E.D. Mo. July 14, 2015) (refusing to include statement in notice about potential to pay costs because of its potential discouraging effect, but removing statement that it would cost plaintiffs “nothing” to join lawsuit because that was also misleading, given that costs might be assessed against unsuccessful plaintiffs); Hembree v. Mid-Continent Transp., Inc., 2010 WL 3927764, at *5 (W.D. Mo. Oct. 4, 2010) (refusing to include language that opt-in plaintiffs could be responsible for defendants’ costs because language was “potentially disarming” and “it remains unclear” that defendants are entitled to costs if they prevail in FLSA cases); Martinez v. Cargill Meat Sols., 265 F.R.D. 490, 500 (D. Neb. 2009) (refusing to include provision advising notice recipients that they could be liable for defendant’s costs if they opted in and defendant won).</w:t>
      </w:r>
    </w:p>
    <w:p w14:paraId="7875725C" w14:textId="77777777" w:rsidR="004322B1" w:rsidRPr="00AD2F44" w:rsidRDefault="004322B1">
      <w:pPr>
        <w:pStyle w:val="14Footnote"/>
      </w:pPr>
      <w:r w:rsidRPr="00AD2F44">
        <w:rPr>
          <w:i/>
          <w:iCs/>
        </w:rPr>
        <w:t>Ninth Circuit:</w:t>
      </w:r>
      <w:r w:rsidRPr="00AD2F44">
        <w:t xml:space="preserve"> </w:t>
      </w:r>
      <w:r>
        <w:t xml:space="preserve">Roberts v. Sidwell Air Freight, Inc., </w:t>
      </w:r>
      <w:r w:rsidRPr="004A078D">
        <w:t>2023 BL 15817</w:t>
      </w:r>
      <w:r>
        <w:t xml:space="preserve">, 2023 WL 256820 (W.D. Wash. Jan. 18, 2023) (rejecting proposal to include potential liability for costs because of potential chilling effect on putative plaintiffs); Stanfield v. Lasalle Corrs. W. LLC, </w:t>
      </w:r>
      <w:r w:rsidRPr="004A078D">
        <w:t>2022 BL 259650</w:t>
      </w:r>
      <w:r>
        <w:t xml:space="preserve">, </w:t>
      </w:r>
      <w:r w:rsidRPr="00AD0C2E">
        <w:t xml:space="preserve">2022 WL 2967711 </w:t>
      </w:r>
      <w:r>
        <w:t xml:space="preserve">(D. Ariz. July 26, 2022) (refusing to include potential for costs reasoning its deterrence outweighed its benefit); </w:t>
      </w:r>
      <w:r w:rsidRPr="00AD2F44">
        <w:t>Carrillo v. Schneider Logistics, Inc., 2012 WL 556309, at *14 (C.D. Cal. Jan. 31, 2012), </w:t>
      </w:r>
      <w:r w:rsidRPr="00AD2F44">
        <w:rPr>
          <w:i/>
          <w:iCs/>
        </w:rPr>
        <w:t>aff’d</w:t>
      </w:r>
      <w:r w:rsidRPr="00AD2F44">
        <w:t>, 501 F. App’x 713 (9th Cir. 2012) (declining to include warnings about court costs in the notice to potential opt-ins because “the potential chilling effect of defendants’ proposed warning outweighs the realistic likelihood that any future opt-ins would be required to pay a portion of defendants’ litigation costs”); Helton v. Factor 5, Inc., 2012 WL 2428219 (N.D. Cal. June 26, 2012); Adams v. Inter-Con Sec. Sys., Inc., 242 F.R.D. 530 (N.D. Cal. 2007).</w:t>
      </w:r>
    </w:p>
    <w:p w14:paraId="4CB11FC5" w14:textId="77777777" w:rsidR="004322B1" w:rsidRPr="00AD2F44" w:rsidRDefault="004322B1">
      <w:pPr>
        <w:pStyle w:val="14Footnote"/>
      </w:pPr>
      <w:r w:rsidRPr="00AD2F44">
        <w:rPr>
          <w:i/>
          <w:iCs/>
        </w:rPr>
        <w:t>Tenth Circuit:</w:t>
      </w:r>
      <w:r w:rsidRPr="00AD2F44">
        <w:t xml:space="preserve"> Darrow v. WKRP Mgmt., LLC, 18 WH Cases2d 1595, 2012 WL 638119, at *7, (D. Colo. Feb. 28, 2012) (excluding statement in notice that plaintiffs could be liable for costs where attorney agreed to cover such costs); Sloan v. Renzenberger, Inc., 2011 WL 1457368 (D. Kan. Apr. 15, 2011); Gieseke v. First Horizon Home Loan Corp., 2006 WL 2919076 (D. Kan. Oct. 11, 2006).</w:t>
      </w:r>
    </w:p>
    <w:p w14:paraId="421C9538" w14:textId="77777777" w:rsidR="004322B1" w:rsidRPr="00AD2F44" w:rsidRDefault="004322B1">
      <w:pPr>
        <w:pStyle w:val="14Footnote"/>
      </w:pPr>
      <w:r w:rsidRPr="00AD2F44">
        <w:rPr>
          <w:i/>
          <w:iCs/>
        </w:rPr>
        <w:t>Eleventh Circuit:</w:t>
      </w:r>
      <w:r w:rsidRPr="00AD2F44">
        <w:t xml:space="preserve"> Bell v. Mynt Entm’t, LLC, 223 F.R.D. 680 (S.D. Fla. 2004).</w:t>
      </w:r>
    </w:p>
  </w:footnote>
  <w:footnote w:id="361">
    <w:p w14:paraId="5D955837" w14:textId="77777777" w:rsidR="004322B1" w:rsidRPr="00AD2F44" w:rsidRDefault="004322B1">
      <w:pPr>
        <w:pStyle w:val="14Footnote"/>
      </w:pPr>
      <w:r w:rsidRPr="00AD2F44">
        <w:rPr>
          <w:vertAlign w:val="superscript"/>
        </w:rPr>
        <w:footnoteRef/>
      </w:r>
      <w:r w:rsidRPr="00AD2F44">
        <w:rPr>
          <w:i/>
          <w:iCs/>
        </w:rPr>
        <w:t>See, e.g.,</w:t>
      </w:r>
    </w:p>
    <w:p w14:paraId="45660BC6" w14:textId="77777777" w:rsidR="004322B1" w:rsidRPr="00AD2F44" w:rsidRDefault="004322B1">
      <w:pPr>
        <w:pStyle w:val="14Footnote"/>
      </w:pPr>
      <w:r w:rsidRPr="00AD2F44">
        <w:rPr>
          <w:i/>
          <w:iCs/>
        </w:rPr>
        <w:t xml:space="preserve">Second Circuit: </w:t>
      </w:r>
      <w:r w:rsidRPr="00AD2F44">
        <w:t>Cordova v. SCCF, Inc., 2014 WL 3512820 (S.D.N.Y. July 16, 2014) (notice to include possibility of paying costs).</w:t>
      </w:r>
    </w:p>
    <w:p w14:paraId="76DE83F1" w14:textId="77777777" w:rsidR="004322B1" w:rsidRPr="00AD2F44" w:rsidRDefault="004322B1">
      <w:pPr>
        <w:pStyle w:val="14Footnote"/>
      </w:pPr>
      <w:r w:rsidRPr="00AD2F44">
        <w:rPr>
          <w:i/>
          <w:iCs/>
        </w:rPr>
        <w:t xml:space="preserve">Third Circuit: </w:t>
      </w:r>
      <w:r w:rsidRPr="00AD2F44">
        <w:t>Dunkel v. Warrior Energy Servs., Inc., 304 F.R.D. 193, 207 (W.D. Pa. 2014) (finding that “because of the real possibility that at least some opt-in Plaintiffs could be responsible for certain court costs, some language on that topic should be included in the Notice in order to provide potential opt-in Plaintiffs with appropriate disclosure of the possible risks of joining the lawsuit”); Wright v. Lehigh Valley Hosp. &amp; Health Network, LLC, 2011 WL 221770, at *7 (E.D. Pa. Jan. 20, 2011) (ordering that notice include language that opt-in plaintiffs could be liable for “court costs and expenses”).</w:t>
      </w:r>
    </w:p>
    <w:p w14:paraId="5178ACA9" w14:textId="77777777" w:rsidR="004322B1" w:rsidRPr="00AD2F44" w:rsidRDefault="004322B1">
      <w:pPr>
        <w:pStyle w:val="14Footnote"/>
      </w:pPr>
      <w:r w:rsidRPr="00AD2F44">
        <w:rPr>
          <w:i/>
          <w:iCs/>
        </w:rPr>
        <w:t xml:space="preserve">Fourth Circuit: </w:t>
      </w:r>
      <w:r w:rsidRPr="00AD2F44">
        <w:t>Byard v. Verizon W. Va., Inc., 287 F.R.D. 365, 374 (N.D. W. Va. 2012) (requiring that notice include language that class members could share in potential costs should defendant prevail).</w:t>
      </w:r>
    </w:p>
    <w:p w14:paraId="1D84AFD4" w14:textId="77777777" w:rsidR="004322B1" w:rsidRPr="00AD2F44" w:rsidRDefault="004322B1">
      <w:pPr>
        <w:pStyle w:val="14Footnote"/>
      </w:pPr>
      <w:r w:rsidRPr="00AD2F44">
        <w:rPr>
          <w:i/>
          <w:iCs/>
        </w:rPr>
        <w:t>Fifth Circuit:</w:t>
      </w:r>
      <w:r w:rsidRPr="00AD2F44">
        <w:t xml:space="preserve"> Britt v. Mississippi Farm Bureau Cas. Ins. Co., 2019 WL 943404 (N.D. Miss. Feb. 26, 2018) (adding language related to potential liability of opt-in plaintiffs for costs if defendant prevailed); Roberts v. SB S. Welding LLC, 2015 WL 8773610, at *1–2 (N.D. Tex. Dec. 15, 2015) (ordering inclusion of language regarding potential for specific costs for which opt-in plaintiffs may be liable, “middle ground” approach) (citation omitted); Garcia v. TWC Admin., LLC, 2015 WL 1737932, at *7 (W.D. Tex. Apr. 16, 2015); Foraker v. Highpoint S.W. Servs., L.P., 2006 WL 2585047 (S.D. Tex. Sept. 7, 2006).</w:t>
      </w:r>
    </w:p>
    <w:p w14:paraId="065A2918" w14:textId="77777777" w:rsidR="004322B1" w:rsidRPr="00AD2F44" w:rsidRDefault="004322B1">
      <w:pPr>
        <w:pStyle w:val="14Footnote"/>
      </w:pPr>
      <w:r w:rsidRPr="00AD2F44">
        <w:rPr>
          <w:i/>
          <w:iCs/>
        </w:rPr>
        <w:t>Sixth Circuit:</w:t>
      </w:r>
      <w:r w:rsidRPr="00AD2F44">
        <w:t xml:space="preserve"> </w:t>
      </w:r>
      <w:r w:rsidRPr="00AD2F44">
        <w:rPr>
          <w:i/>
          <w:iCs/>
        </w:rPr>
        <w:t>Gomez</w:t>
      </w:r>
      <w:r w:rsidRPr="00AD2F44">
        <w:t>, 2014 WL 3053210 (including statement that plaintiffs may be liable for costs gives clear understanding of potential risks and rewards); Knispel v. Chrysler Grp. LLC, 2012 WL 553722, at *8 (E.D. Mich. Feb. 21, 2012) (allowing inclusion of statement that opt-in plaintiffs could be liable for defendant’s costs in order to allow them to “make an informed decision” about joining lawsuit).</w:t>
      </w:r>
    </w:p>
    <w:p w14:paraId="4BE71F5C" w14:textId="77777777" w:rsidR="004322B1" w:rsidRPr="00AD2F44" w:rsidRDefault="004322B1">
      <w:pPr>
        <w:pStyle w:val="14Footnote"/>
      </w:pPr>
      <w:r w:rsidRPr="00AD2F44">
        <w:rPr>
          <w:i/>
          <w:iCs/>
        </w:rPr>
        <w:t xml:space="preserve">Seventh Circuit: </w:t>
      </w:r>
      <w:r w:rsidRPr="00AD2F44">
        <w:t>Alvarado v. International Laser Prods., Inc., 2019 WL 3337995, at *2 (N.D. Ill. June 19, 2019) (holding notice should include language about costs “without giving it undue emphasis”; approving language that stated: “it is possible that a portion of the court costs could be assessed against you”); Freeman v. Total Sec. Mgmt., 2013 WL 4049542 (W.D. Wis. Aug. 9, 2013); Fosbinder-Bittorf v. SSM Health Care of Wis., Inc., 2013 WL 3287634, at *7 (W.D. Wis. Mar. 21, 2013) (amending notice to add sentence regarding costs: “If you do not prevail on your claim, court costs and expenses may possibly be assessed against the class.”).</w:t>
      </w:r>
    </w:p>
    <w:p w14:paraId="7CAAFB9D" w14:textId="77777777" w:rsidR="004322B1" w:rsidRPr="00AD2F44" w:rsidRDefault="004322B1">
      <w:pPr>
        <w:pStyle w:val="14Footnote"/>
      </w:pPr>
      <w:r w:rsidRPr="00AD2F44">
        <w:rPr>
          <w:i/>
          <w:iCs/>
        </w:rPr>
        <w:t>Eighth Circuit:</w:t>
      </w:r>
      <w:r w:rsidRPr="00AD2F44">
        <w:t xml:space="preserve"> Halsey v. Casino One Corp., 2012 WL 6200531, at *5 (E.D. Mo. Dec. 12, 2012); Perrin v. Papa John’s Int’l, Inc., 2011 WL 4815246, at *4 (E.D. Mo. Oct. 11, 2011) (ordering inclusion of statement in notice that opt-in plaintiffs could be liable for defendant’s costs if defendants prevail).</w:t>
      </w:r>
    </w:p>
    <w:p w14:paraId="4683A527" w14:textId="77777777" w:rsidR="004322B1" w:rsidRPr="00AD2F44" w:rsidRDefault="004322B1">
      <w:pPr>
        <w:pStyle w:val="14Footnote"/>
      </w:pPr>
      <w:r w:rsidRPr="00AD2F44">
        <w:rPr>
          <w:i/>
          <w:iCs/>
        </w:rPr>
        <w:t>Ninth Circuit:</w:t>
      </w:r>
      <w:r w:rsidRPr="00AD2F44">
        <w:t xml:space="preserve"> Schiller v. Rite of Passage, Inc., 2014 WL 644565 (D. Ariz. Feb. 19, 2014); Labrie v. UPS Supply Chain Sols., Inc., 2009 WL 723599 (N.D. Cal. Mar. 18, 2009); Hoffman v. Securitas Sec. Servs., 2008 WL 5054684 (D. Idaho Aug. 27, 2008); Stanfield v. First NLC Fin. Servs., LLC, 2006 WL 3531729 (N.D. Cal. Dec. 5, 2006).</w:t>
      </w:r>
    </w:p>
    <w:p w14:paraId="4363B165" w14:textId="77777777" w:rsidR="004322B1" w:rsidRPr="00AD2F44" w:rsidRDefault="004322B1">
      <w:pPr>
        <w:pStyle w:val="14Footnote"/>
      </w:pPr>
      <w:r w:rsidRPr="00AD2F44">
        <w:rPr>
          <w:i/>
          <w:iCs/>
        </w:rPr>
        <w:t xml:space="preserve">Tenth Circuit: </w:t>
      </w:r>
      <w:r w:rsidRPr="00AD2F44">
        <w:t>Wass v. NPC Int’l, Inc., 2011 WL 1118774, at *8 (D. Kan. Mar. 28, 2011) (requiring inclusion of statement that opt-in plaintiffs may be liable for costs as distinguished from attorneys’ fees).</w:t>
      </w:r>
    </w:p>
    <w:p w14:paraId="62993C91" w14:textId="77777777" w:rsidR="004322B1" w:rsidRPr="00AD2F44" w:rsidRDefault="004322B1">
      <w:pPr>
        <w:pStyle w:val="14Footnote"/>
      </w:pPr>
      <w:r w:rsidRPr="00AD2F44">
        <w:rPr>
          <w:i/>
          <w:iCs/>
        </w:rPr>
        <w:t>Eleventh Circuit:</w:t>
      </w:r>
      <w:r w:rsidRPr="00AD2F44">
        <w:t xml:space="preserve"> Pieczynski v. LCA Vision, Inc., 2022 BL 35547, 2022 WL 1238552 (M.D. Fla. Jan. 14, 2022), </w:t>
      </w:r>
      <w:r w:rsidRPr="00AD2F44">
        <w:rPr>
          <w:i/>
          <w:iCs/>
        </w:rPr>
        <w:t>report and recommendation adopted</w:t>
      </w:r>
      <w:r w:rsidRPr="00AD2F44">
        <w:t xml:space="preserve">, 2022 WL 1238574 (M.D. Fla. Feb. 1, 2022) (approving defendant’s request for notice to include statement that opt ins could be liable for defendant’s costs and attorneys’ fees, with modification that liability for fees would only be assessed if plaintiffs were found to have litigated in bad faith); Holmes v. Swissport Fueling, Inc., 2017 WL 8794900, at *11 (M.D. Fla. Sept. 1, 2017) (approving inclusion of statement regarding possibility of plaintiffs having to pay defendants’ costs and fees if they are unsuccessful in claims); Aguirre-Molina v. Truscapes SW Fla. Inc., 2016 WL 4472992, at *1 (M.D. Fla. Aug. 3, 2016), </w:t>
      </w:r>
      <w:r w:rsidRPr="00AD2F44">
        <w:rPr>
          <w:i/>
          <w:iCs/>
        </w:rPr>
        <w:t>report &amp; recommendation adopted</w:t>
      </w:r>
      <w:r w:rsidRPr="00AD2F44">
        <w:t>, 2016 WL 4441468 (M.D. Fla. Aug. 23, 2016) (rejecting plaintiff’s proposed notice because it failed to warn potential opt-ins of their obligation to pay attorneys’ fees and costs if they were unsuccessful in their claims); Cox v. Appliance Direct Inc., 2008 WL 3050050, at *1 (M.D. Fla. Aug. 1, 2008) (requiring inclusion of language that opt-ins may be liable for defendant’s costs if action is unsuccessful); Gonzalez v. TZ Ins. Sols., LLC, 2014 WL 1248154 (M.D. Fla. Mar. 26, 2014) (same).</w:t>
      </w:r>
    </w:p>
  </w:footnote>
  <w:footnote w:id="362">
    <w:p w14:paraId="2BB56E74" w14:textId="77777777" w:rsidR="004322B1" w:rsidRDefault="004322B1" w:rsidP="000B6C5F">
      <w:pPr>
        <w:pStyle w:val="FootnoteText"/>
      </w:pPr>
      <w:r>
        <w:rPr>
          <w:rStyle w:val="FootnoteReference"/>
        </w:rPr>
        <w:footnoteRef/>
      </w:r>
      <w:r w:rsidRPr="00AD0C2E">
        <w:t xml:space="preserve">Petkovic v. Bloomberg L.P., </w:t>
      </w:r>
      <w:r w:rsidRPr="00EF0C22">
        <w:t>2023 BL 64475</w:t>
      </w:r>
      <w:r>
        <w:t xml:space="preserve">, </w:t>
      </w:r>
      <w:r w:rsidRPr="00AD0C2E">
        <w:t>2023 WL 2263898 (D.N.J. Feb. 28, 2023)</w:t>
      </w:r>
      <w:r>
        <w:t xml:space="preserve">. </w:t>
      </w:r>
    </w:p>
  </w:footnote>
  <w:footnote w:id="363">
    <w:p w14:paraId="6A5B2191" w14:textId="77777777" w:rsidR="004322B1" w:rsidRPr="00AD2F44" w:rsidRDefault="004322B1">
      <w:pPr>
        <w:pStyle w:val="14Footnote"/>
      </w:pPr>
      <w:r w:rsidRPr="00AD2F44">
        <w:rPr>
          <w:vertAlign w:val="superscript"/>
        </w:rPr>
        <w:footnoteRef/>
      </w:r>
      <w:r w:rsidRPr="00AD2F44">
        <w:rPr>
          <w:i/>
          <w:iCs/>
        </w:rPr>
        <w:t xml:space="preserve">Second Circuit: </w:t>
      </w:r>
      <w:r w:rsidRPr="00AD2F44">
        <w:t xml:space="preserve">Fasanelli v. Heartland Brewery, Inc., 516 F. Supp. 2d 317, 324 (S.D.N.Y. 2007). </w:t>
      </w:r>
    </w:p>
    <w:p w14:paraId="4523B82E" w14:textId="77777777" w:rsidR="004322B1" w:rsidRPr="00AD2F44" w:rsidRDefault="004322B1">
      <w:pPr>
        <w:pStyle w:val="14Footnote"/>
      </w:pPr>
      <w:r w:rsidRPr="00AD2F44">
        <w:rPr>
          <w:i/>
          <w:iCs/>
        </w:rPr>
        <w:t xml:space="preserve">Fourth Circuit: </w:t>
      </w:r>
      <w:r w:rsidRPr="00AD2F44">
        <w:t>Byard v. Verizon W. Va., Inc., 287 F.R.D. 365, 375 (N.D. W. Va. 2012).</w:t>
      </w:r>
    </w:p>
    <w:p w14:paraId="065D83E6" w14:textId="77777777" w:rsidR="004322B1" w:rsidRPr="00AD2F44" w:rsidRDefault="004322B1">
      <w:pPr>
        <w:pStyle w:val="14Footnote"/>
      </w:pPr>
      <w:r w:rsidRPr="00AD2F44">
        <w:rPr>
          <w:i/>
          <w:iCs/>
        </w:rPr>
        <w:t>Sixth Circuit:</w:t>
      </w:r>
      <w:r w:rsidRPr="00AD2F44">
        <w:t xml:space="preserve"> Farmer v. LHC Grp. Inc., 2020 WL 7416946 (S.D. Ohio, Dec. 18, 2020) (requiring notice to include language regarding contingency fee arrangement).</w:t>
      </w:r>
    </w:p>
    <w:p w14:paraId="4C99B119" w14:textId="77777777" w:rsidR="004322B1" w:rsidRPr="00AD2F44" w:rsidRDefault="004322B1">
      <w:pPr>
        <w:pStyle w:val="14Footnote"/>
      </w:pPr>
      <w:r w:rsidRPr="00AD2F44">
        <w:rPr>
          <w:i/>
          <w:iCs/>
        </w:rPr>
        <w:t xml:space="preserve">Ninth Circuit: </w:t>
      </w:r>
      <w:r w:rsidRPr="00AD2F44">
        <w:t>Stanfield v. First NLC Fin. Servs., LLC, 2006 WL 3531729 (N.D. Cal. Dec. 5, 2006).</w:t>
      </w:r>
    </w:p>
    <w:p w14:paraId="3F2BDBCE" w14:textId="77777777" w:rsidR="004322B1" w:rsidRPr="00AD2F44" w:rsidRDefault="004322B1">
      <w:pPr>
        <w:pStyle w:val="14Footnote"/>
      </w:pPr>
      <w:r w:rsidRPr="00AD2F44">
        <w:rPr>
          <w:i/>
          <w:iCs/>
        </w:rPr>
        <w:t xml:space="preserve">Federal Circuit: </w:t>
      </w:r>
      <w:r w:rsidRPr="00AD2F44">
        <w:t xml:space="preserve">Whalen v. United States, 85 Fed. Cl. 380 (2009); Gayle v. United States, 85 Fed. Cl. 72 (2008). </w:t>
      </w:r>
    </w:p>
  </w:footnote>
  <w:footnote w:id="364">
    <w:p w14:paraId="109C51DE" w14:textId="77777777" w:rsidR="004322B1" w:rsidRPr="00AD2F44" w:rsidRDefault="004322B1">
      <w:pPr>
        <w:pStyle w:val="14Footnote"/>
      </w:pPr>
      <w:r w:rsidRPr="00AD2F44">
        <w:rPr>
          <w:vertAlign w:val="superscript"/>
        </w:rPr>
        <w:footnoteRef/>
      </w:r>
      <w:r w:rsidRPr="00AD2F44">
        <w:rPr>
          <w:i/>
          <w:iCs/>
        </w:rPr>
        <w:t>Stanfield</w:t>
      </w:r>
      <w:r w:rsidRPr="00AD2F44">
        <w:t>, 2006 WL 3531729, at *3 (requiring that notice include not only statement of percentage of recovery that would go to contingency fee but also that it would “proportionately reduce the award that each class member would receive”).</w:t>
      </w:r>
    </w:p>
  </w:footnote>
  <w:footnote w:id="365">
    <w:p w14:paraId="57FD77EE" w14:textId="77777777" w:rsidR="004322B1" w:rsidRPr="00AD2F44" w:rsidRDefault="004322B1">
      <w:pPr>
        <w:pStyle w:val="14Footnote"/>
      </w:pPr>
      <w:r w:rsidRPr="00AD2F44">
        <w:rPr>
          <w:vertAlign w:val="superscript"/>
        </w:rPr>
        <w:footnoteRef/>
      </w:r>
      <w:r w:rsidRPr="00AD2F44">
        <w:t>Hoffmann-La Roche, Inc. v. Sperling, 493 U.S. 165, 174 (1989).</w:t>
      </w:r>
    </w:p>
  </w:footnote>
  <w:footnote w:id="366">
    <w:p w14:paraId="31EECDD6" w14:textId="77777777" w:rsidR="004322B1" w:rsidRPr="00AD2F44" w:rsidRDefault="004322B1">
      <w:pPr>
        <w:pStyle w:val="14Footnote"/>
      </w:pPr>
      <w:r w:rsidRPr="00AD2F44">
        <w:rPr>
          <w:vertAlign w:val="superscript"/>
        </w:rPr>
        <w:footnoteRef/>
      </w:r>
      <w:r w:rsidRPr="00AD2F44">
        <w:rPr>
          <w:i/>
          <w:iCs/>
        </w:rPr>
        <w:t>See, e.g.,</w:t>
      </w:r>
    </w:p>
    <w:p w14:paraId="315B658E" w14:textId="77777777" w:rsidR="004322B1" w:rsidRPr="00AD2F44" w:rsidRDefault="004322B1">
      <w:pPr>
        <w:pStyle w:val="14Footnote"/>
      </w:pPr>
      <w:r w:rsidRPr="00AD2F44">
        <w:rPr>
          <w:i/>
          <w:iCs/>
        </w:rPr>
        <w:t xml:space="preserve">Sixth Circuit: </w:t>
      </w:r>
      <w:r w:rsidRPr="00AD2F44">
        <w:t>Bassett v. Tennessee Valley Auth., 2010 WL 3092251, at *3 (W.D. Ky. Aug. 5, 2010) (including statement of neutrality).</w:t>
      </w:r>
    </w:p>
    <w:p w14:paraId="1A53D81F" w14:textId="77777777" w:rsidR="004322B1" w:rsidRPr="00AD2F44" w:rsidRDefault="004322B1">
      <w:pPr>
        <w:pStyle w:val="14Footnote"/>
      </w:pPr>
      <w:r w:rsidRPr="00AD2F44">
        <w:rPr>
          <w:i/>
          <w:iCs/>
        </w:rPr>
        <w:t>Seventh Circuit:</w:t>
      </w:r>
      <w:r w:rsidRPr="00AD2F44">
        <w:t xml:space="preserve"> Howard v. Securitas Sec. Servs., USA Inc., 2009 WL 140126 (N.D. Ill. Jan. 20, 2009); Olmstead v. Residential Plus Mortg. Corp., 2008 WL 5157973 (N.D. Ill. Dec. 9, 2008); Jirak v. Abbot Labs., Inc., 566 F. Supp. 2d 845 (N.D. Ill. 2008); Mares v. Caesars Entm’t, Inc., 2007 WL 118877 (S.D. Ind. Jan. 10, 2007); Boyd v. Jupiter Aluminum Corp., 2006 WL 1518987 (N.D. Ind. May 31, 2006); Coan v. Nightingale Home Healthcare, Inc., 2005 WL 1799454 (S.D. Ind. June 29, 2005).</w:t>
      </w:r>
    </w:p>
    <w:p w14:paraId="1D96E771" w14:textId="77777777" w:rsidR="004322B1" w:rsidRPr="00AD2F44" w:rsidRDefault="004322B1">
      <w:pPr>
        <w:pStyle w:val="14Footnote"/>
      </w:pPr>
      <w:r w:rsidRPr="00AD2F44">
        <w:rPr>
          <w:i/>
          <w:iCs/>
        </w:rPr>
        <w:t>Eighth Circuit</w:t>
      </w:r>
      <w:r w:rsidRPr="00AD2F44">
        <w:t xml:space="preserve">: Brown v Trinity Prop. Mgmt., LLC, 2019 WL 6834018, at *6 (E.D. Ark. Dec. 13, 2019) (requiring language in notice that: “The Court does not encourage or discourage participation in this case.”). </w:t>
      </w:r>
    </w:p>
    <w:p w14:paraId="4139AD26" w14:textId="77777777" w:rsidR="004322B1" w:rsidRPr="00AD2F44" w:rsidRDefault="004322B1">
      <w:pPr>
        <w:pStyle w:val="14Footnote"/>
      </w:pPr>
      <w:r w:rsidRPr="00AD2F44">
        <w:rPr>
          <w:i/>
          <w:iCs/>
        </w:rPr>
        <w:t>Ninth Circuit:</w:t>
      </w:r>
      <w:r w:rsidRPr="00AD2F44">
        <w:t xml:space="preserve"> Cardoza v. Bloomin’ Brands, Inc., 2014 WL 5454178 (D. Nev. Oct. 24, 2014); Labrie v. UPS Supply Chain Sols., Inc., 2009 WL 723599 (N.D. Cal. Mar. 18, 2009); Hoffman v. Securitas Sec. Servs., 2008 WL 5054684 (D. Idaho Aug. 27, 2008); Mowdy v. Beneto Bulk Transp., 2008 WL 901546 (N.D. Cal. Mar. 31, 2008); Delgado v. Ortho-McNeil, Inc., 2007 WL 2847238 (C.D. Cal. Aug. 7, 2007); Adams v. Inter-Con Sec. Sys., Inc., 242 F.R.D. 530 (N.D. Cal. 2007).</w:t>
      </w:r>
    </w:p>
    <w:p w14:paraId="5CB44F23" w14:textId="77777777" w:rsidR="004322B1" w:rsidRPr="00AD2F44" w:rsidRDefault="004322B1">
      <w:pPr>
        <w:pStyle w:val="14Footnote"/>
      </w:pPr>
      <w:r w:rsidRPr="00AD2F44">
        <w:rPr>
          <w:i/>
          <w:iCs/>
        </w:rPr>
        <w:t>Tenth Circuit:</w:t>
      </w:r>
      <w:r w:rsidRPr="00AD2F44">
        <w:t xml:space="preserve"> Clayton v. Velociti, Inc., 2009 WL 304190, at *3 (D. Kan. Feb. 9, 2009) (reasoning that highlighting of “Court Approval of Notice” by putting it in all capital letters is “unnecessary and potentially unfair”).</w:t>
      </w:r>
    </w:p>
    <w:p w14:paraId="0C4CE4BC" w14:textId="77777777" w:rsidR="004322B1" w:rsidRPr="00AD2F44" w:rsidRDefault="004322B1">
      <w:pPr>
        <w:pStyle w:val="14Footnote"/>
      </w:pPr>
      <w:r w:rsidRPr="00AD2F44">
        <w:rPr>
          <w:i/>
          <w:iCs/>
        </w:rPr>
        <w:t xml:space="preserve">Eleventh Circuit: </w:t>
      </w:r>
      <w:r w:rsidRPr="00AD2F44">
        <w:t>Fantauzzi v. Agora Mktg. Sols., Inc., 2010 U.S. Dist. LEXIS 59102 (M.D. Fla. June 2, 2010) (requiring notice to be amended to include statement that court takes no position on merits of lawsuit).</w:t>
      </w:r>
    </w:p>
  </w:footnote>
  <w:footnote w:id="367">
    <w:p w14:paraId="7CEFACCD" w14:textId="77777777" w:rsidR="004322B1" w:rsidRPr="00AD2F44" w:rsidRDefault="004322B1">
      <w:pPr>
        <w:pStyle w:val="14Footnote"/>
      </w:pPr>
      <w:r w:rsidRPr="00AD2F44">
        <w:rPr>
          <w:vertAlign w:val="superscript"/>
        </w:rPr>
        <w:footnoteRef/>
      </w:r>
      <w:r w:rsidRPr="00AD2F44">
        <w:rPr>
          <w:i/>
          <w:iCs/>
        </w:rPr>
        <w:t>See, e.g.,</w:t>
      </w:r>
    </w:p>
    <w:p w14:paraId="11C530A2" w14:textId="77777777" w:rsidR="004322B1" w:rsidRPr="00AD2F44" w:rsidRDefault="004322B1">
      <w:pPr>
        <w:pStyle w:val="14Footnote"/>
      </w:pPr>
      <w:r w:rsidRPr="00AD2F44">
        <w:rPr>
          <w:i/>
          <w:iCs/>
        </w:rPr>
        <w:t>Second Circuit:</w:t>
      </w:r>
      <w:r w:rsidRPr="00AD2F44">
        <w:t xml:space="preserve"> Tracy v. NVR, Inc., 667 F. Supp. 2d 244 (W.D.N.Y. 2009) (permitting inclusion of court caption and case number where notice includes disclaimer that court has not expressed an opinion on merits of case).</w:t>
      </w:r>
    </w:p>
    <w:p w14:paraId="54E76994" w14:textId="77777777" w:rsidR="004322B1" w:rsidRPr="00AD2F44" w:rsidRDefault="004322B1">
      <w:pPr>
        <w:pStyle w:val="14Footnote"/>
      </w:pPr>
      <w:r w:rsidRPr="00AD2F44">
        <w:rPr>
          <w:i/>
          <w:iCs/>
        </w:rPr>
        <w:t>Fourth Circuit:</w:t>
      </w:r>
      <w:r w:rsidRPr="00AD2F44">
        <w:t xml:space="preserve"> Byard v. Verizon W. Va., Inc., 287 F.R.D. 365, 376 (N.D. W. Va. 2012) (“After a careful review of the relevant authority, the Court concludes that the case caption does not suggest any judicial bias.”).</w:t>
      </w:r>
    </w:p>
    <w:p w14:paraId="4CCA2B7B" w14:textId="77777777" w:rsidR="004322B1" w:rsidRPr="00AD2F44" w:rsidRDefault="004322B1">
      <w:pPr>
        <w:pStyle w:val="14Footnote"/>
      </w:pPr>
      <w:r w:rsidRPr="00AD2F44">
        <w:rPr>
          <w:i/>
          <w:iCs/>
        </w:rPr>
        <w:t>Sixth Circuit:</w:t>
      </w:r>
      <w:r w:rsidRPr="00AD2F44">
        <w:t xml:space="preserve"> York v. Velox Express, Inc., 524 F. Supp. 3d 679 (W.D. Ky. 2021) (permitting format of notice in style of pleading, with court caption, over defendant’s objections); Stine v. FedEx Ground Package Sys., Inc., 2019 WL 2518127, at *6 (E.D. Ky. June 18, 2019) (striking notice language that had put court title in bold caps on first page); Carlson v. Leprino Foods Co., 2006 WL 2375046, at *1 (W.D. Mich. Aug. 15, 2006) (deeming use of caption “important” so readers will not confuse the notice with junk mail).</w:t>
      </w:r>
    </w:p>
    <w:p w14:paraId="02F2E9ED" w14:textId="77777777" w:rsidR="004322B1" w:rsidRPr="00AD2F44" w:rsidRDefault="004322B1">
      <w:pPr>
        <w:pStyle w:val="14Footnote"/>
      </w:pPr>
      <w:r w:rsidRPr="00AD2F44">
        <w:rPr>
          <w:i/>
          <w:iCs/>
        </w:rPr>
        <w:t>Seventh Circuit:</w:t>
      </w:r>
      <w:r w:rsidRPr="00AD2F44">
        <w:t xml:space="preserve"> Woods v. New York Life Ins. Co., 686 F.2d 578 (7th Cir. 1982) (finding it improper for the district court to direct that the notice go out on its letterhead, over the signature of the clerk of court or other judicial officer); Binissia v. ABM Indus., Inc., 2014 WL 793111 (N.D. Ill. Feb. 26, 2014) (encouraging the plaintiffs’ counsel to send out the notice under their letterhead and not place the caption on the first page of the notice); North v. Board of Trs. of Ill. State Univ., 676 F. Supp. 2d 690 (C.D. Ill. 2009) (holding that the caption and the judge’s name were not likely to mislead a recipient into believing that the notice constituted an invitation from the court as the proposed notice stated that the court had taken no position on the merits of the action); Dekeyser v. Thyssenkrupp Waupaca, Inc., 2008 WL 5263750 (E.D. Wis. Dec. 18, 2008) (refusing to approve notice that included space for signature of the court and the heading “U.S. District Court for the Eastern District of Wisconsin”); Olmstead v. Residential Plus Mortg. Corp., 2008 WL 5157973 (N.D. Ill. Dec. 9, 2008) (deeming inclusion of entire caption sufficient where neutral statement of court included); Russell v. Illinois Bell Tel. Co., 575 F. Supp. 2d 930, 938 (N.D. Ill. 2008) (approving inclusion of full caption, since it “could not reasonably be construed as a letter from the Court”); Jirak v. Abbot Labs., Inc., 566 F. Supp. 2d 845 (N.D. Ill. 2008) (requiring that either full caption be included or heading removed); Boyd v. Jupiter Aluminum Corp., 2006 WL 1518987, at *6 (N.D. Ind. May 31, 2006) (“The use of a case caption in Plaintiff’s proposed notice does not suggest any judicial sponsorship of Plaintiffs’ claims in the case. Even if it did, the effect of any such suggestion is cured by the disclaimer in boldface at the end of the notice, which states unequivocally that the Court takes no position as to the merits … .”).</w:t>
      </w:r>
    </w:p>
    <w:p w14:paraId="3C04CD37" w14:textId="77777777" w:rsidR="004322B1" w:rsidRPr="00AD2F44" w:rsidRDefault="004322B1">
      <w:pPr>
        <w:pStyle w:val="14Footnote"/>
      </w:pPr>
      <w:r w:rsidRPr="00AD2F44">
        <w:rPr>
          <w:i/>
          <w:iCs/>
        </w:rPr>
        <w:t>Ninth Circuit:</w:t>
      </w:r>
      <w:r w:rsidRPr="00AD2F44">
        <w:t xml:space="preserve"> </w:t>
      </w:r>
      <w:r w:rsidRPr="00AD2F44">
        <w:rPr>
          <w:i/>
          <w:iCs/>
        </w:rPr>
        <w:t>Cardoza</w:t>
      </w:r>
      <w:r w:rsidRPr="00AD2F44">
        <w:t>, 2014 WL 5454178 (permitting caption); Gilbert v. Citigroup, Inc., 2009 WL 424320 (N.D. Cal. Feb. 18, 2009); Hoffman v. Securitas Sec. Servs., 2008 WL 5054684 (D. Idaho Aug. 27, 2008) (permitting inclusion of caption but requiring that it be immediately followed by bolded statement of neutrality); Prentice v. Fund for Pub. Interest Rsch., Inc., 2007 WL 2729187 (N.D. Cal. Sept. 18, 2007); Delgado v. Ortho-McNeil, Inc., 2007 WL 2847238 (C.D. Cal. Aug. 7, 2007) (approving inclusion of caption but requiring that it be immediately followed by conspicuous language that the court has not taken a position on the merits); Adams v. Inter-Con Sec. Sys., Inc., 242 F.R.D. 530, 540 (N.D. Cal. 2007) (“However, notices typically contain a court caption and the bolded statement of neutrality below the caption should make the court’s position clear to potential plaintiffs.”); Gerlach v. Wells Fargo &amp; Co., 2006 WL 824652 (N.D. Cal. Mar. 28, 2006) (ordering the caption deleted from the proposed notice).</w:t>
      </w:r>
    </w:p>
    <w:p w14:paraId="1F417F97" w14:textId="77777777" w:rsidR="004322B1" w:rsidRPr="00AD2F44" w:rsidRDefault="004322B1">
      <w:pPr>
        <w:pStyle w:val="14Footnote"/>
      </w:pPr>
      <w:r w:rsidRPr="00AD2F44">
        <w:rPr>
          <w:i/>
          <w:iCs/>
        </w:rPr>
        <w:t>Tenth Circuit</w:t>
      </w:r>
      <w:r w:rsidRPr="00AD2F44">
        <w:t>: Pack v. Investools, Inc., 2011 WL 5325290, at *2 (D. Utah Nov. 3, 2011) (striking word “from” before “United States District Court for the District of Utah” on notice, because “from” would suggest court, rather than plaintiff’s counsel, was sending notice, and could suggest that court was encouraging the joining of the suit).</w:t>
      </w:r>
    </w:p>
    <w:p w14:paraId="2EC88EB6" w14:textId="77777777" w:rsidR="004322B1" w:rsidRPr="00AD2F44" w:rsidRDefault="004322B1">
      <w:pPr>
        <w:pStyle w:val="14Footnote"/>
      </w:pPr>
      <w:r w:rsidRPr="00AD2F44">
        <w:rPr>
          <w:i/>
          <w:iCs/>
        </w:rPr>
        <w:t>Eleventh Circuit:</w:t>
      </w:r>
      <w:r w:rsidRPr="00AD2F44">
        <w:t xml:space="preserve"> Villamar v. Carrier Compliance Servs. Corp., 2022 BL 114099, 2022 WL 1650100 (S.D. Fla. May 24, 2022) (rejecting defendant’s argument that case caption should be removed from notice); Earle v. Convergent Outsourcing, Inc., 2013 WL 6252422 (M.D. Ala. Sept. 5, 2013) (inclusion of court’s name at the top of the notice fine given the presence of a one-line disclaimer stating the court’s neutrality); Pares v. Kendall Lakes Auto., LLC, 2013 WL 3279803 (S.D. Fla. June 27, 2013) (ordering that the case name and number be included in the notice in order to show that the court had approved the notice and that the notice was more than a mere solicitation).</w:t>
      </w:r>
    </w:p>
    <w:p w14:paraId="5F17A133" w14:textId="77777777" w:rsidR="004322B1" w:rsidRPr="00AD2F44" w:rsidRDefault="004322B1">
      <w:pPr>
        <w:pStyle w:val="14Footnote"/>
      </w:pPr>
      <w:r w:rsidRPr="00AD2F44">
        <w:rPr>
          <w:i/>
          <w:iCs/>
        </w:rPr>
        <w:t>Federal Circuit:</w:t>
      </w:r>
      <w:r w:rsidRPr="00AD2F44">
        <w:t xml:space="preserve"> Whalen v. United States, 85 Fed. Cl. 380 (2009) (the notice should avoid any bold heading that includes the court’s name).</w:t>
      </w:r>
    </w:p>
  </w:footnote>
  <w:footnote w:id="368">
    <w:p w14:paraId="28900D80" w14:textId="77777777" w:rsidR="004322B1" w:rsidRPr="00AD2F44" w:rsidRDefault="004322B1">
      <w:pPr>
        <w:pStyle w:val="14Footnote"/>
      </w:pPr>
      <w:r w:rsidRPr="00AD2F44">
        <w:rPr>
          <w:vertAlign w:val="superscript"/>
        </w:rPr>
        <w:footnoteRef/>
      </w:r>
      <w:r w:rsidRPr="00AD2F44">
        <w:t>Bassett v. Tennessee Valley Auth., 2010 WL 3092251, at *3 (W.D. Ky. Aug. 5, 2010) (including statement advising putative class members not to contact court); Hoffman v. Securitas Sec. Servs., 2008 WL 5054684 (D. Idaho Aug. 27, 2008); Bailey v. Youth Vills., Inc., 2008 WL 2987201 (W.D. Tenn. July 30, 2008); Mowdy v. Beneto Bulk Transp., 2008 WL 901546 (N.D. Cal. Mar. 31, 2008); Gerlach v. Wells Fargo &amp; Co., 2006 WL 824652 (N.D. Cal. Mar. 28, 2006).</w:t>
      </w:r>
    </w:p>
  </w:footnote>
  <w:footnote w:id="369">
    <w:p w14:paraId="3962B786" w14:textId="77777777" w:rsidR="004322B1" w:rsidRPr="00AD2F44" w:rsidRDefault="004322B1">
      <w:pPr>
        <w:pStyle w:val="14Footnote"/>
      </w:pPr>
      <w:r w:rsidRPr="00AD2F44">
        <w:rPr>
          <w:vertAlign w:val="superscript"/>
        </w:rPr>
        <w:footnoteRef/>
      </w:r>
      <w:r w:rsidRPr="00AD2F44">
        <w:t>Woods v. New York Life Ins. Co., 686 F.2d 578 (7th Cir. 1982); Labrie v. UPS Supply Chain Sols., Inc., 2009 WL 723599 (N.D. Cal. Mar. 18, 2009); Gilbert v. Citigroup, Inc., 2009 WL 424320 (N.D. Cal. Feb. 18, 2009); Dekeyser v. Thyssenkrupp Waupaca, Inc., 2008 WL 5263750 (E.D. Wis. Dec. 18, 2008).</w:t>
      </w:r>
    </w:p>
  </w:footnote>
  <w:footnote w:id="370">
    <w:p w14:paraId="1B276939" w14:textId="77777777" w:rsidR="004322B1" w:rsidRPr="00AD2F44" w:rsidRDefault="004322B1">
      <w:pPr>
        <w:pStyle w:val="14Footnote"/>
      </w:pPr>
      <w:r w:rsidRPr="00AD2F44">
        <w:rPr>
          <w:vertAlign w:val="superscript"/>
        </w:rPr>
        <w:footnoteRef/>
      </w:r>
      <w:r w:rsidRPr="00AD2F44">
        <w:rPr>
          <w:i/>
          <w:iCs/>
        </w:rPr>
        <w:t>Seventh Circuit:</w:t>
      </w:r>
      <w:r w:rsidRPr="00AD2F44">
        <w:t xml:space="preserve"> Howard v. Securitas Sec. Servs., USA Inc., 2009 WL 140126 (N.D. Ill. Jan. 20, 2009); Jirak v. Abbot Labs., Inc., 566 F. Supp. 2d 845 (N.D. Ill. 2008).</w:t>
      </w:r>
    </w:p>
    <w:p w14:paraId="51FC6581" w14:textId="77777777" w:rsidR="004322B1" w:rsidRPr="00AD2F44" w:rsidRDefault="004322B1">
      <w:pPr>
        <w:pStyle w:val="14Footnote"/>
      </w:pPr>
      <w:r w:rsidRPr="00AD2F44">
        <w:rPr>
          <w:i/>
          <w:iCs/>
        </w:rPr>
        <w:t>Ninth Circuit:</w:t>
      </w:r>
      <w:r w:rsidRPr="00AD2F44">
        <w:t xml:space="preserve"> Delgado v. Ortho-McNeil, Inc., 2007 WL 2847238 (C.D. Cal. Aug. 7, 2007).</w:t>
      </w:r>
    </w:p>
    <w:p w14:paraId="5ACEEFBC" w14:textId="77777777" w:rsidR="004322B1" w:rsidRPr="00AD2F44" w:rsidRDefault="004322B1">
      <w:pPr>
        <w:pStyle w:val="14Footnote"/>
      </w:pPr>
      <w:r w:rsidRPr="00AD2F44">
        <w:rPr>
          <w:i/>
          <w:iCs/>
        </w:rPr>
        <w:t>Federal Circuit:</w:t>
      </w:r>
      <w:r w:rsidRPr="00AD2F44">
        <w:t xml:space="preserve"> Whalen v. United States, 85 Fed. Cl. 380 (2009).</w:t>
      </w:r>
    </w:p>
  </w:footnote>
  <w:footnote w:id="371">
    <w:p w14:paraId="4FCFF263" w14:textId="77777777" w:rsidR="004322B1" w:rsidRPr="00AD2F44" w:rsidRDefault="004322B1">
      <w:pPr>
        <w:pStyle w:val="14Footnote"/>
      </w:pPr>
      <w:r w:rsidRPr="00AD2F44">
        <w:rPr>
          <w:vertAlign w:val="superscript"/>
        </w:rPr>
        <w:footnoteRef/>
      </w:r>
      <w:r w:rsidRPr="00AD2F44">
        <w:t xml:space="preserve">Notices routinely include a disclaimer similar to the following, in all capital letters, and often in boldface type: “THE COURT HAS TAKEN NO POSITION IN THIS CASE REGARDING THE MERITS OF THE PLAINTIFF’S CLAIMS OR OF THE DEFENDANTS’ DEFENSES.” </w:t>
      </w:r>
    </w:p>
    <w:p w14:paraId="779299CD" w14:textId="77777777" w:rsidR="004322B1" w:rsidRPr="00AD2F44" w:rsidRDefault="004322B1">
      <w:pPr>
        <w:pStyle w:val="14Footnote"/>
      </w:pPr>
      <w:r w:rsidRPr="00AD2F44">
        <w:rPr>
          <w:i/>
          <w:iCs/>
        </w:rPr>
        <w:t>See, e.g.,</w:t>
      </w:r>
    </w:p>
    <w:p w14:paraId="4E234582" w14:textId="77777777" w:rsidR="004322B1" w:rsidRPr="00AD2F44" w:rsidRDefault="004322B1">
      <w:pPr>
        <w:pStyle w:val="14Footnote"/>
      </w:pPr>
      <w:r w:rsidRPr="00AD2F44">
        <w:rPr>
          <w:i/>
          <w:iCs/>
        </w:rPr>
        <w:t>Second Circuit:</w:t>
      </w:r>
      <w:r w:rsidRPr="00AD2F44">
        <w:t xml:space="preserve"> Gjurovich v. Emmanuel’s Marketplace, Inc., 282 F. Supp. 2d 101 (S.D.N.Y. 2003).</w:t>
      </w:r>
    </w:p>
    <w:p w14:paraId="3A2E65C4" w14:textId="77777777" w:rsidR="004322B1" w:rsidRPr="00AD2F44" w:rsidRDefault="004322B1">
      <w:pPr>
        <w:pStyle w:val="14Footnote"/>
      </w:pPr>
      <w:r w:rsidRPr="00AD2F44">
        <w:rPr>
          <w:i/>
          <w:iCs/>
        </w:rPr>
        <w:t>Sixth Circuit:</w:t>
      </w:r>
      <w:r w:rsidRPr="00AD2F44">
        <w:t xml:space="preserve"> Belcher v. Shoney’s, Inc., 927 F. Supp. 249 (M.D. Tenn. 1996).</w:t>
      </w:r>
    </w:p>
    <w:p w14:paraId="2102EC5E" w14:textId="77777777" w:rsidR="004322B1" w:rsidRPr="00AD2F44" w:rsidRDefault="004322B1">
      <w:pPr>
        <w:pStyle w:val="14Footnote"/>
      </w:pPr>
      <w:r w:rsidRPr="00AD2F44">
        <w:rPr>
          <w:i/>
          <w:iCs/>
        </w:rPr>
        <w:t>Seventh Circuit:</w:t>
      </w:r>
      <w:r w:rsidRPr="00AD2F44">
        <w:t xml:space="preserve"> Vennet v. American Intercontinental Univ. Online, 2005 WL 6215171 (N.D. Ill. Dec. 22, 2005).</w:t>
      </w:r>
    </w:p>
    <w:p w14:paraId="083295AA" w14:textId="77777777" w:rsidR="004322B1" w:rsidRPr="00AD2F44" w:rsidRDefault="004322B1">
      <w:pPr>
        <w:pStyle w:val="14Footnote"/>
      </w:pPr>
      <w:r w:rsidRPr="00AD2F44">
        <w:rPr>
          <w:i/>
          <w:iCs/>
        </w:rPr>
        <w:t>Tenth</w:t>
      </w:r>
      <w:r w:rsidRPr="00AD2F44">
        <w:t xml:space="preserve"> </w:t>
      </w:r>
      <w:r w:rsidRPr="00AD2F44">
        <w:rPr>
          <w:i/>
          <w:iCs/>
        </w:rPr>
        <w:t>Circuit:</w:t>
      </w:r>
      <w:r w:rsidRPr="00AD2F44">
        <w:t xml:space="preserve"> Fortna v. QC Holdings, Inc., 2006 WL 2385303 (N.D. Okla. Aug. 17, 2006).</w:t>
      </w:r>
    </w:p>
    <w:p w14:paraId="17A44120" w14:textId="77777777" w:rsidR="004322B1" w:rsidRPr="00AD2F44" w:rsidRDefault="004322B1">
      <w:pPr>
        <w:pStyle w:val="14Footnote"/>
      </w:pPr>
      <w:r w:rsidRPr="00AD2F44">
        <w:rPr>
          <w:i/>
          <w:iCs/>
        </w:rPr>
        <w:t>Federal Circuit:</w:t>
      </w:r>
      <w:r w:rsidRPr="00AD2F44">
        <w:t xml:space="preserve"> Gayle v. United States, 85 Fed. Cl. 72 (2008).</w:t>
      </w:r>
    </w:p>
    <w:p w14:paraId="13631C1B" w14:textId="77777777" w:rsidR="004322B1" w:rsidRPr="00AD2F44" w:rsidRDefault="004322B1">
      <w:pPr>
        <w:pStyle w:val="14Footnote"/>
      </w:pPr>
      <w:r w:rsidRPr="00AD2F44">
        <w:rPr>
          <w:i/>
        </w:rPr>
        <w:t>See also</w:t>
      </w:r>
    </w:p>
    <w:p w14:paraId="5C39E31E" w14:textId="77777777" w:rsidR="004322B1" w:rsidRPr="00AD2F44" w:rsidRDefault="004322B1">
      <w:pPr>
        <w:pStyle w:val="14Footnote"/>
      </w:pPr>
      <w:r w:rsidRPr="00AD2F44">
        <w:rPr>
          <w:i/>
          <w:iCs/>
        </w:rPr>
        <w:t xml:space="preserve">Fifth Circuit: </w:t>
      </w:r>
      <w:r w:rsidRPr="00AD2F44">
        <w:t>Reyes v. Quality Logging, Inc., 52 F. Supp. 3d 849, 853 (S.D. Tex. 2014) (statement that “there is no assurance that the Court will grant any relief to him or to you in this case” sufficient to preserve neutrality).</w:t>
      </w:r>
    </w:p>
    <w:p w14:paraId="33CACF4A" w14:textId="77777777" w:rsidR="004322B1" w:rsidRPr="00AD2F44" w:rsidRDefault="004322B1">
      <w:pPr>
        <w:pStyle w:val="14Footnote"/>
      </w:pPr>
      <w:r w:rsidRPr="00AD2F44">
        <w:rPr>
          <w:i/>
          <w:iCs/>
        </w:rPr>
        <w:t>Eighth Circuit:</w:t>
      </w:r>
      <w:r w:rsidRPr="00AD2F44">
        <w:t xml:space="preserve"> Martinez v. Cargill Meat Sols., 265 F.R.D. 490, 499 (D. Neb. 2009) (requiring that judicial disclaimer be placed immediately after case name in caption to ensure judicial neutrality).</w:t>
      </w:r>
    </w:p>
    <w:p w14:paraId="067F181D" w14:textId="77777777" w:rsidR="004322B1" w:rsidRPr="00AD2F44" w:rsidRDefault="004322B1">
      <w:pPr>
        <w:pStyle w:val="14Footnote"/>
      </w:pPr>
      <w:r w:rsidRPr="00AD2F44">
        <w:rPr>
          <w:i/>
          <w:iCs/>
        </w:rPr>
        <w:t>Ninth Circuit:</w:t>
      </w:r>
      <w:r w:rsidRPr="00AD2F44">
        <w:t xml:space="preserve"> Benedict v. Hewlett-Packard Co., 2014 WL 587135 (N.D. Cal. Feb. 13, 2014); Helton v. Factor 5, Inc., 2012 WL 2428219 (N.D. Cal. June 26, 2012).</w:t>
      </w:r>
    </w:p>
  </w:footnote>
  <w:footnote w:id="372">
    <w:p w14:paraId="54CCB5EC" w14:textId="77777777" w:rsidR="004322B1" w:rsidRPr="00AD2F44" w:rsidRDefault="004322B1">
      <w:pPr>
        <w:pStyle w:val="14Footnote"/>
      </w:pPr>
      <w:r w:rsidRPr="00AD2F44">
        <w:rPr>
          <w:vertAlign w:val="superscript"/>
        </w:rPr>
        <w:footnoteRef/>
      </w:r>
      <w:r w:rsidRPr="00AD2F44">
        <w:t>Issues concerning the distribution and return of those consent forms are described in §II.B [Procedural Requirements of Section 216(b); The Consent Requirement] of this chapter.</w:t>
      </w:r>
    </w:p>
  </w:footnote>
  <w:footnote w:id="373">
    <w:p w14:paraId="4C6C1113" w14:textId="77777777" w:rsidR="004322B1" w:rsidRPr="00AD2F44" w:rsidRDefault="004322B1">
      <w:pPr>
        <w:pStyle w:val="14Footnote"/>
      </w:pPr>
      <w:r w:rsidRPr="00AD2F44">
        <w:rPr>
          <w:vertAlign w:val="superscript"/>
        </w:rPr>
        <w:footnoteRef/>
      </w:r>
      <w:r w:rsidRPr="00AD2F44">
        <w:t>Madrid v. Peak Constr., Inc., 2009 WL 3710719, at *1 (D. Ariz. Nov. 2, 2009) (allowing consent form to be on bright green stationery, be included in envelope with “Did you work more than 40 hours per week for Peak Painting? OPEN THIS ENVELOPE” printed in Spanish on outside of envelope, and containing self-addressed, stamped envelope, but rejecting use of “sign here” stickers as inappropriately suggestive to potential collective action members that their signature was required).</w:t>
      </w:r>
    </w:p>
  </w:footnote>
  <w:footnote w:id="374">
    <w:p w14:paraId="68D7E6C8" w14:textId="77777777" w:rsidR="004322B1" w:rsidRPr="00AD2F44" w:rsidRDefault="004322B1">
      <w:pPr>
        <w:pStyle w:val="14Footnote"/>
      </w:pPr>
      <w:r w:rsidRPr="00AD2F44">
        <w:rPr>
          <w:vertAlign w:val="superscript"/>
        </w:rPr>
        <w:footnoteRef/>
      </w:r>
      <w:r w:rsidRPr="00AD2F44">
        <w:t xml:space="preserve">As explained above, under 29 U.S.C. §216(b), a person may not become a party plaintiff to an FLSA collective action “unless he gives his consent in writing to become such a party and such consent is filed in the court in which such action is brought.” </w:t>
      </w:r>
      <w:r w:rsidRPr="00AD2F44">
        <w:rPr>
          <w:i/>
          <w:iCs/>
        </w:rPr>
        <w:t>See</w:t>
      </w:r>
      <w:r w:rsidRPr="00AD2F44">
        <w:t xml:space="preserve"> Delaney v. Geisha NYC, LLC, 261 F.R.D. 55, 59–60 (S.D.N.Y. 2009) (rejecting defendant’s proposal to make opt-ins sign consent forms under penalty of perjury).</w:t>
      </w:r>
    </w:p>
  </w:footnote>
  <w:footnote w:id="375">
    <w:p w14:paraId="3DBD818A" w14:textId="77777777" w:rsidR="004322B1" w:rsidRPr="00AD2F44" w:rsidRDefault="004322B1">
      <w:pPr>
        <w:pStyle w:val="14Footnote"/>
      </w:pPr>
      <w:r w:rsidRPr="00AD2F44">
        <w:rPr>
          <w:vertAlign w:val="superscript"/>
        </w:rPr>
        <w:footnoteRef/>
      </w:r>
      <w:r w:rsidRPr="00AD2F44">
        <w:rPr>
          <w:i/>
          <w:iCs/>
        </w:rPr>
        <w:t>See, e.g.,</w:t>
      </w:r>
    </w:p>
    <w:p w14:paraId="2A1F60C7" w14:textId="77777777" w:rsidR="004322B1" w:rsidRPr="00AD2F44" w:rsidRDefault="004322B1">
      <w:pPr>
        <w:pStyle w:val="14Footnote"/>
      </w:pPr>
      <w:r w:rsidRPr="00AD2F44">
        <w:rPr>
          <w:i/>
          <w:iCs/>
        </w:rPr>
        <w:t>Second Circuit: Compare</w:t>
      </w:r>
      <w:r w:rsidRPr="00AD2F44">
        <w:t xml:space="preserve"> </w:t>
      </w:r>
      <w:r>
        <w:t>Zimnicki v. Krysiak Constr. Corp.,</w:t>
      </w:r>
      <w:r w:rsidRPr="003E60AC">
        <w:t xml:space="preserve"> </w:t>
      </w:r>
      <w:r w:rsidRPr="00846456">
        <w:t>2022 BL 459417</w:t>
      </w:r>
      <w:r>
        <w:t xml:space="preserve">,  </w:t>
      </w:r>
      <w:r w:rsidRPr="00AF5B38">
        <w:t>2022 WL 17820139</w:t>
      </w:r>
      <w:r>
        <w:t xml:space="preserve">, at *11 (E.D.N.Y. Sept. 27, 2022) (requiring consents to be sent to court to avoid “improperly discourage[ing]” recipients from seeking their own counsel, and noting “this concern has been expressed by numerous courts in the Eastern District”); </w:t>
      </w:r>
      <w:r w:rsidRPr="00AD2F44">
        <w:t xml:space="preserve">Castillo v. Perfume Worldwide, Inc., 2018 WL 1581975, at *10 (E.D.N.Y. Mar. 20, 2018) (instructing that consent forms be mailed directly to clerk of the court, who was instructed to redact opt-ins’ contact information), Zaldivar v. JMJ Caterers, Inc., 2016 WL 1029494, at *1 (E.D.N.Y. Mar. 15, 2016) (stating that “‘[t]he common practice in the Eastern District is to have opt-in plaintiffs send their consent forms to the Clerk of the Court rather than to plaintiff[’s] counsel’”) (citation omitted), Diaz v. S &amp; H Bondi’s Dep’t Store, 2012 WL 137460, at *8 (S.D.N.Y. Jan. 18, 2012) (concluding that consent forms should be returned to clerk), </w:t>
      </w:r>
      <w:r w:rsidRPr="00AD2F44">
        <w:rPr>
          <w:i/>
          <w:iCs/>
        </w:rPr>
        <w:t>and</w:t>
      </w:r>
      <w:r w:rsidRPr="00AD2F44">
        <w:t xml:space="preserve"> Iriarte v. Redwood Deli &amp; Catering, Inc., 2008 WL 2622929, at *4 (E.D.N.Y. June 30, 2008) (rejecting proposal to return consent forms to plaintiff’s counsel because “recent decisions” had found that sending forms to plaintiffs’ counsel discouraged retention of outside counsel; thus, forms must be sent to court), </w:t>
      </w:r>
      <w:r w:rsidRPr="00AD2F44">
        <w:rPr>
          <w:i/>
          <w:iCs/>
        </w:rPr>
        <w:t xml:space="preserve">with </w:t>
      </w:r>
      <w:r w:rsidRPr="00AD2F44">
        <w:t xml:space="preserve">Martinenko v. 212 Steakhouse Inc., 2022 BL 143725, 2022 WL 1227140 (S.D.N.Y. Apr. 26, 2022) (allowing consent forms to be collected by plaintiffs’ counsel and requiring forms be filed with court on same day they are received); Sultonmurodov v. Mesivita of Long Beach, 2015 WL 5918415, at *2–3 (E.D.N.Y. Oct. 9, 2015) (directing that consent forms be returned to plaintiffs’ counsel; more efficient given budgetary constraints on court, and limited risk that returning forms to plaintiffs’ counsel would confuse opt-ins about ability to choose their own counsel was addressed by including language about that right in notice), Hart v. Crab Addison, Inc., 2015 WL 365785 (W.D.N.Y. Jan 27, 2015) (rejecting request that forms be returned to clerk), Cordova v. SCCF, Inc., 2014 WL 3512820 (S.D.N.Y. July 16, 2014) (rejecting request that all consent forms be returned to clerk; individuals wishing to be represented by plaintiff’s counsel should return forms to such counsel), Laroque v. Domino’s Pizza, LLC, 557 F. Supp. 2d 346 (E.D.N.Y. 2008) (consent form to be returned to plaintiff’s counsel), Sobczak v. AWL Indus., Inc., 540 F. Supp. 2d 354 (E.D.N.Y. 2007) (same), </w:t>
      </w:r>
      <w:r w:rsidRPr="00AD2F44">
        <w:rPr>
          <w:i/>
          <w:iCs/>
        </w:rPr>
        <w:t>and</w:t>
      </w:r>
      <w:r w:rsidRPr="00AD2F44">
        <w:t xml:space="preserve"> Ayers v. SGS Control Servs., Inc., 2007 WL 3171342 (S.D.N.Y. Oct. 9, 2007) (same). </w:t>
      </w:r>
      <w:r w:rsidRPr="00AD2F44">
        <w:rPr>
          <w:i/>
          <w:iCs/>
        </w:rPr>
        <w:t>See also</w:t>
      </w:r>
      <w:r w:rsidRPr="00AD2F44">
        <w:t xml:space="preserve"> Delaney v. Geisha NYC, LLC, 261 F.R.D. 55 (S.D.N.Y. 2009) (allowing that consent forms could be mailed to plaintiffs’ counsel or to court); Francis v. A &amp; E Stores, Inc., 2008 WL 2588851 (S.D.N.Y. June 26, 2008) (allowing plaintiffs to return consent forms to plaintiffs’ counsel, but also offering option immediately below plaintiffs’ counsel’s address to retain their own attorneys and have such attorneys file consent forms with court).</w:t>
      </w:r>
    </w:p>
    <w:p w14:paraId="10D07D60" w14:textId="77777777" w:rsidR="004322B1" w:rsidRPr="00AD2F44" w:rsidRDefault="004322B1">
      <w:pPr>
        <w:pStyle w:val="14Footnote"/>
      </w:pPr>
      <w:r w:rsidRPr="00AD2F44">
        <w:rPr>
          <w:i/>
          <w:iCs/>
        </w:rPr>
        <w:t>Sixth Circuit:</w:t>
      </w:r>
      <w:r w:rsidRPr="00AD2F44">
        <w:t xml:space="preserve"> Belcher v. Shoney’s, Inc., 927 F. Supp. 249 (M.D. Tenn. 1996) (consent forms to be returned to plaintiff’s counsel).</w:t>
      </w:r>
    </w:p>
    <w:p w14:paraId="29667F81" w14:textId="77777777" w:rsidR="004322B1" w:rsidRPr="00AD2F44" w:rsidRDefault="004322B1">
      <w:pPr>
        <w:pStyle w:val="14Footnote"/>
      </w:pPr>
      <w:r w:rsidRPr="00AD2F44">
        <w:rPr>
          <w:i/>
          <w:iCs/>
        </w:rPr>
        <w:t>Fifth Circuit:</w:t>
      </w:r>
      <w:r w:rsidRPr="00AD2F44">
        <w:t xml:space="preserve"> Ferguson v. Texas Farm Bureau Bus. Corp., 2017 WL 7053928, at *7 (W.D. Tex. Dec. 11, 2017) (consent forms to be sent to plaintiffs’ counsel).</w:t>
      </w:r>
    </w:p>
    <w:p w14:paraId="5C36311B" w14:textId="77777777" w:rsidR="004322B1" w:rsidRPr="00AD2F44" w:rsidRDefault="004322B1">
      <w:pPr>
        <w:pStyle w:val="14Footnote"/>
      </w:pPr>
      <w:r w:rsidRPr="00AD2F44">
        <w:rPr>
          <w:i/>
          <w:iCs/>
        </w:rPr>
        <w:t>Seventh Circuit:</w:t>
      </w:r>
      <w:r w:rsidRPr="00AD2F44">
        <w:t xml:space="preserve"> Schaefer-Larose v. Eli Lilly &amp; Co., 2008 WL 5384340 (S.D. Ind. Dec. 17, 2008) (consent forms to be returned to plaintiff’s counsel or its agent); Perry v. National City Mortg., Inc., 2007 WL 1810472, at *4 (S.D. Ill. June 21, 2007) (permitting notice to direct recipients to plaintiffs’ counsel for further information and noting that “[i]t would not make sense for a potential putative class member to seek information from Defendant’s counsel”); Vennet v. American Intercontinental Univ. Online, 2005 WL 6215171 (N.D. Ill. Dec. 22, 2005) (consent forms to be returned to plaintiff’s counsel); Ponce v. Tim’s Time, Inc., 2004 WL 1921038 (N.D. Ill. July 8, 2004) (same).</w:t>
      </w:r>
    </w:p>
    <w:p w14:paraId="2606D052" w14:textId="77777777" w:rsidR="004322B1" w:rsidRPr="00AD2F44" w:rsidRDefault="004322B1">
      <w:pPr>
        <w:pStyle w:val="14Footnote"/>
      </w:pPr>
      <w:r w:rsidRPr="00AD2F44">
        <w:rPr>
          <w:i/>
          <w:iCs/>
        </w:rPr>
        <w:t>Tenth Circuit:</w:t>
      </w:r>
      <w:r w:rsidRPr="00AD2F44">
        <w:t xml:space="preserve"> Cannon v. Time Warner NY Cable, LLC, 2014 WL 4401313 (D. Colo. Sept. 5, 2014) (consent forms to be sent and collected by third-party administrator because of poor relationship between parties’ counsel); Fortna v. QC Holdings, Inc., 2006 WL 2385303 (N.D. Okla. Aug. 17, 2006) (consent forms to be returned to plaintiff’s counsel); Reab v. Electronic Arts, Inc., 214 F.R.D. 623 (D. Colo. 2002) (same); Sloan v. Renzenberger, Inc., 2011 WL 1457368 (D. Kan. Apr. 15, 2011) (same).</w:t>
      </w:r>
    </w:p>
    <w:p w14:paraId="6E72A8C3" w14:textId="77777777" w:rsidR="004322B1" w:rsidRPr="00AD2F44" w:rsidRDefault="004322B1">
      <w:pPr>
        <w:pStyle w:val="14Footnote"/>
      </w:pPr>
      <w:r w:rsidRPr="00AD2F44">
        <w:rPr>
          <w:i/>
          <w:iCs/>
        </w:rPr>
        <w:t>Eleventh Circuit:</w:t>
      </w:r>
      <w:r w:rsidRPr="00AD2F44">
        <w:t xml:space="preserve"> Ackley v. City of Fort Lauderdale, 2008 WL 214721 (S.D. Fla. Jan. 24, 2008) (consent forms to be returned to plaintiff’s counsel); Wajcman v. Hartman &amp; Tyner, Inc., 2008 WL 203579 (S.D. Fla. Jan. 23, 2008) (same).</w:t>
      </w:r>
    </w:p>
    <w:p w14:paraId="3FC12BEA" w14:textId="77777777" w:rsidR="004322B1" w:rsidRPr="00AD2F44" w:rsidRDefault="004322B1" w:rsidP="00FC6CD7">
      <w:pPr>
        <w:pStyle w:val="14Footnote"/>
      </w:pPr>
      <w:r w:rsidRPr="00AD2F44">
        <w:rPr>
          <w:i/>
          <w:iCs/>
        </w:rPr>
        <w:t>Federal Circuit:</w:t>
      </w:r>
      <w:r w:rsidRPr="00AD2F44">
        <w:t xml:space="preserve"> Gayle v. United States, 85 Fed. Cl. 72 (2008) (consent forms to be returned to plaintiff’s counsel). </w:t>
      </w:r>
    </w:p>
  </w:footnote>
  <w:footnote w:id="376">
    <w:p w14:paraId="70BE7936" w14:textId="77777777" w:rsidR="004322B1" w:rsidRPr="00AD2F44" w:rsidRDefault="004322B1">
      <w:pPr>
        <w:pStyle w:val="14Footnote"/>
      </w:pPr>
      <w:r w:rsidRPr="00AD2F44">
        <w:rPr>
          <w:vertAlign w:val="superscript"/>
        </w:rPr>
        <w:footnoteRef/>
      </w:r>
      <w:r w:rsidRPr="00AD2F44">
        <w:t>See §II [Procedural Requirements of Section 216(b)] of this chapter.</w:t>
      </w:r>
    </w:p>
  </w:footnote>
  <w:footnote w:id="377">
    <w:p w14:paraId="563CF837" w14:textId="77777777" w:rsidR="004322B1" w:rsidRPr="00AD2F44" w:rsidRDefault="004322B1">
      <w:pPr>
        <w:pStyle w:val="14Footnote"/>
      </w:pPr>
      <w:r w:rsidRPr="00AD2F44">
        <w:rPr>
          <w:vertAlign w:val="superscript"/>
        </w:rPr>
        <w:footnoteRef/>
      </w:r>
      <w:r w:rsidRPr="00AD2F44">
        <w:rPr>
          <w:i/>
          <w:iCs/>
        </w:rPr>
        <w:t>See, e.g</w:t>
      </w:r>
      <w:r w:rsidRPr="00AD2F44">
        <w:t>., Ayers v. SGS Control Servs., Inc., 2007 WL 3171342 (S.D.N.Y. Oct. 9, 2007) (holding that ambiguity in how the deadline would be measured should be construed in plaintiffs’ favor).</w:t>
      </w:r>
    </w:p>
  </w:footnote>
  <w:footnote w:id="378">
    <w:p w14:paraId="7C0B2986" w14:textId="77777777" w:rsidR="004322B1" w:rsidRPr="00AD2F44" w:rsidRDefault="004322B1">
      <w:pPr>
        <w:pStyle w:val="14Footnote"/>
      </w:pPr>
      <w:r w:rsidRPr="00AD2F44">
        <w:rPr>
          <w:vertAlign w:val="superscript"/>
        </w:rPr>
        <w:footnoteRef/>
      </w:r>
      <w:r w:rsidRPr="00AD2F44">
        <w:t>Vondriska v. Premier Mortg. Funding, Inc., 564 F. Supp. 2d 1330 (M.D. Fla. 2007); Mares v. Caesars Entm’t, Inc., 2007 WL 118877 (S.D. Ind. Jan. 10, 2007); Coan v. Nightingale Home Healthcare, Inc., 2005 WL 1799454 (S.D. Ind. June 29, 2005); Champenys v. Ferguson Enter., Inc., 2003 WL 1562219 (S.D. Ind. Mar. 11, 2003).</w:t>
      </w:r>
    </w:p>
  </w:footnote>
  <w:footnote w:id="379">
    <w:p w14:paraId="5344E7D3" w14:textId="77777777" w:rsidR="004322B1" w:rsidRPr="00AD2F44" w:rsidRDefault="004322B1">
      <w:pPr>
        <w:pStyle w:val="14Footnote"/>
      </w:pPr>
      <w:r w:rsidRPr="00AD2F44">
        <w:rPr>
          <w:vertAlign w:val="superscript"/>
        </w:rPr>
        <w:footnoteRef/>
      </w:r>
      <w:r w:rsidRPr="00AD2F44">
        <w:t>Love v. Phillips Oil, Inc., 2008 U.S. Dist. LEXIS 102366 (N.D. Fla. Dec. 9, 2008); Mowdy v. Beneto Bulk Transp., 2008 U.S. Dist. LEXIS 26233 (N.D. Cal. Mar. 31, 2008); Wajcman v. Hartman &amp; Tyner, Inc., 2008 U.S. Dist. LEXIS 4708 (S.D. Fla. Jan. 23, 2008); Adams v. Inter-Con Sec. Sys., 242 F.R.D. 530 (N.D. Cal. 2007).</w:t>
      </w:r>
    </w:p>
  </w:footnote>
  <w:footnote w:id="380">
    <w:p w14:paraId="157E6418" w14:textId="77777777" w:rsidR="004322B1" w:rsidRPr="00AD2F44" w:rsidRDefault="004322B1">
      <w:pPr>
        <w:pStyle w:val="14Footnote"/>
      </w:pPr>
      <w:r w:rsidRPr="00AD2F44">
        <w:rPr>
          <w:vertAlign w:val="superscript"/>
        </w:rPr>
        <w:footnoteRef/>
      </w:r>
      <w:r w:rsidRPr="00AD2F44">
        <w:rPr>
          <w:i/>
          <w:iCs/>
        </w:rPr>
        <w:t>See, e.g.,</w:t>
      </w:r>
    </w:p>
    <w:p w14:paraId="2CD2A96A" w14:textId="77777777" w:rsidR="004322B1" w:rsidRPr="00AD2F44" w:rsidRDefault="004322B1">
      <w:pPr>
        <w:pStyle w:val="14Footnote"/>
      </w:pPr>
      <w:r w:rsidRPr="00AD2F44">
        <w:rPr>
          <w:i/>
          <w:iCs/>
        </w:rPr>
        <w:t>First Circuit:</w:t>
      </w:r>
      <w:r w:rsidRPr="00AD2F44">
        <w:t xml:space="preserve"> O’Connor v. Oakhurst Dairy, 2015 WL 2452678, at *4 (D. Me. May 22, 2015).</w:t>
      </w:r>
    </w:p>
    <w:p w14:paraId="28B9FFEE" w14:textId="77777777" w:rsidR="004322B1" w:rsidRPr="00AD2F44" w:rsidRDefault="004322B1">
      <w:pPr>
        <w:pStyle w:val="14Footnote"/>
      </w:pPr>
      <w:r w:rsidRPr="00AD2F44">
        <w:rPr>
          <w:i/>
          <w:iCs/>
        </w:rPr>
        <w:t>Second Circuit:</w:t>
      </w:r>
      <w:r w:rsidRPr="00AD2F44">
        <w:t xml:space="preserve"> Iriarte v. Redwood Deli &amp; Catering, Inc., 2008 WL 2622929 (E.D.N.Y. June 30, 2008); Hallissey v. America Online, Inc., 2008 WL 465112 (S.D.N.Y. Feb. 19, 2008); Guzman v. VLM, Inc., 2007 WL 2994278 (E.D.N.Y. Oct. 11, 2007); Mentor v. Imperial Parking Sys., Inc., 246 F.R.D. 178 (S.D.N.Y. Sept. 27, 2007); Gjurovich v. Emmanuel’s Marketplace, Inc., 282 F. Supp. 2d 101 (S.D.N.Y. 2003).</w:t>
      </w:r>
    </w:p>
    <w:p w14:paraId="029C1EB0" w14:textId="77777777" w:rsidR="004322B1" w:rsidRPr="00AD2F44" w:rsidRDefault="004322B1">
      <w:pPr>
        <w:pStyle w:val="14Footnote"/>
      </w:pPr>
      <w:r w:rsidRPr="00AD2F44">
        <w:rPr>
          <w:i/>
          <w:iCs/>
        </w:rPr>
        <w:t>Third Circuit:</w:t>
      </w:r>
      <w:r w:rsidRPr="00AD2F44">
        <w:t xml:space="preserve"> Ritzer v. UBS Fin. Servs., Inc., 2008 WL 4372784 (D.N.J. Sept. 22, 2008).</w:t>
      </w:r>
    </w:p>
    <w:p w14:paraId="3A51F585" w14:textId="77777777" w:rsidR="004322B1" w:rsidRPr="00AD2F44" w:rsidRDefault="004322B1">
      <w:pPr>
        <w:pStyle w:val="14Footnote"/>
      </w:pPr>
      <w:r w:rsidRPr="00AD2F44">
        <w:rPr>
          <w:i/>
          <w:iCs/>
        </w:rPr>
        <w:t>Fifth Circuit:</w:t>
      </w:r>
      <w:r w:rsidRPr="00AD2F44">
        <w:t xml:space="preserve"> Updite v. Delta Beverage Grp., Inc., 2006 WL 3718229 (W.D. La. Dec. 15, 2006); Vogt v. Texas Instruments, Inc., 2006 WL 4660134 (N.D. Tex. Sept. 19, 2006); Belt v. Emcare, Inc., 299 F. Supp. 2d 664 (E.D. Tex. 2003); Solis v. Hotels.com Tex. Inc., 2003 WL 22272008 (N.D. Tex. Oct. 1, 2003); Camp v. Progressive Corp., 2002 WL 31496661 (E.D. La. Nov. 8, 2002).</w:t>
      </w:r>
    </w:p>
    <w:p w14:paraId="7544AFE7" w14:textId="77777777" w:rsidR="004322B1" w:rsidRPr="00AD2F44" w:rsidRDefault="004322B1">
      <w:pPr>
        <w:pStyle w:val="14Footnote"/>
      </w:pPr>
      <w:r w:rsidRPr="00AD2F44">
        <w:rPr>
          <w:i/>
          <w:iCs/>
        </w:rPr>
        <w:t>Sixth Circuit:</w:t>
      </w:r>
      <w:r w:rsidRPr="00AD2F44">
        <w:t xml:space="preserve"> Baden-Winterwood v. Life Time Fitness, 2006 WL 2225825 (S.D. Ohio Aug. 2, 2006); Belcher v. Shoney’s, Inc., 927 F. Supp. 249, 252–55 (M.D. Tenn. 1996).</w:t>
      </w:r>
    </w:p>
    <w:p w14:paraId="671D37C9" w14:textId="77777777" w:rsidR="004322B1" w:rsidRPr="00AD2F44" w:rsidRDefault="004322B1">
      <w:pPr>
        <w:pStyle w:val="14Footnote"/>
      </w:pPr>
      <w:r w:rsidRPr="00AD2F44">
        <w:rPr>
          <w:i/>
          <w:iCs/>
        </w:rPr>
        <w:t>Seventh Circuit:</w:t>
      </w:r>
      <w:r w:rsidRPr="00AD2F44">
        <w:t xml:space="preserve"> Craft v. Ray’s, LLC, 2008 WL 5458947 (S.D. Ind. Dec. 31, 2008); Cheesman v. Nexstar Broad. Grp., Inc., 2008 WL 2225617 (S.D. Ind. May 27, 2008); Perry v. National City Mortg., Inc., 2007 WL 1810472 (S.D. Ill. June 21, 2007); Ladegaard v. Hard Rock Concrete Cutters, Inc., 2004 WL 1459486 (N.D. Ill. June 28, 2004); Bontempo v. Metro Networks Comm’cns Ltd. P’ship, 2002 WL 1925911 (N.D. Ill. May 3, 2002).</w:t>
      </w:r>
    </w:p>
    <w:p w14:paraId="66F2186C" w14:textId="77777777" w:rsidR="004322B1" w:rsidRPr="00AD2F44" w:rsidRDefault="004322B1">
      <w:pPr>
        <w:pStyle w:val="14Footnote"/>
      </w:pPr>
      <w:r w:rsidRPr="00AD2F44">
        <w:rPr>
          <w:i/>
          <w:iCs/>
        </w:rPr>
        <w:t>Ninth Circuit:</w:t>
      </w:r>
      <w:r w:rsidRPr="00AD2F44">
        <w:t xml:space="preserve"> Russell v. Wells Fargo &amp; Co., 2008 WL 4104212 (N.D. Cal. Sept. 3, 2008); Hoffman v. Securitas Sec. Servs., 2008 WL 5054684 (D. Idaho Aug. 27, 2008); Delgado v. Ortho-McNeil, Inc., 2007 WL 2847238 (C.D. Cal. Aug. 7, 2007); Lemus v. Burnham Painting &amp; Drywall Corp, 2007 WL 1875540 (D. Nev. June 25, 2007); Adams v. Inter-Con Sec. Sys., Inc., 242 F.R.D. 530 (N.D. Cal. 2007); Agdipa v. Grant Joint Union High Sch. Dist., 2007 WL 1106099 (E.D. Cal. Apr. 10, 2007); Gerlach v. Wells Fargo &amp; Co., 2006 WL 824652 (N.D. Cal. Mar. 28, 2006).</w:t>
      </w:r>
    </w:p>
    <w:p w14:paraId="709FD17B" w14:textId="77777777" w:rsidR="004322B1" w:rsidRPr="00AD2F44" w:rsidRDefault="004322B1">
      <w:pPr>
        <w:pStyle w:val="14Footnote"/>
      </w:pPr>
      <w:r w:rsidRPr="00AD2F44">
        <w:rPr>
          <w:i/>
          <w:iCs/>
        </w:rPr>
        <w:t>Tenth Circuit:</w:t>
      </w:r>
      <w:r w:rsidRPr="00AD2F44">
        <w:t xml:space="preserve"> Reab v. Electronic Arts, Inc., 214 F.R.D. 623, 629 (D. Colo. 2002).</w:t>
      </w:r>
    </w:p>
    <w:p w14:paraId="3E344B41" w14:textId="77777777" w:rsidR="004322B1" w:rsidRPr="00AD2F44" w:rsidRDefault="004322B1">
      <w:pPr>
        <w:pStyle w:val="14Footnote"/>
      </w:pPr>
      <w:r w:rsidRPr="00AD2F44">
        <w:rPr>
          <w:i/>
          <w:iCs/>
        </w:rPr>
        <w:t>Eleventh Circuit:</w:t>
      </w:r>
      <w:r w:rsidRPr="00AD2F44">
        <w:t xml:space="preserve"> Garrison v. Chuck, Carol &amp; Co., 2007 WL 1106128 (M.D. Fla. Apr. 11, 2007).</w:t>
      </w:r>
    </w:p>
    <w:p w14:paraId="7737C1EB" w14:textId="77777777" w:rsidR="004322B1" w:rsidRPr="00AD2F44" w:rsidRDefault="004322B1">
      <w:pPr>
        <w:pStyle w:val="14Footnote"/>
      </w:pPr>
      <w:r w:rsidRPr="00AD2F44">
        <w:rPr>
          <w:i/>
          <w:iCs/>
        </w:rPr>
        <w:t>Federal Circuit:</w:t>
      </w:r>
      <w:r w:rsidRPr="00AD2F44">
        <w:t xml:space="preserve"> Whalen v. United States, 85 Fed. Cl. 380 (2009).</w:t>
      </w:r>
    </w:p>
  </w:footnote>
  <w:footnote w:id="381">
    <w:p w14:paraId="31175540" w14:textId="77777777" w:rsidR="004322B1" w:rsidRPr="00AD2F44" w:rsidRDefault="004322B1">
      <w:pPr>
        <w:pStyle w:val="14Footnote"/>
      </w:pPr>
      <w:r w:rsidRPr="00AD2F44">
        <w:rPr>
          <w:vertAlign w:val="superscript"/>
        </w:rPr>
        <w:footnoteRef/>
      </w:r>
      <w:r w:rsidRPr="00AD2F44">
        <w:rPr>
          <w:i/>
          <w:iCs/>
        </w:rPr>
        <w:t>See. e.g.,</w:t>
      </w:r>
    </w:p>
    <w:p w14:paraId="672E3BE8" w14:textId="77777777" w:rsidR="004322B1" w:rsidRPr="00AD2F44" w:rsidRDefault="004322B1">
      <w:pPr>
        <w:pStyle w:val="14Footnote"/>
      </w:pPr>
      <w:r w:rsidRPr="00AD2F44">
        <w:rPr>
          <w:i/>
          <w:iCs/>
        </w:rPr>
        <w:t>First Circuit:</w:t>
      </w:r>
      <w:r w:rsidRPr="00AD2F44">
        <w:t xml:space="preserve"> O’Connor v. Oakhurst Dairy, 2015 WL 2452678, at *4 (D. Me. May 22, 2015).</w:t>
      </w:r>
    </w:p>
    <w:p w14:paraId="73BD344E" w14:textId="77777777" w:rsidR="004322B1" w:rsidRPr="00AD2F44" w:rsidRDefault="004322B1">
      <w:pPr>
        <w:pStyle w:val="14Footnote"/>
      </w:pPr>
      <w:r w:rsidRPr="00AD2F44">
        <w:rPr>
          <w:i/>
          <w:iCs/>
        </w:rPr>
        <w:t>Second Circuit:</w:t>
      </w:r>
      <w:r w:rsidRPr="00AD2F44">
        <w:t xml:space="preserve"> Hallissey v. America Online, Inc., 2008 WL 465112 (S.D.N.Y. Feb. 19, 2008).</w:t>
      </w:r>
    </w:p>
    <w:p w14:paraId="3C8C8C4C" w14:textId="77777777" w:rsidR="004322B1" w:rsidRPr="00AD2F44" w:rsidRDefault="004322B1">
      <w:pPr>
        <w:pStyle w:val="14Footnote"/>
      </w:pPr>
      <w:r w:rsidRPr="00AD2F44">
        <w:rPr>
          <w:i/>
          <w:iCs/>
        </w:rPr>
        <w:t>Fifth Circuit:</w:t>
      </w:r>
      <w:r w:rsidRPr="00AD2F44">
        <w:t xml:space="preserve"> Reyes v. Quality Logging, Inc., 52 F. Supp. 3d 849, 853 (S.D. Tex. 2014); Valcho v. Dallas Cnty. Hosp. Dist., 574 F. Supp. 2d 618, 622 (N.D. Tex. 2008).</w:t>
      </w:r>
    </w:p>
    <w:p w14:paraId="76EF121A" w14:textId="77777777" w:rsidR="004322B1" w:rsidRPr="00AD2F44" w:rsidRDefault="004322B1">
      <w:pPr>
        <w:pStyle w:val="14Footnote"/>
      </w:pPr>
      <w:r w:rsidRPr="00AD2F44">
        <w:rPr>
          <w:i/>
          <w:iCs/>
        </w:rPr>
        <w:t>Eighth Circuit:</w:t>
      </w:r>
      <w:r w:rsidRPr="00AD2F44">
        <w:t xml:space="preserve"> Littlefield v. Dealer Warranty Servs., LLC, 679 F. Supp. 2d 1014, 1018 (E.D. Mo. 2010).</w:t>
      </w:r>
    </w:p>
    <w:p w14:paraId="4C966F1F" w14:textId="77777777" w:rsidR="004322B1" w:rsidRPr="00AD2F44" w:rsidRDefault="004322B1">
      <w:pPr>
        <w:pStyle w:val="14Footnote"/>
      </w:pPr>
      <w:r w:rsidRPr="00AD2F44">
        <w:rPr>
          <w:i/>
          <w:iCs/>
        </w:rPr>
        <w:t>Eleventh Circuit:</w:t>
      </w:r>
      <w:r w:rsidRPr="00AD2F44">
        <w:t xml:space="preserve"> Bell v. Mynt Entm’t, LLC, 223 F.R.D. 680, 683 (S.D. Fla. 2004).</w:t>
      </w:r>
    </w:p>
  </w:footnote>
  <w:footnote w:id="382">
    <w:p w14:paraId="4231E5E2"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t xml:space="preserve">Stanfield v. Lasalle Corrs. W. LLC, </w:t>
      </w:r>
      <w:r w:rsidRPr="004A078D">
        <w:t>2022 BL 259650</w:t>
      </w:r>
      <w:r>
        <w:t xml:space="preserve">, </w:t>
      </w:r>
      <w:r w:rsidRPr="009B2156">
        <w:t xml:space="preserve">2022 WL 2967711 </w:t>
      </w:r>
      <w:r>
        <w:t xml:space="preserve">(D. Ariz. July 26, 2022) (ordering deletion of sections of notice advising putative members about ability to contact plaintiff’s counsel for updates, deadlines or other questions, because those could be read as suggestive to call plaintiff’s counsel); </w:t>
      </w:r>
      <w:r w:rsidRPr="00AD2F44">
        <w:t xml:space="preserve">McBeth v. Gabrielli Truck Sales, Ltd., 768 F. Supp. 2d 396, 400–01 (E.D.N.Y. 2011) (refusing to allow plaintiff’s counsel’s website to be in notice, because it was superfluous in light of inclusion of plaintiffs’ counsel’s name, address, and phone number in notice); Gandhi v. Dell Inc., 2009 WL 3427218, at *2 (W.D. Tex. Oct. 20, 2009) (refusing to allow plaintiffs’ counsel to include its contact information—attorney names, phone number, and firm website—in footer that appeared on every page of notice, and limiting it to inclusion in response to one of questions in notice). </w:t>
      </w:r>
      <w:r w:rsidRPr="00AD2F44">
        <w:rPr>
          <w:i/>
          <w:iCs/>
        </w:rPr>
        <w:t>But see</w:t>
      </w:r>
      <w:r w:rsidRPr="00AD2F44">
        <w:t xml:space="preserve"> Agerbrink v. Model Serv. LLC, 2016 WL 406385, at *4 (S.D.N.Y. Feb. 2, 2016) (permitting inclusion of plaintiffs’ counsel’s contact information on every page of notice).</w:t>
      </w:r>
    </w:p>
  </w:footnote>
  <w:footnote w:id="383">
    <w:p w14:paraId="0F4CDEFA" w14:textId="77777777" w:rsidR="004322B1" w:rsidRPr="00AD2F44" w:rsidRDefault="004322B1">
      <w:pPr>
        <w:pStyle w:val="14Footnote"/>
      </w:pPr>
      <w:r w:rsidRPr="00AD2F44">
        <w:rPr>
          <w:vertAlign w:val="superscript"/>
        </w:rPr>
        <w:footnoteRef/>
      </w:r>
      <w:r w:rsidRPr="00AD2F44">
        <w:t xml:space="preserve">Guzman v. VLM, Inc., 2007 WL 2994278 (E.D.N.Y. Oct. 11, 2007). </w:t>
      </w:r>
    </w:p>
  </w:footnote>
  <w:footnote w:id="384">
    <w:p w14:paraId="1312E86D" w14:textId="77777777" w:rsidR="004322B1" w:rsidRPr="00AD2F44" w:rsidRDefault="004322B1">
      <w:pPr>
        <w:pStyle w:val="14Footnote"/>
      </w:pPr>
      <w:r w:rsidRPr="00AD2F44">
        <w:rPr>
          <w:vertAlign w:val="superscript"/>
        </w:rPr>
        <w:footnoteRef/>
      </w:r>
      <w:r w:rsidRPr="00AD2F44">
        <w:rPr>
          <w:i/>
          <w:iCs/>
        </w:rPr>
        <w:t>See, e.g.,</w:t>
      </w:r>
    </w:p>
    <w:p w14:paraId="576B5BA3" w14:textId="77777777" w:rsidR="004322B1" w:rsidRDefault="004322B1">
      <w:pPr>
        <w:pStyle w:val="14Footnote"/>
      </w:pPr>
      <w:r w:rsidRPr="00AD2F44">
        <w:rPr>
          <w:i/>
          <w:iCs/>
        </w:rPr>
        <w:t>First Circuit:</w:t>
      </w:r>
      <w:r w:rsidRPr="00AD2F44">
        <w:t xml:space="preserve"> O’Connor v. Oakhurst Dairy, 2015 WL 2452678, at *4 (D. Me. May 22, 2015) (“The inclusion of Defendants’ counsels’ contact information here, where such counsel has no part in distributing or collecting consent forms, could confuse notice recipients.”).</w:t>
      </w:r>
    </w:p>
    <w:p w14:paraId="4CA76557" w14:textId="77777777" w:rsidR="004322B1" w:rsidRPr="00FB2A46" w:rsidRDefault="004322B1">
      <w:pPr>
        <w:pStyle w:val="14Footnote"/>
      </w:pPr>
      <w:r>
        <w:rPr>
          <w:i/>
          <w:iCs/>
        </w:rPr>
        <w:t>Second Circuit</w:t>
      </w:r>
      <w:r>
        <w:t xml:space="preserve">: Richards v. Empire Scaffolding Sys., </w:t>
      </w:r>
      <w:r w:rsidRPr="001A0800">
        <w:t>2022 BL 229929</w:t>
      </w:r>
      <w:r>
        <w:t xml:space="preserve">, </w:t>
      </w:r>
      <w:r w:rsidRPr="009B2156">
        <w:t xml:space="preserve">2022 WL 2384154 </w:t>
      </w:r>
      <w:r>
        <w:t>(S.D.N.Y. July 1, 2022) (declining to include defendant’s counsel’s contact information as potentially confusing or discouraging to joining the case).</w:t>
      </w:r>
    </w:p>
    <w:p w14:paraId="4CE78E60" w14:textId="77777777" w:rsidR="004322B1" w:rsidRPr="00AD2F44" w:rsidRDefault="004322B1">
      <w:pPr>
        <w:pStyle w:val="14Footnote"/>
      </w:pPr>
      <w:r w:rsidRPr="00AD2F44">
        <w:rPr>
          <w:i/>
          <w:iCs/>
        </w:rPr>
        <w:t xml:space="preserve">Fourth Circuit: </w:t>
      </w:r>
      <w:r w:rsidRPr="00AD2F44">
        <w:t xml:space="preserve">McCoy v. Transdev Servs., Inc., 2020 WL 2319117, at *7 (D. Md. May 11, 2020) (denying request to include defense counsel’s contact information in notice). </w:t>
      </w:r>
    </w:p>
    <w:p w14:paraId="6A4DD58F" w14:textId="77777777" w:rsidR="004322B1" w:rsidRPr="00AD2F44" w:rsidRDefault="004322B1">
      <w:pPr>
        <w:pStyle w:val="14Footnote"/>
      </w:pPr>
      <w:r w:rsidRPr="00AD2F44">
        <w:rPr>
          <w:i/>
          <w:iCs/>
        </w:rPr>
        <w:t>Fifth Circuit:</w:t>
      </w:r>
      <w:r w:rsidRPr="00AD2F44">
        <w:t xml:space="preserve"> Britt v. Mississippi Farm Bureau Cas. Ins. Co., 2019 WL 943404 (N.D. Miss. Feb. 26, 2018) (refusing to include defense counsel contact information based on ethical concerns of post-certification communication with defense counsel); Turner v. Nine Energy Serv., LLC, 2016 WL 6638849 (S.D. Tex. Oct. 4, 2016) (rejecting defendant’s argument that defense counsel’s contact information should be included in notice, finding that doing so would create potential ethical concerns if putative class members were to reach out to defense counsel); Garcia v. TWC Admin., LLC, 2015 WL 1737932, at *7 (W.D. Tex. Apr. 16, 2015); Behnken v. Luminant Min. Co., LLC, 997 F. Supp. 2d 511, 525 (N.D. Tex. 2014) (noting lack of authority to support defendant’s position and finding inclusion of defense counsel’s contact information unwarranted).</w:t>
      </w:r>
    </w:p>
    <w:p w14:paraId="4706C33D" w14:textId="77777777" w:rsidR="004322B1" w:rsidRPr="00AD2F44" w:rsidRDefault="004322B1">
      <w:pPr>
        <w:pStyle w:val="14Footnote"/>
      </w:pPr>
      <w:r w:rsidRPr="00AD2F44">
        <w:rPr>
          <w:i/>
          <w:iCs/>
        </w:rPr>
        <w:t>Sixth Circuit:</w:t>
      </w:r>
      <w:r w:rsidRPr="00AD2F44">
        <w:t xml:space="preserve"> Gomez v. ERMC Mgmt. Co., LLC, 2014 WL 3053210 (N.D. Ohio July 7, 2014) (statement that defendants are represented by counsel was appropriate, but contact information for defense counsel was inappropriate).</w:t>
      </w:r>
    </w:p>
    <w:p w14:paraId="697CD167" w14:textId="77777777" w:rsidR="004322B1" w:rsidRPr="00AD2F44" w:rsidRDefault="004322B1">
      <w:pPr>
        <w:pStyle w:val="14Footnote"/>
      </w:pPr>
      <w:r w:rsidRPr="00AD2F44">
        <w:rPr>
          <w:i/>
          <w:iCs/>
        </w:rPr>
        <w:t>Seventh Circuit:</w:t>
      </w:r>
      <w:r w:rsidRPr="00AD2F44">
        <w:t xml:space="preserve"> Frebes v. Mask Rests., LLC, 2014 WL 1848461 (N.D. Ill. May 8, 2014); Kelly v. Bluegreen Corp., 2009 WL 425809 (W.D. Wis. Feb. 20, 2009); Perry v. National City Mortg., Inc., 2007 WL 1810472 (S.D. Ill. June 21, 2007); Gambo v. Lucent Tech., Inc., 2005 WL 3542485, at *7 (N.D. Ill. Dec. 22, 2005) (finding that there was no “law or logic” supporting the defense counsel’s request to include their contact information).</w:t>
      </w:r>
    </w:p>
    <w:p w14:paraId="747A38E0" w14:textId="77777777" w:rsidR="004322B1" w:rsidRPr="00AD2F44" w:rsidRDefault="004322B1">
      <w:pPr>
        <w:pStyle w:val="14Footnote"/>
      </w:pPr>
      <w:r w:rsidRPr="00AD2F44">
        <w:rPr>
          <w:i/>
          <w:iCs/>
        </w:rPr>
        <w:t>Eighth Circuit:</w:t>
      </w:r>
      <w:r w:rsidRPr="00AD2F44">
        <w:t xml:space="preserve"> Ahle v. Veracity Rsch. Co., 2009 WL 3103852, at *6 (D. Minn. Sept. 23, 2009).</w:t>
      </w:r>
    </w:p>
    <w:p w14:paraId="0FE4EF20" w14:textId="77777777" w:rsidR="004322B1" w:rsidRPr="00AD2F44" w:rsidRDefault="004322B1">
      <w:pPr>
        <w:pStyle w:val="14Footnote"/>
      </w:pPr>
      <w:r w:rsidRPr="00AD2F44">
        <w:rPr>
          <w:i/>
          <w:iCs/>
        </w:rPr>
        <w:t>Ninth Circuit:</w:t>
      </w:r>
      <w:r w:rsidRPr="00AD2F44">
        <w:t xml:space="preserve"> Adams v. Inter-Con Sec. Sys., Inc., 242 F.R.D. 530 (N.D. Cal. 2007); Morden v. T-Mobile USA, Inc., 2006 WL 2620320 (W.D. Wash. Sept. 12, 2006).</w:t>
      </w:r>
    </w:p>
    <w:p w14:paraId="5CB65AF1" w14:textId="77777777" w:rsidR="004322B1" w:rsidRPr="00AD2F44" w:rsidRDefault="004322B1">
      <w:pPr>
        <w:pStyle w:val="14Footnote"/>
      </w:pPr>
      <w:r w:rsidRPr="00AD2F44">
        <w:rPr>
          <w:i/>
          <w:iCs/>
        </w:rPr>
        <w:t xml:space="preserve">Tenth Circuit: </w:t>
      </w:r>
      <w:r w:rsidRPr="00AD2F44">
        <w:t>Wass v. NPC Int’l, Inc., 2011 WL 1118774, at *11 (D. Kan. Mar. 28, 2011) (refusing to include defense counsel’s contact information in notice, because defense counsel has no part in distributing notice or collecting consent forms, and inclusion of more lawyers on notice merely increases chance for confusion by notice recipients).</w:t>
      </w:r>
    </w:p>
    <w:p w14:paraId="5ACBB1DB" w14:textId="77777777" w:rsidR="004322B1" w:rsidRPr="00AD2F44" w:rsidRDefault="004322B1">
      <w:pPr>
        <w:pStyle w:val="14Footnote"/>
      </w:pPr>
      <w:r w:rsidRPr="00AD2F44">
        <w:rPr>
          <w:i/>
          <w:iCs/>
        </w:rPr>
        <w:t>Eleventh Circuit:</w:t>
      </w:r>
      <w:r w:rsidRPr="00AD2F44">
        <w:t xml:space="preserve"> Villamar v. Carrier Compliance Servs. Corp., 2022 WL 1650100, at *5 (S.D. Fla. May 24, 2022) (expressing concern that including defense counsel’s information could create “ethical dilemma” under professional conduct rules governing contact with unrepresented parties); Anish v. National Sec. Corp., 2012 WL 3818283, at *3 (S.D. Fla. Sept. 4, 2012).</w:t>
      </w:r>
    </w:p>
    <w:p w14:paraId="53730463" w14:textId="77777777" w:rsidR="004322B1" w:rsidRPr="00AD2F44" w:rsidRDefault="004322B1">
      <w:pPr>
        <w:pStyle w:val="14Footnote"/>
      </w:pPr>
      <w:r w:rsidRPr="00AD2F44">
        <w:rPr>
          <w:i/>
          <w:iCs/>
        </w:rPr>
        <w:t>D.C. Circuit:</w:t>
      </w:r>
      <w:r w:rsidRPr="00AD2F44">
        <w:t xml:space="preserve"> Cryer v. Intersolutions, Inc., 2007 WL 1053214, at *3–4 (D.D.C. Apr. 7, 2007)</w:t>
      </w:r>
    </w:p>
  </w:footnote>
  <w:footnote w:id="385">
    <w:p w14:paraId="7E7C1E08" w14:textId="77777777" w:rsidR="004322B1" w:rsidRPr="00AD2F44" w:rsidRDefault="004322B1">
      <w:pPr>
        <w:pStyle w:val="14Footnote"/>
      </w:pPr>
      <w:r w:rsidRPr="00AD2F44">
        <w:rPr>
          <w:vertAlign w:val="superscript"/>
        </w:rPr>
        <w:footnoteRef/>
      </w:r>
      <w:r w:rsidRPr="00AD2F44">
        <w:rPr>
          <w:i/>
          <w:iCs/>
        </w:rPr>
        <w:t>See, e.g.,</w:t>
      </w:r>
    </w:p>
    <w:p w14:paraId="7A991176"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9B2156">
        <w:t xml:space="preserve">2022 WL 17820139 </w:t>
      </w:r>
      <w:r>
        <w:t xml:space="preserve">(E.D.N.Y. Sept. 27, 2022); </w:t>
      </w:r>
      <w:r w:rsidRPr="00AD2F44">
        <w:t xml:space="preserve">Nyarko v. M&amp;A Projects Restoration Inc., 2021 BL 345815, 2021 WL 4755602 (E.D.N.Y. Sept. 13, 2021), </w:t>
      </w:r>
      <w:r w:rsidRPr="00AD2F44">
        <w:rPr>
          <w:i/>
          <w:iCs/>
        </w:rPr>
        <w:t>report and recommendation adopted</w:t>
      </w:r>
      <w:r w:rsidRPr="00AD2F44">
        <w:t>, 2021 WL 44772618 (E.D.N.Y. Sept. 30, 2021) (allowing defense counsel’s contact information with language that instructs recipients who decide to join not to contact defense counsel); Jibowu v. Target Corp., 2020 WL 7385695 (E.D.N.Y. Dec. 16, 2020); Anjum v. J.C. Penney Co., 2015 WL 3603973, at *14 (E.D.N.Y. June 5, 2015); Cordova v. SCCF, Inc., 2014 WL 3512820 (S.D.N.Y. July 16, 2014); Guzman v. VLM, Inc., 2007 WL 2994278 (E.D.N.Y. Oct. 11, 2007).</w:t>
      </w:r>
    </w:p>
    <w:p w14:paraId="5D3FE61C" w14:textId="77777777" w:rsidR="004322B1" w:rsidRPr="00AD2F44" w:rsidRDefault="004322B1">
      <w:pPr>
        <w:pStyle w:val="14Footnote"/>
      </w:pPr>
      <w:r w:rsidRPr="00AD2F44">
        <w:rPr>
          <w:i/>
          <w:iCs/>
        </w:rPr>
        <w:t>Third Circuit:</w:t>
      </w:r>
      <w:r w:rsidRPr="00AD2F44">
        <w:t xml:space="preserve"> </w:t>
      </w:r>
      <w:r>
        <w:t xml:space="preserve">Weinmann v. Cont. Land Staff, LLC, </w:t>
      </w:r>
      <w:r w:rsidRPr="001A0800">
        <w:t>2023 BL 200591</w:t>
      </w:r>
      <w:r>
        <w:t xml:space="preserve">, </w:t>
      </w:r>
      <w:r w:rsidRPr="009B2156">
        <w:t xml:space="preserve">2023 WL 3881394 </w:t>
      </w:r>
      <w:r>
        <w:t xml:space="preserve">(W.D. Pa. June 8, 2023) (ordering inclusion of defense counsel’s contact information); </w:t>
      </w:r>
      <w:r w:rsidRPr="00AD2F44">
        <w:t>Bland v. PNC Bank N.A, 2015 WL 7587365, at *4 (W.D. Pa. Nov. 25, 2015) (providing for inclusion of defendant’s counsel’s name and law firm, but not emails or telephone numbers, so that information about employer’s representation was included without encouraging contact by putative class members); Mott v. Driveline Retail Merch., Inc., 23 F. Supp. 3d 483, 491 (E.D. Pa. 2014).</w:t>
      </w:r>
    </w:p>
    <w:p w14:paraId="776B9EF4" w14:textId="77777777" w:rsidR="004322B1" w:rsidRPr="00AD2F44" w:rsidRDefault="004322B1">
      <w:pPr>
        <w:pStyle w:val="14Footnote"/>
      </w:pPr>
      <w:r w:rsidRPr="00AD2F44">
        <w:rPr>
          <w:i/>
          <w:iCs/>
        </w:rPr>
        <w:t xml:space="preserve">Fourth Circuit: </w:t>
      </w:r>
      <w:r w:rsidRPr="00AD2F44">
        <w:t>Amoko v. N&amp;C Claims Serv., Inc., 577 F. Supp. 3d 408 (D.S.C. 2021) (allowing only names and addresses of defense counsel in notice);</w:t>
      </w:r>
      <w:r w:rsidRPr="00AD2F44">
        <w:rPr>
          <w:i/>
          <w:iCs/>
        </w:rPr>
        <w:t xml:space="preserve"> </w:t>
      </w:r>
      <w:r w:rsidRPr="00AD2F44">
        <w:t>Arevalo v. D.J.’s Underground, Inc., 2010 WL 2639888, at *3–4 (D. Md. June 29, 2010) (ordering inclusion of name and address of defense counsel, but not phone number, and including statement that “defense counsel is obligated to represent the best interest of Defendants and have no legal obligation to you or your interests”).</w:t>
      </w:r>
    </w:p>
    <w:p w14:paraId="76BDEE39" w14:textId="77777777" w:rsidR="004322B1" w:rsidRPr="00AD2F44" w:rsidRDefault="004322B1">
      <w:pPr>
        <w:pStyle w:val="14Footnote"/>
      </w:pPr>
      <w:r w:rsidRPr="00AD2F44">
        <w:rPr>
          <w:i/>
          <w:iCs/>
        </w:rPr>
        <w:t>Fifth Circuit:</w:t>
      </w:r>
      <w:r w:rsidRPr="00AD2F44">
        <w:t xml:space="preserve"> Gonzalez v. Ridgewood Landscaping, Inc., 2010 WL 1903602, at *8 (S.D. Tex. May 10, 2010) (“Provided that the notice form clearly states which party each attorney represents and which attorneys should be contacted to join the lawsuit, there is little risk of confusion.”).</w:t>
      </w:r>
    </w:p>
    <w:p w14:paraId="6F68FD03" w14:textId="77777777" w:rsidR="004322B1" w:rsidRPr="00AD2F44" w:rsidRDefault="004322B1">
      <w:pPr>
        <w:pStyle w:val="14Footnote"/>
      </w:pPr>
      <w:r w:rsidRPr="00AD2F44">
        <w:rPr>
          <w:i/>
          <w:iCs/>
        </w:rPr>
        <w:t>Sixth Circuit:</w:t>
      </w:r>
      <w:r w:rsidRPr="00AD2F44">
        <w:t xml:space="preserve"> Baden-Winterwood v. Life Time Fitness, 2006 WL 2225825 (S.D. Ohio Aug. 2, 2006) (ordering notice to list names and addresses of defendant’s counsel but not their telephone numbers); Belcher v. Shoney’s, Inc., 927 F. Supp. 249, 252–55 (M.D. Tenn. 1996).</w:t>
      </w:r>
    </w:p>
    <w:p w14:paraId="29BF431E" w14:textId="77777777" w:rsidR="004322B1" w:rsidRPr="00AD2F44" w:rsidRDefault="004322B1">
      <w:pPr>
        <w:pStyle w:val="14Footnote"/>
      </w:pPr>
      <w:r w:rsidRPr="00AD2F44">
        <w:rPr>
          <w:i/>
          <w:iCs/>
        </w:rPr>
        <w:t>Seventh Circuit:</w:t>
      </w:r>
      <w:r w:rsidRPr="00AD2F44">
        <w:t xml:space="preserve"> Craft v. Ray’s, LLC, 2008 WL 5458947 (S.D. Ind. Dec. 31, 2008); Cheesman v. Nexstar Broad. Grp., Inc., 2008 WL 2225617 (S.D. Ind. May 27, 2008).</w:t>
      </w:r>
    </w:p>
    <w:p w14:paraId="297EA673" w14:textId="77777777" w:rsidR="004322B1" w:rsidRPr="00AD2F44" w:rsidRDefault="004322B1">
      <w:pPr>
        <w:pStyle w:val="14Footnote"/>
      </w:pPr>
      <w:r w:rsidRPr="00AD2F44">
        <w:rPr>
          <w:i/>
          <w:iCs/>
        </w:rPr>
        <w:t>Ninth Circuit:</w:t>
      </w:r>
      <w:r w:rsidRPr="00AD2F44">
        <w:t xml:space="preserve"> Agdipa v. Grant Joint Union High Sch. Dist., 2007 WL 1106099 (E.D. Cal. Apr. 10, 2007) (granting unopposed request to include contact information for both parties).</w:t>
      </w:r>
    </w:p>
    <w:p w14:paraId="7AC4475D" w14:textId="77777777" w:rsidR="004322B1" w:rsidRPr="00AD2F44" w:rsidRDefault="004322B1">
      <w:pPr>
        <w:pStyle w:val="14Footnote"/>
      </w:pPr>
      <w:r w:rsidRPr="00AD2F44">
        <w:rPr>
          <w:i/>
          <w:iCs/>
        </w:rPr>
        <w:t>Tenth Circuit:</w:t>
      </w:r>
      <w:r w:rsidRPr="00AD2F44">
        <w:t xml:space="preserve"> </w:t>
      </w:r>
      <w:r w:rsidRPr="00AD2F44">
        <w:rPr>
          <w:i/>
          <w:iCs/>
        </w:rPr>
        <w:t>Reab</w:t>
      </w:r>
      <w:r w:rsidRPr="00AD2F44">
        <w:t>, 214 F.R.D. at 629.</w:t>
      </w:r>
    </w:p>
    <w:p w14:paraId="56F2C6D3" w14:textId="77777777" w:rsidR="004322B1" w:rsidRPr="00AD2F44" w:rsidRDefault="004322B1">
      <w:pPr>
        <w:pStyle w:val="14Footnote"/>
      </w:pPr>
      <w:r w:rsidRPr="00AD2F44">
        <w:rPr>
          <w:i/>
          <w:iCs/>
        </w:rPr>
        <w:t>Eleventh Circuit:</w:t>
      </w:r>
      <w:r w:rsidRPr="00AD2F44">
        <w:t xml:space="preserve"> Gonzalez v. TZ Ins. Sols., LLC, 2014 WL 1248154 (M.D. Fla. Mar. 26, 2014)</w:t>
      </w:r>
    </w:p>
  </w:footnote>
  <w:footnote w:id="386">
    <w:p w14:paraId="3AC27939" w14:textId="77777777" w:rsidR="004322B1" w:rsidRPr="00AD2F44" w:rsidRDefault="004322B1">
      <w:pPr>
        <w:pStyle w:val="14Footnote"/>
      </w:pPr>
      <w:r w:rsidRPr="00AD2F44">
        <w:rPr>
          <w:vertAlign w:val="superscript"/>
        </w:rPr>
        <w:footnoteRef/>
      </w:r>
      <w:r w:rsidRPr="00AD2F44">
        <w:rPr>
          <w:i/>
          <w:iCs/>
        </w:rPr>
        <w:t>See, e.g.,</w:t>
      </w:r>
    </w:p>
    <w:p w14:paraId="51B1611D" w14:textId="77777777" w:rsidR="004322B1" w:rsidRPr="00AD2F44" w:rsidRDefault="004322B1">
      <w:pPr>
        <w:pStyle w:val="14Footnote"/>
      </w:pPr>
      <w:r w:rsidRPr="00AD2F44">
        <w:rPr>
          <w:i/>
          <w:iCs/>
        </w:rPr>
        <w:t>Second Circuit:</w:t>
      </w:r>
      <w:r w:rsidRPr="00AD2F44">
        <w:t xml:space="preserve"> Barron v. Casa Luis Corp., 2022 BL 20996, 2022 WL 2467595 (E.D.N.Y. Jan. 21, 2022) (allowing notice to include reference to state law claims with statement that opt-in consent is only for joining FLSA claims); Cohan v. Columbia Sussex Mgmt., LLC, 2016 WL 1045532, at *2 (E.D.N.Y. Mar. 15, 2016) (allowing use of New York state law six-year limitations period in light of inclusion of state law claims in case); Jemine v. Dennis, 2009 WL 837802 (E.D.N.Y. Mar. 26, 2009).</w:t>
      </w:r>
    </w:p>
    <w:p w14:paraId="1CE77479" w14:textId="77777777" w:rsidR="004322B1" w:rsidRPr="00AD2F44" w:rsidRDefault="004322B1">
      <w:pPr>
        <w:pStyle w:val="14Footnote"/>
      </w:pPr>
      <w:r w:rsidRPr="00AD2F44">
        <w:rPr>
          <w:i/>
          <w:iCs/>
        </w:rPr>
        <w:t>Seventh Circuit:</w:t>
      </w:r>
      <w:r w:rsidRPr="00AD2F44">
        <w:t xml:space="preserve"> Molina v. First Line Sols. LLC, 566 F. Supp. 2d 770 (N.D. Ill. 2007).</w:t>
      </w:r>
    </w:p>
    <w:p w14:paraId="766BFEC0" w14:textId="77777777" w:rsidR="004322B1" w:rsidRPr="00AD2F44" w:rsidRDefault="004322B1">
      <w:pPr>
        <w:pStyle w:val="14Footnote"/>
      </w:pPr>
      <w:r w:rsidRPr="00AD2F44">
        <w:rPr>
          <w:i/>
          <w:iCs/>
        </w:rPr>
        <w:t>Eighth Circuit:</w:t>
      </w:r>
      <w:r w:rsidRPr="00AD2F44">
        <w:t xml:space="preserve"> Bouaphakeo v. Tyson Foods, Inc., 564 F. Supp. 2d 870 (N.D. Iowa 2008).</w:t>
      </w:r>
    </w:p>
    <w:p w14:paraId="2818FFD1" w14:textId="77777777" w:rsidR="004322B1" w:rsidRPr="00AD2F44" w:rsidRDefault="004322B1">
      <w:pPr>
        <w:pStyle w:val="14Footnote"/>
      </w:pPr>
      <w:r w:rsidRPr="00AD2F44">
        <w:rPr>
          <w:i/>
          <w:iCs/>
        </w:rPr>
        <w:t>D.C. Circuit:</w:t>
      </w:r>
      <w:r w:rsidRPr="00AD2F44">
        <w:t xml:space="preserve"> Cryer v. Intersolutions, Inc., 2007 WL 1191928 (D.D.C. Apr. 20, 2007).</w:t>
      </w:r>
    </w:p>
    <w:p w14:paraId="621AB656" w14:textId="77777777" w:rsidR="004322B1" w:rsidRPr="00AD2F44" w:rsidRDefault="004322B1">
      <w:pPr>
        <w:pStyle w:val="14Footnote"/>
      </w:pPr>
      <w:r w:rsidRPr="00AD2F44">
        <w:t>See also §XI [Hybrid FLSA/State Law Class Actions] of this chapter.</w:t>
      </w:r>
    </w:p>
  </w:footnote>
  <w:footnote w:id="387">
    <w:p w14:paraId="35D1F109"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t xml:space="preserve">Zimnicki v. Krysiak Constr. Corp., </w:t>
      </w:r>
      <w:r w:rsidRPr="00846456">
        <w:t>2022 BL 459417</w:t>
      </w:r>
      <w:r>
        <w:t xml:space="preserve">, </w:t>
      </w:r>
      <w:r w:rsidRPr="009B2156">
        <w:t xml:space="preserve">2022 WL 17820139 </w:t>
      </w:r>
      <w:r>
        <w:t xml:space="preserve">(E.D.N.Y. Sept. 27, 2022) (refusing to include reference to New York state law claims and limiting notice to FLSA claims); </w:t>
      </w:r>
      <w:r w:rsidRPr="00AD2F44">
        <w:t>Leuthold v. Destination Am., Inc., 224 F.R.D. 462 (N.D. Cal. 2004).</w:t>
      </w:r>
    </w:p>
  </w:footnote>
  <w:footnote w:id="388">
    <w:p w14:paraId="5218C068" w14:textId="77777777" w:rsidR="004322B1" w:rsidRPr="00AD2F44" w:rsidRDefault="004322B1">
      <w:pPr>
        <w:pStyle w:val="14Footnote"/>
      </w:pPr>
      <w:r w:rsidRPr="00AD2F44">
        <w:rPr>
          <w:vertAlign w:val="superscript"/>
        </w:rPr>
        <w:footnoteRef/>
      </w:r>
      <w:r w:rsidRPr="00AD2F44">
        <w:rPr>
          <w:i/>
          <w:iCs/>
        </w:rPr>
        <w:t>See, e.g.</w:t>
      </w:r>
      <w:r w:rsidRPr="00AD2F44">
        <w:t>, Adkinson v. Tiger Eye Pizza, LLC, 2019 WL 5213957 (W.D. Ark. Oct. 16, 2019) (approving anti-retaliation language in notice and also requiring language that no allegations or claims had been made that defendant had engaged in retaliation); Tutein v. Esteemed Patrol, Inc., 2013 WL 8115441 (E.D.N.Y. June 10, 2013) (noting that anti-retaliation language on a notice form is routine).</w:t>
      </w:r>
    </w:p>
  </w:footnote>
  <w:footnote w:id="389">
    <w:p w14:paraId="1A9A4354" w14:textId="77777777" w:rsidR="004322B1" w:rsidRPr="00AD2F44" w:rsidRDefault="004322B1">
      <w:pPr>
        <w:pStyle w:val="14Footnote"/>
      </w:pPr>
      <w:r w:rsidRPr="00AD2F44">
        <w:rPr>
          <w:vertAlign w:val="superscript"/>
        </w:rPr>
        <w:footnoteRef/>
      </w:r>
      <w:r w:rsidRPr="00AD2F44">
        <w:t>2013 WL 6836535 (M.D. Fla. Dec. 26, 2013).</w:t>
      </w:r>
      <w:r w:rsidRPr="00AD2F44">
        <w:rPr>
          <w:i/>
          <w:iCs/>
        </w:rPr>
        <w:t xml:space="preserve"> Accord </w:t>
      </w:r>
      <w:r w:rsidRPr="00AD2F44">
        <w:t>Cox v. Appliance Direct, Inc., 2008 WL 3050050, at *5 (M.D. Fla. Aug. 1, 2008) (rejecting inclusion of statement proposed by plaintiffs’ counsel that if employees believe they have been retaliated against to contact plaintiffs’ counsel).</w:t>
      </w:r>
    </w:p>
  </w:footnote>
  <w:footnote w:id="390">
    <w:p w14:paraId="2B15B66C" w14:textId="77777777" w:rsidR="004322B1" w:rsidRPr="00AD2F44" w:rsidRDefault="004322B1">
      <w:pPr>
        <w:pStyle w:val="14Footnote"/>
      </w:pPr>
      <w:r w:rsidRPr="00AD2F44">
        <w:rPr>
          <w:vertAlign w:val="superscript"/>
        </w:rPr>
        <w:footnoteRef/>
      </w:r>
      <w:r w:rsidRPr="00AD2F44">
        <w:rPr>
          <w:i/>
          <w:iCs/>
        </w:rPr>
        <w:t>Palma</w:t>
      </w:r>
      <w:r w:rsidRPr="00AD2F44">
        <w:t>, 2013 WL 6836535.</w:t>
      </w:r>
    </w:p>
  </w:footnote>
  <w:footnote w:id="391">
    <w:p w14:paraId="7B041CF4" w14:textId="77777777" w:rsidR="004322B1" w:rsidRPr="00AD2F44" w:rsidRDefault="004322B1">
      <w:pPr>
        <w:pStyle w:val="14Footnote"/>
      </w:pPr>
      <w:r w:rsidRPr="00AD2F44">
        <w:rPr>
          <w:vertAlign w:val="superscript"/>
        </w:rPr>
        <w:footnoteRef/>
      </w:r>
      <w:r w:rsidRPr="00AD2F44">
        <w:t>Brown v. Consolidated Rest. Operations, Inc., 2013 WL 4804780 (M.D. Tenn. Sept. 6, 2013).</w:t>
      </w:r>
    </w:p>
  </w:footnote>
  <w:footnote w:id="392">
    <w:p w14:paraId="67D7C708" w14:textId="77777777" w:rsidR="004322B1" w:rsidRPr="00AD2F44" w:rsidRDefault="004322B1">
      <w:pPr>
        <w:pStyle w:val="14Footnote"/>
      </w:pPr>
      <w:r w:rsidRPr="00AD2F44">
        <w:rPr>
          <w:vertAlign w:val="superscript"/>
        </w:rPr>
        <w:footnoteRef/>
      </w:r>
      <w:r w:rsidRPr="00AD2F44">
        <w:t>29 U.S.C. §255(a). The issue of willfulness is addressed in detail in Chapter 16, Litigation Issues, §VI.B [Statute of Limitations; Willful and Nonwillful Violations].</w:t>
      </w:r>
    </w:p>
  </w:footnote>
  <w:footnote w:id="393">
    <w:p w14:paraId="5BFB6AA0" w14:textId="77777777" w:rsidR="004322B1" w:rsidRPr="00AD2F44" w:rsidRDefault="004322B1">
      <w:pPr>
        <w:pStyle w:val="14Footnote"/>
      </w:pPr>
      <w:r w:rsidRPr="00AD2F44">
        <w:rPr>
          <w:vertAlign w:val="superscript"/>
        </w:rPr>
        <w:footnoteRef/>
      </w:r>
      <w:r w:rsidRPr="00AD2F44">
        <w:rPr>
          <w:i/>
          <w:iCs/>
        </w:rPr>
        <w:t>See, e.g</w:t>
      </w:r>
      <w:r w:rsidRPr="00AD2F44">
        <w:t xml:space="preserve">., Reeves v. Alliant Techsys., Inc., 77 F. Supp. 2d 242, 250 (D.R.I. 1999) (applying two-year statute of limitations when insufficient allegations of willfulness); </w:t>
      </w:r>
      <w:r w:rsidRPr="00AD2F44">
        <w:rPr>
          <w:i/>
          <w:iCs/>
        </w:rPr>
        <w:t xml:space="preserve">see also </w:t>
      </w:r>
      <w:r w:rsidRPr="00AD2F44">
        <w:t>Goody v. Jefferson Cnty., 2010 WL 1418395, at *3 (D. Idaho Apr. 6, 2010) (limiting class period to two years where plaintiff did not allege facts indicating that defendant’s actions were willful).</w:t>
      </w:r>
    </w:p>
  </w:footnote>
  <w:footnote w:id="394">
    <w:p w14:paraId="57366B78" w14:textId="77777777" w:rsidR="004322B1" w:rsidRPr="00AD2F44" w:rsidRDefault="004322B1">
      <w:pPr>
        <w:pStyle w:val="14Footnote"/>
      </w:pPr>
      <w:r w:rsidRPr="00AD2F44">
        <w:rPr>
          <w:vertAlign w:val="superscript"/>
        </w:rPr>
        <w:footnoteRef/>
      </w:r>
      <w:r w:rsidRPr="00AD2F44">
        <w:rPr>
          <w:i/>
          <w:iCs/>
        </w:rPr>
        <w:t>See, e.g.,</w:t>
      </w:r>
    </w:p>
    <w:p w14:paraId="5DC5B149" w14:textId="77777777" w:rsidR="004322B1" w:rsidRPr="00AD2F44" w:rsidRDefault="004322B1">
      <w:pPr>
        <w:pStyle w:val="14Footnote"/>
      </w:pPr>
      <w:r w:rsidRPr="00AD2F44">
        <w:rPr>
          <w:i/>
          <w:iCs/>
        </w:rPr>
        <w:t>First Circuit:</w:t>
      </w:r>
      <w:r w:rsidRPr="00AD2F44">
        <w:t xml:space="preserve"> Trezvant v. Fidelity Emp. Servs. Corp., 434 F. Supp. 2d 40 (D. Mass. 2006).</w:t>
      </w:r>
    </w:p>
    <w:p w14:paraId="042F1D6F" w14:textId="77777777" w:rsidR="004322B1" w:rsidRPr="00AD2F44" w:rsidRDefault="004322B1">
      <w:pPr>
        <w:pStyle w:val="14Footnote"/>
      </w:pPr>
      <w:r w:rsidRPr="00AD2F44">
        <w:rPr>
          <w:i/>
          <w:iCs/>
        </w:rPr>
        <w:t>Second Circuit:</w:t>
      </w:r>
      <w:r w:rsidRPr="00AD2F44">
        <w:t xml:space="preserve"> </w:t>
      </w:r>
      <w:r>
        <w:t>Zimnicki v. Krysiak Constr. Corp.,</w:t>
      </w:r>
      <w:r w:rsidRPr="00384564">
        <w:t xml:space="preserve"> </w:t>
      </w:r>
      <w:r w:rsidRPr="00846456">
        <w:t>2022 BL 459417</w:t>
      </w:r>
      <w:r>
        <w:t xml:space="preserve">, </w:t>
      </w:r>
      <w:r w:rsidRPr="009B2156">
        <w:t xml:space="preserve">2022 WL 17820139 </w:t>
      </w:r>
      <w:r>
        <w:t xml:space="preserve">(E.D.N.Y. Sept. 27, 2022) (using three-year period but rejecting six-year period for New York claims, reasoning class claims are tolled and six years would include FLSA claims that were time-barred, creating confusion among recipients); </w:t>
      </w:r>
      <w:r w:rsidRPr="00AD2F44">
        <w:t>Franze v. Bimbo Foods Bakeries Distribution, LLC, 2019 WL 1417125 (S.D.N.Y. Mar. 29, 2019) (granting plaintiff’s request for conditional certification, but limiting period to three years, rather than the six-year period found in New York state law); Gurrieri v. City of Nassau, 2019 WL 2233830 (E.D.N.Y. May 23, 2019) (same); Hernandez v. City of N.Y., 2017 WL 2829816 (S.D.N.Y. June 29, 2017); Davis v. Abercrombie &amp; Fitch Co., 2008 U.S. Dist. LEXIS 86577 (S.D.N.Y. Oct. 23, 2008); Francis v. A &amp; E Stores, Inc., 2008 U.S. Dist. LEXIS 49971 (S.D.N.Y. June 26, 2008); Neary v. Metropolitan Prop. &amp; Cas. Ins. Co., 517 F. Supp. 2d 606 (D. Conn. 2007); Fasanelli v. Heartland Brewery, Inc., 516 F. Supp. 2d 317 (S.D.N.Y. 2007); Patton v. Thomson Corp., 364 F. Supp. 2d 263 (E.D.N.Y. 2005); Roebuck v. Hudson Valley Farms, Inc., 239 F. Supp. 2d 234, 240 (N.D.N.Y. 2002).</w:t>
      </w:r>
    </w:p>
    <w:p w14:paraId="1E88CB9F" w14:textId="77777777" w:rsidR="004322B1" w:rsidRPr="00AD2F44" w:rsidRDefault="004322B1">
      <w:pPr>
        <w:pStyle w:val="14Footnote"/>
      </w:pPr>
      <w:r w:rsidRPr="00AD2F44">
        <w:rPr>
          <w:i/>
          <w:iCs/>
        </w:rPr>
        <w:t>Third Circuit:</w:t>
      </w:r>
      <w:r w:rsidRPr="00AD2F44">
        <w:t xml:space="preserve"> Gallagher v. Lackawanna Cnty., 2008 U.S. Dist. LEXIS 43722 (M.D. Pa. May 30, 2008).</w:t>
      </w:r>
    </w:p>
    <w:p w14:paraId="00F85142" w14:textId="77777777" w:rsidR="004322B1" w:rsidRPr="00AD2F44" w:rsidRDefault="004322B1">
      <w:pPr>
        <w:pStyle w:val="14Footnote"/>
      </w:pPr>
      <w:r w:rsidRPr="00AD2F44">
        <w:rPr>
          <w:i/>
          <w:iCs/>
        </w:rPr>
        <w:t>Fourth Circuit:</w:t>
      </w:r>
      <w:r w:rsidRPr="00AD2F44">
        <w:t xml:space="preserve"> Rodgers v. Abbster Enters., LLC, 2017 WL 402055 (N.D. W. Va. Jan. 30, 2017); Regan v. City of Charleston, S.C., 2014 WL 3530135, at *5 (D.S.C. July 16, 2014), </w:t>
      </w:r>
      <w:r w:rsidRPr="00AD2F44">
        <w:rPr>
          <w:i/>
          <w:iCs/>
        </w:rPr>
        <w:t>reconsideration denied</w:t>
      </w:r>
      <w:r w:rsidRPr="00AD2F44">
        <w:t>, 40 F. Supp. 3d 698 (D.S.C. 2014); Houston v. URS Corp., 591 F. Supp. 2d 827, 835 (E.D. Va. 2008).</w:t>
      </w:r>
    </w:p>
    <w:p w14:paraId="5151F0D2" w14:textId="77777777" w:rsidR="004322B1" w:rsidRPr="00AD2F44" w:rsidRDefault="004322B1">
      <w:pPr>
        <w:pStyle w:val="14Footnote"/>
      </w:pPr>
      <w:r w:rsidRPr="00AD2F44">
        <w:rPr>
          <w:i/>
          <w:iCs/>
        </w:rPr>
        <w:t>Fifth Circuit:</w:t>
      </w:r>
      <w:r w:rsidRPr="00AD2F44">
        <w:t xml:space="preserve"> Albanil v. Coast 2 Coast, Inc., 2008 U.S. Dist. LEXIS 93035 (S.D. Tex. Nov. 17, 2008).</w:t>
      </w:r>
    </w:p>
    <w:p w14:paraId="4F9089B2" w14:textId="77777777" w:rsidR="004322B1" w:rsidRPr="00AD2F44" w:rsidRDefault="004322B1">
      <w:pPr>
        <w:pStyle w:val="14Footnote"/>
      </w:pPr>
      <w:r w:rsidRPr="00AD2F44">
        <w:rPr>
          <w:i/>
          <w:iCs/>
        </w:rPr>
        <w:t>Sixth Circuit:</w:t>
      </w:r>
      <w:r w:rsidRPr="00AD2F44">
        <w:t xml:space="preserve"> York v. Velox Express, Inc., 524 F. Supp. 3d 679 (W.D. Ky. 2021) (allowing three-year period for purposes of notice but beginning three-year period from date of conditional certification order, not complaint filing); Arends v. Family Sols. of Ohio, Inc., 2019 WL 4417674, at *10 (N.D. Ohio Sept. 16, 2019); Bacon v. Subway Sandwiches &amp; Salads LLC, 2015 WL 729632, at *6 (E.D. Tenn. Feb. 19, 2015); Pearson v. CSK Auto, Inc., 2014 WL 1333273 (N.D. Ohio Mar. 28, 2014); Larson v. Rush Fitness Corp., 2012 U.S. Dist. LEXIS 189211 (E.D. Tenn. Oct. 17, 2012), </w:t>
      </w:r>
      <w:r w:rsidRPr="00AD2F44">
        <w:rPr>
          <w:i/>
          <w:iCs/>
        </w:rPr>
        <w:t>adopted by</w:t>
      </w:r>
      <w:r w:rsidRPr="00AD2F44">
        <w:t xml:space="preserve"> 2013 U.S. Dist. LEXIS 163541 (E.D. Tenn. Sept. 23, 2013). </w:t>
      </w:r>
      <w:r w:rsidRPr="00AD2F44">
        <w:rPr>
          <w:i/>
          <w:iCs/>
        </w:rPr>
        <w:t xml:space="preserve">But see </w:t>
      </w:r>
      <w:r w:rsidRPr="00AD2F44">
        <w:t>Watson v. Advanced Distribution Servs.,</w:t>
      </w:r>
      <w:r w:rsidRPr="00AD2F44">
        <w:rPr>
          <w:i/>
          <w:iCs/>
        </w:rPr>
        <w:t xml:space="preserve"> </w:t>
      </w:r>
      <w:r w:rsidRPr="00AD2F44">
        <w:t>LLC, 298 F.R.D. 558, 561 (M.D. Tenn. 2014) (limiting the time period to two years where a previous DOL investigation had made no liability finding against the defendant).</w:t>
      </w:r>
    </w:p>
    <w:p w14:paraId="76FF5C0F" w14:textId="77777777" w:rsidR="004322B1" w:rsidRPr="00AD2F44" w:rsidRDefault="004322B1">
      <w:pPr>
        <w:pStyle w:val="14Footnote"/>
      </w:pPr>
      <w:r w:rsidRPr="00AD2F44">
        <w:rPr>
          <w:i/>
          <w:iCs/>
        </w:rPr>
        <w:t>Seventh Circuit:</w:t>
      </w:r>
      <w:r w:rsidRPr="00AD2F44">
        <w:t xml:space="preserve"> Frebes v. Mask Rests., LLC, 2014 WL 1848461 (N.D. Ill. May 8, 2014); O’Brien v. Morse, 2002 U.S. Dist. LEXIS 10495 (N.D. Ill. June 11, 2002); Krieg v. Pell’s, Inc., 2001 U.S. Dist. LEXIS 6769 (S.D. Ind. May 29, 2001).</w:t>
      </w:r>
    </w:p>
    <w:p w14:paraId="3D7BA8F4" w14:textId="77777777" w:rsidR="004322B1" w:rsidRPr="00AD2F44" w:rsidRDefault="004322B1">
      <w:pPr>
        <w:pStyle w:val="14Footnote"/>
      </w:pPr>
      <w:r w:rsidRPr="00AD2F44">
        <w:rPr>
          <w:i/>
          <w:iCs/>
        </w:rPr>
        <w:t>Eighth Circuit:</w:t>
      </w:r>
      <w:r w:rsidRPr="00AD2F44">
        <w:t xml:space="preserve"> Resendiz-Ramirez v. P &amp; H Forestry, LLC, 515 F. Supp. 2d 937 (W.D. Ark. 2007); Kautsch v. Premier Commc’ns, 504 F. Supp. 2d 685 (W.D. Mo. 2007); Burch v. Qwest Commc’ns Int’l, Inc., 500 F. Supp. 2d 1181 (D. Minn. 2007); Fast v. Applebee’s Int’l, Inc., 243 F.R.D. 360 (W.D. Mo. 2007).</w:t>
      </w:r>
    </w:p>
    <w:p w14:paraId="4C0D7C12" w14:textId="77777777" w:rsidR="004322B1" w:rsidRPr="00AD2F44" w:rsidRDefault="004322B1">
      <w:pPr>
        <w:pStyle w:val="14Footnote"/>
      </w:pPr>
      <w:r w:rsidRPr="00AD2F44">
        <w:rPr>
          <w:i/>
          <w:iCs/>
        </w:rPr>
        <w:t>Ninth Circuit:</w:t>
      </w:r>
      <w:r w:rsidRPr="00AD2F44">
        <w:t xml:space="preserve"> Chastain v. Cam, 2014 WL 3734368, at *7 (D. Or. July 28, 2014); Mitchell v. Acosta Sales, LLC, 841 F. Supp. 2d 1105, 1119 (C.D. Cal. 2011) (issuing notice for three-year limitations period “based on the evidence adduced” at conditional certification stage, including nationally applicable written policies, as well as practices and procedures that discouraged employees “from seeking compensation for all hours worked”); Centurioni v. City &amp; Cnty. of S.F., 2008 U.S. Dist. LEXIS 10856 (N.D. Cal. Feb. 1, 2008); Adams v. Inter-Con Sec. Sys., 242 F.R.D. 530 (N.D. Cal. 2007); Agdipa v. Grant Joint Union High Sch. Dist., 2007 WL 1106099 (E.D. Cal. Apr. 10, 2007).</w:t>
      </w:r>
    </w:p>
    <w:p w14:paraId="3C5D99CD" w14:textId="77777777" w:rsidR="004322B1" w:rsidRPr="00AD2F44" w:rsidRDefault="004322B1">
      <w:pPr>
        <w:pStyle w:val="14Footnote"/>
      </w:pPr>
      <w:r w:rsidRPr="00AD2F44">
        <w:rPr>
          <w:i/>
          <w:iCs/>
        </w:rPr>
        <w:t>Tenth Circuit:</w:t>
      </w:r>
      <w:r w:rsidRPr="00AD2F44">
        <w:t xml:space="preserve"> Pegues v. Carecentrix, Inc., 2013 WL 1896994, at *4 (D. Kan. May 6, 2013).</w:t>
      </w:r>
    </w:p>
    <w:p w14:paraId="6DE23073" w14:textId="77777777" w:rsidR="004322B1" w:rsidRPr="00AD2F44" w:rsidRDefault="004322B1">
      <w:pPr>
        <w:pStyle w:val="14Footnote"/>
      </w:pPr>
      <w:r w:rsidRPr="00AD2F44">
        <w:rPr>
          <w:i/>
          <w:iCs/>
        </w:rPr>
        <w:t>Eleventh Circuit:</w:t>
      </w:r>
      <w:r w:rsidRPr="00AD2F44">
        <w:t xml:space="preserve"> Holmes v. Swissport Fueling, Inc., 2017 WL 8794900 (M.D. Fla. Sept. 1, 2017); Aguirre-Molina v. Truscapes SW Fla. Inc., 2016 WL 4472992, at *1 (M.D. Fla. Aug. 3, 2016), </w:t>
      </w:r>
      <w:r w:rsidRPr="00AD2F44">
        <w:rPr>
          <w:i/>
          <w:iCs/>
        </w:rPr>
        <w:t>report &amp; recommendation adopted</w:t>
      </w:r>
      <w:r w:rsidRPr="00AD2F44">
        <w:t>, 2016 WL 4441468 (M.D. Fla. Aug. 23, 2016); Whitaker v. Kablelink Commc’ns, LLC, 2013 WL 5919351, at *1 (M.D. Fla. Nov. 4, 2013); Simpkins v. Pulte Home Corp., 2008 U.S. Dist. LEXIS 64270 (M.D. Fla. Aug. 21, 2008); Ohsann v. L.V. Stabler Hosp., 2008 U.S. Dist. LEXIS 47074 (M.D. Ala. June 17, 2008).</w:t>
      </w:r>
    </w:p>
  </w:footnote>
  <w:footnote w:id="395">
    <w:p w14:paraId="1969A9F6" w14:textId="77777777" w:rsidR="004322B1" w:rsidRPr="00AD2F44" w:rsidRDefault="004322B1">
      <w:pPr>
        <w:pStyle w:val="14Footnote"/>
      </w:pPr>
      <w:r w:rsidRPr="00AD2F44">
        <w:rPr>
          <w:vertAlign w:val="superscript"/>
        </w:rPr>
        <w:footnoteRef/>
      </w:r>
      <w:r w:rsidRPr="00AD2F44">
        <w:t xml:space="preserve">29 U.S.C. §256; </w:t>
      </w:r>
      <w:r w:rsidRPr="00AD2F44">
        <w:rPr>
          <w:i/>
          <w:iCs/>
        </w:rPr>
        <w:t>see also</w:t>
      </w:r>
      <w:r w:rsidRPr="00AD2F44">
        <w:t xml:space="preserve"> Redman v. United States W. Bus. Res., Inc., 153 F.3d 691 (8th Cir. 1998).</w:t>
      </w:r>
    </w:p>
  </w:footnote>
  <w:footnote w:id="396">
    <w:p w14:paraId="05A9F15A" w14:textId="77777777" w:rsidR="004322B1" w:rsidRPr="00AD2F44" w:rsidRDefault="004322B1">
      <w:pPr>
        <w:pStyle w:val="14Footnote"/>
      </w:pPr>
      <w:r w:rsidRPr="00AD2F44">
        <w:rPr>
          <w:vertAlign w:val="superscript"/>
        </w:rPr>
        <w:footnoteRef/>
      </w:r>
      <w:r w:rsidRPr="00AD2F44">
        <w:rPr>
          <w:i/>
          <w:iCs/>
        </w:rPr>
        <w:t>See, e.g.,</w:t>
      </w:r>
    </w:p>
    <w:p w14:paraId="639CB8E6" w14:textId="77777777" w:rsidR="004322B1" w:rsidRPr="00AD2F44" w:rsidRDefault="004322B1">
      <w:pPr>
        <w:pStyle w:val="14Footnote"/>
      </w:pPr>
      <w:r w:rsidRPr="00AD2F44">
        <w:rPr>
          <w:i/>
          <w:iCs/>
        </w:rPr>
        <w:t>First Circuit:</w:t>
      </w:r>
      <w:r w:rsidRPr="00AD2F44">
        <w:t xml:space="preserve"> Tidd v. Adecco USA, Inc., 2008 U.S. Dist. LEXIS 69825 (D. Mass. Sept. 17, 2008); Kane v. Gage Merch. Servs., 138 F. Supp. 2d 212 (D. Mass. 2001).</w:t>
      </w:r>
    </w:p>
    <w:p w14:paraId="0E6E3A08" w14:textId="77777777" w:rsidR="004322B1" w:rsidRPr="00AD2F44" w:rsidRDefault="004322B1">
      <w:pPr>
        <w:pStyle w:val="14Footnote"/>
      </w:pPr>
      <w:r w:rsidRPr="00AD2F44">
        <w:rPr>
          <w:i/>
          <w:iCs/>
        </w:rPr>
        <w:t>Second Circuit:</w:t>
      </w:r>
      <w:r w:rsidRPr="00AD2F44">
        <w:t xml:space="preserve"> </w:t>
      </w:r>
      <w:r>
        <w:t xml:space="preserve">Tlapanco v. City Metal Traders, Inc., </w:t>
      </w:r>
      <w:r w:rsidRPr="002709C5">
        <w:t>2023 BL 62127</w:t>
      </w:r>
      <w:r>
        <w:t xml:space="preserve">, </w:t>
      </w:r>
      <w:r w:rsidRPr="009B2156">
        <w:t xml:space="preserve">2023 WL 2240396 </w:t>
      </w:r>
      <w:r>
        <w:t xml:space="preserve">(E.D.N.Y. Feb. 27, 2023) (measuring notice period from date of order, but tolling period for 60 days to account for time the court spent deciding the motion); </w:t>
      </w:r>
      <w:r w:rsidRPr="00AD2F44">
        <w:t>Doucoure v. Matlyn Food, Inc., 554 F. Supp. 2d 369 (E.D.N.Y. 2008).</w:t>
      </w:r>
    </w:p>
    <w:p w14:paraId="35B4FCA7" w14:textId="77777777" w:rsidR="004322B1" w:rsidRPr="00AD2F44" w:rsidRDefault="004322B1">
      <w:pPr>
        <w:pStyle w:val="14Footnote"/>
      </w:pPr>
      <w:r w:rsidRPr="00AD2F44">
        <w:rPr>
          <w:i/>
          <w:iCs/>
        </w:rPr>
        <w:t>Third Circuit:</w:t>
      </w:r>
      <w:r w:rsidRPr="00AD2F44">
        <w:t xml:space="preserve"> Titchenell v. Apria Healthcare Inc., 2011 WL 5428559, at *7 (E.D. Pa. Nov. 8, 2011) (ordering that limitations period for notice would be three years before date on which notice was issued).</w:t>
      </w:r>
    </w:p>
    <w:p w14:paraId="7B4D71E6" w14:textId="77777777" w:rsidR="004322B1" w:rsidRPr="00AD2F44" w:rsidRDefault="004322B1">
      <w:pPr>
        <w:pStyle w:val="14Footnote"/>
      </w:pPr>
      <w:r w:rsidRPr="00AD2F44">
        <w:rPr>
          <w:i/>
          <w:iCs/>
        </w:rPr>
        <w:t>Fourth Circuit</w:t>
      </w:r>
      <w:r w:rsidRPr="00AD2F44">
        <w:t xml:space="preserve">: Santos v. E&amp;R Servs., Inc., 2021 BL 489573, 2021 WL 6073039 (D. Md. Dec. 23, 2021) (holding conditional certification period extends back from date of conditional certification order). </w:t>
      </w:r>
    </w:p>
    <w:p w14:paraId="65177F96" w14:textId="77777777" w:rsidR="004322B1" w:rsidRPr="00AD2F44" w:rsidRDefault="004322B1">
      <w:pPr>
        <w:pStyle w:val="14Footnote"/>
      </w:pPr>
      <w:r w:rsidRPr="00AD2F44">
        <w:rPr>
          <w:i/>
          <w:iCs/>
        </w:rPr>
        <w:t>Fifth Circuit:</w:t>
      </w:r>
      <w:r w:rsidRPr="00AD2F44">
        <w:t xml:space="preserve"> Montgomery v. Wal-Mart Stores, Inc., 2007 U.S. Dist. LEXIS 70574 (S.D. Miss. Sept. 21, 2007); Foraker v. Highpoint Sw., Servs. L.P., 2006 U.S. Dist. LEXIS 63951 (S.D. Tex. Sept. 7, 2006).</w:t>
      </w:r>
    </w:p>
    <w:p w14:paraId="51868139" w14:textId="77777777" w:rsidR="004322B1" w:rsidRPr="00AD2F44" w:rsidRDefault="004322B1">
      <w:pPr>
        <w:pStyle w:val="14Footnote"/>
      </w:pPr>
      <w:r w:rsidRPr="00AD2F44">
        <w:rPr>
          <w:i/>
          <w:iCs/>
        </w:rPr>
        <w:t>Sixth Circuit:</w:t>
      </w:r>
      <w:r w:rsidRPr="00AD2F44">
        <w:rPr>
          <w:rFonts w:asciiTheme="minorHAnsi" w:eastAsiaTheme="minorEastAsia" w:hAnsiTheme="minorHAnsi" w:cstheme="minorBidi"/>
          <w:sz w:val="22"/>
          <w:szCs w:val="22"/>
        </w:rPr>
        <w:t xml:space="preserve"> </w:t>
      </w:r>
      <w:r w:rsidRPr="00AD2F44">
        <w:t>York v. Velox Express, Inc., 524 F. Supp. 3d 679 (W.D. Ky. 2021) (allowing three-year period for purposes of notice but beginning three-year period from date of conditional certification order, not complaint filing).</w:t>
      </w:r>
    </w:p>
    <w:p w14:paraId="3018387B" w14:textId="77777777" w:rsidR="004322B1" w:rsidRPr="00AD2F44" w:rsidRDefault="004322B1">
      <w:pPr>
        <w:pStyle w:val="14Footnote"/>
      </w:pPr>
      <w:r w:rsidRPr="00AD2F44">
        <w:rPr>
          <w:i/>
          <w:iCs/>
        </w:rPr>
        <w:t>Seventh Circuit:</w:t>
      </w:r>
      <w:r w:rsidRPr="00AD2F44">
        <w:t xml:space="preserve"> Powers v. Centennial Commc’ns Corp., 2010 WL 746776, at *2–3 (N.D. Ind. Feb. 26, 2010) (modifying and shortening limitations period for conditionally certified class from three years prior to date of filing of complaint to three years prior to date of motion for reconsideration on grant of conditional certification, because individuals who did not opt in prior to court deciding notice issue may have claims time-barred given FLSA’s requirement that employee must opt in to toll limitations period).</w:t>
      </w:r>
    </w:p>
    <w:p w14:paraId="2C3B992E" w14:textId="77777777" w:rsidR="004322B1" w:rsidRPr="00AD2F44" w:rsidRDefault="004322B1">
      <w:pPr>
        <w:pStyle w:val="14Footnote"/>
      </w:pPr>
      <w:r w:rsidRPr="00AD2F44">
        <w:rPr>
          <w:i/>
          <w:iCs/>
        </w:rPr>
        <w:t>Tenth Circuit:</w:t>
      </w:r>
      <w:r w:rsidRPr="00AD2F44">
        <w:t xml:space="preserve"> Renfro v. Spartan Comput. Servs., 243 F.R.D. 431 (D. Kan. 2007).</w:t>
      </w:r>
    </w:p>
    <w:p w14:paraId="05705308" w14:textId="77777777" w:rsidR="004322B1" w:rsidRPr="00AD2F44" w:rsidRDefault="004322B1">
      <w:pPr>
        <w:pStyle w:val="14Footnote"/>
      </w:pPr>
      <w:r w:rsidRPr="00AD2F44">
        <w:rPr>
          <w:i/>
          <w:iCs/>
        </w:rPr>
        <w:t>Eleventh Circuit:</w:t>
      </w:r>
      <w:r w:rsidRPr="00AD2F44">
        <w:t xml:space="preserve"> Simpkins v. Pulte Home Corp., 2008 U.S. Dist. LEXIS 64270 (M.D. Fla. Aug. 21, 2008); Gutescu v. Carey Int’l, Inc., 2003 U.S. Dist. LEXIS 27507 (S.D. Fla. June 16, 2003) (holding notice should be sent to those employed within three-year period preceding the date of mailing of notice).</w:t>
      </w:r>
    </w:p>
  </w:footnote>
  <w:footnote w:id="397">
    <w:p w14:paraId="412DFACD" w14:textId="77777777" w:rsidR="004322B1" w:rsidRPr="00AD2F44" w:rsidRDefault="004322B1">
      <w:pPr>
        <w:pStyle w:val="14Footnote"/>
      </w:pPr>
      <w:r w:rsidRPr="00AD2F44">
        <w:rPr>
          <w:vertAlign w:val="superscript"/>
        </w:rPr>
        <w:footnoteRef/>
      </w:r>
      <w:r w:rsidRPr="00AD2F44">
        <w:rPr>
          <w:i/>
          <w:iCs/>
        </w:rPr>
        <w:t>See, e.g.,</w:t>
      </w:r>
    </w:p>
    <w:p w14:paraId="1BFB5A59"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9B2156">
        <w:t xml:space="preserve">2022 WL 17820139 </w:t>
      </w:r>
      <w:r>
        <w:t xml:space="preserve">(E.D.N.Y. Sept. 27, 2022) (setting notice period based on the date of the complaint to avoid prejudicing recipients due to litigation delays); Richards v. Empire Scaffolding Sys., </w:t>
      </w:r>
      <w:r w:rsidRPr="001A0800">
        <w:t>2022 BL 229929</w:t>
      </w:r>
      <w:r>
        <w:t xml:space="preserve">, </w:t>
      </w:r>
      <w:r w:rsidRPr="009B2156">
        <w:t xml:space="preserve">2022 WL 2384154 </w:t>
      </w:r>
      <w:r>
        <w:t xml:space="preserve">(S.D.N.Y. July 1, 2022) (allowing notice to be measured from date of complaint and explaining challenges to timeliness of individual opt-ins and whether any tolling would apply can be addressed at a later date); </w:t>
      </w:r>
      <w:r w:rsidRPr="00AD2F44">
        <w:t>Jibowu v. Target Corp., 492 F. Supp. 3d 87 (E.D.N.Y. 2020) (granting plaintiff’s request for notice to be sent to employees who worked three years prior to filing of complaint and equitable tolled statute of limitations from date of filing due to protracted discovery proceedings and summary judgment motion practice); Gaspar v. Personal Touch Moving, Inc., 2014 WL 4593944 (S.D.N.Y. Sept. 15, 2014) (allowing three years from filing of complaint because failing to post notice creates colorable argument for equitable tolling); Velasquez v. Digital Page, Inc., 2014 WL 2048425 (E.D.N.Y. May 19, 2014); Chhab v. Darden Rests., Inc., 2013 WL 5308004, at *15 (S.D.N.Y. Sept. 20, 2013) (finding this approach necessary because otherwise “defendants would be perversely incentivized to drag out preliminary discovery so as to shorten the pre-filing notice period”); Trinidad v. Pret A Manger (USA), Ltd., 962 F. Supp. 2d 545 (S.D.N.Y. 2013).</w:t>
      </w:r>
    </w:p>
    <w:p w14:paraId="14C5D3F0" w14:textId="77777777" w:rsidR="004322B1" w:rsidRPr="00AD2F44" w:rsidRDefault="004322B1">
      <w:pPr>
        <w:pStyle w:val="14Footnote"/>
      </w:pPr>
      <w:r w:rsidRPr="00AD2F44">
        <w:rPr>
          <w:i/>
          <w:iCs/>
        </w:rPr>
        <w:t>Fourth Circuit:</w:t>
      </w:r>
      <w:r w:rsidRPr="00AD2F44">
        <w:t xml:space="preserve"> De Luna-Guerrero v. North Carolina Grower’s Ass’n, Inc., 338 F. Supp. 2d 649, 666 (E.D.N.C. 2004).</w:t>
      </w:r>
    </w:p>
    <w:p w14:paraId="04605C3B" w14:textId="77777777" w:rsidR="004322B1" w:rsidRPr="00AD2F44" w:rsidRDefault="004322B1">
      <w:pPr>
        <w:pStyle w:val="14Footnote"/>
      </w:pPr>
      <w:r w:rsidRPr="00AD2F44">
        <w:rPr>
          <w:i/>
          <w:iCs/>
        </w:rPr>
        <w:t>Fifth Circuit:</w:t>
      </w:r>
      <w:r w:rsidRPr="00AD2F44">
        <w:t xml:space="preserve"> Case v. Danos &amp; Curole Marine Contractors, 2015 WL 1978653 (E.D. La. May 4, 2015); Nguyen v. Versacom, LLC, 2015 WL 1400564 (N.D. Tex. Mar. 27, 2015) (because equitable tolling issues may arise, notice issued to those working three years prior to filing of complaint); Lopez v. Sam Kane Beef Processors, Inc., 2008 U.S. Dist. LEXIS 15572 (S.D. Tex. Feb. 29, 2008).</w:t>
      </w:r>
    </w:p>
    <w:p w14:paraId="7FBF0631" w14:textId="77777777" w:rsidR="004322B1" w:rsidRPr="00AD2F44" w:rsidRDefault="004322B1">
      <w:pPr>
        <w:pStyle w:val="14Footnote"/>
      </w:pPr>
      <w:r w:rsidRPr="00AD2F44">
        <w:rPr>
          <w:i/>
          <w:iCs/>
        </w:rPr>
        <w:t>Sixth Circuit:</w:t>
      </w:r>
      <w:r w:rsidRPr="00AD2F44">
        <w:t xml:space="preserve"> Larson v. Rush Fitness Corp., 2012 U.S. Dist. LEXIS 189211 (E.D. Tenn. Oct. 17, 2012), </w:t>
      </w:r>
      <w:r w:rsidRPr="00AD2F44">
        <w:rPr>
          <w:i/>
          <w:iCs/>
        </w:rPr>
        <w:t>adopted by</w:t>
      </w:r>
      <w:r w:rsidRPr="00AD2F44">
        <w:t xml:space="preserve"> 2013 U.S. Dist. LEXIS 163541 (E.D. Tenn. Sept. 23, 2013); Belcher v. Shoney’s, Inc., 927 F. Supp. 249 (M.D. Tenn. 1996).</w:t>
      </w:r>
    </w:p>
    <w:p w14:paraId="5E5D7FEF" w14:textId="77777777" w:rsidR="004322B1" w:rsidRPr="00AD2F44" w:rsidRDefault="004322B1">
      <w:pPr>
        <w:pStyle w:val="14Footnote"/>
      </w:pPr>
      <w:r w:rsidRPr="00AD2F44">
        <w:rPr>
          <w:i/>
          <w:iCs/>
        </w:rPr>
        <w:t>Ninth Circuit:</w:t>
      </w:r>
      <w:r w:rsidRPr="00AD2F44">
        <w:t xml:space="preserve"> Davis v. Westgate Planet Hollywood Las Vegas, LLC, 2009 U.S. Dist. LEXIS 5941 (D. Nev. Jan. 12, 2009).</w:t>
      </w:r>
    </w:p>
    <w:p w14:paraId="4401D0A9" w14:textId="77777777" w:rsidR="004322B1" w:rsidRPr="00AD2F44" w:rsidRDefault="004322B1">
      <w:pPr>
        <w:pStyle w:val="14Footnote"/>
      </w:pPr>
      <w:r w:rsidRPr="00AD2F44">
        <w:rPr>
          <w:i/>
          <w:iCs/>
        </w:rPr>
        <w:t>Eleventh Circuit:</w:t>
      </w:r>
      <w:r w:rsidRPr="00AD2F44">
        <w:t xml:space="preserve"> Carmody v. Florida Ctr. For Recovery, Inc., 2006 U.S. Dist. LEXIS 81640 (S.D. Fla. Nov. 7, 2006); Harper v. Lovett’s Buffet, Inc., 185 F.R.D. 358 (M.D. Ala. 1999).</w:t>
      </w:r>
    </w:p>
    <w:p w14:paraId="14AEBF42" w14:textId="77777777" w:rsidR="004322B1" w:rsidRPr="00AD2F44" w:rsidRDefault="004322B1">
      <w:pPr>
        <w:pStyle w:val="14Footnote"/>
      </w:pPr>
      <w:r w:rsidRPr="00AD2F44">
        <w:rPr>
          <w:i/>
          <w:iCs/>
        </w:rPr>
        <w:t>D.C. Circuit:</w:t>
      </w:r>
      <w:r w:rsidRPr="00AD2F44">
        <w:t xml:space="preserve"> Castillo v. P &amp; R Enters., 517 F. Supp. 2d 440 (D.D.C. 2007).</w:t>
      </w:r>
    </w:p>
  </w:footnote>
  <w:footnote w:id="398">
    <w:p w14:paraId="0EEC14FB" w14:textId="77777777" w:rsidR="004322B1" w:rsidRPr="00AD2F44" w:rsidRDefault="004322B1">
      <w:pPr>
        <w:pStyle w:val="14Footnote"/>
      </w:pPr>
      <w:r w:rsidRPr="00AD2F44">
        <w:rPr>
          <w:vertAlign w:val="superscript"/>
        </w:rPr>
        <w:footnoteRef/>
      </w:r>
      <w:r w:rsidRPr="00AD2F44">
        <w:rPr>
          <w:i/>
          <w:iCs/>
        </w:rPr>
        <w:t>See</w:t>
      </w:r>
      <w:r w:rsidRPr="00AD2F44">
        <w:t xml:space="preserve"> Dilonez v. Fox Linen Serv., Inc., 35 F. Supp. 3d 247 (E.D.N.Y. 2014); Moore v. Eagle Sanitation, Inc., 276 F.R.D. 54 (E.D.N.Y. 2011) (using New York’s six-year limitations period for FLSA notice); Barry v. S.E.B. Service of N.Y., Inc., 2013 WL 6150718 (E.D.N.Y. Nov. 22, 2013) (same); Martinez v. Midtown Cleaner, Inc., 2013 WL 5807178 (S.D.N.Y. Oct. 29, 2013) (same); Schwerdtfeger v. Demarchelier Mgmt., Inc., 2011 WL 2207517 (S.D.N.Y. June 6, 2011) (same). </w:t>
      </w:r>
      <w:r w:rsidRPr="00AD2F44">
        <w:rPr>
          <w:i/>
          <w:iCs/>
        </w:rPr>
        <w:t>Cf</w:t>
      </w:r>
      <w:r w:rsidRPr="00AD2F44">
        <w:t>. Benavides v. Serenity Spa NY Inc., 166 F. Supp. 3d 474 (S.D.N.Y. 2016) (limiting notice to three-year period, but noting that plaintiff could submit revised notice more clearly delineating different statutes of limitations under FLSA and New York Labor Law if she wanted court to expand notice period to six years); Martin v. Psalms, Inc., 2011 WL 2882387 (W.D. Tenn. July 15, 2011) (conditionally certifying FLSA and state law breach-of-contract claims, and ordering that notice be issued based on Tennessee’s six-year breach-of-contract claim limitations period).</w:t>
      </w:r>
    </w:p>
  </w:footnote>
  <w:footnote w:id="399">
    <w:p w14:paraId="11ED9809" w14:textId="77777777" w:rsidR="004322B1" w:rsidRPr="00AD2F44" w:rsidRDefault="004322B1">
      <w:pPr>
        <w:pStyle w:val="14Footnote"/>
      </w:pPr>
      <w:r w:rsidRPr="00AD2F44">
        <w:rPr>
          <w:vertAlign w:val="superscript"/>
        </w:rPr>
        <w:footnoteRef/>
      </w:r>
      <w:r w:rsidRPr="00AD2F44">
        <w:rPr>
          <w:i/>
          <w:iCs/>
        </w:rPr>
        <w:t xml:space="preserve">See </w:t>
      </w:r>
      <w:r>
        <w:t xml:space="preserve">Zimnicki v. Krysiak Constr. Corp., </w:t>
      </w:r>
      <w:r w:rsidRPr="00846456">
        <w:t>2022 BL 459417</w:t>
      </w:r>
      <w:r>
        <w:t xml:space="preserve">, </w:t>
      </w:r>
      <w:r w:rsidRPr="009B2156">
        <w:t xml:space="preserve">2022 WL 17820139 </w:t>
      </w:r>
      <w:r>
        <w:t xml:space="preserve">(E.D.N.Y. Sept. 27, 2022) (using three-year period under FLSA and rejecting New York’s six-year period); </w:t>
      </w:r>
      <w:r w:rsidRPr="00AD2F44">
        <w:t>King v. Fedcap Rehab. Servs., Inc., 2022 BL 33551, 2022 WL 292914 (S.D.N.Y. Feb. 1, 2022) (applying three-year statute of limitations and rejecting six-year period based on New York state law claims); Aleman-Valdivia v. Top Dog Plumbing &amp; Heating Corp., 2021 BL 374247, 2021 WL 4502479 (E.D.N.Y. Sept. 30, 2021) (same); Gurrieri v. City of Nassau, 2019 WL 2233830 (E.D.N.Y. May 23, 2019) (same); Perez v. De Domenico Pizza &amp; Rest., Inc., 204 F. Supp. 3d 494 (E.D.N.Y. 2016) (requiring notice to reflect three-year statute of limitations because conditional certification was granted as to FLSA claims, not as to New York state law claims); Colon v. Major Perry St. Corp., 2013 WL 3328223, at *7 (S.D.N.Y. July 2, 2013); Romero v. La Revise Assocs., 968 F. Supp. 2d 639 (S.D.N.Y. 2013); Alvarez v. IBM Rests., Inc., 839 F. Supp. 2d 580 (E.D.N.Y. 2012) (relying on FLSA three-year maximum limitations period, rejecting plaintiffs’ proposal to use New York’s six-year limitations period); Madero v. Trattoria La Regina, Inc., 789 F. Supp. 2d 401 (E.D.N.Y. 2011) (same); Dolinski v. Avant Bus. Serv. Corp., 2014 WL 316991 (S.D.N.Y. Jan. 28, 2014) (same).</w:t>
      </w:r>
    </w:p>
  </w:footnote>
  <w:footnote w:id="400">
    <w:p w14:paraId="62EE433F" w14:textId="77777777" w:rsidR="004322B1" w:rsidRPr="00AD2F44" w:rsidRDefault="004322B1">
      <w:pPr>
        <w:pStyle w:val="14Footnote"/>
      </w:pPr>
      <w:r w:rsidRPr="00AD2F44">
        <w:rPr>
          <w:vertAlign w:val="superscript"/>
        </w:rPr>
        <w:footnoteRef/>
      </w:r>
      <w:r w:rsidRPr="00AD2F44">
        <w:t xml:space="preserve">See the discussion of general principles of equitable tolling in Chapter 16, §VI.E [Statute of Limitations; Application of Doctrines of Equitable Estoppel and Tolling to Limitations Period]. </w:t>
      </w:r>
    </w:p>
  </w:footnote>
  <w:footnote w:id="401">
    <w:p w14:paraId="6996A7A5" w14:textId="77777777" w:rsidR="004322B1" w:rsidRPr="00AD2F44" w:rsidRDefault="004322B1">
      <w:pPr>
        <w:pStyle w:val="14Footnote"/>
      </w:pPr>
      <w:r w:rsidRPr="00AD2F44">
        <w:rPr>
          <w:vertAlign w:val="superscript"/>
        </w:rPr>
        <w:footnoteRef/>
      </w:r>
      <w:r w:rsidRPr="00AD2F44">
        <w:rPr>
          <w:i/>
          <w:iCs/>
        </w:rPr>
        <w:t xml:space="preserve">Second Circuit: </w:t>
      </w:r>
      <w:r w:rsidRPr="00AD2F44">
        <w:t>Gaspar v. Personal Touch Moving, Inc., 2014 WL 4593944 (S.D.N.Y. Sept. 15, 2014) (failing to post notice warranted equitable tolling).</w:t>
      </w:r>
    </w:p>
    <w:p w14:paraId="53AA4406" w14:textId="77777777" w:rsidR="004322B1" w:rsidRPr="00AD2F44" w:rsidRDefault="004322B1">
      <w:pPr>
        <w:pStyle w:val="14Footnote"/>
      </w:pPr>
      <w:r w:rsidRPr="00AD2F44">
        <w:rPr>
          <w:i/>
          <w:iCs/>
        </w:rPr>
        <w:t>Third Circuit:</w:t>
      </w:r>
      <w:r w:rsidRPr="00AD2F44">
        <w:t xml:space="preserve"> Bonham v. Dresser Indus., 569 F.2d 187, 193 (3d Cir. 1977) (stating, in ADEA case, that “posting requirement was created because Congress recognized that the very persons protected by the [ADEA] might be unaware of its existence,” and not tolling “would place a duty upon the employer to comply without penalty for breach, and would grant to the employee a right to be informed without redress for violation”); Kim v. Dongbu Tour &amp; Travel, Inc., 2013 U.S. Dist. LEXIS 148549 (D.N.J. Oct. 16, 2013). </w:t>
      </w:r>
    </w:p>
    <w:p w14:paraId="46008746" w14:textId="77777777" w:rsidR="004322B1" w:rsidRPr="00AD2F44" w:rsidRDefault="004322B1">
      <w:pPr>
        <w:pStyle w:val="14Footnote"/>
      </w:pPr>
      <w:r w:rsidRPr="00AD2F44">
        <w:rPr>
          <w:i/>
          <w:iCs/>
        </w:rPr>
        <w:t xml:space="preserve">Seventh Circuit: </w:t>
      </w:r>
      <w:r w:rsidRPr="00AD2F44">
        <w:t xml:space="preserve">Cortez v. Medina’s Landscaping, 2002 U.S. Dist. LEXIS 18831, at *20 (N.D. Ill. Sept. 30, 2002). </w:t>
      </w:r>
    </w:p>
  </w:footnote>
  <w:footnote w:id="402">
    <w:p w14:paraId="1D527441" w14:textId="77777777" w:rsidR="004322B1" w:rsidRPr="00AD2F44" w:rsidRDefault="004322B1">
      <w:pPr>
        <w:pStyle w:val="14Footnote"/>
      </w:pPr>
      <w:r w:rsidRPr="00AD2F44">
        <w:rPr>
          <w:vertAlign w:val="superscript"/>
        </w:rPr>
        <w:footnoteRef/>
      </w:r>
      <w:r w:rsidRPr="00AD2F44">
        <w:t xml:space="preserve">McClinton v. Alabama By-Prods. Corp., 743 F.2d 1483, 1486 (11th Cir. 1984); Ramos v. Platt, 2014 WL 3639194 (S.D.N.Y. July 23, 2014). </w:t>
      </w:r>
      <w:r w:rsidRPr="00AD2F44">
        <w:rPr>
          <w:i/>
          <w:iCs/>
        </w:rPr>
        <w:t>But see</w:t>
      </w:r>
      <w:r w:rsidRPr="00AD2F44">
        <w:t xml:space="preserve"> Henchy v. City of Absecon, 148 F. Supp. 2d 435, 439 (D.N.J. 2001) (denying defendant’s motion for summary judgment on applicability of equitable tolling due to factual dispute about whether required notice was posted, despite plaintiff’s “contemporaneous suspicion” that employer’s actions were illegal). </w:t>
      </w:r>
    </w:p>
  </w:footnote>
  <w:footnote w:id="403">
    <w:p w14:paraId="7F42A3B2" w14:textId="77777777" w:rsidR="004322B1" w:rsidRPr="00AD2F44" w:rsidRDefault="004322B1">
      <w:pPr>
        <w:pStyle w:val="14Footnote"/>
      </w:pPr>
      <w:r w:rsidRPr="00AD2F44">
        <w:rPr>
          <w:vertAlign w:val="superscript"/>
        </w:rPr>
        <w:footnoteRef/>
      </w:r>
      <w:r w:rsidRPr="00AD2F44">
        <w:rPr>
          <w:i/>
          <w:iCs/>
        </w:rPr>
        <w:t>See</w:t>
      </w:r>
    </w:p>
    <w:p w14:paraId="3A8EEBCF" w14:textId="77777777" w:rsidR="004322B1" w:rsidRPr="00AD2F44" w:rsidRDefault="004322B1">
      <w:pPr>
        <w:pStyle w:val="14Footnote"/>
      </w:pPr>
      <w:r w:rsidRPr="00AD2F44">
        <w:rPr>
          <w:i/>
          <w:iCs/>
        </w:rPr>
        <w:t>Supreme Court:</w:t>
      </w:r>
      <w:r w:rsidRPr="00AD2F44">
        <w:t xml:space="preserve"> Irwin v. Department of Veterans Affairs, 498 U.S. 89, 96 (1990) (noting that equitable tolling has been allowed where the plaintiff has filed a defective complaint during the statutory period).</w:t>
      </w:r>
    </w:p>
    <w:p w14:paraId="17F93FB0" w14:textId="77777777" w:rsidR="004322B1" w:rsidRPr="00AD2F44" w:rsidRDefault="004322B1">
      <w:pPr>
        <w:pStyle w:val="14Footnote"/>
      </w:pPr>
      <w:r w:rsidRPr="00AD2F44">
        <w:rPr>
          <w:i/>
          <w:iCs/>
        </w:rPr>
        <w:t>Fourth Circuit:</w:t>
      </w:r>
      <w:r w:rsidRPr="00AD2F44">
        <w:t xml:space="preserve"> Chao v. Virginia Dep’t of Trans., 291 F.3d 276, 283 (4th Cir. 2002) (same).</w:t>
      </w:r>
    </w:p>
    <w:p w14:paraId="500D1475" w14:textId="77777777" w:rsidR="004322B1" w:rsidRPr="00AD2F44" w:rsidRDefault="004322B1">
      <w:pPr>
        <w:pStyle w:val="14Footnote"/>
      </w:pPr>
      <w:r w:rsidRPr="00AD2F44">
        <w:rPr>
          <w:i/>
          <w:iCs/>
        </w:rPr>
        <w:t>Federal Circuit:</w:t>
      </w:r>
      <w:r w:rsidRPr="00AD2F44">
        <w:t xml:space="preserve"> Moreno v. United States, 2009 WL 2345114, at *12–15 (Ct. Cl. July 27, 2009) (noting that FLSA statute of limitations’ “emphasis on the court in which the action is ‘brought’ or ‘commenced’ is consistent with an allowance for tolling as a result of timely filed pleadings filed in the wrong court”).</w:t>
      </w:r>
    </w:p>
  </w:footnote>
  <w:footnote w:id="404">
    <w:p w14:paraId="20D6BE52" w14:textId="77777777" w:rsidR="004322B1" w:rsidRPr="00AD2F44" w:rsidRDefault="004322B1">
      <w:pPr>
        <w:pStyle w:val="14Footnote"/>
      </w:pPr>
      <w:r w:rsidRPr="00AD2F44">
        <w:rPr>
          <w:vertAlign w:val="superscript"/>
        </w:rPr>
        <w:footnoteRef/>
      </w:r>
      <w:r w:rsidRPr="00AD2F44">
        <w:rPr>
          <w:i/>
          <w:iCs/>
        </w:rPr>
        <w:t>See, e.g.,</w:t>
      </w:r>
    </w:p>
    <w:p w14:paraId="69502641" w14:textId="77777777" w:rsidR="004322B1" w:rsidRPr="00AD2F44" w:rsidRDefault="004322B1">
      <w:pPr>
        <w:pStyle w:val="14Footnote"/>
      </w:pPr>
      <w:r w:rsidRPr="00AD2F44">
        <w:rPr>
          <w:i/>
          <w:iCs/>
        </w:rPr>
        <w:t>Supreme Court:</w:t>
      </w:r>
      <w:r w:rsidRPr="00AD2F44">
        <w:t xml:space="preserve"> Baldwin Cnty. Welcome Ctr. v. Brown, 466 U.S. 147, 151 (1984) (describing circumstances under which court action, or inaction, could support equitable tolling).</w:t>
      </w:r>
    </w:p>
    <w:p w14:paraId="42D87CFB" w14:textId="77777777" w:rsidR="004322B1" w:rsidRPr="00AD2F44" w:rsidRDefault="004322B1">
      <w:pPr>
        <w:pStyle w:val="14Footnote"/>
      </w:pPr>
      <w:r w:rsidRPr="00AD2F44">
        <w:rPr>
          <w:i/>
          <w:iCs/>
        </w:rPr>
        <w:t>Second Circuit</w:t>
      </w:r>
      <w:r w:rsidRPr="00AD2F44">
        <w:t>: Agonath v. Interstate Home Loans Ctr., Inc., 2019 WL 1060627, at *5 (E.D.N.Y. Mar. 3, 2019) (applying equitable tolling for the period while the court had plaintiff’s motion for conditional certification but had not ruled, noting that plaintiff had “diligently pursued conditional certification” by filing the motion less than one month after defendants answered); Gurrieri v. City of Nassau, 2019 WL 2233830 (E.D.N.Y. May 23, 2019) (finding that equitable tolling of the period between the filing of plaintiff’s motion for conditional certification and the court’s ultimate order was appropriate because the record established that plaintiffs acted diligently, filing the motion less than two months after initiating the suit); Brown v. Avalonbay Cmtys., Inc., 2019 WL 1507901 (E.D.N.Y. Mar. 29, 2019) (applying equitable tolling while the court decided plaintiff’s conditional certification motion upon a finding that plaintiffs acted reasonably and promptly); Varghese v. JP Morgan Chase &amp; Co., 2016 WL 4718413 (S.D.N.Y. Sept. 9, 2016) (finding that claims should be equitably tolled back to filing date of conditional certification motion where court took more than one year to rule on motion); Hart v. Crab Addison, Inc., 2015 WL 365785 (W.D.N.Y. Jan. 27, 2015) (limitations equitably tolled during one-year, three-month period when certification motion was pending); Mark v. Gawker Media LLC, 2014 WL 5557489, at *32 (S.D.N.Y. Nov. 3, 2014) (equitable tolling denied where approximately eight-month delay in ruling was not found to be “extraordinary”); McGlone v. Contract Callers, Inc., 867 F. Supp. 2d 438, 445 (S.D.N.Y. 2012) (tolling limitations period to date of filing certification motion, because delays caused by pending motions, where plaintiffs had been diligent in getting motion filed, could constitute “extraordinary circumstances” to warrant equitable tolling in some cases).</w:t>
      </w:r>
    </w:p>
    <w:p w14:paraId="063F7C35" w14:textId="77777777" w:rsidR="004322B1" w:rsidRPr="00AD2F44" w:rsidRDefault="004322B1">
      <w:pPr>
        <w:pStyle w:val="14Footnote"/>
      </w:pPr>
      <w:r w:rsidRPr="00AD2F44">
        <w:rPr>
          <w:i/>
          <w:iCs/>
        </w:rPr>
        <w:t>Third Circuit</w:t>
      </w:r>
      <w:r w:rsidRPr="00AD2F44">
        <w:t xml:space="preserve">: </w:t>
      </w:r>
      <w:r w:rsidRPr="004E3BDD">
        <w:t>Hart v. Gov’t Emps. Inc. Co.</w:t>
      </w:r>
      <w:r>
        <w:t xml:space="preserve">, </w:t>
      </w:r>
      <w:r w:rsidRPr="004E3BDD">
        <w:t>609 F. Supp. 3d 323 (M.D. Pa. 2022)</w:t>
      </w:r>
      <w:r>
        <w:t xml:space="preserve"> (</w:t>
      </w:r>
      <w:r w:rsidRPr="004E3BDD">
        <w:t>finding equitable tolling warranted due to judicial delay</w:t>
      </w:r>
      <w:r>
        <w:t xml:space="preserve"> where p</w:t>
      </w:r>
      <w:r w:rsidRPr="004E3BDD">
        <w:t>laintiffs</w:t>
      </w:r>
      <w:r>
        <w:t>’</w:t>
      </w:r>
      <w:r w:rsidRPr="004E3BDD">
        <w:t xml:space="preserve"> diligence in bringing </w:t>
      </w:r>
      <w:r>
        <w:t>the</w:t>
      </w:r>
      <w:r w:rsidRPr="004E3BDD">
        <w:t xml:space="preserve"> action and filing for conditional certification supported tolling for opt-in plaintiffs</w:t>
      </w:r>
      <w:r>
        <w:t xml:space="preserve">); </w:t>
      </w:r>
      <w:r w:rsidRPr="00AD2F44">
        <w:t>Charles v. Progressions Behavioral Health Servs., Ins., 2018 WL 4924169 (E.D. Pa. Oct. 9, 2018) (finding that equitable tolling was justified when the court delayed in ruling on plaintiff’s motion for conditional certification and when defendant misled putative class members by compensating them for unpaid overtime in an effort to dissuade them from participating in the lawsuit).</w:t>
      </w:r>
    </w:p>
    <w:p w14:paraId="4C8CBA9F" w14:textId="77777777" w:rsidR="004322B1" w:rsidRPr="00AD2F44" w:rsidRDefault="004322B1">
      <w:pPr>
        <w:pStyle w:val="14Footnote"/>
      </w:pPr>
      <w:r w:rsidRPr="00AD2F44">
        <w:rPr>
          <w:i/>
          <w:iCs/>
        </w:rPr>
        <w:t>Fourth Circuit:</w:t>
      </w:r>
      <w:r w:rsidRPr="00AD2F44">
        <w:t xml:space="preserve"> McCoy v. Transdev Srvs., Inc., 2020 WL 2319117, at *5 (D. Md. May 11, 2020) (granting unopposed request for equitable tolling during pendency of conditional certification motion, recognizing court delay during pandemic); </w:t>
      </w:r>
      <w:r w:rsidRPr="00AD2F44">
        <w:rPr>
          <w:iCs/>
        </w:rPr>
        <w:t>Privette v. Waste Pro of N. Carolina, Inc.,</w:t>
      </w:r>
      <w:r w:rsidRPr="00AD2F44">
        <w:t xml:space="preserve"> 2020 WL 1892167, at *8–10 (D.S.C. Apr. 16, 2020) (granting equitable tolling where delay of 19 months, caused by a “tortuous procedural history,” delayed court ruling on conditional certification and constituted “extraordinary circumstances”); Owens v. Bethlehem Mines Corp., 630 F. Supp. 309, 312–13 (S.D.W. Va. 1986) (granting equitable tolling where court did not rule on motion for collective action certification for over a year).</w:t>
      </w:r>
    </w:p>
    <w:p w14:paraId="4DE03689" w14:textId="77777777" w:rsidR="004322B1" w:rsidRPr="00AD2F44" w:rsidRDefault="004322B1">
      <w:pPr>
        <w:pStyle w:val="14Footnote"/>
      </w:pPr>
      <w:r w:rsidRPr="00AD2F44">
        <w:rPr>
          <w:i/>
          <w:iCs/>
        </w:rPr>
        <w:t>Fifth Circuit:</w:t>
      </w:r>
      <w:r w:rsidRPr="00AD2F44">
        <w:t xml:space="preserve"> Halle v. Galliano Marine Serv., LLC, 2018 WL 1757343, at *5 (E.D. La. Apr. 12, 2018) (granting motion for equitable tolling during pendency of appeal of summary judgment decision).</w:t>
      </w:r>
    </w:p>
    <w:p w14:paraId="2D98F844" w14:textId="77777777" w:rsidR="004322B1" w:rsidRPr="00AD2F44" w:rsidRDefault="004322B1">
      <w:pPr>
        <w:pStyle w:val="14Footnote"/>
      </w:pPr>
      <w:r w:rsidRPr="00AD2F44">
        <w:t xml:space="preserve"> </w:t>
      </w:r>
      <w:r w:rsidRPr="00AD2F44">
        <w:rPr>
          <w:i/>
          <w:iCs/>
        </w:rPr>
        <w:t>Sixth Circuit</w:t>
      </w:r>
      <w:r w:rsidRPr="00AD2F44">
        <w:t>: Osman v. Grube, Inc., 2017 WL 2908864, at *9 (N.D. Ohio, July 7, 2017) (denying motion for equitable tolling for one-year period while court deliberated certification motions where plaintiffs’ counsel published website and mounted social media campaign to inform putative class members of action); Betts v. Central Ohio Gaming Ventures, LLC, 351 F. Supp. 3d 1072 (S.D. Ohio 2018) (applying equitable tolling for part of the period (12 out of 18 months) it took for the court to rule on the motion for conditional certification, finding that the court’s delay was unreasonable).</w:t>
      </w:r>
    </w:p>
    <w:p w14:paraId="60792204" w14:textId="77777777" w:rsidR="004322B1" w:rsidRPr="00AD2F44" w:rsidRDefault="004322B1">
      <w:pPr>
        <w:pStyle w:val="14Footnote"/>
      </w:pPr>
      <w:r w:rsidRPr="00AD2F44">
        <w:rPr>
          <w:i/>
          <w:iCs/>
        </w:rPr>
        <w:t xml:space="preserve">Seventh Circuit: </w:t>
      </w:r>
      <w:r w:rsidRPr="00AD2F44">
        <w:t xml:space="preserve">Hudgins v. Total Quality Logistics Corp., 2018 WL 1706368, at *3 (N.D. Ill. Apr. 9, 2018) (tolling statute of limitations on opt-ins’ claims from date they opted in through date of order granting arbitration motion and dismissal); Nicks v. Koch Meat Co., 265 F. Supp. 3d 841, 858 (N.D. Ill. 2017) (noting that equitable tolling may be granted only as extraordinary remedy; holding that short delay in court’s determination of certification motion was not extraordinary circumstance); Bitner v. Wyndham Vacation Resorts, Inc., 301 F.R.D. 354 (W.D. Wis. July 25, 2014) (equitable tolling inappropriate after seven-month delay in ruling on certification motion); Curless v. Great Am. Real Food Fast, Inc., 280 F.R.D. 429, 435 (S.D. Ill. 2012) (tolling limitations period to account for time spent on motions to resolve discovery dispute over contact information for putative class members). </w:t>
      </w:r>
    </w:p>
    <w:p w14:paraId="221AE113" w14:textId="77777777" w:rsidR="004322B1" w:rsidRPr="00AD2F44" w:rsidRDefault="004322B1">
      <w:pPr>
        <w:pStyle w:val="14Footnote"/>
      </w:pPr>
      <w:r w:rsidRPr="00AD2F44">
        <w:rPr>
          <w:i/>
          <w:iCs/>
        </w:rPr>
        <w:t>Eighth Circuit</w:t>
      </w:r>
      <w:r w:rsidRPr="00AD2F44">
        <w:t>: McChesney v. Holtger Bros., Inc., 2019 WL 118408, at *6 (E.D. Ark. Jan. 7, 2019) (finding equitable tolling appropriate based on extraordinary circumstances leading to delay caused by the court “due to other pressing matters on the court’s docket”); Trogdon v. Kleenco Maint. &amp; Constr., Inc., 2015 WL 2345590 (W.D. Ark. May 15, 2015) (equitable tolling granted from date that certification motion was filed due to delay from court’s heavy docket); Harris v. Chipotle Mexican Grill, Inc., 49 F. Supp. 3d 564 (D. Minn. 2014) (equitable tolling appropriate for five months between magistrate’s opinion and court’s decision); Holliday v. J S Express Inc., 2013 WL 2395333, at *8 (E.D. Mo. May 30, 2013) (tolling statute of limitations period from date of filing conditional certification motion to conclusion of opt-in period but denying tolling for time defendant failed to provide requested contact information); Putnam v. Galaxy 1 Mktg., Inc., 276 F.R.D. 264, 276 (S.D. Iowa 2011) (tolling limitations period from date of filing of conditional certification motion to date notice period would begin to run to account for time necessary to decide motion).</w:t>
      </w:r>
    </w:p>
    <w:p w14:paraId="7C3965C6" w14:textId="77777777" w:rsidR="004322B1" w:rsidRPr="00AD2F44" w:rsidRDefault="004322B1">
      <w:pPr>
        <w:pStyle w:val="14Footnote"/>
      </w:pPr>
      <w:r w:rsidRPr="00AD2F44">
        <w:rPr>
          <w:i/>
          <w:iCs/>
        </w:rPr>
        <w:t>Ninth Circuit:</w:t>
      </w:r>
      <w:r w:rsidRPr="00AD2F44">
        <w:t xml:space="preserve"> Baker v. Sunburst Consulting, Inc., 2017 WL 3271727, at *5 (D. Mont. July 6, 2017) (tolling statute of limitations from date of filing of certification motion through date plaintiff received putative collective members’ contact information to avoid prejudicing collective members due to procedural delay that was no fault of plaintiff, and also additional procedural delay due to magistrate’s findings and recommendations process); Casarotto v. Exploration Drilling, Inc., 2015 WL 8780050, at *6 (D. Mont. Dec. 15, 2015) (granting equitable tolling due to delay in sending notice because of “procedural delay,” even though delay was not significant, but noting additional delay caused by process of referral to magistrate for findings and recommendations on conditional certification); Small v. University Med. Ctr. of S. Nevada, 2013 WL 3043454 (D. Nev. June 14, 2013) (finding opt-in plaintiffs could be unfairly prejudiced by the court’s delay in ruling on the motion, but that hospital was not prejudiced because its potential liability had been known since the case was filed, and tolling statute of limitations beginning 30 days after the motion for conditional certification became ripe for decision until the hospital provided the contact information for the potential opt-in plaintiffs); Stickle v. SCI W. Mkt. Support Ctr., 2008 WL 4446539, at *21–23 (D. Ariz. Sept. 30, 2008) (tolling plaintiffs’ claims due to pendency of employer’s motion to dismiss).</w:t>
      </w:r>
    </w:p>
    <w:p w14:paraId="41024EE5" w14:textId="77777777" w:rsidR="004322B1" w:rsidRPr="00AD2F44" w:rsidRDefault="004322B1">
      <w:pPr>
        <w:pStyle w:val="14Footnote"/>
      </w:pPr>
      <w:r w:rsidRPr="00AD2F44">
        <w:rPr>
          <w:i/>
          <w:iCs/>
        </w:rPr>
        <w:t>Tenth Circuit:</w:t>
      </w:r>
      <w:r w:rsidRPr="00AD2F44">
        <w:t xml:space="preserve"> Tommey v. Computer Scis. Corp., 2014 WL 61844 (D. Kan. Jan. 8, 2014) (declining to toll based on the six months the motion was pending).</w:t>
      </w:r>
    </w:p>
    <w:p w14:paraId="10998BAC" w14:textId="77777777" w:rsidR="004322B1" w:rsidRPr="00AD2F44" w:rsidRDefault="004322B1">
      <w:pPr>
        <w:pStyle w:val="14Footnote"/>
      </w:pPr>
      <w:r w:rsidRPr="00AD2F44">
        <w:rPr>
          <w:i/>
          <w:iCs/>
        </w:rPr>
        <w:t>Eleventh Circuit:</w:t>
      </w:r>
      <w:r w:rsidRPr="00AD2F44">
        <w:t xml:space="preserve"> Lytle v. Lowe’s Home Ctrs., Inc., 2014 WL 103463 (M.D. Fla. Jan. 10, 2014) (declining to toll based on the 18 months the motion was pending).</w:t>
      </w:r>
    </w:p>
  </w:footnote>
  <w:footnote w:id="405">
    <w:p w14:paraId="6D900F36" w14:textId="77777777" w:rsidR="004322B1" w:rsidRPr="00AD2F44" w:rsidRDefault="004322B1">
      <w:pPr>
        <w:pStyle w:val="14Footnote"/>
      </w:pPr>
      <w:r w:rsidRPr="00AD2F44">
        <w:rPr>
          <w:vertAlign w:val="superscript"/>
        </w:rPr>
        <w:footnoteRef/>
      </w:r>
      <w:r w:rsidRPr="00AD2F44">
        <w:rPr>
          <w:i/>
        </w:rPr>
        <w:t xml:space="preserve">See, e.g., </w:t>
      </w:r>
    </w:p>
    <w:p w14:paraId="4AA480A1" w14:textId="77777777" w:rsidR="004322B1" w:rsidRPr="00AD2F44" w:rsidRDefault="004322B1">
      <w:pPr>
        <w:pStyle w:val="14Footnote"/>
      </w:pPr>
      <w:r w:rsidRPr="00AD2F44">
        <w:rPr>
          <w:i/>
          <w:iCs/>
        </w:rPr>
        <w:t>Second Circuit:</w:t>
      </w:r>
      <w:r w:rsidRPr="00AD2F44">
        <w:t xml:space="preserve"> Reich v. Southern New Eng. Telecomms. Corp., 892 F. Supp. 389, 404 (D. Conn. 1995) (tolling from date that defendant’s response to plaintiff’s discovery request for data about class members was due).</w:t>
      </w:r>
    </w:p>
    <w:p w14:paraId="23E77DA0" w14:textId="77777777" w:rsidR="004322B1" w:rsidRPr="00AD2F44" w:rsidRDefault="004322B1">
      <w:pPr>
        <w:pStyle w:val="14Footnote"/>
      </w:pPr>
      <w:r w:rsidRPr="00AD2F44">
        <w:rPr>
          <w:i/>
          <w:iCs/>
        </w:rPr>
        <w:t xml:space="preserve">Fourth Circuit: </w:t>
      </w:r>
      <w:r w:rsidRPr="00AD2F44">
        <w:t>Lorenzo v. Prime Commc’ns, LP, 2014 WL 3366073 (E.D.N.C. July 9, 2014) (defendant’s refusal to provide contact information and other procedural maneuvers warranted equitable tolling).</w:t>
      </w:r>
    </w:p>
    <w:p w14:paraId="02CB3480" w14:textId="77777777" w:rsidR="004322B1" w:rsidRPr="00AD2F44" w:rsidRDefault="004322B1">
      <w:pPr>
        <w:pStyle w:val="14Footnote"/>
        <w:rPr>
          <w:i/>
          <w:iCs/>
        </w:rPr>
      </w:pPr>
      <w:r w:rsidRPr="00AD2F44">
        <w:rPr>
          <w:i/>
          <w:iCs/>
        </w:rPr>
        <w:t>Sixth Circuit:</w:t>
      </w:r>
      <w:r w:rsidRPr="00AD2F44">
        <w:t xml:space="preserve"> Myers v. Copper Cellar Corp., 1996 WL 766505, at *2–3 (E.D. Tenn. Sept. 27, 1996) (given defendant’s difficulties in timely providing names and addresses of class members, statute of limitations was tolled from the date of filing of the original complaint and motion for notice).</w:t>
      </w:r>
      <w:r w:rsidRPr="00AD2F44">
        <w:rPr>
          <w:i/>
          <w:iCs/>
        </w:rPr>
        <w:t xml:space="preserve"> </w:t>
      </w:r>
    </w:p>
    <w:p w14:paraId="48A9D004" w14:textId="77777777" w:rsidR="004322B1" w:rsidRPr="00AD2F44" w:rsidRDefault="004322B1">
      <w:pPr>
        <w:pStyle w:val="14Footnote"/>
      </w:pPr>
      <w:r w:rsidRPr="00AD2F44">
        <w:rPr>
          <w:i/>
          <w:iCs/>
        </w:rPr>
        <w:t xml:space="preserve">Seventh Circuit: </w:t>
      </w:r>
      <w:r w:rsidRPr="00AD2F44">
        <w:t>Curless v. Great Am. Real Food Fast, Inc., 280 F.R.D. 429, 435 (S.D. Ill. 2012) (tolling limitations period to account for time spent on motions to resolve discovery dispute over contact information for putative class members); Hudgins v. Total Quality Logistics Corp., 2018 WL 1706368, at *3 (N.D. Ill. Apr. 9, 2018) (tolling statute of limitations on opt-ins’ claims from date they opted in through date of order granting arbitration motion and dismissal).</w:t>
      </w:r>
    </w:p>
    <w:p w14:paraId="359E082A" w14:textId="77777777" w:rsidR="004322B1" w:rsidRPr="00AD2F44" w:rsidRDefault="004322B1">
      <w:pPr>
        <w:pStyle w:val="14Footnote"/>
      </w:pPr>
      <w:r w:rsidRPr="00AD2F44">
        <w:rPr>
          <w:i/>
          <w:iCs/>
        </w:rPr>
        <w:t>Ninth Circuit:</w:t>
      </w:r>
      <w:r w:rsidRPr="00AD2F44">
        <w:t xml:space="preserve"> Chastain v. Cam, 2014 WL 3734368, at *11–12 (D. Or. July 28, 2014) (granting equitable tolling where employer refused to produce putative class list pre-motion for conditional certification until compelled following discovery motion); Mowdy v. Beneto Bulk Transp., 2008 U.S. Dist. LEXIS 26233, at *36–39 (N.D. Cal. Mar. 31, 2008) (applying equitable tolling when defendants failed to provide full and accurate contact information regarding putative class as instructed by court); Adams v. Inter-Con Sec. Sys., 242 F.R.D. 530, 543 (N.D. Cal. 2007).</w:t>
      </w:r>
    </w:p>
    <w:p w14:paraId="0AAC1485" w14:textId="77777777" w:rsidR="004322B1" w:rsidRPr="00AD2F44" w:rsidRDefault="004322B1">
      <w:pPr>
        <w:pStyle w:val="14Footnote"/>
      </w:pPr>
      <w:r w:rsidRPr="00AD2F44">
        <w:rPr>
          <w:i/>
          <w:iCs/>
        </w:rPr>
        <w:t>Tenth Circuit:</w:t>
      </w:r>
      <w:r w:rsidRPr="00AD2F44">
        <w:t xml:space="preserve"> Stransky v. Healthone of Denver, Inc., 868 F. Supp. 2d 1178, 1181–82 (D. Colo. 2012) (tolling limitations period from date of motion for notice and request for class contact information, but not to date of filing complaint, because plaintiffs would be prejudiced and circumstances were outside of plaintiffs’ control where defendant was solely in control of names and addresses of potential opt-in plaintiffs); Baldozier v. American Family Mut. Ins. Co., 375 F. Supp. 2d 1089, 1093 (D. Colo. 2005).</w:t>
      </w:r>
    </w:p>
    <w:p w14:paraId="069BDCF4" w14:textId="77777777" w:rsidR="004322B1" w:rsidRPr="00AD2F44" w:rsidRDefault="004322B1">
      <w:pPr>
        <w:pStyle w:val="14Footnote"/>
      </w:pPr>
      <w:r w:rsidRPr="00AD2F44">
        <w:rPr>
          <w:i/>
          <w:iCs/>
        </w:rPr>
        <w:t>But see</w:t>
      </w:r>
      <w:r w:rsidRPr="00AD2F44">
        <w:t xml:space="preserve"> Shaia v. Harvest Mgmt. Sub LLC, 2015 WL 1744341 (N.D. Cal. Apr. 15, 2015) (denying equitable tolling where plaintiffs failed to show that they were prevented from asserting a claim by defendant’s wrongful conduct or that extraordinary circumstances beyond plaintiffs’ control made it impossible to file a claim on time); Prentice v. Fund for Pub. Interest Rsch., Inc., 2007 WL 2729187, at *3–4 (N.D. Cal. Sept. 18, 2007) (denying equitable tolling, explaining that “[t]he FLSA … does not require production of contact information for potential plaintiffs until after the court certifies the collective action”); Gerlach v. Wells Fargo &amp; Co., 2006 WL 824652 (N.D. Cal. Mar. 28, 2006) (denying equitable tolling despite defendant’s refusal to disclose contact information for putative opt-in plaintiffs).</w:t>
      </w:r>
    </w:p>
  </w:footnote>
  <w:footnote w:id="406">
    <w:p w14:paraId="24783DAE" w14:textId="77777777" w:rsidR="004322B1" w:rsidRPr="00AD2F44" w:rsidRDefault="004322B1">
      <w:pPr>
        <w:pStyle w:val="14Footnote"/>
      </w:pPr>
      <w:r w:rsidRPr="00AD2F44">
        <w:rPr>
          <w:vertAlign w:val="superscript"/>
        </w:rPr>
        <w:footnoteRef/>
      </w:r>
      <w:r w:rsidRPr="00AD2F44">
        <w:t xml:space="preserve">242 F.R.D. 530 (N.D. Cal. 2007). </w:t>
      </w:r>
    </w:p>
  </w:footnote>
  <w:footnote w:id="407">
    <w:p w14:paraId="33E3092A" w14:textId="77777777" w:rsidR="004322B1" w:rsidRPr="00AD2F44" w:rsidRDefault="004322B1">
      <w:pPr>
        <w:pStyle w:val="14Footnote"/>
      </w:pPr>
      <w:r w:rsidRPr="00AD2F44">
        <w:rPr>
          <w:vertAlign w:val="superscript"/>
        </w:rPr>
        <w:footnoteRef/>
      </w:r>
      <w:r w:rsidRPr="00AD2F44">
        <w:rPr>
          <w:i/>
          <w:iCs/>
        </w:rPr>
        <w:t>Id.</w:t>
      </w:r>
      <w:r w:rsidRPr="00AD2F44">
        <w:t xml:space="preserve"> at 543.</w:t>
      </w:r>
    </w:p>
  </w:footnote>
  <w:footnote w:id="408">
    <w:p w14:paraId="27E358A4"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Cf</w:t>
      </w:r>
      <w:r w:rsidRPr="00AD2F44">
        <w:t>. Manning v. Gold Belt Falcon, LLC, 2011 WL 5828497, at *2 (D.N.J. Nov. 17, 2011) (denying equitable tolling where plaintiffs delayed 19 months in moving for certification because they took “wait and see” approach regarding companion case, reasoning that it would not use equitable principle to excuse plaintiffs from impact of a tactical choice).</w:t>
      </w:r>
    </w:p>
  </w:footnote>
  <w:footnote w:id="409">
    <w:p w14:paraId="57CC50E3" w14:textId="77777777" w:rsidR="004322B1" w:rsidRPr="00AD2F44" w:rsidRDefault="004322B1">
      <w:pPr>
        <w:pStyle w:val="14Footnote"/>
      </w:pPr>
      <w:r w:rsidRPr="00AD2F44">
        <w:rPr>
          <w:vertAlign w:val="superscript"/>
        </w:rPr>
        <w:footnoteRef/>
      </w:r>
      <w:r w:rsidRPr="00AD2F44">
        <w:rPr>
          <w:i/>
          <w:iCs/>
        </w:rPr>
        <w:t>Third Circuit:</w:t>
      </w:r>
      <w:r w:rsidRPr="00AD2F44">
        <w:t xml:space="preserve"> Vargas v. General Nutrition Ctrs., Inc., 2012 WL 5336166, at *7–8 (W.D. Pa. Oct. 26, 2012) (denying plaintiffs’ motion for equitable tolling, ruling that extenuating circumstances were not present because delay resulted from proceedings necessary to obtain conditional certification); Titchenell v. Apria Healthcare Inc., 2012 WL 3731341, at *7 (E.D. Pa. Aug. 29, 2012) (denying request for equitable tolling because defendant had not “actively misled” plaintiff and other potential plaintiffs were not prevented from asserting their rights because any delay in their knowledge of the action was caused only by the normal litigation process).</w:t>
      </w:r>
    </w:p>
    <w:p w14:paraId="5447EEFA" w14:textId="77777777" w:rsidR="004322B1" w:rsidRPr="00AD2F44" w:rsidRDefault="004322B1">
      <w:pPr>
        <w:pStyle w:val="14Footnote"/>
      </w:pPr>
      <w:r w:rsidRPr="00AD2F44">
        <w:rPr>
          <w:i/>
          <w:iCs/>
        </w:rPr>
        <w:t>Fourth Circuit</w:t>
      </w:r>
      <w:r w:rsidRPr="00AD2F44">
        <w:t xml:space="preserve">: Yerby v. City of Richmond, 2020 WL 602268, at *7 (E.D. Va. Feb. 7, 2020) (denying equitable tolling, less-than three-month delay due to some “complex motions” did not constitute “extraordinary circumstances”). </w:t>
      </w:r>
    </w:p>
    <w:p w14:paraId="66A7D6D8" w14:textId="77777777" w:rsidR="004322B1" w:rsidRPr="00AD2F44" w:rsidRDefault="004322B1">
      <w:pPr>
        <w:pStyle w:val="14Footnote"/>
      </w:pPr>
      <w:r w:rsidRPr="00AD2F44">
        <w:rPr>
          <w:i/>
          <w:iCs/>
        </w:rPr>
        <w:t>Fifth Circuit</w:t>
      </w:r>
      <w:r w:rsidRPr="00AD2F44">
        <w:t xml:space="preserve">: Cervantez v. TDT Consulting, LLC, 2019 WL 3948355, at *12 (N.D. Tex. July 22, 2019) (denying equitable tolling for time court spent deciding conditional certification motion). </w:t>
      </w:r>
    </w:p>
    <w:p w14:paraId="4FE9F722" w14:textId="77777777" w:rsidR="004322B1" w:rsidRPr="00AD2F44" w:rsidRDefault="004322B1">
      <w:pPr>
        <w:pStyle w:val="14Footnote"/>
      </w:pPr>
      <w:r w:rsidRPr="00AD2F44">
        <w:rPr>
          <w:i/>
          <w:iCs/>
        </w:rPr>
        <w:t>Eighth Circuit:</w:t>
      </w:r>
      <w:r w:rsidRPr="00AD2F44">
        <w:t xml:space="preserve"> Holliday v. J S Express Inc., 2013 WL 2395333, at *8 (E.D. Mo. May 30, 2013) (denying tolling back to date of filing complaint for time defendant failed to provide requested contact information, because plaintiffs did not show “extraordinary circumstances” required, but allowing it for time needed to consider motion for notice); Putnam v. Galaxy 1 Mktg., Inc., 276 F.R.D. 264, 276 (S.D. Iowa 2011) (finding that defendant’s failure to provide putative class contact information did not warrant equitable tolling, but recognizing that it was “an open question” among courts, and ultimately granting tolling back to date that conditional certification motion was filed).</w:t>
      </w:r>
    </w:p>
    <w:p w14:paraId="5DBAA4F2" w14:textId="77777777" w:rsidR="004322B1" w:rsidRPr="00AD2F44" w:rsidRDefault="004322B1">
      <w:pPr>
        <w:pStyle w:val="14Footnote"/>
      </w:pPr>
      <w:r w:rsidRPr="00AD2F44">
        <w:rPr>
          <w:i/>
          <w:iCs/>
        </w:rPr>
        <w:t>Ninth Circuit:</w:t>
      </w:r>
      <w:r w:rsidRPr="00AD2F44">
        <w:t xml:space="preserve"> </w:t>
      </w:r>
      <w:r w:rsidRPr="00FB6414">
        <w:t>Roberts v. Sidwell Air Freight, Inc.</w:t>
      </w:r>
      <w:r>
        <w:t xml:space="preserve">, </w:t>
      </w:r>
      <w:r w:rsidRPr="00B726E3">
        <w:t>2022 BL 408078</w:t>
      </w:r>
      <w:r>
        <w:t xml:space="preserve">, </w:t>
      </w:r>
      <w:r w:rsidRPr="00FB6414">
        <w:t>2022 WL 16949565 (W.D. Wash. Nov. 15, 2022)</w:t>
      </w:r>
      <w:r>
        <w:t xml:space="preserve"> (</w:t>
      </w:r>
      <w:r w:rsidRPr="00FB6414">
        <w:t xml:space="preserve">holding equitable tolling inappropriate </w:t>
      </w:r>
      <w:r>
        <w:t>because</w:t>
      </w:r>
      <w:r w:rsidRPr="00FB6414">
        <w:t xml:space="preserve"> no potential plaintiff </w:t>
      </w:r>
      <w:r>
        <w:t>was</w:t>
      </w:r>
      <w:r w:rsidRPr="00FB6414">
        <w:t xml:space="preserve"> prevented from filing their own suit on time </w:t>
      </w:r>
      <w:r>
        <w:t xml:space="preserve">and therefore no </w:t>
      </w:r>
      <w:r w:rsidRPr="00FB6414">
        <w:t>extraordinary circumstance warrant</w:t>
      </w:r>
      <w:r>
        <w:t>ed</w:t>
      </w:r>
      <w:r w:rsidRPr="00FB6414">
        <w:t xml:space="preserve"> tolling</w:t>
      </w:r>
      <w:r>
        <w:t xml:space="preserve">); </w:t>
      </w:r>
      <w:r w:rsidRPr="00AD2F44">
        <w:t xml:space="preserve">Gerlach v. Wells Fargo &amp; Co., 2006 WL 824652, at *5 (N.D. Cal. Mar. 28, 2006) (relying on </w:t>
      </w:r>
      <w:r w:rsidRPr="00AD2F44">
        <w:rPr>
          <w:i/>
          <w:iCs/>
        </w:rPr>
        <w:t>Partlow v. Jewish Orphans’ Home of S. Cal., Inc</w:t>
      </w:r>
      <w:r w:rsidRPr="00AD2F44">
        <w:t>., 645 F.2d 757 (9th Cir. 1981), to reject plaintiffs’ request for equitable tolling where defendants refused to produce contact information for potential collective action members).</w:t>
      </w:r>
    </w:p>
  </w:footnote>
  <w:footnote w:id="410">
    <w:p w14:paraId="5C56D0B2" w14:textId="77777777" w:rsidR="004322B1" w:rsidRPr="00AD2F44" w:rsidRDefault="004322B1" w:rsidP="000B6C5F">
      <w:pPr>
        <w:pStyle w:val="FootnoteText"/>
      </w:pPr>
      <w:r w:rsidRPr="00AD2F44">
        <w:rPr>
          <w:rStyle w:val="FootnoteReference"/>
        </w:rPr>
        <w:footnoteRef/>
      </w:r>
      <w:r w:rsidRPr="00AD2F44">
        <w:rPr>
          <w:i/>
          <w:iCs/>
        </w:rPr>
        <w:t xml:space="preserve">See </w:t>
      </w:r>
      <w:r w:rsidRPr="00AD2F44">
        <w:t xml:space="preserve">Lee v. Solar Energy World, LLC, 2021 BL 85885, </w:t>
      </w:r>
      <w:r w:rsidRPr="009B2156">
        <w:rPr>
          <w:lang w:val="es-ES"/>
        </w:rPr>
        <w:t xml:space="preserve">2021 WL 915287 (D. Md. Mar. 10, 2021) (tolling limitations period for 81 days after finding that COVID-19 pandemic was extraordinary circumstance beyond plaintiffs’ control that had delayed notice process); </w:t>
      </w:r>
      <w:r w:rsidRPr="00AD2F44">
        <w:t xml:space="preserve">Klick v. Cenikor Found., 509 F. Supp. 3d 951 (S.D. Tex. 2020) (granting equitable tolling for individuals to opt in, recognizing extraordinary circumstances of COVID-19 pandemic was another factor contributing to delay). </w:t>
      </w:r>
    </w:p>
    <w:p w14:paraId="09913561" w14:textId="77777777" w:rsidR="004322B1" w:rsidRPr="00AD2F44" w:rsidRDefault="004322B1" w:rsidP="000B6C5F">
      <w:pPr>
        <w:pStyle w:val="FootnoteText"/>
      </w:pPr>
    </w:p>
  </w:footnote>
  <w:footnote w:id="411">
    <w:p w14:paraId="22B96F41" w14:textId="77777777" w:rsidR="004322B1" w:rsidRPr="00AD2F44" w:rsidRDefault="004322B1">
      <w:pPr>
        <w:pStyle w:val="14Footnote"/>
      </w:pPr>
      <w:r w:rsidRPr="00AD2F44">
        <w:rPr>
          <w:vertAlign w:val="superscript"/>
        </w:rPr>
        <w:footnoteRef/>
      </w:r>
      <w:r w:rsidRPr="00AD2F44">
        <w:rPr>
          <w:i/>
          <w:iCs/>
        </w:rPr>
        <w:t>See, e.g.,</w:t>
      </w:r>
    </w:p>
    <w:p w14:paraId="3EEDE01D" w14:textId="77777777" w:rsidR="004322B1" w:rsidRPr="00AD2F44" w:rsidRDefault="004322B1">
      <w:pPr>
        <w:pStyle w:val="14Footnote"/>
      </w:pPr>
      <w:r w:rsidRPr="00AD2F44">
        <w:rPr>
          <w:i/>
          <w:iCs/>
        </w:rPr>
        <w:t>Third Circuit:</w:t>
      </w:r>
      <w:r w:rsidRPr="00AD2F44">
        <w:t xml:space="preserve"> Charles v. Progressions Behavioral Health Servs., Ins., 2018 WL 4924169 (E.D. Pa. Oct. 9, 2018) (finding that equitable tolling was justified when the court delayed in ruling on plaintiff’s motion for conditional certification and when defendant misled putative class members by compensating them for unpaid overtime in an effort to dissuade them from participating in the lawsuit); Hunt v. McKesson Corp., 2018 WL 4092065 (W.D. Pa. Aug. 28, 2018) (refusing to grant equitable tolling on account of defendant’s successful motion to dismiss or the discovery dispute between the parties; however, the court did grant equitable tolling for the time when defendant refused to produce documents that had been ordered to be produced).</w:t>
      </w:r>
    </w:p>
    <w:p w14:paraId="46BB87A9" w14:textId="77777777" w:rsidR="004322B1" w:rsidRPr="00AD2F44" w:rsidRDefault="004322B1">
      <w:pPr>
        <w:pStyle w:val="14Footnote"/>
      </w:pPr>
      <w:r w:rsidRPr="00AD2F44">
        <w:rPr>
          <w:i/>
          <w:iCs/>
        </w:rPr>
        <w:t>Fourth Circuit:</w:t>
      </w:r>
      <w:r w:rsidRPr="00AD2F44">
        <w:t xml:space="preserve"> Steinberg v. TQ Logistics, Inc., 2011 WL 1335191, at *3 (D.S.C. Apr. 7, 2011) (allowing equitable tolling for notice purposes based on allegations that defendant misrepresented facts about employees at another facility in earlier, similar suit, reasoning that dispute over veracity of allegation could be addressed at decertification stage).</w:t>
      </w:r>
    </w:p>
    <w:p w14:paraId="2350310B" w14:textId="77777777" w:rsidR="004322B1" w:rsidRPr="00AD2F44" w:rsidRDefault="004322B1">
      <w:pPr>
        <w:pStyle w:val="14Footnote"/>
      </w:pPr>
      <w:r w:rsidRPr="00AD2F44">
        <w:rPr>
          <w:i/>
          <w:iCs/>
        </w:rPr>
        <w:t>Seventh Circuit:</w:t>
      </w:r>
      <w:r w:rsidRPr="00AD2F44">
        <w:t xml:space="preserve"> Tate v. Showboat Marina Casino, 2002 WL 31443124, at *8 (N.D. Ill. Oct. 31, 2002) (denying motion to dismiss on statute of limitations given plaintiffs’ allegation that defendants concealed information about a DOL audit from employees).</w:t>
      </w:r>
    </w:p>
    <w:p w14:paraId="567633E2" w14:textId="77777777" w:rsidR="004322B1" w:rsidRPr="00AD2F44" w:rsidRDefault="004322B1">
      <w:pPr>
        <w:pStyle w:val="14Footnote"/>
      </w:pPr>
      <w:r w:rsidRPr="00AD2F44">
        <w:rPr>
          <w:i/>
          <w:iCs/>
        </w:rPr>
        <w:t>Ninth Circuit:</w:t>
      </w:r>
      <w:r w:rsidRPr="00AD2F44">
        <w:t xml:space="preserve"> Adedapoidle-Tyehimba v. Crunch, LLC, 2013 WL 5594713 (N.D. Cal. Oct. 10, 2013) (finding that the plaintiff had been hindered in his ability to move for conditional certification and tolling the statute of limitations for putative collective action members); Li v. A Perfect Franchise, Inc., 2011 WL 4635198, at *16 (N.D. Cal. Oct. 5, 2011) (permitting equitable tolling and issuance of corrective notice based on previous finding that employer attempted to interfere with employees’ FLSA rights by “coercing them to sign affidavits at individual meetings”).</w:t>
      </w:r>
    </w:p>
    <w:p w14:paraId="0FB14A7C" w14:textId="77777777" w:rsidR="004322B1" w:rsidRPr="00AD2F44" w:rsidRDefault="004322B1">
      <w:pPr>
        <w:pStyle w:val="14Footnote"/>
      </w:pPr>
      <w:r w:rsidRPr="00AD2F44">
        <w:rPr>
          <w:i/>
          <w:iCs/>
        </w:rPr>
        <w:t>See also</w:t>
      </w:r>
      <w:r w:rsidRPr="00AD2F44">
        <w:t xml:space="preserve"> Allison v. Frito-Lay, Inc., 1992 WL 123799, at *4 (D. Kan. Mar. 27, 1992) (“Where the defendant’s actions are the alleged basis for equitable tolling … the plaintiff must prove affirmative misconduct by the defendant.”). </w:t>
      </w:r>
    </w:p>
    <w:p w14:paraId="1F83214F" w14:textId="77777777" w:rsidR="004322B1" w:rsidRPr="00AD2F44" w:rsidRDefault="004322B1">
      <w:pPr>
        <w:pStyle w:val="14Footnote"/>
      </w:pPr>
      <w:r w:rsidRPr="00AD2F44">
        <w:rPr>
          <w:i/>
        </w:rPr>
        <w:t>But see</w:t>
      </w:r>
    </w:p>
    <w:p w14:paraId="04A19843" w14:textId="77777777" w:rsidR="004322B1" w:rsidRPr="00AD2F44" w:rsidRDefault="004322B1">
      <w:pPr>
        <w:pStyle w:val="14Footnote"/>
      </w:pPr>
      <w:r w:rsidRPr="00AD2F44">
        <w:rPr>
          <w:i/>
          <w:iCs/>
        </w:rPr>
        <w:t xml:space="preserve">Third Circuit: </w:t>
      </w:r>
      <w:r w:rsidRPr="00AD2F44">
        <w:t>Adami v. Cardo Windows, Inc., 2014 WL 320048 (D.N.J. Jan. 29, 2014) (declining to toll plaintiffs’ claims who had, through no fault of their own, been unable to join lawsuit and noting that equitable tolling is appropriate if defendant has actively misled plaintiff, the plaintiff has in some extraordinary way been prevented form asserting his or her rights, or plaintiff has timely asserted his or her rights mistakenly in the wrong forum).</w:t>
      </w:r>
    </w:p>
    <w:p w14:paraId="465AFD88" w14:textId="77777777" w:rsidR="004322B1" w:rsidRPr="00AD2F44" w:rsidRDefault="004322B1">
      <w:pPr>
        <w:pStyle w:val="14Footnote"/>
      </w:pPr>
      <w:r w:rsidRPr="00AD2F44">
        <w:rPr>
          <w:i/>
          <w:iCs/>
        </w:rPr>
        <w:t>Ninth Circuit:</w:t>
      </w:r>
      <w:r w:rsidRPr="00AD2F44">
        <w:t xml:space="preserve"> Margulies v. Tri-County Metro. Transp. Dist. of Or., 2013 WL 5596040 (D. Or. Oct. 10, 2013) (declining to apply equitable tolling, finding the mere refusal to provide information in the absence of an obligation to do so was not conduct preventing individuals from asserting claims as is required for application of equitable tolling; because of the delay in deciding the motion, the court did, however, equitably toll the statute of limitations from the date the motion for certification of the collective action was ripe for decision until issuance of the order).</w:t>
      </w:r>
    </w:p>
  </w:footnote>
  <w:footnote w:id="412">
    <w:p w14:paraId="2BBD3747" w14:textId="77777777" w:rsidR="004322B1" w:rsidRPr="00AD2F44" w:rsidRDefault="004322B1">
      <w:pPr>
        <w:pStyle w:val="14Footnote"/>
      </w:pPr>
      <w:r w:rsidRPr="00AD2F44">
        <w:rPr>
          <w:vertAlign w:val="superscript"/>
        </w:rPr>
        <w:footnoteRef/>
      </w:r>
      <w:r w:rsidRPr="00AD2F44">
        <w:t>Jacobsen v. The Stop &amp; Shop Supermarket Co., 2004 WL 1918795, at *3–4 (S.D.N.Y. Aug. 27, 2004) (“Classifying a job as exempt from the FLSA’s overtime pay requirements is not ‘extraordinary’ conduct such that the doctrine of equitable tolling should apply.”).</w:t>
      </w:r>
    </w:p>
  </w:footnote>
  <w:footnote w:id="413">
    <w:p w14:paraId="14FE75B6" w14:textId="77777777" w:rsidR="004322B1" w:rsidRPr="00AD2F44" w:rsidRDefault="004322B1">
      <w:pPr>
        <w:pStyle w:val="14Footnote"/>
      </w:pPr>
      <w:r w:rsidRPr="00AD2F44">
        <w:rPr>
          <w:vertAlign w:val="superscript"/>
        </w:rPr>
        <w:footnoteRef/>
      </w:r>
      <w:r w:rsidRPr="00AD2F44">
        <w:rPr>
          <w:i/>
          <w:iCs/>
        </w:rPr>
        <w:t>Sixth Circuit:</w:t>
      </w:r>
      <w:r w:rsidRPr="00AD2F44">
        <w:t xml:space="preserve"> Viciedo v. New Horizons Comput. Learning Ctr. of Columbus, Ltd., 246 F. Supp. 2d 886, 904 (S.D. Ohio 2003) (statements that employees would not be paid for overtime “do not constitute misrepresentations that would prevent the Plaintiffs from discovering the existence of their claim under federal law. To the contrary, such statements simply inform the Plaintiffs of facts that might give rise to their claims.”).</w:t>
      </w:r>
    </w:p>
    <w:p w14:paraId="00F69592" w14:textId="77777777" w:rsidR="004322B1" w:rsidRPr="00AD2F44" w:rsidRDefault="004322B1">
      <w:pPr>
        <w:pStyle w:val="14Footnote"/>
      </w:pPr>
      <w:r w:rsidRPr="00AD2F44">
        <w:rPr>
          <w:i/>
          <w:iCs/>
        </w:rPr>
        <w:t>Ninth Circuit:</w:t>
      </w:r>
      <w:r w:rsidRPr="00AD2F44">
        <w:t xml:space="preserve"> Campanelli v. Hershey Co., 2010 WL 3219501, at *6 (N.D. Cal. Aug. 13, 2010) (defendants’ failing to post notices did not justify tolling in exemption case because to “disclose that an employee is entitled to overtime pay … would be tantamount to holding that the statute is tolled in all or substantially all cases seeking unpaid overtime”).</w:t>
      </w:r>
    </w:p>
    <w:p w14:paraId="0ED4BC56" w14:textId="77777777" w:rsidR="004322B1" w:rsidRPr="00AD2F44" w:rsidRDefault="004322B1">
      <w:pPr>
        <w:pStyle w:val="14Footnote"/>
      </w:pPr>
      <w:r w:rsidRPr="00AD2F44">
        <w:rPr>
          <w:i/>
          <w:iCs/>
        </w:rPr>
        <w:t>Eleventh Circuit:</w:t>
      </w:r>
      <w:r w:rsidRPr="00AD2F44">
        <w:t xml:space="preserve"> Bennett v. Advanced Cable Contractors, Inc., 2012 WL 1600443, at *7 (N.D. Ga. May 7, 2012) (rejecting claim for equitable tolling even where defendant ignored plaintiffs’ complaints about not being paid overtime and directed them to adjust their timesheets downward, because plaintiffs’ complaints showed they were aware of their rights and nothing in defendant’s conduct indicated plaintiffs were misled in to believing they were being paid properly such that it would have prevented them from opting in to suit earlier).</w:t>
      </w:r>
    </w:p>
  </w:footnote>
  <w:footnote w:id="414">
    <w:p w14:paraId="1249EEDC" w14:textId="77777777" w:rsidR="004322B1" w:rsidRPr="00AD2F44" w:rsidRDefault="004322B1">
      <w:pPr>
        <w:pStyle w:val="14Footnote"/>
      </w:pPr>
      <w:r w:rsidRPr="00AD2F44">
        <w:rPr>
          <w:vertAlign w:val="superscript"/>
        </w:rPr>
        <w:footnoteRef/>
      </w:r>
      <w:r w:rsidRPr="00AD2F44">
        <w:t>Engel v. Burlington Coat Factory Direct Corp., 2013 WL 5177184 (S.D. Ohio Sept. 12, 2013) (tolling permitted by agreement where parties sought to engage in settlement discussions).</w:t>
      </w:r>
    </w:p>
  </w:footnote>
  <w:footnote w:id="415">
    <w:p w14:paraId="395D3511" w14:textId="77777777" w:rsidR="004322B1" w:rsidRPr="00AD2F44" w:rsidRDefault="004322B1">
      <w:pPr>
        <w:pStyle w:val="14Footnote"/>
      </w:pPr>
      <w:r w:rsidRPr="00AD2F44">
        <w:rPr>
          <w:vertAlign w:val="superscript"/>
        </w:rPr>
        <w:footnoteRef/>
      </w:r>
      <w:r w:rsidRPr="00AD2F44">
        <w:t xml:space="preserve">Evancho v. Sanofi-Aventis U.S. Inc., 2007 WL 1302985, at *5 (N.D. Cal. May 3, 2007) (ordering FLSA collective action transferred to district where defendant had its headquarters and granting equitable tolling to prevent harm to absent class members by any delay caused by the transfer). </w:t>
      </w:r>
      <w:r w:rsidRPr="00AD2F44">
        <w:rPr>
          <w:i/>
          <w:iCs/>
        </w:rPr>
        <w:t>See also</w:t>
      </w:r>
      <w:r w:rsidRPr="00AD2F44">
        <w:t xml:space="preserve"> Sullivan-Blake v. FedEx Ground Package Sys., Inc., 2019 WL 4750141, at *6 (W.D. Pa. Sept. 30, 2019) (granting equitable tolling based on “unique procedural history” of case and tying it to date a prior court determined that it lacked supplemental jurisdiction over non-state opt-ins). </w:t>
      </w:r>
      <w:r w:rsidRPr="00AD2F44">
        <w:rPr>
          <w:i/>
          <w:iCs/>
        </w:rPr>
        <w:t>But see</w:t>
      </w:r>
      <w:r w:rsidRPr="00AD2F44">
        <w:t xml:space="preserve"> Calloway v. AT&amp;T Corp., 419 F. Supp. 3d 1031, 1037 (N.D. Ill. 2019) (denying equitable tolling for time taken by court to decide personal jurisdiction question where plaintiffs chose to file in district other than employer’s home district). </w:t>
      </w:r>
    </w:p>
  </w:footnote>
  <w:footnote w:id="416">
    <w:p w14:paraId="47C9A5C7" w14:textId="77777777" w:rsidR="004322B1" w:rsidRPr="00AD2F44" w:rsidRDefault="004322B1">
      <w:pPr>
        <w:pStyle w:val="14Footnote"/>
      </w:pPr>
      <w:r w:rsidRPr="00AD2F44">
        <w:rPr>
          <w:vertAlign w:val="superscript"/>
        </w:rPr>
        <w:footnoteRef/>
      </w:r>
      <w:r w:rsidRPr="00AD2F44">
        <w:t>Beauperthuy v. 24 Hour Fitness USA, Inc., 2007 WL 707475, at *8 (N.D. Cal. Mar. 6, 2007) (granting equitable tolling because of “vagaries of the process by which the … action was settled, the competition which occurred between [attorneys] during settlement mediation, and other factors outside of [certain plaintiffs’] control”).</w:t>
      </w:r>
    </w:p>
  </w:footnote>
  <w:footnote w:id="417">
    <w:p w14:paraId="1DE9A84C" w14:textId="77777777" w:rsidR="004322B1" w:rsidRPr="00AD2F44" w:rsidRDefault="004322B1">
      <w:pPr>
        <w:pStyle w:val="14Footnote"/>
      </w:pPr>
      <w:r w:rsidRPr="00AD2F44">
        <w:rPr>
          <w:vertAlign w:val="superscript"/>
        </w:rPr>
        <w:footnoteRef/>
      </w:r>
      <w:r w:rsidRPr="00AD2F44">
        <w:t xml:space="preserve">Quintanilla v. A &amp; R Demolition, Inc., 2006 U.S. Dist. LEXIS 39198 (S.D. Tex. June 13, 2006) (denying equitable tolling for period notice motion was being considered because opt-in plaintiffs were not prohibited from filing consents during this period). </w:t>
      </w:r>
      <w:r w:rsidRPr="00AD2F44">
        <w:rPr>
          <w:i/>
          <w:iCs/>
        </w:rPr>
        <w:t>Cf</w:t>
      </w:r>
      <w:r w:rsidRPr="00AD2F44">
        <w:t>.</w:t>
      </w:r>
      <w:r w:rsidRPr="00AD2F44">
        <w:rPr>
          <w:i/>
          <w:iCs/>
        </w:rPr>
        <w:t xml:space="preserve"> </w:t>
      </w:r>
      <w:r w:rsidRPr="00AD2F44">
        <w:t xml:space="preserve">Powers v. Centennial Commc’ns Corp., 2010 WL 746776, at *3 (N.D. Ind. Feb. 26, 2010) (refusing to allow equitable tolling for period certification decision was pending, because opt-ins could have filed consents during that time, plaintiff could have spoken with them and obtained signed consents, and part of delay was attributable to plaintiff’s motion practice in case). </w:t>
      </w:r>
    </w:p>
  </w:footnote>
  <w:footnote w:id="418">
    <w:p w14:paraId="27EA3FC1" w14:textId="77777777" w:rsidR="004322B1" w:rsidRPr="00AD2F44" w:rsidRDefault="004322B1">
      <w:pPr>
        <w:pStyle w:val="14Footnote"/>
      </w:pPr>
      <w:r w:rsidRPr="00AD2F44">
        <w:rPr>
          <w:vertAlign w:val="superscript"/>
        </w:rPr>
        <w:footnoteRef/>
      </w:r>
      <w:r w:rsidRPr="00AD2F44">
        <w:rPr>
          <w:i/>
        </w:rPr>
        <w:t xml:space="preserve">See, e.g., </w:t>
      </w:r>
    </w:p>
    <w:p w14:paraId="609CA847" w14:textId="77777777" w:rsidR="004322B1" w:rsidRPr="00AD2F44" w:rsidRDefault="004322B1">
      <w:pPr>
        <w:pStyle w:val="14Footnote"/>
      </w:pPr>
      <w:r w:rsidRPr="00AD2F44">
        <w:rPr>
          <w:i/>
          <w:iCs/>
        </w:rPr>
        <w:t>Seventh Circuit:</w:t>
      </w:r>
      <w:r w:rsidRPr="00AD2F44">
        <w:t xml:space="preserve"> </w:t>
      </w:r>
      <w:r w:rsidRPr="00AD2F44">
        <w:rPr>
          <w:i/>
          <w:iCs/>
        </w:rPr>
        <w:t>Powers</w:t>
      </w:r>
      <w:r w:rsidRPr="00AD2F44">
        <w:t>, 2010 WL 746776, at *4 (refusing to equitably toll limitations period based on delay in providing discovery).</w:t>
      </w:r>
      <w:r w:rsidRPr="00AD2F44">
        <w:rPr>
          <w:i/>
          <w:iCs/>
        </w:rPr>
        <w:t xml:space="preserve"> But cf</w:t>
      </w:r>
      <w:r w:rsidRPr="00AD2F44">
        <w:t>. Curless v. Great Am. Real Food Fast, Inc., 280 F.R.D. 429, 435 (S.D. Ill. 2012) (tolling limitations period because of delay in providing contact information, even though court rejected argument that mere delay constituted exceptional circumstance, but reasoning that confusion among courts in this area warranted tolling in this case).</w:t>
      </w:r>
    </w:p>
    <w:p w14:paraId="74F08B79" w14:textId="77777777" w:rsidR="004322B1" w:rsidRPr="00AD2F44" w:rsidRDefault="004322B1">
      <w:pPr>
        <w:pStyle w:val="14Footnote"/>
      </w:pPr>
      <w:r w:rsidRPr="00AD2F44">
        <w:rPr>
          <w:i/>
          <w:iCs/>
        </w:rPr>
        <w:t>Eighth Circuit:</w:t>
      </w:r>
      <w:r w:rsidRPr="00AD2F44">
        <w:t xml:space="preserve"> Putnam v. Galaxy 1 Mktg., Inc., 276 F.R.D. 264, 276 (S.D. Iowa 2011) (finding that defendant’s failure to provide putative class contact information did not warrant equitable tolling, but recognizing that it was “an open question” among courts, and ultimately granting tolling back to date conditional certification motion was filed).</w:t>
      </w:r>
    </w:p>
    <w:p w14:paraId="4B239F70" w14:textId="77777777" w:rsidR="004322B1" w:rsidRPr="00AD2F44" w:rsidRDefault="004322B1">
      <w:pPr>
        <w:pStyle w:val="14Footnote"/>
      </w:pPr>
      <w:r w:rsidRPr="00AD2F44">
        <w:rPr>
          <w:i/>
          <w:iCs/>
        </w:rPr>
        <w:t>Ninth Circuit:</w:t>
      </w:r>
      <w:r w:rsidRPr="00AD2F44">
        <w:t xml:space="preserve"> Fichtner v. American Family Mut. Ins. Co., 2004 WL 3106753 (D. Or. Mar. 1, 2004) (holding that defendant’s refusal to provide contact information was not wrongful behavior justifying equitable tolling).</w:t>
      </w:r>
    </w:p>
  </w:footnote>
  <w:footnote w:id="419">
    <w:p w14:paraId="30A8568B" w14:textId="77777777" w:rsidR="004322B1" w:rsidRPr="00AD2F44" w:rsidRDefault="004322B1">
      <w:pPr>
        <w:pStyle w:val="14Footnote"/>
      </w:pPr>
      <w:r w:rsidRPr="00AD2F44">
        <w:rPr>
          <w:vertAlign w:val="superscript"/>
        </w:rPr>
        <w:footnoteRef/>
      </w:r>
      <w:r w:rsidRPr="00AD2F44">
        <w:rPr>
          <w:i/>
          <w:iCs/>
        </w:rPr>
        <w:t>See, e.g.,</w:t>
      </w:r>
    </w:p>
    <w:p w14:paraId="450CD794" w14:textId="77777777" w:rsidR="004322B1" w:rsidRDefault="004322B1">
      <w:pPr>
        <w:pStyle w:val="14Footnote"/>
      </w:pPr>
      <w:r>
        <w:rPr>
          <w:i/>
          <w:iCs/>
        </w:rPr>
        <w:t xml:space="preserve">Second Circuit: </w:t>
      </w:r>
      <w:r>
        <w:t xml:space="preserve">Watterson v. RUI Mgmt. Servs., </w:t>
      </w:r>
      <w:r w:rsidRPr="00585F91">
        <w:t>2022 BL 305442</w:t>
      </w:r>
      <w:r>
        <w:t xml:space="preserve">, </w:t>
      </w:r>
      <w:r w:rsidRPr="009B2156">
        <w:t xml:space="preserve">2022 WL 3867755 </w:t>
      </w:r>
      <w:r>
        <w:t>(E.D.N.Y. Aug 30, 2022) (denying request for equitable tolling, reasoning there needed to be a showing of exceptional circumstances as to potential opt-in plaintiffs, and it was premature to evaluate the facts about them).</w:t>
      </w:r>
    </w:p>
    <w:p w14:paraId="18B734BD" w14:textId="77777777" w:rsidR="004322B1" w:rsidRPr="00AD2F44" w:rsidRDefault="004322B1">
      <w:pPr>
        <w:pStyle w:val="14Footnote"/>
      </w:pPr>
      <w:r w:rsidRPr="00AD2F44">
        <w:rPr>
          <w:i/>
          <w:iCs/>
        </w:rPr>
        <w:t xml:space="preserve">Third Circuit: </w:t>
      </w:r>
      <w:r w:rsidRPr="00AD2F44">
        <w:t>Smith v. Merck &amp; Co., Inc., 2016 WL 1690087, at *8–9 (D.N.J. Apr. 27, 2016) (denying motion for equitable tolling based on denial of discovery and time taken in litigating certification motion, because plaintiffs did not show extraordinary circumstances; discovery may not have been needed for motion, and litigation timeframe was not clearly exceptional, but denying without prejudice).</w:t>
      </w:r>
    </w:p>
    <w:p w14:paraId="476F06AF" w14:textId="77777777" w:rsidR="004322B1" w:rsidRPr="00AD2F44" w:rsidRDefault="004322B1">
      <w:pPr>
        <w:pStyle w:val="14Footnote"/>
      </w:pPr>
      <w:r w:rsidRPr="00AD2F44">
        <w:rPr>
          <w:i/>
          <w:iCs/>
        </w:rPr>
        <w:t xml:space="preserve">Fifth Circuit: </w:t>
      </w:r>
      <w:r w:rsidRPr="00AD2F44">
        <w:t>Perez v. City of New Orleans, 2015 WL 4547505, at *3 (E.D. La. July 28, 2015) (denying request for equitable tolling of claims period back to 2009, given that plaintiffs were not “actively misled” or prevented from pursuing claims earlier, and refusing to conclude that defendants consented to equitable tolling); Sandoz v. Cingular Wireless LLC, 2014 WL 3045532 (W.D. La. July 3, 2014) (denying equitable tolling where plaintiffs were able to discover information bearing on existence of claim because they shared same workplace and had access to same information as lead plaintiff).</w:t>
      </w:r>
    </w:p>
    <w:p w14:paraId="0960411E" w14:textId="77777777" w:rsidR="004322B1" w:rsidRPr="00AD2F44" w:rsidRDefault="004322B1">
      <w:pPr>
        <w:pStyle w:val="14Footnote"/>
      </w:pPr>
      <w:r w:rsidRPr="00AD2F44">
        <w:rPr>
          <w:i/>
          <w:iCs/>
        </w:rPr>
        <w:t xml:space="preserve">Eighth Circuit: </w:t>
      </w:r>
      <w:r w:rsidRPr="00AD2F44">
        <w:t>Trogdon v. Kleenco Maint. &amp; Constr., Inc., 2015 WL 2345590 (W.D. Ark. May 15, 2015) (obtaining broad releases and settlement agreements does not warrant equitable tolling).</w:t>
      </w:r>
    </w:p>
    <w:p w14:paraId="4CAED1B2" w14:textId="77777777" w:rsidR="004322B1" w:rsidRPr="00AD2F44" w:rsidRDefault="004322B1">
      <w:pPr>
        <w:pStyle w:val="14Footnote"/>
      </w:pPr>
      <w:r w:rsidRPr="00AD2F44">
        <w:rPr>
          <w:i/>
          <w:iCs/>
        </w:rPr>
        <w:t xml:space="preserve">Ninth Circuit: </w:t>
      </w:r>
      <w:r w:rsidRPr="00AD2F44">
        <w:t>Shaia v. Harvest Mgmt. Sub LLC, 2015 WL 1744341 (N.D. Cal. Apr. 15, 2015) (equitable tolling denied where plaintiffs identified no wrongful conduct that prevented them from joining case).</w:t>
      </w:r>
    </w:p>
    <w:p w14:paraId="69AF8389" w14:textId="77777777" w:rsidR="004322B1" w:rsidRPr="00AD2F44" w:rsidRDefault="004322B1">
      <w:pPr>
        <w:pStyle w:val="14Footnote"/>
      </w:pPr>
      <w:r w:rsidRPr="00AD2F44">
        <w:rPr>
          <w:i/>
          <w:iCs/>
        </w:rPr>
        <w:t xml:space="preserve">Eleventh Circuit: </w:t>
      </w:r>
      <w:r w:rsidRPr="00AD2F44">
        <w:t xml:space="preserve">Love v. Phillips Oil, Inc., 2008 U.S. Dist. LEXIS 102366, at *7 n.2 (N.D. Fla. Dec. 9, 2008) (denying equitable tolling where there was no showing of “inordinate delay”); </w:t>
      </w:r>
      <w:r w:rsidRPr="00AD2F44">
        <w:rPr>
          <w:i/>
          <w:iCs/>
        </w:rPr>
        <w:t>In re</w:t>
      </w:r>
      <w:r w:rsidRPr="00AD2F44">
        <w:t xml:space="preserve"> Tyson Foods, Inc., 2008 U.S. Dist. LEXIS 81626, at *20 (M.D. Ga. Oct. 15, 2008) (denying equitable tolling because opt-in plaintiffs were not “induced” to refrain from filing and could have joined case while notice motion was pending); Longcrier v. HL-A Co., Inc., 595 F. Supp. 2d 1218, 1243 (S.D. Ala. 2008) (denying equitable tolling where plaintiffs’ “barebones” motion provided no legal authority for tolling while notice motion was pending).</w:t>
      </w:r>
    </w:p>
  </w:footnote>
  <w:footnote w:id="420">
    <w:p w14:paraId="0D5611DD" w14:textId="77777777" w:rsidR="004322B1" w:rsidRPr="00AD2F44" w:rsidRDefault="004322B1">
      <w:pPr>
        <w:pStyle w:val="14Footnote"/>
      </w:pPr>
      <w:r w:rsidRPr="00AD2F44">
        <w:rPr>
          <w:vertAlign w:val="superscript"/>
        </w:rPr>
        <w:footnoteRef/>
      </w:r>
      <w:r w:rsidRPr="00AD2F44">
        <w:t xml:space="preserve">United States v. Cook, 795 F.2d 987, 994 (Fed. Cir. 1986) (reasoning that district court could not decide whether to toll statute of limitations for individuals who had not yet joined case, because it would be advisory opinion); Miller-Basinger v. Magnolia Health Sys., Inc., 2016 WL 773191, at *2 (S.D. Ind. Feb. 22, 2016) (relying on </w:t>
      </w:r>
      <w:r w:rsidRPr="00AD2F44">
        <w:rPr>
          <w:i/>
          <w:iCs/>
        </w:rPr>
        <w:t>Cook</w:t>
      </w:r>
      <w:r w:rsidRPr="00AD2F44">
        <w:t xml:space="preserve"> and refusing to grant equitable tolling to potential opt-in plaintiffs, because it would be advisory opinion); Atkinson v. TeleTech Holdings, Inc., 2015 WL 853234 (S.D. Ohio Feb. 26, 2015). </w:t>
      </w:r>
    </w:p>
  </w:footnote>
  <w:footnote w:id="421">
    <w:p w14:paraId="39F7FEC3" w14:textId="77777777" w:rsidR="004322B1" w:rsidRPr="00AD2F44" w:rsidRDefault="004322B1">
      <w:pPr>
        <w:pStyle w:val="14Footnote"/>
      </w:pPr>
      <w:r w:rsidRPr="00AD2F44">
        <w:rPr>
          <w:vertAlign w:val="superscript"/>
        </w:rPr>
        <w:footnoteRef/>
      </w:r>
      <w:r w:rsidRPr="00AD2F44">
        <w:t xml:space="preserve">493 U.S. 165 (1989). </w:t>
      </w:r>
    </w:p>
  </w:footnote>
  <w:footnote w:id="422">
    <w:p w14:paraId="79F55082" w14:textId="77777777" w:rsidR="004322B1" w:rsidRPr="00AD2F44" w:rsidRDefault="004322B1">
      <w:pPr>
        <w:pStyle w:val="14Footnote"/>
      </w:pPr>
      <w:r w:rsidRPr="00AD2F44">
        <w:rPr>
          <w:vertAlign w:val="superscript"/>
        </w:rPr>
        <w:footnoteRef/>
      </w:r>
      <w:r w:rsidRPr="00AD2F44">
        <w:rPr>
          <w:i/>
          <w:iCs/>
        </w:rPr>
        <w:t xml:space="preserve">Id. </w:t>
      </w:r>
      <w:r w:rsidRPr="00AD2F44">
        <w:t>at 172.</w:t>
      </w:r>
    </w:p>
  </w:footnote>
  <w:footnote w:id="423">
    <w:p w14:paraId="531E8AFA" w14:textId="77777777" w:rsidR="004322B1" w:rsidRPr="00AD2F44" w:rsidRDefault="004322B1">
      <w:pPr>
        <w:pStyle w:val="14Footnote"/>
      </w:pPr>
      <w:r w:rsidRPr="00AD2F44">
        <w:rPr>
          <w:vertAlign w:val="superscript"/>
        </w:rPr>
        <w:footnoteRef/>
      </w:r>
      <w:r w:rsidRPr="00AD2F44">
        <w:rPr>
          <w:i/>
          <w:iCs/>
        </w:rPr>
        <w:t>See, e.g.,</w:t>
      </w:r>
    </w:p>
    <w:p w14:paraId="55C68D7C" w14:textId="77777777" w:rsidR="004322B1" w:rsidRPr="00AD2F44" w:rsidRDefault="004322B1">
      <w:pPr>
        <w:pStyle w:val="14Footnote"/>
      </w:pPr>
      <w:r w:rsidRPr="00AD2F44">
        <w:rPr>
          <w:i/>
          <w:iCs/>
        </w:rPr>
        <w:t>Second Circuit:</w:t>
      </w:r>
      <w:r w:rsidRPr="00AD2F44">
        <w:t xml:space="preserve"> Dilonez v. Fox Linen Serv., Inc., 35 F. Supp. 3d 247 (E.D.N.Y. 2014) (60-day period assigned where neither side requested cut-off deadline); Chhab v. Darden Rests., Inc., 2013 WL 5308004 (S.D.N.Y. Sept. 20, 2013) (approving 60-day period, rather than 90 days, based on the district’s precedent); Diaz v. S &amp; H Bondi’s Dep’t Store, 2012 WL 137460, at *8 (S.D.N.Y. Jan. 18, 2012) (60 days); Hallissey v. America Online, Inc., 2008 WL 465112 (S.D.N.Y. Feb. 19, 2008) (60 days); Fasanelli v. Heartland Brewery, Inc., 516 F. Supp. 2d 317, 324 (S.D.N.Y. 2007) (90 days).</w:t>
      </w:r>
    </w:p>
    <w:p w14:paraId="3D2EA0C5" w14:textId="77777777" w:rsidR="004322B1" w:rsidRPr="00AD2F44" w:rsidRDefault="004322B1">
      <w:pPr>
        <w:pStyle w:val="14Footnote"/>
      </w:pPr>
      <w:r w:rsidRPr="00AD2F44">
        <w:rPr>
          <w:i/>
          <w:iCs/>
        </w:rPr>
        <w:t xml:space="preserve">Third Circuit: </w:t>
      </w:r>
      <w:r w:rsidRPr="00AD2F44">
        <w:t>Steinberg v. TD Bank, N.A., 2012 WL 2500331, at *10 (D.N.J. June 27, 2012) (determining that a 45-day notice period was sufficient, observing that although plaintiffs requested 75-day period as a compromise from their initial 120-day request, they offered no reason as to why a 45-day notice period would be insufficient).</w:t>
      </w:r>
    </w:p>
    <w:p w14:paraId="40DA6D6C" w14:textId="77777777" w:rsidR="004322B1" w:rsidRPr="00AD2F44" w:rsidRDefault="004322B1">
      <w:pPr>
        <w:pStyle w:val="14Footnote"/>
      </w:pPr>
      <w:r w:rsidRPr="00AD2F44">
        <w:rPr>
          <w:i/>
          <w:iCs/>
        </w:rPr>
        <w:t>Fourth Circuit:</w:t>
      </w:r>
      <w:r w:rsidRPr="00AD2F44">
        <w:t xml:space="preserve"> Byard v. Verizon W. Va., Inc., 287 F.R.D. 365, 373 (N.D. W. Va. 2012) (60 days); Lafleur v. Dollar Tree Stores, Inc., 2012 WL 4739534, at *13 (E.D. Va. Oct. 2, 2012) (60 days); Steinberg v. TQ Logistics, Inc., 2011 WL 1335191, at *6 (D.S.C. Apr. 7, 2011) (providing 60-day, not 120-day, opt-in period, despite plaintiff’s counsel’s concern over time needed to handle undeliverable mail).</w:t>
      </w:r>
    </w:p>
    <w:p w14:paraId="16A4A97F" w14:textId="77777777" w:rsidR="004322B1" w:rsidRPr="00AD2F44" w:rsidRDefault="004322B1">
      <w:pPr>
        <w:pStyle w:val="14Footnote"/>
      </w:pPr>
      <w:r w:rsidRPr="00AD2F44">
        <w:rPr>
          <w:i/>
          <w:iCs/>
        </w:rPr>
        <w:t>Fifth Circuit:</w:t>
      </w:r>
      <w:r w:rsidRPr="00AD2F44">
        <w:t xml:space="preserve"> Page v. Nova Healthcare Mgmt., L.L.P., 2013 WL 4782749 (S.D. Tex. Sept. 6, 2013) (90 days); Pedigo v. 3003 S. Lamar, LLP, 666 F. Supp. 2d 693, 700–01 (W.D. Tex. 2009) (60 days); Lima v. Int’l Catastrophe Sols., Inc., 493 F. Supp. 2d 793, 804 (E.D. La. 2007) (90 days).</w:t>
      </w:r>
    </w:p>
    <w:p w14:paraId="460717C5" w14:textId="77777777" w:rsidR="004322B1" w:rsidRPr="00AD2F44" w:rsidRDefault="004322B1">
      <w:pPr>
        <w:pStyle w:val="14Footnote"/>
      </w:pPr>
      <w:r w:rsidRPr="00AD2F44">
        <w:rPr>
          <w:i/>
          <w:iCs/>
        </w:rPr>
        <w:t>Sixth Circuit:</w:t>
      </w:r>
      <w:r w:rsidRPr="00AD2F44">
        <w:t xml:space="preserve"> Baden-Winterwood v. Life Time Fitness, 2006 WL 2225825 (S.D. Ohio Aug. 2, 2006) (setting 45-day deadline and rejecting plaintiffs’ 60-day deadline as too long and defendant’s 30-day deadline as too short).</w:t>
      </w:r>
    </w:p>
    <w:p w14:paraId="1927C7F8" w14:textId="77777777" w:rsidR="004322B1" w:rsidRPr="00AD2F44" w:rsidRDefault="004322B1">
      <w:pPr>
        <w:pStyle w:val="14Footnote"/>
      </w:pPr>
      <w:r w:rsidRPr="00AD2F44">
        <w:rPr>
          <w:i/>
          <w:iCs/>
        </w:rPr>
        <w:t>Seventh Circuit:</w:t>
      </w:r>
      <w:r w:rsidRPr="00AD2F44">
        <w:t xml:space="preserve"> Frebes v. Mask Rests., LLC, 2014 WL 1848461 (N.D. Ill. May 8, 2014) (approving 60-day period, rather than 45 days, based on the district’s precedent); Espenscheid v. Direct</w:t>
      </w:r>
      <w:r w:rsidRPr="00AD2F44">
        <w:rPr>
          <w:caps/>
        </w:rPr>
        <w:t>sat</w:t>
      </w:r>
      <w:r w:rsidRPr="00AD2F44">
        <w:t xml:space="preserve"> USA, LLC, 2010 WL 2330309, at *13 (W.D. Wis. June 7, 2010) (approving 60-day rather than 45-day opt-in period based on size of class and its national geographic scope); Garcia v. Salamanca Grp., Ltd., 2008 WL 818532, at *5 (N.D. Ill. Mar. 24, 2008) (deeming 45-day opt-in period “reasonable and appropriate”); Mares v. Caesars Entm’t, Inc., 2007 WL 118877 (S.D. Ind. Jan. 10, 2007) (60 days); Champenys v. Ferguson Enter., Inc., 2003 WL 1562219 (S.D. Ind. Mar. 11, 2003) (45-day deadline).</w:t>
      </w:r>
    </w:p>
    <w:p w14:paraId="262F420C" w14:textId="77777777" w:rsidR="004322B1" w:rsidRPr="00AD2F44" w:rsidRDefault="004322B1">
      <w:pPr>
        <w:pStyle w:val="14Footnote"/>
      </w:pPr>
      <w:r w:rsidRPr="00AD2F44">
        <w:rPr>
          <w:i/>
          <w:iCs/>
        </w:rPr>
        <w:t xml:space="preserve">Eighth Circuit: </w:t>
      </w:r>
      <w:r w:rsidRPr="00AD2F44">
        <w:t>Le v. Regency Corp., 957 F. Supp. 2d 1079, 1093 (D. Minn. 2013) (granting a 90-day, not 180-day, notice period); Martinez v. Cargill Meat Sols., 265 F.R.D. 490, 501 (D. Neb. 2009) (rejecting proposed 120-day notice period in favor of 45-day period where there was no evidence that potential opt-ins would have trouble receiving notice timely because of transience or bad addresses, and 120-day period would unduly delay proceedings).</w:t>
      </w:r>
    </w:p>
    <w:p w14:paraId="7E058EBD" w14:textId="77777777" w:rsidR="004322B1" w:rsidRPr="00AD2F44" w:rsidRDefault="004322B1">
      <w:pPr>
        <w:pStyle w:val="14Footnote"/>
      </w:pPr>
      <w:r w:rsidRPr="00AD2F44">
        <w:rPr>
          <w:i/>
          <w:iCs/>
        </w:rPr>
        <w:t>Ninth Circuit:</w:t>
      </w:r>
      <w:r w:rsidRPr="00AD2F44">
        <w:t xml:space="preserve"> </w:t>
      </w:r>
      <w:r>
        <w:t>Stanfield v. Lasalle Corrs. W. LLC,</w:t>
      </w:r>
      <w:r w:rsidRPr="00340506">
        <w:t xml:space="preserve"> </w:t>
      </w:r>
      <w:r w:rsidRPr="004A078D">
        <w:t>2022 BL 259650</w:t>
      </w:r>
      <w:r>
        <w:t xml:space="preserve">, </w:t>
      </w:r>
      <w:r w:rsidRPr="009B2156">
        <w:t xml:space="preserve">2022 WL 2967711 </w:t>
      </w:r>
      <w:r>
        <w:t xml:space="preserve">(D. Ariz. July 26, 2022) (limiting notice period to 60 days instead of proposed 90 days); </w:t>
      </w:r>
      <w:r w:rsidRPr="00AD2F44">
        <w:t>Benedict v. Hewlett-Packard Co., 2014 WL 587135 (N.D. Cal. Feb. 13, 2014) (denying defendant’s attempts to shorten notice period from 90 to 60 days); Barrera v. US Airways Grp., Inc., 2013 WL 4654567, at *9 (D. Ariz. Aug. 30, 2013) (approving defendant’s request for 60 days, over plaintiff’s 90 days); Ramirez v. Ghilotti Bros., 941 F. Supp. 2d 1197, 1207 (N.D. Cal. 2013) (denying defendant’s motion to shorten notice period from 90 to 60 days in case involving non-native English speakers, where defendant failed to explain how 30-day difference would impact efficiency and cost of litigation, noting that one case in Northern District of California had described 60- to 90-day notice period as “presumptive” in that district); Phelps v. MC Commc’ns, Inc., 2011 WL 3298414, at *6 (D. Nev. Aug. 1, 2011) (granting 90-day notice period, and rejecting competing proposals for 45 and 120 days); Carter v. Anderson Merch., LP, 2008 WL 2783193, at *6 (C.D. Cal. July 10, 2008) (permitting 90-day notice period because court still had to decide Rule 23 certification issue for state law claims, and so 90 days would not delay litigation); Williams v. Trendwest Resorts, Inc., 2006 WL 3690686 (D. Nev. Dec. 7, 2006) (rejecting defendant’s proposed 45-day opt-in period in favor of 60-day period); Stanfield v. First NLC Fin. Servs., LLC, 2006 WL 3190527 (N.D. Cal. Nov. 1, 2006) (60 days).</w:t>
      </w:r>
    </w:p>
    <w:p w14:paraId="3641D455" w14:textId="77777777" w:rsidR="004322B1" w:rsidRPr="00AD2F44" w:rsidRDefault="004322B1">
      <w:pPr>
        <w:pStyle w:val="14Footnote"/>
      </w:pPr>
      <w:r w:rsidRPr="00AD2F44">
        <w:rPr>
          <w:i/>
          <w:iCs/>
        </w:rPr>
        <w:t>Tenth Circuit:</w:t>
      </w:r>
      <w:r w:rsidRPr="00AD2F44">
        <w:t xml:space="preserve"> Wass v. NPC Int’l, Inc., 2011 WL 1118774, at *11 (D. Kan. Mar. 28, 2011) (providing for 90- rather than 60-day opt-in period, and rejecting as irrelevant fact that plaintiffs’ counsel may have engaged in “substantial solicitation” and marketing of case for period of one to one and one-half years prior to certification); Reab v. Electronic Arts, Inc., 214 F.R.D. 623 (D. Colo. 2002) (60 days).</w:t>
      </w:r>
    </w:p>
    <w:p w14:paraId="167B9B78" w14:textId="77777777" w:rsidR="004322B1" w:rsidRPr="00AD2F44" w:rsidRDefault="004322B1">
      <w:pPr>
        <w:pStyle w:val="14Footnote"/>
      </w:pPr>
      <w:r w:rsidRPr="00AD2F44">
        <w:rPr>
          <w:i/>
          <w:iCs/>
        </w:rPr>
        <w:t>Eleventh Circuit:</w:t>
      </w:r>
      <w:r w:rsidRPr="00AD2F44">
        <w:t xml:space="preserve"> Holmes v. Swissport Fueling, Inc., 2017 WL 8794900 (M.D. Fla. Sept. 1, 2017) (60 days); Vondriska v. Premier Mortg. Funding, Inc., 564 F. Supp. 2d 1330 (M.D. Fla. 2007) (60 days); Bell v. Mynt Entm’t, LLC, 223 F.R.D. 680 (S.D. Fla. 2004) (ordering that notice be sent by July 30, 2004, and that response deadline be August 21, 2004).</w:t>
      </w:r>
    </w:p>
    <w:p w14:paraId="1F08153A" w14:textId="77777777" w:rsidR="004322B1" w:rsidRPr="00AD2F44" w:rsidRDefault="004322B1">
      <w:pPr>
        <w:pStyle w:val="14Footnote"/>
      </w:pPr>
      <w:r w:rsidRPr="00AD2F44">
        <w:rPr>
          <w:i/>
          <w:iCs/>
        </w:rPr>
        <w:t>D.C. Circuit:</w:t>
      </w:r>
      <w:r w:rsidRPr="00AD2F44">
        <w:t xml:space="preserve"> Ayala v. Tito Contractors, 2014 WL 464786 (D.D.C. Feb. 6, 2014) (60 days).</w:t>
      </w:r>
    </w:p>
  </w:footnote>
  <w:footnote w:id="424">
    <w:p w14:paraId="14230241" w14:textId="77777777" w:rsidR="004322B1" w:rsidRPr="00AD2F44" w:rsidRDefault="004322B1">
      <w:pPr>
        <w:pStyle w:val="14Footnote"/>
      </w:pPr>
      <w:r w:rsidRPr="00AD2F44">
        <w:rPr>
          <w:vertAlign w:val="superscript"/>
        </w:rPr>
        <w:footnoteRef/>
      </w:r>
      <w:r w:rsidRPr="00AD2F44">
        <w:rPr>
          <w:i/>
          <w:iCs/>
        </w:rPr>
        <w:t>See, e.g.,</w:t>
      </w:r>
    </w:p>
    <w:p w14:paraId="1E1A2339" w14:textId="77777777" w:rsidR="004322B1" w:rsidRPr="00AD2F44" w:rsidRDefault="004322B1">
      <w:pPr>
        <w:pStyle w:val="14Footnote"/>
      </w:pPr>
      <w:r w:rsidRPr="00AD2F44">
        <w:rPr>
          <w:i/>
          <w:iCs/>
        </w:rPr>
        <w:t>Second Circuit:</w:t>
      </w:r>
      <w:r w:rsidRPr="00AD2F44">
        <w:t xml:space="preserve"> Cuzco v. Orion Builders, Inc., 477 F. Supp. 2d 628, 635 (S.D.N.Y. 2007) (nine months); Roebuck v. Hudson Valley Farms, Inc., 239 F. Supp. 2d 234, 241 (N.D.N.Y. 2002) (nine months).</w:t>
      </w:r>
    </w:p>
    <w:p w14:paraId="6BC6109B" w14:textId="77777777" w:rsidR="004322B1" w:rsidRPr="00AD2F44" w:rsidRDefault="004322B1">
      <w:pPr>
        <w:pStyle w:val="14Footnote"/>
      </w:pPr>
      <w:r w:rsidRPr="00AD2F44">
        <w:rPr>
          <w:i/>
          <w:iCs/>
        </w:rPr>
        <w:t>Fifth Circuit:</w:t>
      </w:r>
      <w:r w:rsidRPr="00AD2F44">
        <w:t xml:space="preserve"> Wagner v. Plexos Grp. LLC, 2020 WL 5700952 (M.D. La. Sept. 24, 2020) (allowing 60-day opt-in period because class members may be located outside United States and recognizing barriers to communication caused by COVID-19 pandemic); Salinas-Rodriguez v. Alpha Servs., LLC, 2005 WL 3557178, at *4 (S.D. Miss. Dec. 27, 2005) (180 days).</w:t>
      </w:r>
    </w:p>
    <w:p w14:paraId="2877EE6A" w14:textId="77777777" w:rsidR="004322B1" w:rsidRPr="00AD2F44" w:rsidRDefault="004322B1">
      <w:pPr>
        <w:pStyle w:val="14Footnote"/>
      </w:pPr>
      <w:r w:rsidRPr="00AD2F44">
        <w:rPr>
          <w:i/>
          <w:iCs/>
        </w:rPr>
        <w:t>Seventh Circuit:</w:t>
      </w:r>
      <w:r w:rsidRPr="00AD2F44">
        <w:t xml:space="preserve"> Coan v. Nightingale Home Healthcare, Inc., 2005 WL 1799454, at *3 (S.D. Ind. June 29, 2005) (63 days).</w:t>
      </w:r>
    </w:p>
    <w:p w14:paraId="1C0225C3" w14:textId="77777777" w:rsidR="004322B1" w:rsidRPr="00AD2F44" w:rsidRDefault="004322B1">
      <w:pPr>
        <w:pStyle w:val="14Footnote"/>
      </w:pPr>
      <w:r w:rsidRPr="00AD2F44">
        <w:rPr>
          <w:i/>
          <w:iCs/>
        </w:rPr>
        <w:t>Ninth Circuit:</w:t>
      </w:r>
      <w:r w:rsidRPr="00AD2F44">
        <w:t xml:space="preserve"> Carillo v. Schneider Logistics, Inc., 2012 WL 556309, at *15, 18 WH Cases2d 1263 (C.D. Cal. Jan. 31, 2012) (allowing 180-day opt-in period in case involving low-wage immigrant workers who may be difficult to locate), </w:t>
      </w:r>
      <w:r w:rsidRPr="00AD2F44">
        <w:rPr>
          <w:i/>
          <w:iCs/>
        </w:rPr>
        <w:t>aff’d</w:t>
      </w:r>
      <w:r w:rsidRPr="00AD2F44">
        <w:t>, 501 F. App’x 713 (9th Cir. 2012); Adams v. Inter-Con Sec. Sys., Inc., 242 F.R.D. 530, 540 (N.D. Cal. 2007) (rejecting proposed 30-day and 120-day limits as unreasonable and setting 90-day notice period); Gerlach v. Wells Fargo &amp; Co., 2006 WL 824652, at *4 (N.D. Cal. Mar. 28, 2006) (75 days).</w:t>
      </w:r>
    </w:p>
    <w:p w14:paraId="196F67BC" w14:textId="77777777" w:rsidR="004322B1" w:rsidRPr="00AD2F44" w:rsidRDefault="004322B1">
      <w:pPr>
        <w:pStyle w:val="14Footnote"/>
      </w:pPr>
      <w:r w:rsidRPr="00AD2F44">
        <w:rPr>
          <w:i/>
          <w:iCs/>
        </w:rPr>
        <w:t>Tenth Circuit:</w:t>
      </w:r>
      <w:r w:rsidRPr="00AD2F44">
        <w:t xml:space="preserve"> Darrow v. WKRP Mgmt., LLC, 2012 WL 638119, at *7, 18 WH Cases2d 1565 (D. Colo. Feb. 28, 2012) (permitting 90-day notice period rather than 60-day period, because delivery drivers were scattered across several states and many were former employees, making them harder to contact).</w:t>
      </w:r>
    </w:p>
  </w:footnote>
  <w:footnote w:id="425">
    <w:p w14:paraId="61EB4C1F" w14:textId="77777777" w:rsidR="004322B1" w:rsidRPr="00AD2F44" w:rsidRDefault="004322B1">
      <w:pPr>
        <w:pStyle w:val="14Footnote"/>
      </w:pPr>
      <w:r w:rsidRPr="00AD2F44">
        <w:rPr>
          <w:vertAlign w:val="superscript"/>
        </w:rPr>
        <w:footnoteRef/>
      </w:r>
      <w:r w:rsidRPr="00AD2F44">
        <w:rPr>
          <w:i/>
        </w:rPr>
        <w:t>Compare</w:t>
      </w:r>
    </w:p>
    <w:p w14:paraId="1AD41D47" w14:textId="77777777" w:rsidR="004322B1" w:rsidRPr="00AD2F44" w:rsidRDefault="004322B1">
      <w:pPr>
        <w:pStyle w:val="14Footnote"/>
      </w:pPr>
      <w:r w:rsidRPr="00AD2F44">
        <w:rPr>
          <w:i/>
          <w:iCs/>
        </w:rPr>
        <w:t>Fourth Circuit:</w:t>
      </w:r>
      <w:r w:rsidRPr="00AD2F44">
        <w:t xml:space="preserve"> Browder v. Peninsula Grill Assocs. LLC, 2015 WL 4389502, at *3–5 (D.S.C. July 15, 2015) (denying motion to strike late opt-in form, reasoning that plaintiff met five-factor test for inclusion, including good cause based on not receiving notice and fear of retaliation for joining; lack of prejudice to defendant where consent was just 10 days late; and that judicial economy and remedial nature of FLSA favored allowing late opt-in);</w:t>
      </w:r>
    </w:p>
    <w:p w14:paraId="5673E25E" w14:textId="77777777" w:rsidR="004322B1" w:rsidRPr="00AD2F44" w:rsidRDefault="004322B1">
      <w:pPr>
        <w:pStyle w:val="14Footnote"/>
      </w:pPr>
      <w:r w:rsidRPr="00AD2F44">
        <w:rPr>
          <w:i/>
          <w:iCs/>
        </w:rPr>
        <w:t>Sixth Circuit:</w:t>
      </w:r>
      <w:r w:rsidRPr="00AD2F44">
        <w:t xml:space="preserve"> Adams v. Nature’s Expressions Landscaping, Inc., 2017 WL 4844560 (E.D. Ky. Oct. 25, 2017) (allowing late consents where good cause shown for late filing, there was little prejudice to defendant, two weeks was within time range other courts allow late filings, allowing late filings served judicial economy, and permitting opt-ins served FLSA’s remedial purposes); Kimbrel v. DEA Corp., 2015 WL 1396898, at *4 (E.D. Tenn. Mar. 26, 2015) (late consents permitted as plaintiffs met five-factor test, including showing good cause; any other opt-ins must show “exceptional good cause”); Lee v. GAB Telecom, Inc., 2013 WL 4041875 (E.D. Mich. Aug. 8, 2013) (extending the deadline to submit consent forms through the end of discovery based on the defendant’s direct and improper contact with putative class members);</w:t>
      </w:r>
    </w:p>
    <w:p w14:paraId="36C0051E" w14:textId="77777777" w:rsidR="004322B1" w:rsidRPr="00AD2F44" w:rsidRDefault="004322B1">
      <w:pPr>
        <w:pStyle w:val="14Footnote"/>
      </w:pPr>
      <w:r w:rsidRPr="00AD2F44">
        <w:rPr>
          <w:i/>
          <w:iCs/>
        </w:rPr>
        <w:t>Seventh Circuit:</w:t>
      </w:r>
      <w:r w:rsidRPr="00AD2F44">
        <w:t xml:space="preserve"> Schaefer-Larose v. Eli Lilly &amp; Co., 2008 U.S. Dist. LEXIS 102627, at *12–13 (S.D. Ind. Dec. 17, 2008) (allowing late filing where one plaintiff was in grief counseling due to loss of his sister to cancer and beginning a new job, another was out of the country and on his return started a large, new project at work, and a third was married and did not return from his European honeymoon until after deadline had passed);</w:t>
      </w:r>
    </w:p>
    <w:p w14:paraId="7F9128FC" w14:textId="77777777" w:rsidR="004322B1" w:rsidRPr="00AD2F44" w:rsidRDefault="004322B1">
      <w:pPr>
        <w:pStyle w:val="14Footnote"/>
      </w:pPr>
      <w:r w:rsidRPr="00AD2F44">
        <w:rPr>
          <w:i/>
          <w:iCs/>
        </w:rPr>
        <w:t>Eighth Circuit:</w:t>
      </w:r>
      <w:r w:rsidRPr="00AD2F44">
        <w:t xml:space="preserve"> Cortez v. Nebraska Beef, Inc., 2009 WL 1954670, at *1–2 (D. Neb. July 2, 2009) (granting extension for putative class members to file opt-in notices, despite fact that radio and posted notices were also employed, where 14% of notice packets were returned as undeliverable); Raper v. Iowa, 165 F.R.D. 89, 92 (S.D. Iowa 1996) (allowing seven late opt-ins after summary judgment ruling but before ruling on damages because there was no prejudice to defendant, class was small, and judicial economy, convenience to parties, and interest in reducing litigation expense would all be served);</w:t>
      </w:r>
    </w:p>
    <w:p w14:paraId="7EDE4A9F" w14:textId="77777777" w:rsidR="004322B1" w:rsidRPr="00AD2F44" w:rsidRDefault="004322B1">
      <w:pPr>
        <w:pStyle w:val="14Footnote"/>
      </w:pPr>
      <w:r w:rsidRPr="00AD2F44">
        <w:rPr>
          <w:i/>
          <w:iCs/>
        </w:rPr>
        <w:t>Ninth Circuit:</w:t>
      </w:r>
      <w:r w:rsidRPr="00AD2F44">
        <w:t xml:space="preserve"> Santiago v. Amdocs, Inc., 2012 WL 2343626 (N.D. Cal. June 20, 2012) (granting extension of opt-in period based on defendant’s presentation of release-of-claim forms to putative class members both prior to and during the pending action); </w:t>
      </w:r>
      <w:r w:rsidRPr="00AD2F44">
        <w:rPr>
          <w:i/>
          <w:iCs/>
        </w:rPr>
        <w:t>In re</w:t>
      </w:r>
      <w:r w:rsidRPr="00AD2F44">
        <w:t xml:space="preserve"> Wells Fargo Home Mortg. Overtime Pay Litig., 2008 U.S. Dist. LEXIS 88851 (N.D. Cal. Oct. 22, 2008) (holding judicial economy would be served by allowing tardy-filing class members to file opt-in claims with court); </w:t>
      </w:r>
      <w:r w:rsidRPr="00AD2F44">
        <w:rPr>
          <w:i/>
          <w:iCs/>
        </w:rPr>
        <w:t>and</w:t>
      </w:r>
    </w:p>
    <w:p w14:paraId="30E1B85D" w14:textId="77777777" w:rsidR="004322B1" w:rsidRPr="00AD2F44" w:rsidRDefault="004322B1">
      <w:pPr>
        <w:pStyle w:val="14Footnote"/>
      </w:pPr>
      <w:r w:rsidRPr="00AD2F44">
        <w:rPr>
          <w:i/>
          <w:iCs/>
        </w:rPr>
        <w:t>D.C. Circuit:</w:t>
      </w:r>
      <w:r w:rsidRPr="00AD2F44">
        <w:t xml:space="preserve"> Robinson-Smith v. Government Emps. Ins. Co., 424 F. Supp. 2d 117, 119 (D.D.C. 2006) (permitting, where plaintiffs’ counsels’ clerical error resulted in failure to timely file consents, claimants to file consents after court-authorized filing period, but not permitting limitations period to be equitably tolled);</w:t>
      </w:r>
    </w:p>
    <w:p w14:paraId="5E6A9256" w14:textId="77777777" w:rsidR="004322B1" w:rsidRPr="00AD2F44" w:rsidRDefault="004322B1">
      <w:pPr>
        <w:pStyle w:val="14Footnote"/>
      </w:pPr>
      <w:r w:rsidRPr="00AD2F44">
        <w:rPr>
          <w:i/>
          <w:iCs/>
        </w:rPr>
        <w:t>with</w:t>
      </w:r>
      <w:r w:rsidRPr="00AD2F44">
        <w:t xml:space="preserve"> Green v. Platinum Rests. Mid-Am., LLC, 2020 WL 1452724, at *3 (W.D. Ky. Mar. 25, 2020) (refusing to extend consent deadline for “named plaintiffs” who failed to file written consent to join forms despite participating in settlement conferences and responding to interrogatories, because participation in settlement conference did not constitute consent, and even if interrogatory response did, plaintiffs’ consents would have been untimely based on court’s opt-in deadline); Nerland v. Caribou Coffee Co., 564 F. Supp. 2d 1010, 1014 (D. Minn. 2007) (adopting magistrate judge’s recommendation to deny plaintiffs’ motion to reopen opt-in period to allow additional plaintiffs to file consent forms).</w:t>
      </w:r>
    </w:p>
  </w:footnote>
  <w:footnote w:id="426">
    <w:p w14:paraId="397CE32E"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Hoffmann-La Roche</w:t>
      </w:r>
      <w:r w:rsidRPr="00AD2F44">
        <w:t xml:space="preserve">, 493 U.S. at 171; </w:t>
      </w:r>
      <w:r w:rsidRPr="00AD2F44">
        <w:rPr>
          <w:i/>
          <w:iCs/>
        </w:rPr>
        <w:t>In re</w:t>
      </w:r>
      <w:r w:rsidRPr="00AD2F44">
        <w:t xml:space="preserve"> Food Lion, 151 F.3d 1029 (table),</w:t>
      </w:r>
      <w:r w:rsidRPr="00AD2F44">
        <w:rPr>
          <w:b/>
          <w:bCs/>
        </w:rPr>
        <w:t xml:space="preserve"> </w:t>
      </w:r>
      <w:r w:rsidRPr="00AD2F44">
        <w:t xml:space="preserve">1998 WL 322682, at *10 (4th Cir. 1998); </w:t>
      </w:r>
      <w:r w:rsidRPr="00AD2F44">
        <w:rPr>
          <w:i/>
          <w:iCs/>
        </w:rPr>
        <w:t>see also</w:t>
      </w:r>
      <w:r w:rsidRPr="00AD2F44">
        <w:t xml:space="preserve"> Ferguson v. Texas Farm Bureau, 2019 WL 6609696, at *2–3 (W.D. Tex. Dec. 5, 2019) (refusing to extend consent deadline for 13-month delay in filing, reasoning that plaintiff’s personal mistake (which was of questionable credibility) and “unsupported fear of retaliation” did not constitute good cause); Gordon v. TBC Retail Grp., Inc., 2016 WL 4247738, at *4 (D.S.C. Aug. 11, 2016) (noting that, when exercising this discretion, courts have used five factors to determine whether late opt-in can join collective action: “(1) whether ‘good cause’ exists for the late submissions; (2) prejudice to the defendant; (3) how long after the deadline passed the consent forms were filed; (4) judicial economy; and (5) the remedial purpose of the FLSA”); </w:t>
      </w:r>
      <w:r w:rsidRPr="00AD2F44">
        <w:rPr>
          <w:i/>
          <w:iCs/>
        </w:rPr>
        <w:t>accord</w:t>
      </w:r>
      <w:r w:rsidRPr="00AD2F44">
        <w:t xml:space="preserve"> English v. Texas Farm Bureau Bus. Corp., 462 F. Supp. 3d 662, 664 (W.D. Tex. 2020) (citing same five factors). </w:t>
      </w:r>
    </w:p>
  </w:footnote>
  <w:footnote w:id="427">
    <w:p w14:paraId="072431CF" w14:textId="77777777" w:rsidR="004322B1" w:rsidRPr="00AD2F44" w:rsidRDefault="004322B1">
      <w:pPr>
        <w:pStyle w:val="14Footnote"/>
      </w:pPr>
      <w:r w:rsidRPr="00AD2F44">
        <w:rPr>
          <w:vertAlign w:val="superscript"/>
        </w:rPr>
        <w:footnoteRef/>
      </w:r>
      <w:r w:rsidRPr="00AD2F44">
        <w:t>151 F.3d 1029 (table),</w:t>
      </w:r>
      <w:r w:rsidRPr="00AD2F44">
        <w:rPr>
          <w:b/>
          <w:bCs/>
        </w:rPr>
        <w:t xml:space="preserve"> </w:t>
      </w:r>
      <w:r w:rsidRPr="00AD2F44">
        <w:t>1998 WL 322682, at *10 (4th Cir. 1998).</w:t>
      </w:r>
    </w:p>
  </w:footnote>
  <w:footnote w:id="428">
    <w:p w14:paraId="12977A5D" w14:textId="77777777" w:rsidR="004322B1" w:rsidRPr="00AD2F44" w:rsidRDefault="004322B1">
      <w:pPr>
        <w:pStyle w:val="14Footnote"/>
      </w:pPr>
      <w:r w:rsidRPr="00AD2F44">
        <w:rPr>
          <w:vertAlign w:val="superscript"/>
        </w:rPr>
        <w:footnoteRef/>
      </w:r>
      <w:r w:rsidRPr="00AD2F44">
        <w:t xml:space="preserve"> Yates v. Wal-Mart Stores, Inc., 58 F. Supp. 2d 1217, 1218 (D. Colo. 1999) (finding FLSA does not preclude second collective action by those who receive notice of a collective action but do not opt in).</w:t>
      </w:r>
    </w:p>
  </w:footnote>
  <w:footnote w:id="429">
    <w:p w14:paraId="583E030C" w14:textId="77777777" w:rsidR="004322B1" w:rsidRPr="00AD2F44" w:rsidRDefault="004322B1">
      <w:pPr>
        <w:pStyle w:val="14Footnote"/>
      </w:pPr>
      <w:r w:rsidRPr="00AD2F44">
        <w:rPr>
          <w:vertAlign w:val="superscript"/>
        </w:rPr>
        <w:footnoteRef/>
      </w:r>
      <w:r w:rsidRPr="00AD2F44">
        <w:rPr>
          <w:i/>
          <w:iCs/>
        </w:rPr>
        <w:t>See, e.g.,</w:t>
      </w:r>
    </w:p>
    <w:p w14:paraId="5E07C537" w14:textId="77777777" w:rsidR="004322B1" w:rsidRPr="00AD2F44" w:rsidRDefault="004322B1">
      <w:pPr>
        <w:pStyle w:val="14Footnote"/>
      </w:pPr>
      <w:r w:rsidRPr="00AD2F44">
        <w:rPr>
          <w:i/>
          <w:iCs/>
        </w:rPr>
        <w:t>Second Circuit:</w:t>
      </w:r>
      <w:r w:rsidRPr="00AD2F44">
        <w:t xml:space="preserve"> Hamelin v. Faxton-St. Luke’s Healthcare, 2009 WL 211512 (N.D.N.Y. Jan. 26, 2009); Rubery v. Buth-Na-Bodhaige, Inc., 569 F. Supp. 2d 334 (W.D.N.Y. 2008).</w:t>
      </w:r>
    </w:p>
    <w:p w14:paraId="6B25B15C" w14:textId="77777777" w:rsidR="004322B1" w:rsidRPr="00AD2F44" w:rsidRDefault="004322B1">
      <w:pPr>
        <w:pStyle w:val="14Footnote"/>
      </w:pPr>
      <w:r w:rsidRPr="00AD2F44">
        <w:rPr>
          <w:i/>
          <w:iCs/>
        </w:rPr>
        <w:t>Third Circuit:</w:t>
      </w:r>
      <w:r w:rsidRPr="00AD2F44">
        <w:t xml:space="preserve"> Goldman v. Radioshack Corp., 2003 WL 21250571 (E.D. Pa. Apr. 16, 2003).</w:t>
      </w:r>
    </w:p>
    <w:p w14:paraId="20120338" w14:textId="77777777" w:rsidR="004322B1" w:rsidRPr="00AD2F44" w:rsidRDefault="004322B1">
      <w:pPr>
        <w:pStyle w:val="14Footnote"/>
      </w:pPr>
      <w:r w:rsidRPr="00AD2F44">
        <w:rPr>
          <w:i/>
          <w:iCs/>
        </w:rPr>
        <w:t>Fourth Circuit:</w:t>
      </w:r>
      <w:r w:rsidRPr="00AD2F44">
        <w:t xml:space="preserve"> Sharer v. Tandberg, Inc., 2006 WL 2988104 (E.D. Va. Oct. 17, 2006).</w:t>
      </w:r>
    </w:p>
    <w:p w14:paraId="6E124B4A" w14:textId="77777777" w:rsidR="004322B1" w:rsidRPr="00AD2F44" w:rsidRDefault="004322B1">
      <w:pPr>
        <w:pStyle w:val="14Footnote"/>
      </w:pPr>
      <w:r w:rsidRPr="00AD2F44">
        <w:rPr>
          <w:i/>
          <w:iCs/>
        </w:rPr>
        <w:t>Fifth Circuit:</w:t>
      </w:r>
      <w:r w:rsidRPr="00AD2F44">
        <w:t xml:space="preserve"> Vogt v. Texas Instruments, Inc., 2006 WL 4660134 (N.D. Tex. Sept. 19, 2006); Alba v. Loncar, 2004 WL 1144052 (N.D. Tex. May 20, 2004); De La Rosa Ortiz v. Rain King, Inc., 2003 23741409 (S.D. Tex. Mar. 10, 2003).</w:t>
      </w:r>
    </w:p>
    <w:p w14:paraId="4EDF4ED1" w14:textId="77777777" w:rsidR="004322B1" w:rsidRPr="00AD2F44" w:rsidRDefault="004322B1">
      <w:pPr>
        <w:pStyle w:val="14Footnote"/>
      </w:pPr>
      <w:r w:rsidRPr="00AD2F44">
        <w:rPr>
          <w:i/>
          <w:iCs/>
        </w:rPr>
        <w:t>Sixth Circuit:</w:t>
      </w:r>
      <w:r w:rsidRPr="00AD2F44">
        <w:t xml:space="preserve"> Landsberg v. Acton Enter., Inc., 2008 WL 2468868 (S.D. Ohio June 16, 2008).</w:t>
      </w:r>
    </w:p>
    <w:p w14:paraId="67DF885B" w14:textId="77777777" w:rsidR="004322B1" w:rsidRPr="00AD2F44" w:rsidRDefault="004322B1">
      <w:pPr>
        <w:pStyle w:val="14Footnote"/>
      </w:pPr>
      <w:r w:rsidRPr="00AD2F44">
        <w:rPr>
          <w:i/>
          <w:iCs/>
        </w:rPr>
        <w:t>Seventh Circuit:</w:t>
      </w:r>
      <w:r w:rsidRPr="00AD2F44">
        <w:t xml:space="preserve"> Kelly v. Bluegreen Corp., 2009 WL 425809 (W.D. Wis. Feb. 20, 2009); Coan v. Nightingale Home Healthcare, Inc., 2005 WL 1799454 (S.D. Ind. June 29, 2005); Mielke v. Laidlaw Transit, Inc., 2003 WL 134996 (N.D. Ill. Jan. 17, 2003).</w:t>
      </w:r>
    </w:p>
    <w:p w14:paraId="057F0280" w14:textId="77777777" w:rsidR="004322B1" w:rsidRPr="00AD2F44" w:rsidRDefault="004322B1">
      <w:pPr>
        <w:pStyle w:val="14Footnote"/>
      </w:pPr>
      <w:r w:rsidRPr="00AD2F44">
        <w:rPr>
          <w:i/>
          <w:iCs/>
        </w:rPr>
        <w:t>Eighth Circuit:</w:t>
      </w:r>
      <w:r w:rsidRPr="00AD2F44">
        <w:t xml:space="preserve"> Perez-Benites v. Candy Brand, LLC, 2008 WL 4809105 (W.D. Ark. Oct. 31, 2008); Kalish v. High Tech Inst., Inc., F. Supp. 2d 2005 WL 1073645 (D. Minn. Apr. 22, 2005).</w:t>
      </w:r>
    </w:p>
    <w:p w14:paraId="748F8A24" w14:textId="77777777" w:rsidR="004322B1" w:rsidRPr="00AD2F44" w:rsidRDefault="004322B1">
      <w:pPr>
        <w:pStyle w:val="14Footnote"/>
      </w:pPr>
      <w:r w:rsidRPr="00AD2F44">
        <w:rPr>
          <w:i/>
          <w:iCs/>
        </w:rPr>
        <w:t>Ninth Circuit:</w:t>
      </w:r>
      <w:r w:rsidRPr="00AD2F44">
        <w:t xml:space="preserve"> Ramirez v. Ghilotti Bros., 941 F. Supp. 2d 1197, 1206–07 (N.D. Cal. 2013) (rejecting defendant’s request to allow notice to be disseminated by third-party administrator to keep contact information of putative class members from plaintiffs’ counsel because defendant presented no reason to suggest plaintiffs’ counsel would violate their professional responsibilities toward potential class members); Escobar v. Whiteside Constr. Corp., 2008 U.S. Dist. LEXIS 68439 at *15 (N.D. Cal. Aug. 21, 2008); Carter v. Anderson Merch., LP, 2008 WL 2783193, at *7 (C.D. Cal. July 10, 2008) (authorizing plaintiffs’ counsel to send notice and rejecting request for third-party administrator because costs associated with it would increase plaintiffs’ burden); Campbell v. Pricewaterhouse Coopers, LLP, 2008 WL 2345035 (E.D. Cal. June 5, 2008); Morton v. Valley Farm Transp., Inc., 2007 WL 1113999 (N.D. Cal. Apr. 13, 2007); </w:t>
      </w:r>
      <w:r w:rsidRPr="00AD2F44">
        <w:rPr>
          <w:i/>
          <w:iCs/>
        </w:rPr>
        <w:t>In re</w:t>
      </w:r>
      <w:r w:rsidRPr="00AD2F44">
        <w:t xml:space="preserve"> Farmers Ins. Exch. Claims Reps. Overtime Pay Litig., 2003 WL 23669376 (D. Or. May 19, 2003).</w:t>
      </w:r>
    </w:p>
    <w:p w14:paraId="41B37646" w14:textId="77777777" w:rsidR="004322B1" w:rsidRPr="00AD2F44" w:rsidRDefault="004322B1">
      <w:pPr>
        <w:pStyle w:val="14Footnote"/>
      </w:pPr>
      <w:r w:rsidRPr="00AD2F44">
        <w:rPr>
          <w:i/>
          <w:iCs/>
        </w:rPr>
        <w:t>Eleventh Circuit:</w:t>
      </w:r>
      <w:r w:rsidRPr="00AD2F44">
        <w:t xml:space="preserve"> Rojas v. Garda CL Se., Inc., 297 F.R.D. 669, 682 (S.D. Fla. 2013); Howard v. Orange Lake Country Club, Inc., 2008 WL 5263744 (M.D. Fla. Dec. 17, 2008); Vondriska v. Premier Mortg. Funding, Inc., 564 F. Supp. 2d 1330 (M.D. Fla. 2007); Butler v. Oak St. Mortg., LLC, 2006 WL 5519070 (S.D. Fla. Dec. 22, 2006); Barrett v. Capital Acquisitions &amp; Mgmt. Co., 2004 WL 5309097 (S.D. Fla. Mar. 15, 2004).</w:t>
      </w:r>
    </w:p>
  </w:footnote>
  <w:footnote w:id="430">
    <w:p w14:paraId="1CCD2430" w14:textId="77777777" w:rsidR="004322B1" w:rsidRPr="00AD2F44" w:rsidRDefault="004322B1">
      <w:pPr>
        <w:pStyle w:val="14Footnote"/>
      </w:pPr>
      <w:r w:rsidRPr="00AD2F44">
        <w:rPr>
          <w:vertAlign w:val="superscript"/>
        </w:rPr>
        <w:footnoteRef/>
      </w:r>
      <w:r w:rsidRPr="00AD2F44">
        <w:rPr>
          <w:i/>
        </w:rPr>
        <w:t xml:space="preserve">See, e.g., </w:t>
      </w:r>
    </w:p>
    <w:p w14:paraId="04F2073A" w14:textId="77777777" w:rsidR="004322B1" w:rsidRPr="00AD2F44" w:rsidRDefault="004322B1">
      <w:pPr>
        <w:pStyle w:val="14Footnote"/>
      </w:pPr>
      <w:r w:rsidRPr="00AD2F44">
        <w:rPr>
          <w:i/>
          <w:iCs/>
        </w:rPr>
        <w:t xml:space="preserve">Ninth Circuit: </w:t>
      </w:r>
      <w:r w:rsidRPr="00AD2F44">
        <w:t>Russell v. Wells Fargo &amp; Co., 2008 U.S. Dist. LEXIS 78771, at *14–15 (N.D. Cal. Sept. 3, 2008) (using third-party administrator to facilitate revised notice distributions where there were concerns about integrity of first notice distribution).</w:t>
      </w:r>
    </w:p>
    <w:p w14:paraId="540C01FA" w14:textId="77777777" w:rsidR="004322B1" w:rsidRPr="00AD2F44" w:rsidRDefault="004322B1">
      <w:pPr>
        <w:pStyle w:val="14Footnote"/>
      </w:pPr>
      <w:r w:rsidRPr="00AD2F44">
        <w:rPr>
          <w:i/>
          <w:iCs/>
        </w:rPr>
        <w:t>Tenth Circuit:</w:t>
      </w:r>
      <w:r w:rsidRPr="00AD2F44">
        <w:t xml:space="preserve"> Barnwell v. Corrections Corp. of Am., 2008 U.S. Dist. LEXIS 104230 (D. Kan. Dec. 9, 2008).</w:t>
      </w:r>
    </w:p>
    <w:p w14:paraId="6BB4BFB7" w14:textId="77777777" w:rsidR="004322B1" w:rsidRPr="00AD2F44" w:rsidRDefault="004322B1">
      <w:pPr>
        <w:pStyle w:val="14Footnote"/>
      </w:pPr>
      <w:r w:rsidRPr="00AD2F44">
        <w:rPr>
          <w:i/>
        </w:rPr>
        <w:t>But see</w:t>
      </w:r>
    </w:p>
    <w:p w14:paraId="102BBEE7" w14:textId="77777777" w:rsidR="004322B1" w:rsidRPr="00AD2F44" w:rsidRDefault="004322B1">
      <w:pPr>
        <w:pStyle w:val="14Footnote"/>
      </w:pPr>
      <w:r w:rsidRPr="00AD2F44">
        <w:rPr>
          <w:i/>
          <w:iCs/>
        </w:rPr>
        <w:t xml:space="preserve">Second Circuit: </w:t>
      </w:r>
      <w:r w:rsidRPr="00AD2F44">
        <w:t>Hart v. Crab Addison, Inc., 2015 WL 365785 (W.D.N.Y. Jan. 27, 2015) (rejecting use of third-party administrator).</w:t>
      </w:r>
    </w:p>
  </w:footnote>
  <w:footnote w:id="431">
    <w:p w14:paraId="79475B49" w14:textId="77777777" w:rsidR="004322B1" w:rsidRPr="00AD2F44" w:rsidRDefault="004322B1">
      <w:pPr>
        <w:pStyle w:val="14Footnote"/>
      </w:pPr>
      <w:r w:rsidRPr="00AD2F44">
        <w:rPr>
          <w:vertAlign w:val="superscript"/>
        </w:rPr>
        <w:footnoteRef/>
      </w:r>
      <w:r w:rsidRPr="00AD2F44">
        <w:rPr>
          <w:i/>
          <w:iCs/>
        </w:rPr>
        <w:t>See, e.g</w:t>
      </w:r>
      <w:r w:rsidRPr="00AD2F44">
        <w:t>., Torres v. CSK Auto Inc., 2003 U.S. Dist. LEXIS 25092 (W.D. Tex. Dec. 17, 2003) (ordering defendant to disseminate notice).</w:t>
      </w:r>
    </w:p>
  </w:footnote>
  <w:footnote w:id="432">
    <w:p w14:paraId="418608A3" w14:textId="77777777" w:rsidR="004322B1" w:rsidRPr="00AD2F44" w:rsidRDefault="004322B1">
      <w:pPr>
        <w:pStyle w:val="14Footnote"/>
      </w:pPr>
      <w:r w:rsidRPr="00AD2F44">
        <w:rPr>
          <w:vertAlign w:val="superscript"/>
        </w:rPr>
        <w:footnoteRef/>
      </w:r>
      <w:r w:rsidRPr="00AD2F44">
        <w:rPr>
          <w:i/>
          <w:iCs/>
        </w:rPr>
        <w:t>See, e.g.,</w:t>
      </w:r>
    </w:p>
    <w:p w14:paraId="4E063EA3" w14:textId="77777777" w:rsidR="004322B1" w:rsidRPr="00AD2F44" w:rsidRDefault="004322B1">
      <w:pPr>
        <w:pStyle w:val="14Footnote"/>
      </w:pPr>
      <w:r w:rsidRPr="00AD2F44">
        <w:rPr>
          <w:i/>
          <w:iCs/>
        </w:rPr>
        <w:t>Second Circuit:</w:t>
      </w:r>
      <w:r w:rsidRPr="00AD2F44">
        <w:t xml:space="preserve"> Hallissey v. America Online, Inc., 2008 WL 465112 (S.D.N.Y. Feb. 19, 2008).</w:t>
      </w:r>
    </w:p>
    <w:p w14:paraId="609DE2DB" w14:textId="77777777" w:rsidR="004322B1" w:rsidRPr="00AD2F44" w:rsidRDefault="004322B1">
      <w:pPr>
        <w:pStyle w:val="14Footnote"/>
      </w:pPr>
      <w:r w:rsidRPr="00AD2F44">
        <w:rPr>
          <w:i/>
          <w:iCs/>
        </w:rPr>
        <w:t>Fifth Circuit:</w:t>
      </w:r>
      <w:r w:rsidRPr="00AD2F44">
        <w:t xml:space="preserve"> De La Rosa Ortiz v. Rain King, Inc., 2003 WL 23741409 (S.D. Tex. Mar. 10, 2003).</w:t>
      </w:r>
    </w:p>
    <w:p w14:paraId="2414DE20" w14:textId="77777777" w:rsidR="004322B1" w:rsidRPr="00AD2F44" w:rsidRDefault="004322B1">
      <w:pPr>
        <w:pStyle w:val="14Footnote"/>
      </w:pPr>
      <w:r w:rsidRPr="00AD2F44">
        <w:rPr>
          <w:i/>
          <w:iCs/>
        </w:rPr>
        <w:t>Eighth Circuit:</w:t>
      </w:r>
      <w:r w:rsidRPr="00AD2F44">
        <w:t xml:space="preserve"> Perez-Benites v. Candy Brand LLC, 2008 U.S. Dist. LEXIS 91402 (W.D. Ark. Oct. 31, 2008).</w:t>
      </w:r>
    </w:p>
    <w:p w14:paraId="4F9A410C" w14:textId="77777777" w:rsidR="004322B1" w:rsidRPr="00AD2F44" w:rsidRDefault="004322B1">
      <w:pPr>
        <w:pStyle w:val="14Footnote"/>
      </w:pPr>
      <w:r w:rsidRPr="00AD2F44">
        <w:rPr>
          <w:i/>
          <w:iCs/>
        </w:rPr>
        <w:t>Eleventh Circuit:</w:t>
      </w:r>
      <w:r w:rsidRPr="00AD2F44">
        <w:t xml:space="preserve"> Howard v. Orange Lake Country Club, Inc., 2008 WL 5263744 (M.D. Fla. Dec. 17, 2008); Vaccaro v. Candidates on Demand Grp., Inc., 2008 U.S. Dist. LEXIS 29344 (S.D. Fla. Apr. 10, 2008); Butler v. Oak St. Mortg., LLC, 2006 WL 5519070 (S.D. Fla. Dec. 22, 2006); Barrett v. Capital Acquisitions &amp; Mgmt. Co., 2004 WL 5309097 (S.D. Fla. Mar. 15, 2004) (plaintiffs bear cost of mailing).</w:t>
      </w:r>
    </w:p>
    <w:p w14:paraId="6BBE57E0" w14:textId="77777777" w:rsidR="004322B1" w:rsidRPr="00AD2F44" w:rsidRDefault="004322B1">
      <w:pPr>
        <w:pStyle w:val="14Footnote"/>
      </w:pPr>
      <w:r w:rsidRPr="00AD2F44">
        <w:rPr>
          <w:i/>
          <w:iCs/>
        </w:rPr>
        <w:t>But see</w:t>
      </w:r>
      <w:r w:rsidRPr="00AD2F44">
        <w:t xml:space="preserve"> Mevorah v. Wells Fargo Home Mortg., Inc., 2005 WL 4813532, at *6 (N.D. Cal. Nov. 17, 2005) (ordering defendant to bear cost of distributing notice where it had engaged in improper and misleading precertification communications with putative collective).</w:t>
      </w:r>
    </w:p>
  </w:footnote>
  <w:footnote w:id="433">
    <w:p w14:paraId="003E2982" w14:textId="77777777" w:rsidR="004322B1" w:rsidRPr="00AD2F44" w:rsidRDefault="004322B1">
      <w:pPr>
        <w:pStyle w:val="14Footnote"/>
      </w:pPr>
      <w:r w:rsidRPr="00AD2F44">
        <w:rPr>
          <w:vertAlign w:val="superscript"/>
        </w:rPr>
        <w:footnoteRef/>
      </w:r>
      <w:r w:rsidRPr="00AD2F44">
        <w:rPr>
          <w:i/>
          <w:iCs/>
        </w:rPr>
        <w:t>See, e.g.,</w:t>
      </w:r>
    </w:p>
    <w:p w14:paraId="6BCB20E3" w14:textId="77777777" w:rsidR="004322B1" w:rsidRPr="00AD2F44" w:rsidRDefault="004322B1">
      <w:pPr>
        <w:pStyle w:val="14Footnote"/>
      </w:pPr>
      <w:r w:rsidRPr="00AD2F44">
        <w:rPr>
          <w:i/>
          <w:iCs/>
        </w:rPr>
        <w:t>Second Circuit:</w:t>
      </w:r>
      <w:r w:rsidRPr="00AD2F44">
        <w:t xml:space="preserve"> Colozzi v. St. Joseph’s Hosp. Health Ctr., 2009 WL 211401 (N.D.N.Y. Jan. 26, 2009); Hamelin v. Faxton-St. Luke’s Healthcare, 2009 WL 211512 (N.D.N.Y. Jan. 26, 2009); Rubery v. Buth-Na-Bodhaige, Inc., 569 F. Supp. 2d 334 (W.D.N.Y. 2008); Gilliam v. Addicts Rehab. Ctr. Fund, 2008 WL 782596 (S.D.N.Y. Mar. 24, 2008); Hallissey v. America Online, Inc., 2008 WL 465112 (S.D.N.Y. Feb. 19, 2008); Levy v. Verizon Info. Servs. Inc., 2007 WL 1747104 (E.D.N.Y. June 11, 2007).</w:t>
      </w:r>
    </w:p>
    <w:p w14:paraId="6AB99B4D" w14:textId="77777777" w:rsidR="004322B1" w:rsidRPr="00AD2F44" w:rsidRDefault="004322B1">
      <w:pPr>
        <w:pStyle w:val="14Footnote"/>
      </w:pPr>
      <w:r w:rsidRPr="00AD2F44">
        <w:rPr>
          <w:i/>
          <w:iCs/>
        </w:rPr>
        <w:t>Third Circuit:</w:t>
      </w:r>
      <w:r w:rsidRPr="00AD2F44">
        <w:t xml:space="preserve"> Ritzer v. UBS Fin. Servs., Inc., 2008 WL 4372784, at *11–12 (D.N.J. Sept. 22, 2008) (“Generally, first class mail is sufficient to place putative class members on notice of a collective action.”); Chabrier v. Wilmington Fin., Inc., 2006 WL 3742774 (E.D. Pa. Dec. 13, 2006); Goldman v. Radioshack Corp., 2003 WL 2125057 (E.D. Pa. Apr. 16, 2003).</w:t>
      </w:r>
    </w:p>
    <w:p w14:paraId="6D87C458" w14:textId="77777777" w:rsidR="004322B1" w:rsidRPr="00AD2F44" w:rsidRDefault="004322B1">
      <w:pPr>
        <w:pStyle w:val="14Footnote"/>
      </w:pPr>
      <w:r w:rsidRPr="00AD2F44">
        <w:rPr>
          <w:i/>
          <w:iCs/>
        </w:rPr>
        <w:t>Fourth Circuit:</w:t>
      </w:r>
      <w:r w:rsidRPr="00AD2F44">
        <w:t xml:space="preserve"> Williams v. Long, 585 F. Supp. 2d 679 (D. Md. 2008); Sharer v. Tandberg, Inc., 2006 WL 2988104 (E.D. Va. Oct. 17, 2006).</w:t>
      </w:r>
    </w:p>
    <w:p w14:paraId="0C8448FA" w14:textId="77777777" w:rsidR="004322B1" w:rsidRPr="006F46AE" w:rsidRDefault="004322B1">
      <w:pPr>
        <w:pStyle w:val="14Footnote"/>
      </w:pPr>
      <w:r w:rsidRPr="00AD2F44">
        <w:rPr>
          <w:i/>
          <w:iCs/>
        </w:rPr>
        <w:t>Fifth Circuit:</w:t>
      </w:r>
      <w:r w:rsidRPr="00AD2F44">
        <w:t xml:space="preserve"> Lima v. International Catastrophe Sols., Inc., 493 F. Supp. 2d 793 (E.D. La. 2007); Quintanilla v. A &amp; R Demolition Inc., 2007 WL 5166849 (S.D. Tex. May 7, 2007); </w:t>
      </w:r>
      <w:r w:rsidRPr="00AD2F44">
        <w:rPr>
          <w:i/>
          <w:iCs/>
        </w:rPr>
        <w:t>Vogt</w:t>
      </w:r>
      <w:r w:rsidRPr="00AD2F44">
        <w:t xml:space="preserve">, 2006 WL 4660134; Alba v. Loncar, 2004 WL 1144052 (N.D. Tex. </w:t>
      </w:r>
      <w:r w:rsidRPr="006F46AE">
        <w:t>May 20, 2004); De La Rosa Ortiz v. Rain King, Inc., 2003 23741409 (S.D. Tex. Mar. 10, 2003).</w:t>
      </w:r>
    </w:p>
    <w:p w14:paraId="49F04C9A" w14:textId="77777777" w:rsidR="004322B1" w:rsidRPr="00AD2F44" w:rsidRDefault="004322B1">
      <w:pPr>
        <w:pStyle w:val="14Footnote"/>
      </w:pPr>
      <w:r w:rsidRPr="00AD2F44">
        <w:rPr>
          <w:i/>
          <w:iCs/>
        </w:rPr>
        <w:t>Sixth Circuit:</w:t>
      </w:r>
      <w:r w:rsidRPr="00AD2F44">
        <w:t xml:space="preserve"> Larson v. Rush Fitness Corp., 2012 U.S. Dist. LEXIS 189211 (E.D. Tenn. Oct. 17, 2012), </w:t>
      </w:r>
      <w:r w:rsidRPr="00AD2F44">
        <w:rPr>
          <w:i/>
          <w:iCs/>
        </w:rPr>
        <w:t>adopted by</w:t>
      </w:r>
      <w:r w:rsidRPr="00AD2F44">
        <w:t xml:space="preserve"> 2013 U.S. Dist. LEXIS 163541 (E.D. Tenn. Sept. 23, 2013); Landsberg v. Acton Enter., Inc., 2008 WL 2468868 (S.D. Ohio June 16, 2008).</w:t>
      </w:r>
    </w:p>
    <w:p w14:paraId="22B7891D" w14:textId="77777777" w:rsidR="004322B1" w:rsidRPr="00AD2F44" w:rsidRDefault="004322B1">
      <w:pPr>
        <w:pStyle w:val="14Footnote"/>
      </w:pPr>
      <w:r w:rsidRPr="00AD2F44">
        <w:rPr>
          <w:i/>
          <w:iCs/>
        </w:rPr>
        <w:t>Seventh Circuit:</w:t>
      </w:r>
      <w:r w:rsidRPr="00AD2F44">
        <w:t xml:space="preserve"> Kelly v. Bluegreen Corp., 2009 WL 425809 (W.D. Wis. Feb. 20, 2009); Dekeyser v. Thyssenkrupp Waupaca, Inc., 2008 WL 5263750 (E.D. Wis. Dec. 18, 2008); Garcia v. Salamanca Grp., Ltd., 2008 U.S. Dist. LEXIS 22852 (N.D. Ill. Mar. 24, 2008); Sjoblom v. Charter Commc’ns, LLC, 2008 U.S. Dist. LEXIS 18369 (W.D. Wis. Mar. 4, 2008); Coan v. Nightingale Home Healthcare, Inc., 2005 WL 1799454 (S.D. Ind. June 29, 2005); Krieg v. Pell’s, Inc., 2001 WL 548394 (S.D. Ind. Mar. 29, 2001).</w:t>
      </w:r>
    </w:p>
    <w:p w14:paraId="7613D6DA" w14:textId="77777777" w:rsidR="004322B1" w:rsidRPr="00AD2F44" w:rsidRDefault="004322B1">
      <w:pPr>
        <w:pStyle w:val="14Footnote"/>
      </w:pPr>
      <w:r w:rsidRPr="00AD2F44">
        <w:rPr>
          <w:i/>
          <w:iCs/>
        </w:rPr>
        <w:t>Eighth Circuit:</w:t>
      </w:r>
      <w:r w:rsidRPr="00AD2F44">
        <w:t xml:space="preserve"> Martinez v. Cargill Meat Sols., Inc., 265 F.R.D. 490, 500–01 (D. Neb. 2009) (rejecting plaintiff’s request to disseminate notice by workplace posting and radio and newspaper announcements, and limiting notice to first class mail, where all class members worked at one location, and no evidence existed that mail would be ineffective); Perez-Benites v. Candy Brand, LLC, 2008 WL 4809105 (W.D. Ark. Oct. 31, 2008).</w:t>
      </w:r>
    </w:p>
    <w:p w14:paraId="722667AC" w14:textId="77777777" w:rsidR="004322B1" w:rsidRPr="00AD2F44" w:rsidRDefault="004322B1">
      <w:pPr>
        <w:pStyle w:val="14Footnote"/>
      </w:pPr>
      <w:r w:rsidRPr="00AD2F44">
        <w:rPr>
          <w:i/>
          <w:iCs/>
        </w:rPr>
        <w:t>Ninth Circuit:</w:t>
      </w:r>
      <w:r w:rsidRPr="00AD2F44">
        <w:t xml:space="preserve"> Mowdy v. Beneto Bulk Transp., 2008 WL 901546 (N.D. Cal. 2008); Russell v. Wells Fargo &amp; Co., 2008 WL 4104212 (N.D. Cal. Sept. 3, 2008); Campbell v. Pricewaterhouse Coopers, LLP, 2008 WL 2345035 (E.D. Cal. June 5, 2008); Adams v. Inter-Con Sec. Sys., Inc., 242 F.R.D. 530, 541 (N.D. Cal. 2007) (“First class mail is ordinarily sufficient to notify class members who have been identified.”); Delgado v. Ortho-McNeil, Inc., 2007 WL 2847238 (C.D. Cal. Aug. 7, 2007); Romero v. Producers Dairy Foods, Inc., 235 F.R.D. 474 (E.D. Cal. 2006); Morales v. Five J’s Trucking, Inc., 2006 WL 1409733 (E.D. Cal. May 23, 2006); </w:t>
      </w:r>
      <w:r w:rsidRPr="00AD2F44">
        <w:rPr>
          <w:i/>
          <w:iCs/>
        </w:rPr>
        <w:t>In re</w:t>
      </w:r>
      <w:r w:rsidRPr="00AD2F44">
        <w:t xml:space="preserve"> Farmers Inc. Exch. Claims Reps. Overtime Pay Litig., 2003 WL 23669376 (D. Or. May 19, 2003).</w:t>
      </w:r>
    </w:p>
    <w:p w14:paraId="466422B3" w14:textId="77777777" w:rsidR="004322B1" w:rsidRPr="00AD2F44" w:rsidRDefault="004322B1">
      <w:pPr>
        <w:pStyle w:val="14Footnote"/>
      </w:pPr>
      <w:r w:rsidRPr="00AD2F44">
        <w:rPr>
          <w:i/>
          <w:iCs/>
        </w:rPr>
        <w:t>Tenth Circuit:</w:t>
      </w:r>
      <w:r w:rsidRPr="00AD2F44">
        <w:t xml:space="preserve"> Reab v. Electronic Arts, Inc., 214 F.R.D. 623, 629 (D. Colo. 2002) (“Notification by first class mail is the preferred method … . First class mail ensures, at the outset, that the appropriately targeted audience receives the intended notification and maximizes the integrity of the notice process.”).</w:t>
      </w:r>
    </w:p>
    <w:p w14:paraId="0A94188E" w14:textId="77777777" w:rsidR="004322B1" w:rsidRPr="00AD2F44" w:rsidRDefault="004322B1">
      <w:pPr>
        <w:pStyle w:val="14Footnote"/>
      </w:pPr>
      <w:r w:rsidRPr="00AD2F44">
        <w:rPr>
          <w:i/>
          <w:iCs/>
        </w:rPr>
        <w:t>Eleventh Circuit:</w:t>
      </w:r>
      <w:r w:rsidRPr="00AD2F44">
        <w:t xml:space="preserve"> Howard v. Orange Lake Country Club, Inc., 2008 WL 5263744 (M.D. Fla. Dec. 17, 2008); Vaccaro v. Candidates on Demand Grp., Inc., 2008 U.S. Dist. LEXIS 29344 (S.D. Fla. Apr. 10, 2008); Vondriska v. Premier Mortg. Funding, Inc., 564 F. Supp. 2d 1330 (M.D. Fla. 2007); Butler v. Oak St. Mortg., LLC, 2006 WL 5519070 (S.D. Fla. Dec. 22, 2006). </w:t>
      </w:r>
    </w:p>
  </w:footnote>
  <w:footnote w:id="434">
    <w:p w14:paraId="6E7EA5CC" w14:textId="77777777" w:rsidR="004322B1" w:rsidRPr="00AD2F44" w:rsidRDefault="004322B1">
      <w:pPr>
        <w:pStyle w:val="14Footnote"/>
      </w:pPr>
      <w:r w:rsidRPr="00AD2F44">
        <w:rPr>
          <w:vertAlign w:val="superscript"/>
        </w:rPr>
        <w:footnoteRef/>
      </w:r>
      <w:r w:rsidRPr="00AD2F44">
        <w:rPr>
          <w:i/>
        </w:rPr>
        <w:t xml:space="preserve">See, e.g., </w:t>
      </w:r>
    </w:p>
    <w:p w14:paraId="0BAB7561"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6F46AE">
        <w:t xml:space="preserve">2022 WL 17820139 </w:t>
      </w:r>
      <w:r>
        <w:t xml:space="preserve">(E.D.N.Y. Sept. 27, 2022) (authorizing notice by first class mail and email); </w:t>
      </w:r>
      <w:r w:rsidRPr="00AD2F44">
        <w:t>Curry v. P&amp;G Auditors &amp; Consultants, LLC, 2021 BL 220783, 2021 WL 2414968 (S.D.N.Y. June 14, 2021) (authorizing notice by email and text); Pettenato v. Beacon Health Options, Inc</w:t>
      </w:r>
      <w:r w:rsidRPr="00AD2F44">
        <w:rPr>
          <w:i/>
          <w:iCs/>
        </w:rPr>
        <w:t>.,</w:t>
      </w:r>
      <w:r w:rsidRPr="00AD2F44">
        <w:t xml:space="preserve"> 425 F. Supp. 3d 264, 285 (S.D.N.Y. 2019) (authorizing notice by email, but not text); Shiqiang Gao v. A Canaan Sushi Inc., 2019 WL 6724359, at *4 (S.D.N.Y. Dec. 10, 2019) (permitting notice to be distributed via email, text messaging, and social media).</w:t>
      </w:r>
    </w:p>
    <w:p w14:paraId="4BC2BDDD" w14:textId="77777777" w:rsidR="004322B1" w:rsidRPr="00AD2F44" w:rsidRDefault="004322B1">
      <w:pPr>
        <w:pStyle w:val="14Footnote"/>
      </w:pPr>
      <w:r w:rsidRPr="00AD2F44">
        <w:rPr>
          <w:i/>
          <w:iCs/>
        </w:rPr>
        <w:t xml:space="preserve">Third Circuit: </w:t>
      </w:r>
      <w:r w:rsidRPr="00AD2F44">
        <w:t>Garcia v. Vertical Screen, Inc., 387 F. Supp. 3d 598, 611 (E.D. Pa. 2019) (approving of email notice).</w:t>
      </w:r>
    </w:p>
    <w:p w14:paraId="08FAA6E6" w14:textId="77777777" w:rsidR="004322B1" w:rsidRPr="00AD2F44" w:rsidRDefault="004322B1">
      <w:pPr>
        <w:pStyle w:val="14Footnote"/>
      </w:pPr>
      <w:r w:rsidRPr="00AD2F44">
        <w:rPr>
          <w:i/>
          <w:iCs/>
        </w:rPr>
        <w:t>Fourth Circuit</w:t>
      </w:r>
      <w:r w:rsidRPr="00AD2F44">
        <w:t xml:space="preserve">: Irvine v. Destination Wild Dunes Mgmt., Inc., 132 F. Supp. 3d 707, 711 (D.S.C. 2015) (“The request that notice be distributed via direct mail, email and text messaging appears eminently reasonable to the Court. This has become a much more mobile society with one’s email address and cell phone number serving as the most consistent and reliable method of communication.”). </w:t>
      </w:r>
    </w:p>
    <w:p w14:paraId="12E17058" w14:textId="77777777" w:rsidR="004322B1" w:rsidRPr="00AD2F44" w:rsidRDefault="004322B1">
      <w:pPr>
        <w:pStyle w:val="14Footnote"/>
      </w:pPr>
      <w:r w:rsidRPr="00AD2F44">
        <w:rPr>
          <w:i/>
          <w:iCs/>
        </w:rPr>
        <w:t>Fifth Circuit</w:t>
      </w:r>
      <w:r w:rsidRPr="00AD2F44">
        <w:t>: Norman v. Neighborhood Healthcare Providers, PLLC, 2020 BL 314923, 2020 WL 4873848 (S.D. Miss. Aug. 19, 2020) (rejecting defendant’s argument for one-time first-class mailing of notice, noting that much business previously conducted by first-class mail has transitioned to paperless format); Murillo v. Berry Bros. Gen. Contractors Inc., 2019 WL 4640010, at *6 (W.D. La. Sept. 23, 2019) (“The Court will allow Plaintiff to provide notice by all requested methods, U.S. Mail, email and text message.”).</w:t>
      </w:r>
    </w:p>
    <w:p w14:paraId="6D9F8894" w14:textId="77777777" w:rsidR="004322B1" w:rsidRPr="00AD2F44" w:rsidRDefault="004322B1">
      <w:pPr>
        <w:pStyle w:val="14Footnote"/>
      </w:pPr>
      <w:r w:rsidRPr="00AD2F44">
        <w:rPr>
          <w:i/>
          <w:iCs/>
        </w:rPr>
        <w:t>Sixth Circuit</w:t>
      </w:r>
      <w:r w:rsidRPr="00AD2F44">
        <w:t>: Bernardez v. Firstsource Sols. USA, LLC, No. 17-613, 2019 WL 4345986, at *9 (W.D. Ky. Sept. 12, 2019) (allowing plaintiffs to send notice via U.S. Mail, email, and text message).</w:t>
      </w:r>
    </w:p>
    <w:p w14:paraId="1C4780D7" w14:textId="77777777" w:rsidR="004322B1" w:rsidRPr="00AD2F44" w:rsidRDefault="004322B1">
      <w:pPr>
        <w:pStyle w:val="14Footnote"/>
      </w:pPr>
      <w:r w:rsidRPr="00AD2F44">
        <w:rPr>
          <w:i/>
          <w:iCs/>
        </w:rPr>
        <w:t>Seventh Circuit</w:t>
      </w:r>
      <w:r w:rsidRPr="00AD2F44">
        <w:t>: Alvarado v. International Laser Prod., Inc</w:t>
      </w:r>
      <w:r w:rsidRPr="00AD2F44">
        <w:rPr>
          <w:i/>
          <w:iCs/>
        </w:rPr>
        <w:t>.</w:t>
      </w:r>
      <w:r w:rsidRPr="00AD2F44">
        <w:t xml:space="preserve">, 2019 WL 3337995, at *3 (N.D. Ill. June 19, 2019) (“The court agrees with Plaintiffs that e-mail and text communication is the most straightforward and effective method of communicating with the potential class members.”); </w:t>
      </w:r>
      <w:r>
        <w:rPr>
          <w:i/>
          <w:iCs/>
        </w:rPr>
        <w:t xml:space="preserve">see also </w:t>
      </w:r>
      <w:r>
        <w:t xml:space="preserve">Wilmoth v. Steak N Shake, </w:t>
      </w:r>
      <w:r w:rsidRPr="00EE5233">
        <w:t>2022 BL 192705</w:t>
      </w:r>
      <w:r>
        <w:t xml:space="preserve">, </w:t>
      </w:r>
      <w:r w:rsidRPr="006F46AE">
        <w:t>2022 WL 1913026</w:t>
      </w:r>
      <w:r>
        <w:t xml:space="preserve"> (S.D. Ind. June 3, 2022) (approving notice by mail, email, and website); </w:t>
      </w:r>
      <w:r w:rsidRPr="00AD2F44">
        <w:t>Lucas v. JJ’s of Macomb, Inc</w:t>
      </w:r>
      <w:r w:rsidRPr="00AD2F44">
        <w:rPr>
          <w:i/>
          <w:iCs/>
        </w:rPr>
        <w:t xml:space="preserve">., </w:t>
      </w:r>
      <w:r w:rsidRPr="00AD2F44">
        <w:t>2019 WL 993657, at *6 (C.D. Ill. Feb. 8, 2019) (approving sending of the notice and consent forms via regular U.S. mail, email, and text message).</w:t>
      </w:r>
    </w:p>
    <w:p w14:paraId="7E26814F" w14:textId="77777777" w:rsidR="004322B1" w:rsidRPr="00AD2F44" w:rsidRDefault="004322B1">
      <w:pPr>
        <w:pStyle w:val="14Footnote"/>
      </w:pPr>
      <w:r w:rsidRPr="00AD2F44">
        <w:rPr>
          <w:i/>
          <w:iCs/>
        </w:rPr>
        <w:t>Eighth Circuit</w:t>
      </w:r>
      <w:r w:rsidRPr="00AD2F44">
        <w:t xml:space="preserve">: Smart v. City of Hughes, 2021 BL 46770, 2021 WL 500713 (E.D. Ark. Feb. 10, 2021) (denying defendant’s request to only send notice by first-class mail or email but not both, holding sending by both methods better serves remedial purposes of FLSA). </w:t>
      </w:r>
    </w:p>
    <w:p w14:paraId="263B9F4C" w14:textId="77777777" w:rsidR="004322B1" w:rsidRPr="00AD2F44" w:rsidRDefault="004322B1">
      <w:pPr>
        <w:pStyle w:val="14Footnote"/>
      </w:pPr>
      <w:r w:rsidRPr="00AD2F44">
        <w:rPr>
          <w:i/>
          <w:iCs/>
        </w:rPr>
        <w:t>Ninth Circuit</w:t>
      </w:r>
      <w:r w:rsidRPr="00AD2F44">
        <w:t xml:space="preserve">: Delara v. Diamond Resorts Int’l Mktg., Inc., 2020 WL 2085957, at *6 (D. Nev. Apr. 30, 2020) (holding email notice was appropriate in addition to postal mail because it is efficient and low-cost and is particularly appropriate where employer may lack physical mailing addresses for former employees). </w:t>
      </w:r>
    </w:p>
    <w:p w14:paraId="585AFA27" w14:textId="77777777" w:rsidR="004322B1" w:rsidRPr="00AD2F44" w:rsidRDefault="004322B1">
      <w:pPr>
        <w:pStyle w:val="14Footnote"/>
      </w:pPr>
      <w:r w:rsidRPr="00AD2F44">
        <w:rPr>
          <w:i/>
          <w:iCs/>
        </w:rPr>
        <w:t>Tenth Circuit</w:t>
      </w:r>
      <w:r w:rsidRPr="00AD2F44">
        <w:t>: Calvillo v. Bull Rogers, Inc</w:t>
      </w:r>
      <w:r w:rsidRPr="00AD2F44">
        <w:rPr>
          <w:i/>
          <w:iCs/>
        </w:rPr>
        <w:t>.</w:t>
      </w:r>
      <w:r w:rsidRPr="00AD2F44">
        <w:t>, 267 F. Supp. 3d 1307, 1315 (D.N.M. 2017) (“Courts have recognized that notice by email and text is reasonable in today’s mobile society and that these methods of communication may offer a more reliable means of reaching an individual even if that individual is away from home or has moved.”).</w:t>
      </w:r>
    </w:p>
  </w:footnote>
  <w:footnote w:id="435">
    <w:p w14:paraId="353B9850" w14:textId="77777777" w:rsidR="004322B1" w:rsidRPr="00AD2F44" w:rsidRDefault="004322B1">
      <w:pPr>
        <w:pStyle w:val="14Footnote"/>
      </w:pPr>
      <w:r w:rsidRPr="00AD2F44">
        <w:rPr>
          <w:vertAlign w:val="superscript"/>
        </w:rPr>
        <w:footnoteRef/>
      </w:r>
      <w:r w:rsidRPr="00AD2F44">
        <w:rPr>
          <w:i/>
          <w:iCs/>
        </w:rPr>
        <w:t>See, e.g.,</w:t>
      </w:r>
    </w:p>
    <w:p w14:paraId="4A4F0F5A" w14:textId="77777777" w:rsidR="004322B1" w:rsidRDefault="004322B1">
      <w:pPr>
        <w:pStyle w:val="14Footnote"/>
      </w:pPr>
      <w:r w:rsidRPr="00AD2F44">
        <w:rPr>
          <w:i/>
          <w:iCs/>
        </w:rPr>
        <w:t>Second Circuit:</w:t>
      </w:r>
      <w:r w:rsidRPr="00AD2F44">
        <w:t xml:space="preserve"> </w:t>
      </w:r>
      <w:r>
        <w:t xml:space="preserve">Rieske v. Gov’t Emps. Ins. Co., </w:t>
      </w:r>
      <w:r w:rsidRPr="00472B59">
        <w:t>2022 BL 418813</w:t>
      </w:r>
      <w:r>
        <w:t xml:space="preserve">, </w:t>
      </w:r>
      <w:r w:rsidRPr="006F46AE">
        <w:t xml:space="preserve">2022 WL 17127745 </w:t>
      </w:r>
      <w:r>
        <w:t xml:space="preserve">(E.D.N.Y. Nov. 22, 2022) (permitting notice via mail, email, and text messaging); Richards v. Empire Scaffolding Sys., </w:t>
      </w:r>
      <w:r w:rsidRPr="001A0800">
        <w:t>2022 BL 229929</w:t>
      </w:r>
      <w:r>
        <w:t xml:space="preserve">, </w:t>
      </w:r>
      <w:r w:rsidRPr="006F46AE">
        <w:t>2022 WL 2384154</w:t>
      </w:r>
      <w:r>
        <w:t xml:space="preserve"> (S.D.N.Y. July 1, 2022) (allowing text message notice, in addition to mail and email, because of high turnover and regular use of text messaging for ordinary work communication); </w:t>
      </w:r>
      <w:r w:rsidRPr="008A1363">
        <w:t xml:space="preserve">Rodney v. Casella Waste Sys., Inc., </w:t>
      </w:r>
      <w:r w:rsidRPr="00A477A8">
        <w:rPr>
          <w:color w:val="3D3D3D"/>
          <w:shd w:val="clear" w:color="auto" w:fill="FFFFFF"/>
        </w:rPr>
        <w:t>2023 BL 17561</w:t>
      </w:r>
      <w:r>
        <w:rPr>
          <w:color w:val="3D3D3D"/>
          <w:shd w:val="clear" w:color="auto" w:fill="FFFFFF"/>
        </w:rPr>
        <w:t xml:space="preserve">, </w:t>
      </w:r>
      <w:r w:rsidRPr="008A1363">
        <w:t>2023 WL 313929 (D. Vt. Jan. 19, 2023) (</w:t>
      </w:r>
      <w:r>
        <w:t xml:space="preserve">permitting notice by </w:t>
      </w:r>
      <w:r w:rsidRPr="008A1363">
        <w:t>U.S. mail, email, text</w:t>
      </w:r>
      <w:r>
        <w:t xml:space="preserve"> </w:t>
      </w:r>
      <w:r w:rsidRPr="008A1363">
        <w:t>messag</w:t>
      </w:r>
      <w:r>
        <w:t>ing</w:t>
      </w:r>
      <w:r w:rsidRPr="008A1363">
        <w:t xml:space="preserve">, and posting notice </w:t>
      </w:r>
      <w:r>
        <w:t>at</w:t>
      </w:r>
      <w:r w:rsidRPr="008A1363">
        <w:t xml:space="preserve"> defendant’s worksites near time clocks); </w:t>
      </w:r>
      <w:r w:rsidRPr="00AD2F44">
        <w:rPr>
          <w:i/>
          <w:iCs/>
        </w:rPr>
        <w:t>Shiqiang Gao</w:t>
      </w:r>
      <w:r w:rsidRPr="00AD2F44">
        <w:t>, 2019 WL 6724359, at *4 (permitting notice to be distributed via email, text messaging, and social media); Bhumithanarn v. 22 Noodle Mkt. Corp., 2015 WL 4240985, at *5 (S.D.N.Y. July 13, 2015) (“[G]iven the high turnover characteristic of the restaurant industry, the Court finds that notice via text message is likely to be a viable and efficient means of communicating with many prospective members of this collective action.”); Martin v. Sprint/United Mgmt. Co., 2016 WL 30334, at *19 (S.D.N.Y. Jan. 4, 2016) (granting text message notice due to high turnover rate among employees).</w:t>
      </w:r>
    </w:p>
    <w:p w14:paraId="560CC4D0" w14:textId="77777777" w:rsidR="004322B1" w:rsidRDefault="004322B1">
      <w:pPr>
        <w:pStyle w:val="14Footnote"/>
      </w:pPr>
      <w:r>
        <w:rPr>
          <w:i/>
          <w:iCs/>
        </w:rPr>
        <w:t>Third Circuit</w:t>
      </w:r>
      <w:r>
        <w:t xml:space="preserve">: Russo v. Gov’t Emps. Ins. Co., </w:t>
      </w:r>
      <w:r w:rsidRPr="00A3781A">
        <w:t>2022 BL 271482</w:t>
      </w:r>
      <w:r>
        <w:t xml:space="preserve">, </w:t>
      </w:r>
      <w:r w:rsidRPr="00C324DA">
        <w:t xml:space="preserve">2022 WL 3098107 </w:t>
      </w:r>
      <w:r>
        <w:t>(D.N.J. Aug. 3, 2022) (limiting notice to first-class mail and e-mail, and rejecting text message notice as unnecessary).</w:t>
      </w:r>
    </w:p>
    <w:p w14:paraId="42E74697" w14:textId="77777777" w:rsidR="004322B1" w:rsidRPr="00686DA3" w:rsidRDefault="004322B1">
      <w:pPr>
        <w:pStyle w:val="14Footnote"/>
      </w:pPr>
      <w:r>
        <w:rPr>
          <w:i/>
          <w:iCs/>
        </w:rPr>
        <w:t xml:space="preserve">Fourth Circuit: </w:t>
      </w:r>
      <w:r>
        <w:t xml:space="preserve">Njoroge v. PrimaCare Partners, LLC, </w:t>
      </w:r>
      <w:r w:rsidRPr="00A815AC">
        <w:t>2022 BL 342131</w:t>
      </w:r>
      <w:r>
        <w:t xml:space="preserve">, </w:t>
      </w:r>
      <w:r w:rsidRPr="00C324DA">
        <w:t xml:space="preserve">2022 WL 4465894 </w:t>
      </w:r>
      <w:r>
        <w:t>(D. Md. Sept. 26, 2022) (permitting text message notice in addition to mail and email).</w:t>
      </w:r>
    </w:p>
    <w:p w14:paraId="3D8BDF54" w14:textId="77777777" w:rsidR="004322B1" w:rsidRPr="00AD2F44" w:rsidRDefault="004322B1">
      <w:pPr>
        <w:pStyle w:val="14Footnote"/>
      </w:pPr>
      <w:r w:rsidRPr="00AD2F44">
        <w:rPr>
          <w:i/>
          <w:iCs/>
        </w:rPr>
        <w:t>Fifth Circuit</w:t>
      </w:r>
      <w:r w:rsidRPr="00AD2F44">
        <w:t xml:space="preserve">: Norman v. Neighborhood Healthcare Providers, PLLC, 2020 BL 314923, 2020 WL 4873848 (S.D. Miss. Aug. 19, 2020) (refusing to authorize text messaging notice and declining request for cell phone numbers); Dickensheets v. ARC Marine, LLC, 440 F. Supp. 3d 670, 671–72 (S.D. Tex. 2020) (recognizing dispute among district courts over use of text messages, permitting text message notice and noting that text messaging has become primary method of communication); </w:t>
      </w:r>
      <w:r w:rsidRPr="00AD2F44">
        <w:rPr>
          <w:i/>
          <w:iCs/>
        </w:rPr>
        <w:t>Murillo</w:t>
      </w:r>
      <w:r w:rsidRPr="00AD2F44">
        <w:t>, 2019 WL 4640010, at *6 (“The Court will allow Plaintiff to provide notice by all requested methods, U.S. Mail, email and text message.”).</w:t>
      </w:r>
    </w:p>
    <w:p w14:paraId="3A037681" w14:textId="77777777" w:rsidR="004322B1" w:rsidRPr="00AD2F44" w:rsidRDefault="004322B1">
      <w:pPr>
        <w:pStyle w:val="14Footnote"/>
      </w:pPr>
      <w:r w:rsidRPr="00AD2F44">
        <w:rPr>
          <w:i/>
          <w:iCs/>
        </w:rPr>
        <w:t>Sixth Circuit</w:t>
      </w:r>
      <w:r w:rsidRPr="00AD2F44">
        <w:t xml:space="preserve">: </w:t>
      </w:r>
      <w:r w:rsidRPr="00AD2F44">
        <w:rPr>
          <w:i/>
          <w:iCs/>
        </w:rPr>
        <w:t>Bernardez</w:t>
      </w:r>
      <w:r w:rsidRPr="00AD2F44">
        <w:t>, 2019 WL 4345986, at *9 (allowing plaintiffs to send notice via U.S. Mail, email, and text message).</w:t>
      </w:r>
    </w:p>
    <w:p w14:paraId="31E5F64D" w14:textId="77777777" w:rsidR="004322B1" w:rsidRPr="00AD2F44" w:rsidRDefault="004322B1">
      <w:pPr>
        <w:pStyle w:val="14Footnote"/>
      </w:pPr>
      <w:r w:rsidRPr="00AD2F44">
        <w:rPr>
          <w:i/>
          <w:iCs/>
        </w:rPr>
        <w:t>Seventh Circuit</w:t>
      </w:r>
      <w:r w:rsidRPr="00AD2F44">
        <w:t xml:space="preserve">: Rossman v. EN Eng’g, LLC, 2020 WL 5253861, at *6 (N.D. Ill. Sept. 3, 2020) (“Given the fact that potential class members are assigned to jobsites all over the country and oftentimes in remote locations,” authorizing “text message and job posting communications as reasonable”); </w:t>
      </w:r>
      <w:r w:rsidRPr="00AD2F44">
        <w:rPr>
          <w:i/>
          <w:iCs/>
        </w:rPr>
        <w:t>Alvarado,</w:t>
      </w:r>
      <w:r w:rsidRPr="00AD2F44">
        <w:t xml:space="preserve"> 2019 WL 3337995, at *3 (“The court agrees with Plaintiffs that e-mail and text communication is the most straightforward and effective method of communicating with the potential class members.”).</w:t>
      </w:r>
    </w:p>
    <w:p w14:paraId="5E26ADBB" w14:textId="77777777" w:rsidR="004322B1" w:rsidRPr="00AD2F44" w:rsidRDefault="004322B1">
      <w:pPr>
        <w:pStyle w:val="14Footnote"/>
      </w:pPr>
      <w:r w:rsidRPr="00AD2F44">
        <w:rPr>
          <w:i/>
          <w:iCs/>
        </w:rPr>
        <w:t>Eighth Circuit:</w:t>
      </w:r>
      <w:r w:rsidRPr="00AD2F44">
        <w:t xml:space="preserve"> </w:t>
      </w:r>
      <w:r>
        <w:t xml:space="preserve">Peck v. Mercy Health, </w:t>
      </w:r>
      <w:r w:rsidRPr="00C324DA">
        <w:t>2023 WL 2301740</w:t>
      </w:r>
      <w:r>
        <w:t xml:space="preserve">, at *2 (E.D. Mo. Mar. 1, 2023) (declining as “excessive and unnecessary” use of text messaging for notice given mail and e-mail notice); </w:t>
      </w:r>
      <w:r w:rsidRPr="00AD2F44">
        <w:t>Middleton v. Hempstead Cnty., 2019 WL 3948106, at *4 (W.D. Ark. Aug. 21, 2019) (allowing notice by text message as well as U.S. Mail).</w:t>
      </w:r>
    </w:p>
    <w:p w14:paraId="0CE3BCE6" w14:textId="77777777" w:rsidR="004322B1" w:rsidRPr="00AD2F44" w:rsidRDefault="004322B1">
      <w:pPr>
        <w:pStyle w:val="14Footnote"/>
        <w:rPr>
          <w:b/>
          <w:bCs/>
        </w:rPr>
      </w:pPr>
      <w:r w:rsidRPr="00AD2F44">
        <w:rPr>
          <w:i/>
          <w:iCs/>
        </w:rPr>
        <w:t>Tenth Circuit</w:t>
      </w:r>
      <w:r w:rsidRPr="00AD2F44">
        <w:t>: James v. Boyd Gaming Corp., 522 F. Supp. 3d 892, 925</w:t>
      </w:r>
      <w:r w:rsidRPr="00AD2F44">
        <w:rPr>
          <w:b/>
          <w:bCs/>
        </w:rPr>
        <w:t xml:space="preserve"> </w:t>
      </w:r>
      <w:r w:rsidRPr="00AD2F44">
        <w:t xml:space="preserve">(D. Kan. 2021) (allowing dissemination of notice by text and ordering defendants to supply phone numbers, as well as physical and email addresses, but limiting frequency of texts to ensure class members were not “overwhelmed and annoyed”); </w:t>
      </w:r>
      <w:r w:rsidRPr="00AD2F44">
        <w:rPr>
          <w:i/>
          <w:iCs/>
        </w:rPr>
        <w:t>Calvillo</w:t>
      </w:r>
      <w:r w:rsidRPr="00AD2F44">
        <w:t>, 267 F. Supp. 3d at 1315 (“Courts have recognized that notice by email and text is reasonable in today’s mobile society and that these methods of communication may offer a more reliable means of reaching an individual even if that individual is away from home or has moved.”).</w:t>
      </w:r>
    </w:p>
    <w:p w14:paraId="17D26E7E" w14:textId="77777777" w:rsidR="004322B1" w:rsidRPr="00AD2F44" w:rsidRDefault="004322B1">
      <w:pPr>
        <w:pStyle w:val="14Footnote"/>
      </w:pPr>
      <w:r w:rsidRPr="00AD2F44">
        <w:rPr>
          <w:i/>
          <w:iCs/>
        </w:rPr>
        <w:t>D.C. Circuit</w:t>
      </w:r>
      <w:r w:rsidRPr="00AD2F44">
        <w:t>: Harris v. Medical Transp. Mgmt., Inc., 317 F. Supp. 3d 421, 426 (D.D.C. 2018) (authorizing text message notice dissemination); Eley v. Stadium Grp., LLC, 2015 WL 5611331, at *3–4 (D.D.C. Sept. 22, 2015) (granting request for text message notice to putative class, noting that the request was “in line with what has been approved in other FLSA collective actions”).</w:t>
      </w:r>
    </w:p>
  </w:footnote>
  <w:footnote w:id="436">
    <w:p w14:paraId="7EE58E51" w14:textId="77777777" w:rsidR="004322B1" w:rsidRPr="00AD2F44" w:rsidRDefault="004322B1">
      <w:pPr>
        <w:pStyle w:val="14Footnote"/>
      </w:pPr>
      <w:r w:rsidRPr="00AD2F44">
        <w:rPr>
          <w:vertAlign w:val="superscript"/>
        </w:rPr>
        <w:footnoteRef/>
      </w:r>
      <w:r w:rsidRPr="00AD2F44">
        <w:rPr>
          <w:i/>
          <w:iCs/>
        </w:rPr>
        <w:t>See, e.g.,</w:t>
      </w:r>
    </w:p>
    <w:p w14:paraId="4791C29F" w14:textId="77777777" w:rsidR="004322B1" w:rsidRPr="00AD2F44" w:rsidRDefault="004322B1">
      <w:pPr>
        <w:pStyle w:val="14Footnote"/>
      </w:pPr>
      <w:r w:rsidRPr="00AD2F44">
        <w:rPr>
          <w:i/>
          <w:iCs/>
        </w:rPr>
        <w:t>Second Circuit:</w:t>
      </w:r>
      <w:r w:rsidRPr="00AD2F44">
        <w:t xml:space="preserve"> </w:t>
      </w:r>
      <w:r>
        <w:t xml:space="preserve">Tlapanco v. City Metal Traders, Inc., </w:t>
      </w:r>
      <w:r w:rsidRPr="00C324DA">
        <w:t xml:space="preserve">2023 WL 2240396 </w:t>
      </w:r>
      <w:r>
        <w:t xml:space="preserve">(E.D.N.Y. Feb. 24, 2023) (posting at worksite); Pierre v. City of New York, </w:t>
      </w:r>
      <w:r w:rsidRPr="00C324DA">
        <w:t>2022 WL 4482295</w:t>
      </w:r>
      <w:r>
        <w:t xml:space="preserve">, at *8 (S.D.N.Y. Sept. 27, 2022) (ordering posting of notice at all 77 police precincts despite mail and email notice, because courts in New York “regularly” or “routinely” do so); </w:t>
      </w:r>
      <w:r w:rsidRPr="00AD2F44">
        <w:t xml:space="preserve">Hart v. Crab Addison, Inc., 2015 WL 365785 (W.D.N.Y. Jan. 27, 2015); Fonseca v. Dircksen &amp; Talleyrand Inc., 2014 WL 1487279 (S.D.N.Y. Apr. 11, 2014); Kim Man Fan v. Ping’s On Mott, Inc., 2014 WL 1512034 (S.D.N.Y. Apr. 14, 2014); Mata-Primitivo v. May Tong Trading Inc., 2014 WL 2002884 (E.D.N.Y. May 15, 2014); D’Antuono v. C &amp; G of Groton, Inc., 2011 WL 5878045, at *6 (D. Conn. Nov. 23, 2011) (ordering notice posted in “a prominent location” at night club where putative class members worked as exotic dancers, given “haphazard” recordkeeping at club, and requiring photograph as proof of posting); Whitehorn v. Wolfgang’s Steakhouse, Inc., 767 F. Supp. 2d 445 (S.D.N.Y. 2011) (permitting notices to be posted in defendant’s restaurants where defendants failed to explain how posting would be more burdensome than typical FLSA case); Fang v. Zhuang, 2010 WL 5261197, at *4 (E.D.N.Y. Dec. 1, 2010) (permitting notice to be posted in Chinese and English, at employer’s worksite, given background of prospective plaintiffs); Hamelin v. Faxton-St. Luke’s Healthcare, 2009 WL 211512 (N.D.N.Y. Jan. 26, 2009); Fengler v. Crouse Health Found., Inc., 2009 WL 211535 (N.D.N.Y. Jan. 26, 2009); </w:t>
      </w:r>
      <w:r w:rsidRPr="00AD2F44">
        <w:rPr>
          <w:i/>
          <w:iCs/>
        </w:rPr>
        <w:t>Rubery</w:t>
      </w:r>
      <w:r w:rsidRPr="00AD2F44">
        <w:t xml:space="preserve">, 569 F. Supp. 2d 334. </w:t>
      </w:r>
      <w:r w:rsidRPr="00AD2F44">
        <w:rPr>
          <w:i/>
          <w:iCs/>
        </w:rPr>
        <w:t xml:space="preserve">But see </w:t>
      </w:r>
      <w:r w:rsidRPr="00AD2F44">
        <w:t>Michael v. Bloomberg LP, 2015 WL 1810157 (S.D.N.Y. Apr. 17, 2015) (rejecting posting after notice granted because no showing of how many notices would be undeliverable).</w:t>
      </w:r>
    </w:p>
    <w:p w14:paraId="3DE417B7" w14:textId="77777777" w:rsidR="004322B1" w:rsidRPr="00AD2F44" w:rsidRDefault="004322B1">
      <w:pPr>
        <w:pStyle w:val="14Footnote"/>
      </w:pPr>
      <w:r w:rsidRPr="00AD2F44">
        <w:rPr>
          <w:i/>
          <w:iCs/>
        </w:rPr>
        <w:t>Third Circuit:</w:t>
      </w:r>
      <w:r w:rsidRPr="00AD2F44">
        <w:t xml:space="preserve"> Pereira v. Foot Locker, Inc., 261 F.R.D. 60, 68 (E.D. Pa. 2009) (permitting posting of notices in defendant’s store locations because it was “an effective and efficient way” to advise potential class members of litigation); Ritzer v. UBS Fin. Servs., Inc., 2008 WL 4372784, at *5 (D.N.J. Sept. 22, 2008) (rejecting proposal to post notice at workplace, because notice was included in paycheck).</w:t>
      </w:r>
    </w:p>
    <w:p w14:paraId="726EAC08" w14:textId="77777777" w:rsidR="004322B1" w:rsidRPr="00AD2F44" w:rsidRDefault="004322B1">
      <w:pPr>
        <w:pStyle w:val="14Footnote"/>
      </w:pPr>
      <w:r w:rsidRPr="00AD2F44">
        <w:rPr>
          <w:i/>
          <w:iCs/>
        </w:rPr>
        <w:t>Fourth Circuit:</w:t>
      </w:r>
      <w:r w:rsidRPr="00AD2F44">
        <w:t xml:space="preserve"> </w:t>
      </w:r>
      <w:r>
        <w:t xml:space="preserve">Njoroge v. PrimaCare Partners, LLC, </w:t>
      </w:r>
      <w:r w:rsidRPr="00A815AC">
        <w:t>2022 BL 342131</w:t>
      </w:r>
      <w:r>
        <w:t xml:space="preserve">, </w:t>
      </w:r>
      <w:r w:rsidRPr="00C324DA">
        <w:t xml:space="preserve">2022 WL 4465894 </w:t>
      </w:r>
      <w:r>
        <w:t xml:space="preserve">(D. Md. Sept. 26, 2022) (rejecting proposal to post notice at company office because putative plaintiffs do not work in a central location); </w:t>
      </w:r>
      <w:r w:rsidRPr="00AD2F44">
        <w:t>Mendoza v. Mo’s Fisherman Exch., Inc., 2016 WL 3440007 (D. Md. June 22, 2016) (requiring defendants to post notices at their places of business); Regan v. City of Charleston, 2014 WL 3530135 (D.S.C. July 16, 2014) (rejecting notice by posting because mailing addresses were likely good and workplace tensions could increase among firefighters who lived and worked together); Calderon v. GEICO Gen. Ins. Co., 2011 WL 98197, at *8 (D. Md. Jan. 12, 2011) (rejecting proposal to post notice at regional offices because it would “serve little purpose” given that most class members worked remotely).</w:t>
      </w:r>
    </w:p>
    <w:p w14:paraId="1ACAA5F8" w14:textId="77777777" w:rsidR="004322B1" w:rsidRPr="00AD2F44" w:rsidRDefault="004322B1">
      <w:pPr>
        <w:pStyle w:val="14Footnote"/>
      </w:pPr>
      <w:r w:rsidRPr="00AD2F44">
        <w:rPr>
          <w:i/>
          <w:iCs/>
        </w:rPr>
        <w:t>Fifth Circuit:</w:t>
      </w:r>
      <w:r w:rsidRPr="00AD2F44">
        <w:t xml:space="preserve"> Hobbs v. Cable Mktg. &amp; Installation, 290 F. Supp. 3d 589, 598 (E.D. La. 2018) (ordering posting of notice in defendants’ offices); Alford v. Freedom Oilfield Servs., LLC,</w:t>
      </w:r>
      <w:r w:rsidRPr="00AD2F44">
        <w:rPr>
          <w:i/>
          <w:iCs/>
        </w:rPr>
        <w:t xml:space="preserve"> </w:t>
      </w:r>
      <w:r w:rsidRPr="00AD2F44">
        <w:t>2016 WL 8673858 (W.D. Tex. Aug. 17, 2016) (approving posting of notices at defendant’s district offices); Garcia v. TWC Admin., LLC, 2015 WL 1737932, at *5 (W.D. Tex. Apr. 16, 2015); Pacheco v. Aldeeb, 2015 WL 1509570, at *9 (W.D. Tex. Mar. 31, 2015); Barajas v. Acosta, 2012 WL 1952261, at *4 (S.D. Tex. May 30, 2012).</w:t>
      </w:r>
    </w:p>
    <w:p w14:paraId="6B4DE6B2" w14:textId="77777777" w:rsidR="004322B1" w:rsidRPr="00AD2F44" w:rsidRDefault="004322B1">
      <w:pPr>
        <w:pStyle w:val="14Footnote"/>
      </w:pPr>
      <w:r w:rsidRPr="00AD2F44">
        <w:rPr>
          <w:i/>
          <w:iCs/>
        </w:rPr>
        <w:t>Sixth Circuit:</w:t>
      </w:r>
      <w:r w:rsidRPr="00AD2F44">
        <w:t xml:space="preserve"> Brewer v. Alliance Coal, LLC, 2021 BL 317829, 2021 WL 3729297 (E.D. Ky. Aug. 23, 2021) (ordering notice posted in conspicuous place at defendant’s worksite, as well as sent via mail and email; refusing to allow reminder notice or obtaining phone numbers of putative collective members for text message notice or phone calls); Phipps v. Chariots of Hire, Inc., 2017 WL 4228028, at *5 (E.D. Tenn. Aug. 29, 2017) (rejecting notice by posting at defendant’s place of business because plaintiffs did not demonstrate that first class mail and email were insufficient); Brown v. Consolidated Rest. Operations, Inc., 2013 WL 4804780, at *7 (M.D. Tenn. Sept. 6, 2013) (holding that the plaintiff could mail notice to all nonexempt current and former hourly employees during the preceding three years, approved posting of notice prominently in defendants’ restaurants in locations where employees congregate, and approving including notice in current employees’ next regularly scheduled paychecks); Lutz v. Huntington Bancshares Inc., 2013 WL 1703361, at *7 (S.D. Ohio Apr. 19, 2013) (denying plaintiffs’ request to post notice at defendants’ worksites and publication in employee newsletters in light of narrow line between informing class members of their right to participate and affirmatively encouraging participation).</w:t>
      </w:r>
    </w:p>
    <w:p w14:paraId="26981F12" w14:textId="77777777" w:rsidR="004322B1" w:rsidRPr="00AD2F44" w:rsidRDefault="004322B1">
      <w:pPr>
        <w:pStyle w:val="14Footnote"/>
      </w:pPr>
      <w:r w:rsidRPr="00AD2F44">
        <w:rPr>
          <w:i/>
          <w:iCs/>
        </w:rPr>
        <w:t>Seventh Circuit:</w:t>
      </w:r>
      <w:r w:rsidRPr="00AD2F44">
        <w:t xml:space="preserve"> Muir v. Guardian Heating &amp; Cooling Servs., 2017 WL 959028 (N.D. Ill. Mar. 13, 2017) (authorizing notice to be posted in employee-only area of facility where notices are typically displayed); Frebes v. Mask Rests., LLC, 2014 WL 1848461 (N.D. Ill. May 8, 2014) (allowing posting); Freeman v. Total Sec. Mgmt., 2013 WL 4049542, at *11 (W.D. Wis. Aug. 9, 2013) (finding that “requiring defendants to post notice in the workplace is neither unnecessary nor overtly intrusive.”); Lane v. Atlas Roofing Corp., 2012 WL 2862462, at *3–4 (C.D. Ill. July 11, 2012) (disagreeing with plaintiffs that posting at worksites was needed to mitigate potential chilling effect posed by retaliation threat because plaintiffs gave no specific allegations that such measures were necessary to protect against retaliation).</w:t>
      </w:r>
    </w:p>
    <w:p w14:paraId="34ECB84D" w14:textId="77777777" w:rsidR="004322B1" w:rsidRPr="00AD2F44" w:rsidRDefault="004322B1">
      <w:pPr>
        <w:pStyle w:val="14Footnote"/>
      </w:pPr>
      <w:r w:rsidRPr="00AD2F44">
        <w:rPr>
          <w:i/>
          <w:iCs/>
        </w:rPr>
        <w:t>Eighth Circuit:</w:t>
      </w:r>
      <w:r w:rsidRPr="00AD2F44">
        <w:t xml:space="preserve"> Rhodes v. Truman Med. Ctr., Inc., 2014 WL 4722285 (W.D. Mo. Sept. 23, 2014) (permitting posting in lunchrooms and with job notices); Knaak v. Armour-Eckrich Meats, LLC, 991 F. Supp. 2d 1052 (D. Minn. 2014); Le v. Regency Corp., 957 F. Supp. 2d 1079, 1093 (D. Minn. 2013); Perrin v. Papa John’s Int’l, Inc., 2011 WL 4815246, at *2 (E.D. Mo. Oct. 11, 2011) (rejecting proposal for workplace posting of notice, because there was no showing that it would add to effectiveness, and because it would be redundant and could cause confusion for other workers as well as undue burden on defendant).</w:t>
      </w:r>
    </w:p>
    <w:p w14:paraId="786735BD" w14:textId="77777777" w:rsidR="004322B1" w:rsidRPr="00AD2F44" w:rsidRDefault="004322B1">
      <w:pPr>
        <w:pStyle w:val="14Footnote"/>
      </w:pPr>
      <w:r w:rsidRPr="00AD2F44">
        <w:rPr>
          <w:i/>
          <w:iCs/>
        </w:rPr>
        <w:t>Ninth Circuit:</w:t>
      </w:r>
      <w:r w:rsidRPr="00AD2F44">
        <w:t xml:space="preserve"> Russell v. Swick Mining Servs. </w:t>
      </w:r>
      <w:r w:rsidRPr="00C324DA">
        <w:t xml:space="preserve">USA Inc., 2017 WL 1365081 (D. Ariz. </w:t>
      </w:r>
      <w:r w:rsidRPr="00AD2F44">
        <w:t>Apr. 14, 2017)</w:t>
      </w:r>
      <w:r w:rsidRPr="00AD2F44">
        <w:rPr>
          <w:i/>
          <w:iCs/>
        </w:rPr>
        <w:t xml:space="preserve"> </w:t>
      </w:r>
      <w:r w:rsidRPr="00AD2F44">
        <w:t>(finding that no notice should be physically posted at defendant’s worksites because defendant did not control its clients’ worksites and those worksites were only sporadically populated with any employees who could be potential class members); Bazzell v. Body Contour Ctrs., LLC, 2016 WL 3655274, at *9 (W.D. Wash. July 8, 2016) (denying plaintiffs’ request to post notice at defendants’ facilities, finding that “where only one employee at each site is a potential member of the collective … the potential for prejudice to [the defendant] outweighs any minimal benefit with respect to notice—particularly where the court has already approved more targeted notice through direct mailings and email”); Casarotto v. Exploration Drilling, Inc., 2015 WL 6080755, at *7 (D. Mont. Oct. 15, 2015) (rejecting request to post notices at locations where opt-in plaintiffs worked; no reason shown why mailed notice and reminder notice would not be sufficient); Phelps v. MC Commc’ns, Inc., 2011 WL 3298414, at *6 (D. Nev. Aug. 1, 2011) (refusing to require defendants to post notice at workplace, because there was nothing to suggest that mailed notice would not be adequate); Schemkes v. Presidential Limousine, Inc., 2011 WL 868182, at *4–5 (D. Nev. Mar. 10, 2011) (permitting posting at worksite); Rodriguez v. SGLC, Inc., 2009 WL 454613, at *3 (E.D. Cal. Feb. 5, 2009) (directing notice posted in English and Spanish at each housing unit).</w:t>
      </w:r>
    </w:p>
    <w:p w14:paraId="2A8596B6" w14:textId="77777777" w:rsidR="004322B1" w:rsidRPr="00AD2F44" w:rsidRDefault="004322B1">
      <w:pPr>
        <w:pStyle w:val="14Footnote"/>
      </w:pPr>
      <w:r w:rsidRPr="00AD2F44">
        <w:rPr>
          <w:i/>
          <w:iCs/>
        </w:rPr>
        <w:t xml:space="preserve">Tenth Circuit: </w:t>
      </w:r>
      <w:r w:rsidRPr="00AD2F44">
        <w:t>Darrow v. WKRP Mgmt., LLC, 2012 WL 638119, at *7, 18 WH Cases2d 1565 (D. Colo. Feb. 28, 2012) (refusing to order notice posting in employer break rooms, because potential benefit was outweighed by burden on defendants of having to post that many notices, and notices would lack consent form); Wass v. NPC Int’l, Inc., 2011 WL 1118774, at *12 (D. Kan. Mar. 28, 2011) (rejecting proposal to post notice in stores, because notice posting would reach same group for whom defendant has current addresses (current employees), notice would be burdensome to defendant (over 1,000 stores), and posted notice does not include consent forms).</w:t>
      </w:r>
    </w:p>
  </w:footnote>
  <w:footnote w:id="437">
    <w:p w14:paraId="61F3921E" w14:textId="77777777" w:rsidR="004322B1" w:rsidRPr="00AD2F44" w:rsidRDefault="004322B1">
      <w:pPr>
        <w:pStyle w:val="14Footnote"/>
      </w:pPr>
      <w:r w:rsidRPr="00AD2F44">
        <w:rPr>
          <w:vertAlign w:val="superscript"/>
        </w:rPr>
        <w:footnoteRef/>
      </w:r>
      <w:r w:rsidRPr="00AD2F44">
        <w:rPr>
          <w:i/>
          <w:iCs/>
        </w:rPr>
        <w:t xml:space="preserve">Second Circuit: </w:t>
      </w:r>
      <w:r>
        <w:t xml:space="preserve">Rieske v. Gov’t Emps. Ins. Co., </w:t>
      </w:r>
      <w:r w:rsidRPr="003E32B5">
        <w:t>2022 BL 418813</w:t>
      </w:r>
      <w:r>
        <w:t xml:space="preserve">, </w:t>
      </w:r>
      <w:r w:rsidRPr="00C324DA">
        <w:t xml:space="preserve">2022 WL 17127745 </w:t>
      </w:r>
      <w:r>
        <w:t xml:space="preserve">(E.D.N.Y. Nov. 22, 2022) (rejecting request to allow plaintiff’s counsel to have a website for submission of consent forms because the multiple methods of notice made it unnecessary); </w:t>
      </w:r>
      <w:r w:rsidRPr="00AD2F44">
        <w:t xml:space="preserve">Mark v. Gawker Media LLC, 2014 WL 4058417 (S.D.N.Y. Aug. 15, 2014) (notice permitted on two stand-alone websites). </w:t>
      </w:r>
      <w:r w:rsidRPr="00AD2F44">
        <w:rPr>
          <w:i/>
          <w:iCs/>
        </w:rPr>
        <w:t>But cf.</w:t>
      </w:r>
      <w:r w:rsidRPr="00AD2F44">
        <w:t xml:space="preserve"> Chang v. Jenny JN Nails, Inc., 2021 BL 501639, 2021 WL 6339641, at *4 (D. Conn. Sept. 28, 2021) (denying request to post notice on plaintiff’s counsel’s website because counsel did not affirm that it maintains “stand-alone website” for litigation).</w:t>
      </w:r>
    </w:p>
    <w:p w14:paraId="5839661C" w14:textId="77777777" w:rsidR="004322B1" w:rsidRPr="00AD2F44" w:rsidRDefault="004322B1">
      <w:pPr>
        <w:pStyle w:val="14Footnote"/>
      </w:pPr>
      <w:r w:rsidRPr="00AD2F44">
        <w:rPr>
          <w:i/>
          <w:iCs/>
        </w:rPr>
        <w:t>Fourth Circuit:</w:t>
      </w:r>
      <w:r w:rsidRPr="00AD2F44">
        <w:t xml:space="preserve"> </w:t>
      </w:r>
      <w:r w:rsidRPr="00AD2F44">
        <w:rPr>
          <w:i/>
          <w:iCs/>
        </w:rPr>
        <w:t>Mendoza</w:t>
      </w:r>
      <w:r w:rsidRPr="00AD2F44">
        <w:t>, 2016 WL 3440007 (ordering notice to be posted through website and court-approved Facebook notice).</w:t>
      </w:r>
    </w:p>
    <w:p w14:paraId="2D0F1884" w14:textId="77777777" w:rsidR="004322B1" w:rsidRPr="00AD2F44" w:rsidRDefault="004322B1">
      <w:pPr>
        <w:pStyle w:val="14Footnote"/>
      </w:pPr>
      <w:r w:rsidRPr="00AD2F44">
        <w:rPr>
          <w:i/>
          <w:iCs/>
        </w:rPr>
        <w:t>Fifth Circuit:</w:t>
      </w:r>
      <w:r w:rsidRPr="00AD2F44">
        <w:t xml:space="preserve"> Nelson v. American Standard, Inc., 2008 WL 906324 (E.D. Tex. Mar. 31, 2008); </w:t>
      </w:r>
      <w:r w:rsidRPr="00AD2F44">
        <w:rPr>
          <w:i/>
          <w:iCs/>
        </w:rPr>
        <w:t>Lima</w:t>
      </w:r>
      <w:r w:rsidRPr="00AD2F44">
        <w:t>, 493 F. Supp. 2d 793.</w:t>
      </w:r>
    </w:p>
    <w:p w14:paraId="372C3959" w14:textId="77777777" w:rsidR="004322B1" w:rsidRPr="00AD2F44" w:rsidRDefault="004322B1">
      <w:pPr>
        <w:pStyle w:val="14Footnote"/>
      </w:pPr>
      <w:r w:rsidRPr="00AD2F44">
        <w:rPr>
          <w:i/>
          <w:iCs/>
        </w:rPr>
        <w:t>Sixth Circuit:</w:t>
      </w:r>
      <w:r w:rsidRPr="00AD2F44">
        <w:t xml:space="preserve"> Lee v. Gab Telecom, Inc., 2013 WL 4041875 (E.D. Mich. Aug. 8, 2013).</w:t>
      </w:r>
    </w:p>
    <w:p w14:paraId="36A0EA6B" w14:textId="77777777" w:rsidR="004322B1" w:rsidRPr="00AD2F44" w:rsidRDefault="004322B1">
      <w:pPr>
        <w:pStyle w:val="14Footnote"/>
      </w:pPr>
      <w:r w:rsidRPr="00AD2F44">
        <w:rPr>
          <w:i/>
          <w:iCs/>
        </w:rPr>
        <w:t>Seventh Circuit:</w:t>
      </w:r>
      <w:r w:rsidRPr="00AD2F44">
        <w:t xml:space="preserve"> </w:t>
      </w:r>
      <w:r>
        <w:t xml:space="preserve">Wilmoth v. Steak N Shake, </w:t>
      </w:r>
      <w:r w:rsidRPr="00EE5233">
        <w:t>2022 BL 192705</w:t>
      </w:r>
      <w:r>
        <w:t xml:space="preserve">, </w:t>
      </w:r>
      <w:r w:rsidRPr="00C324DA">
        <w:t xml:space="preserve">2022 WL 1913026 </w:t>
      </w:r>
      <w:r>
        <w:t xml:space="preserve">(S.D. Ind. June 3, 2022) (permitting notice via website); </w:t>
      </w:r>
      <w:r w:rsidRPr="00AD2F44">
        <w:t xml:space="preserve">Sjoblom v. Charter Commc’ns LLC, 2008 U.S. Dist. LEXIS 18369 (W.D. Wis. Mar. 4, 2008). </w:t>
      </w:r>
      <w:r w:rsidRPr="00AD2F44">
        <w:rPr>
          <w:i/>
          <w:iCs/>
        </w:rPr>
        <w:t>But cf</w:t>
      </w:r>
      <w:r w:rsidRPr="00AD2F44">
        <w:t>. Muir v. Guardian Heating &amp; Cooling Servs., Inc</w:t>
      </w:r>
      <w:r w:rsidRPr="00AD2F44">
        <w:rPr>
          <w:i/>
          <w:iCs/>
        </w:rPr>
        <w:t>.</w:t>
      </w:r>
      <w:r w:rsidRPr="00AD2F44">
        <w:t>, 2017 WL 959028 (N.D. Ill. Mar. 13, 2017) (rejecting notice via website and text message because plaintiffs cited no case law from circuit affirming this practice and plaintiffs provided no evidence that costs of providing notice via website and text message were justified).</w:t>
      </w:r>
    </w:p>
    <w:p w14:paraId="564DD19A" w14:textId="77777777" w:rsidR="004322B1" w:rsidRPr="00AD2F44" w:rsidRDefault="004322B1">
      <w:pPr>
        <w:pStyle w:val="14Footnote"/>
      </w:pPr>
      <w:r w:rsidRPr="00AD2F44">
        <w:rPr>
          <w:i/>
          <w:iCs/>
        </w:rPr>
        <w:t>Ninth Circuit:</w:t>
      </w:r>
      <w:r w:rsidRPr="00AD2F44">
        <w:t xml:space="preserve"> Wren v. RGIS Inventory Specialists, 2007 WL 4532218 (N.D. Cal. Dec. 19, 2007).</w:t>
      </w:r>
    </w:p>
    <w:p w14:paraId="026EECC5" w14:textId="77777777" w:rsidR="004322B1" w:rsidRPr="00AD2F44" w:rsidRDefault="004322B1">
      <w:pPr>
        <w:pStyle w:val="14Footnote"/>
      </w:pPr>
      <w:r w:rsidRPr="00AD2F44">
        <w:rPr>
          <w:i/>
          <w:iCs/>
        </w:rPr>
        <w:t>Tenth Circuit:</w:t>
      </w:r>
      <w:r w:rsidRPr="00AD2F44">
        <w:t xml:space="preserve"> Pinkston v. Wheatland Enters., Inc., 2013 WL 1191207, at *5 (D. Kan. Mar. 22, 2013).</w:t>
      </w:r>
      <w:r w:rsidRPr="00AD2F44">
        <w:rPr>
          <w:i/>
          <w:iCs/>
        </w:rPr>
        <w:t xml:space="preserve"> But cf</w:t>
      </w:r>
      <w:r w:rsidRPr="00AD2F44">
        <w:t>. Reab v. Electronic Arts, Inc., 214 F.R.D. 623 (D. Colo. 2002) (rejecting plaintiffs’ request to post notice on website).</w:t>
      </w:r>
    </w:p>
  </w:footnote>
  <w:footnote w:id="438">
    <w:p w14:paraId="747E03A6" w14:textId="77777777" w:rsidR="004322B1" w:rsidRPr="00AD2F44" w:rsidRDefault="004322B1">
      <w:pPr>
        <w:pStyle w:val="14Footnote"/>
      </w:pPr>
      <w:r w:rsidRPr="00AD2F44">
        <w:rPr>
          <w:vertAlign w:val="superscript"/>
        </w:rPr>
        <w:footnoteRef/>
      </w:r>
      <w:r w:rsidRPr="00AD2F44">
        <w:rPr>
          <w:i/>
        </w:rPr>
        <w:t>Compare</w:t>
      </w:r>
    </w:p>
    <w:p w14:paraId="215EFF74" w14:textId="77777777" w:rsidR="004322B1" w:rsidRPr="00AD2F44" w:rsidRDefault="004322B1">
      <w:pPr>
        <w:pStyle w:val="14Footnote"/>
      </w:pPr>
      <w:r w:rsidRPr="00AD2F44">
        <w:rPr>
          <w:i/>
          <w:iCs/>
        </w:rPr>
        <w:t>Third Circuit:</w:t>
      </w:r>
      <w:r w:rsidRPr="00AD2F44">
        <w:t xml:space="preserve"> Ritzer v. UBS Fin. Servs., Inc., 2008 WL 4372784, at *5 (D.N.J. Sept. 22, 2008) (requiring inclusion of notice with paycheck, and rejecting posting of notice on defendant’s premises);</w:t>
      </w:r>
    </w:p>
    <w:p w14:paraId="547AD131" w14:textId="77777777" w:rsidR="004322B1" w:rsidRPr="00AD2F44" w:rsidRDefault="004322B1">
      <w:pPr>
        <w:pStyle w:val="14Footnote"/>
        <w:rPr>
          <w:i/>
        </w:rPr>
      </w:pPr>
      <w:r w:rsidRPr="00AD2F44">
        <w:rPr>
          <w:i/>
          <w:iCs/>
        </w:rPr>
        <w:t>Sixth Circuit:</w:t>
      </w:r>
      <w:r w:rsidRPr="00AD2F44">
        <w:t xml:space="preserve"> Brown v. Consolidated Rest. Operations, Inc</w:t>
      </w:r>
      <w:r w:rsidRPr="00AD2F44">
        <w:rPr>
          <w:i/>
          <w:iCs/>
        </w:rPr>
        <w:t xml:space="preserve">., </w:t>
      </w:r>
      <w:r w:rsidRPr="00AD2F44">
        <w:t xml:space="preserve">2013 WL 4804780, at *7 (M.D. Tenn. Sept. 6, 2013) (same); </w:t>
      </w:r>
      <w:r w:rsidRPr="00AD2F44">
        <w:rPr>
          <w:i/>
        </w:rPr>
        <w:t>and</w:t>
      </w:r>
    </w:p>
    <w:p w14:paraId="06B82CA8" w14:textId="77777777" w:rsidR="004322B1" w:rsidRPr="00AD2F44" w:rsidRDefault="004322B1">
      <w:pPr>
        <w:pStyle w:val="14Footnote"/>
      </w:pPr>
      <w:r w:rsidRPr="00AD2F44">
        <w:rPr>
          <w:i/>
          <w:iCs/>
        </w:rPr>
        <w:t>Seventh Circuit:</w:t>
      </w:r>
      <w:r w:rsidRPr="00AD2F44">
        <w:t xml:space="preserve"> Curless v. Great Am. Real Food Fast, Inc., 280 F.R.D. 429, 437 (S.D. Ill. 2012) (ordering inclusion of notice with paycheck even though the check was not included in envelope);</w:t>
      </w:r>
    </w:p>
    <w:p w14:paraId="6295D310" w14:textId="77777777" w:rsidR="004322B1" w:rsidRPr="00AD2F44" w:rsidRDefault="004322B1">
      <w:pPr>
        <w:pStyle w:val="14Footnote"/>
        <w:rPr>
          <w:i/>
          <w:iCs/>
        </w:rPr>
      </w:pPr>
      <w:r w:rsidRPr="00AD2F44">
        <w:rPr>
          <w:i/>
          <w:iCs/>
        </w:rPr>
        <w:t>with</w:t>
      </w:r>
    </w:p>
    <w:p w14:paraId="28CF0932" w14:textId="77777777" w:rsidR="004322B1" w:rsidRPr="00AD2F44" w:rsidRDefault="004322B1">
      <w:pPr>
        <w:pStyle w:val="14Footnote"/>
      </w:pPr>
      <w:r w:rsidRPr="00AD2F44">
        <w:rPr>
          <w:i/>
          <w:iCs/>
        </w:rPr>
        <w:t>Second Circuit:</w:t>
      </w:r>
      <w:r w:rsidRPr="00AD2F44">
        <w:t xml:space="preserve"> Chen v. Dun Huang Corp., 2021 BL 431002, 2021 WL 5234421, at *11 (S.D.N.Y. Nov. 8, 2021) (declining to require defendants to include notice in employees’ pay envelopes because it would suggest to workers “that the notice originates with the employer or that filling it out may actually be required or expected by the employer”) (citation omitted). </w:t>
      </w:r>
    </w:p>
    <w:p w14:paraId="29A08AB9" w14:textId="77777777" w:rsidR="004322B1" w:rsidRPr="00AD2F44" w:rsidRDefault="004322B1">
      <w:pPr>
        <w:pStyle w:val="14Footnote"/>
      </w:pPr>
      <w:r w:rsidRPr="00AD2F44">
        <w:rPr>
          <w:i/>
          <w:iCs/>
        </w:rPr>
        <w:t xml:space="preserve">Fourth Circuit: </w:t>
      </w:r>
      <w:r w:rsidRPr="00AD2F44">
        <w:t>Calderon v. GEICO Gen. Ins. Co., 2011 WL 98197, at *8 (D. Md. Jan. 12, 2011) (rejecting proposal to include notices with paychecks because it would be impractical given that paychecks are sealed documents and not included in envelopes, and it would be duplicative in any event);</w:t>
      </w:r>
    </w:p>
    <w:p w14:paraId="0EF6A098" w14:textId="77777777" w:rsidR="004322B1" w:rsidRPr="00AD2F44" w:rsidRDefault="004322B1">
      <w:pPr>
        <w:pStyle w:val="14Footnote"/>
      </w:pPr>
      <w:r w:rsidRPr="00AD2F44">
        <w:rPr>
          <w:i/>
          <w:iCs/>
        </w:rPr>
        <w:t>Seventh Circuit:</w:t>
      </w:r>
      <w:r w:rsidRPr="00AD2F44">
        <w:t xml:space="preserve"> Gonzalez v. J. Salerno &amp; Son, Inc., 2017 WL 2193248, at *7 (N.D. Ill. May 18, 2017) (denying plaintiffs’ request to place notices in payroll envelopes as it provided no “incremental benefit” to do so); Garcia v. Salamanca Group, Ltd., 2008 WL 818532 (N.D. Ill. Mar. 24, 2008) (refusing to order inclusion of notice in employees’ payroll envelopes on ground it was unnecessarily intrusive);</w:t>
      </w:r>
    </w:p>
    <w:p w14:paraId="267BA257" w14:textId="77777777" w:rsidR="004322B1" w:rsidRPr="00AD2F44" w:rsidRDefault="004322B1">
      <w:pPr>
        <w:pStyle w:val="14Footnote"/>
      </w:pPr>
      <w:r w:rsidRPr="00AD2F44">
        <w:rPr>
          <w:i/>
          <w:iCs/>
        </w:rPr>
        <w:t>Eighth Circuit:</w:t>
      </w:r>
      <w:r w:rsidRPr="00AD2F44">
        <w:t xml:space="preserve"> Rhodes v. Truman Med. Ctr., Inc., 2014 WL 4722285 (W.D. Mo. Sept. 23, 2014) (denying notice through paychecks); </w:t>
      </w:r>
      <w:r w:rsidRPr="00AD2F44">
        <w:rPr>
          <w:i/>
          <w:iCs/>
        </w:rPr>
        <w:t>and</w:t>
      </w:r>
    </w:p>
    <w:p w14:paraId="700FA324" w14:textId="77777777" w:rsidR="004322B1" w:rsidRPr="00AD2F44" w:rsidRDefault="004322B1">
      <w:pPr>
        <w:pStyle w:val="14Footnote"/>
      </w:pPr>
      <w:r w:rsidRPr="00AD2F44">
        <w:rPr>
          <w:i/>
          <w:iCs/>
        </w:rPr>
        <w:t xml:space="preserve">Ninth Circuit: </w:t>
      </w:r>
      <w:r w:rsidRPr="00AD2F44">
        <w:t>Russell v. Wells Fargo &amp; Co., 2008 U.S. Dist. LEXIS 78771, at *14–15 (N.D. Cal. Sept. 3, 2008) (refusing to order that notice be distributed with paychecks where there was no evidence that first class mail was insufficient).</w:t>
      </w:r>
    </w:p>
  </w:footnote>
  <w:footnote w:id="439">
    <w:p w14:paraId="22F29D7B" w14:textId="77777777" w:rsidR="004322B1" w:rsidRPr="00AD2F44" w:rsidRDefault="004322B1">
      <w:pPr>
        <w:pStyle w:val="14Footnote"/>
      </w:pPr>
      <w:r w:rsidRPr="00AD2F44">
        <w:rPr>
          <w:vertAlign w:val="superscript"/>
        </w:rPr>
        <w:footnoteRef/>
      </w:r>
      <w:r w:rsidRPr="00AD2F44">
        <w:rPr>
          <w:i/>
          <w:iCs/>
        </w:rPr>
        <w:t>Compare</w:t>
      </w:r>
      <w:r w:rsidRPr="00AD2F44">
        <w:t xml:space="preserve"> Cranney v. Carriage Servs., Inc., 2008 WL 608639 (D. Nev. Feb. 29, 2008) (ordering publication in next three issues of employee newsletter), </w:t>
      </w:r>
      <w:r w:rsidRPr="00AD2F44">
        <w:rPr>
          <w:i/>
          <w:iCs/>
        </w:rPr>
        <w:t>with</w:t>
      </w:r>
      <w:r w:rsidRPr="00AD2F44">
        <w:t xml:space="preserve"> Davis v. Westgate Planet Hollywood Las Vegas, LLC, 2009 WL 102735 (D. Nev. Jan. 12, 2009) (denying request to publish notice in newsletter), Rubery v. Buth-Na-Bodhaige, Inc., 569 F. Supp. 2d 334 (W.D.N.Y. 2008) (finding electronic newsletter publication of proposed notice was not justified), </w:t>
      </w:r>
      <w:r w:rsidRPr="00AD2F44">
        <w:rPr>
          <w:i/>
          <w:iCs/>
        </w:rPr>
        <w:t>and</w:t>
      </w:r>
      <w:r w:rsidRPr="00AD2F44">
        <w:t xml:space="preserve"> Sherrill v. Sutherland Global Servs. Inc., 487 F. Supp. 2d 344, 351 (W.D.N.Y. 2007) (denying request to publish notice in company newsletter).</w:t>
      </w:r>
    </w:p>
  </w:footnote>
  <w:footnote w:id="440">
    <w:p w14:paraId="509045D5" w14:textId="77777777" w:rsidR="004322B1" w:rsidRPr="00AD2F44" w:rsidRDefault="004322B1">
      <w:pPr>
        <w:pStyle w:val="14Footnote"/>
      </w:pPr>
      <w:r w:rsidRPr="00AD2F44">
        <w:rPr>
          <w:vertAlign w:val="superscript"/>
        </w:rPr>
        <w:footnoteRef/>
      </w:r>
      <w:r w:rsidRPr="00AD2F44">
        <w:rPr>
          <w:i/>
        </w:rPr>
        <w:t xml:space="preserve">See, e.g., </w:t>
      </w:r>
    </w:p>
    <w:p w14:paraId="49D3E787" w14:textId="77777777" w:rsidR="004322B1" w:rsidRPr="00AD2F44" w:rsidRDefault="004322B1">
      <w:pPr>
        <w:pStyle w:val="14Footnote"/>
      </w:pPr>
      <w:r w:rsidRPr="00AD2F44">
        <w:rPr>
          <w:i/>
          <w:iCs/>
        </w:rPr>
        <w:t>Second Circuit:</w:t>
      </w:r>
      <w:r w:rsidRPr="00AD2F44">
        <w:t xml:space="preserve"> Dilonez v. Fox Linen Serv., Inc., 35 F. Supp. 3d 247 (E.D.N.Y. 2014) (approving publication of notice in Spanish language newspaper as being reasonably calculated to reach target audience); Gortat v. Capala Bros., 2010 WL 1423018, at *12 (E.D.N.Y. Apr. 9, 2010), </w:t>
      </w:r>
      <w:r w:rsidRPr="00AD2F44">
        <w:rPr>
          <w:i/>
          <w:iCs/>
        </w:rPr>
        <w:t xml:space="preserve">aff’d sub nom. </w:t>
      </w:r>
      <w:r w:rsidRPr="00AD2F44">
        <w:t>Gortat v. Capala Bros., Inc., 568 F. App’x 78 (2d Cir. 2014); Sipas v. Sammy’s Fishbox, Inc., 2006 WL 1084556 (S.D.N.Y. Apr. 24, 2006).</w:t>
      </w:r>
    </w:p>
    <w:p w14:paraId="6165F624" w14:textId="77777777" w:rsidR="004322B1" w:rsidRPr="00AD2F44" w:rsidRDefault="004322B1">
      <w:pPr>
        <w:pStyle w:val="14Footnote"/>
      </w:pPr>
      <w:r w:rsidRPr="00AD2F44">
        <w:rPr>
          <w:i/>
          <w:iCs/>
        </w:rPr>
        <w:t>Fourth Circuit:</w:t>
      </w:r>
      <w:r w:rsidRPr="00AD2F44">
        <w:t xml:space="preserve"> Arevalo v. D.J.’s Underground, Inc., 2010 WL 4026112, at *3 (D. Md. Oct. 13, 2010) (permitting notice in Spanish-language paper and through Hispanic community organizations when opt-in rate was low and addresses had not been reliable); Montoya v. S.C.C.P. Painting Contractors, Inc., 2008 WL 554114 (D. Md. Feb. 26, 2008).</w:t>
      </w:r>
    </w:p>
    <w:p w14:paraId="1FA0A397" w14:textId="77777777" w:rsidR="004322B1" w:rsidRPr="00AD2F44" w:rsidRDefault="004322B1">
      <w:pPr>
        <w:pStyle w:val="14Footnote"/>
      </w:pPr>
      <w:r w:rsidRPr="00AD2F44">
        <w:rPr>
          <w:i/>
          <w:iCs/>
        </w:rPr>
        <w:t>Fifth Circuit:</w:t>
      </w:r>
      <w:r w:rsidRPr="00AD2F44">
        <w:t xml:space="preserve"> </w:t>
      </w:r>
      <w:r w:rsidRPr="00AD2F44">
        <w:rPr>
          <w:i/>
          <w:iCs/>
        </w:rPr>
        <w:t>Alford</w:t>
      </w:r>
      <w:r w:rsidRPr="00AD2F44">
        <w:t>,</w:t>
      </w:r>
      <w:r w:rsidRPr="00AD2F44">
        <w:rPr>
          <w:i/>
          <w:iCs/>
        </w:rPr>
        <w:t xml:space="preserve"> </w:t>
      </w:r>
      <w:r w:rsidRPr="00AD2F44">
        <w:t>2016 WL 8673858, at *7 (denying request to send notice by email but requiring defendant to provide email addresses for those putative class members for whom it did not have current address or for whom initial mailed notice was returned as undeliverable); Lima v. International Catastrophe Sols., Inc., 493 F. Supp. 2d 793 (E.D. La. 2007).</w:t>
      </w:r>
    </w:p>
    <w:p w14:paraId="70B08988" w14:textId="77777777" w:rsidR="004322B1" w:rsidRPr="00AD2F44" w:rsidRDefault="004322B1">
      <w:pPr>
        <w:pStyle w:val="14Footnote"/>
      </w:pPr>
      <w:r w:rsidRPr="00AD2F44">
        <w:rPr>
          <w:i/>
          <w:iCs/>
        </w:rPr>
        <w:t>Sixth Circuit:</w:t>
      </w:r>
      <w:r w:rsidRPr="00AD2F44">
        <w:t xml:space="preserve"> Sniffen v. Spectrum Indus. Servs., 2007 WL 1341772 (S.D. Ohio Feb. 13, 2007).</w:t>
      </w:r>
    </w:p>
    <w:p w14:paraId="3F9910A8" w14:textId="77777777" w:rsidR="004322B1" w:rsidRPr="00AD2F44" w:rsidRDefault="004322B1">
      <w:pPr>
        <w:pStyle w:val="14Footnote"/>
      </w:pPr>
      <w:r w:rsidRPr="00AD2F44">
        <w:rPr>
          <w:i/>
          <w:iCs/>
        </w:rPr>
        <w:t>Seventh Circuit:</w:t>
      </w:r>
      <w:r w:rsidRPr="00AD2F44">
        <w:t xml:space="preserve"> Dekeyser v. Thyssenkrupp Waupaca, Inc., 2008 WL 5263750 (E.D. Wis. Dec. 18, 2008).</w:t>
      </w:r>
    </w:p>
    <w:p w14:paraId="6E20C662" w14:textId="77777777" w:rsidR="004322B1" w:rsidRPr="00AD2F44" w:rsidRDefault="004322B1">
      <w:pPr>
        <w:pStyle w:val="14Footnote"/>
      </w:pPr>
      <w:r w:rsidRPr="00AD2F44">
        <w:rPr>
          <w:i/>
          <w:iCs/>
        </w:rPr>
        <w:t>Eighth Circuit:</w:t>
      </w:r>
      <w:r w:rsidRPr="00AD2F44">
        <w:t xml:space="preserve"> Wisnewski v. Champion Healthcare Corp., 2000 WL 1474414 (D.N.D. Jan. 11, 2000).</w:t>
      </w:r>
    </w:p>
    <w:p w14:paraId="7A679722" w14:textId="77777777" w:rsidR="004322B1" w:rsidRPr="00AD2F44" w:rsidRDefault="004322B1">
      <w:pPr>
        <w:pStyle w:val="14Footnote"/>
      </w:pPr>
      <w:r w:rsidRPr="00AD2F44">
        <w:rPr>
          <w:i/>
          <w:iCs/>
        </w:rPr>
        <w:t>Ninth Circuit:</w:t>
      </w:r>
      <w:r w:rsidRPr="00AD2F44">
        <w:t xml:space="preserve"> Carillo v. Schneider Logistics, Inc., 2012 WL 556309, at *12–13, 18 WH Cases2d 1263 (C.D. Cal. Jan. 31, 2012) (permitting notice to be posted in local radio and news media in Spanish and English as well as with community organizations and in public locations such as transit stops, community centers, health and wellness centers, and with advocacy organizations, among others, because of transient nature of low wage workers), </w:t>
      </w:r>
      <w:r w:rsidRPr="00AD2F44">
        <w:rPr>
          <w:i/>
          <w:iCs/>
        </w:rPr>
        <w:t>aff’d</w:t>
      </w:r>
      <w:r w:rsidRPr="00AD2F44">
        <w:t>, 501 F. App’x 713 (9th Cir. 2012); Gomez v. H&amp;R Gunlund Ranches, Inc., 2010 WL 5232973, at *9–10 (E.D. Cal. Dec. 16, 2010) (permitting notice in “Spanish language media,” and rejecting objection that such notice would be unethical advertising); Romero v. Producers Dairy Foods, Inc., 235 F.R.D. 474, 492 (E.D. Cal. 2006) (noting that courts may order the use of postings, broadcast announcements, and publication to facilitate notice to putative class members).</w:t>
      </w:r>
    </w:p>
  </w:footnote>
  <w:footnote w:id="441">
    <w:p w14:paraId="731DE52A" w14:textId="77777777" w:rsidR="004322B1" w:rsidRPr="00AD2F44" w:rsidRDefault="004322B1">
      <w:pPr>
        <w:pStyle w:val="14Footnote"/>
      </w:pPr>
      <w:r w:rsidRPr="00AD2F44">
        <w:rPr>
          <w:vertAlign w:val="superscript"/>
        </w:rPr>
        <w:footnoteRef/>
      </w:r>
      <w:r w:rsidRPr="00AD2F44">
        <w:rPr>
          <w:i/>
          <w:iCs/>
        </w:rPr>
        <w:t>See, e.g.,</w:t>
      </w:r>
    </w:p>
    <w:p w14:paraId="5CED7929" w14:textId="77777777" w:rsidR="004322B1" w:rsidRPr="00AD2F44" w:rsidRDefault="004322B1">
      <w:pPr>
        <w:pStyle w:val="14Footnote"/>
      </w:pPr>
      <w:r w:rsidRPr="00AD2F44">
        <w:rPr>
          <w:i/>
          <w:iCs/>
        </w:rPr>
        <w:t>Fourth Circuit:</w:t>
      </w:r>
      <w:r w:rsidRPr="00AD2F44">
        <w:t xml:space="preserve"> Montoya v. S.C.C.P. Painting Contractors, Inc., 2008 WL 554114 (D. Md. Feb. 26, 2008).</w:t>
      </w:r>
    </w:p>
    <w:p w14:paraId="1D4E124F" w14:textId="77777777" w:rsidR="004322B1" w:rsidRPr="00AD2F44" w:rsidRDefault="004322B1">
      <w:pPr>
        <w:pStyle w:val="14Footnote"/>
      </w:pPr>
      <w:r w:rsidRPr="00AD2F44">
        <w:rPr>
          <w:i/>
          <w:iCs/>
        </w:rPr>
        <w:t>Fifth Circuit:</w:t>
      </w:r>
      <w:r w:rsidRPr="00AD2F44">
        <w:t xml:space="preserve"> </w:t>
      </w:r>
      <w:r w:rsidRPr="00AD2F44">
        <w:rPr>
          <w:i/>
          <w:iCs/>
        </w:rPr>
        <w:t>Lima</w:t>
      </w:r>
      <w:r w:rsidRPr="00AD2F44">
        <w:t>, 493 F. Supp. 2d 793.</w:t>
      </w:r>
    </w:p>
    <w:p w14:paraId="57211034" w14:textId="77777777" w:rsidR="004322B1" w:rsidRPr="00AD2F44" w:rsidRDefault="004322B1">
      <w:pPr>
        <w:pStyle w:val="14Footnote"/>
      </w:pPr>
      <w:r w:rsidRPr="00AD2F44">
        <w:rPr>
          <w:i/>
          <w:iCs/>
        </w:rPr>
        <w:t>Ninth Circuit:</w:t>
      </w:r>
      <w:r w:rsidRPr="00AD2F44">
        <w:t xml:space="preserve"> Adams v. Inter-Con Sec. Sys. Inc., 242 F.R.D. 530, 541 (N.D. Cal. 2007); Romero v. Producers Dairy Foods, Inc., 235 F.R.D. 474, 492 (E.D. Cal. 2006).</w:t>
      </w:r>
    </w:p>
  </w:footnote>
  <w:footnote w:id="442">
    <w:p w14:paraId="2A777AE0" w14:textId="77777777" w:rsidR="004322B1" w:rsidRPr="00AD2F44" w:rsidRDefault="004322B1">
      <w:pPr>
        <w:pStyle w:val="14Footnote"/>
      </w:pPr>
      <w:r w:rsidRPr="00AD2F44">
        <w:rPr>
          <w:vertAlign w:val="superscript"/>
        </w:rPr>
        <w:footnoteRef/>
      </w:r>
      <w:r w:rsidRPr="00AD2F44">
        <w:rPr>
          <w:i/>
          <w:iCs/>
        </w:rPr>
        <w:t xml:space="preserve">Fourth Circuit: </w:t>
      </w:r>
      <w:r w:rsidRPr="00AD2F44">
        <w:t xml:space="preserve">Goldston v. Ariel Cmty. Care, LLC, 2022 BL 148860, 2022 WL 1289673 (M.D.N.C. Apr. 29, 2022) (allowing notice sent via mail and email, but not by text, finding no special need for disclosing phone numbers, making text message request moot). </w:t>
      </w:r>
      <w:r w:rsidRPr="00AD2F44">
        <w:rPr>
          <w:i/>
          <w:iCs/>
        </w:rPr>
        <w:t xml:space="preserve">But see </w:t>
      </w:r>
      <w:r w:rsidRPr="00AD2F44">
        <w:t xml:space="preserve">Arevalo v. D.J.’s Underground, Inc., 2010 BL 242325, 2010 WL 4026112, at *2 (D. Md. Oct. 13, 2010) (refusing to permit telephone notice to putative class members despite low opt-in rate and research suggesting addresses were inaccurate; plaintiffs did not show “special need” required for allowing contact by telephone). </w:t>
      </w:r>
    </w:p>
    <w:p w14:paraId="44B1B100" w14:textId="77777777" w:rsidR="004322B1" w:rsidRPr="00AD2F44" w:rsidRDefault="004322B1">
      <w:pPr>
        <w:pStyle w:val="14Footnote"/>
      </w:pPr>
      <w:r w:rsidRPr="00AD2F44">
        <w:rPr>
          <w:i/>
          <w:iCs/>
        </w:rPr>
        <w:t xml:space="preserve">Fifth Circuit: </w:t>
      </w:r>
      <w:r w:rsidRPr="00AD2F44">
        <w:t>Ferguson v. Texas Farm Bureau Bus. Corp., 2017 WL 7053928, at *9 (W.D. Tex. Dec. 11, 2017) (holding that, to extent defendants are unable to provide email addresses, defendants must produce telephone numbers instead and plaintiffs may call potential class members for sole purpose of ensuring their receipt of notice and consent form).</w:t>
      </w:r>
    </w:p>
    <w:p w14:paraId="6FE02DBB" w14:textId="77777777" w:rsidR="004322B1" w:rsidRPr="00AD2F44" w:rsidRDefault="004322B1">
      <w:pPr>
        <w:pStyle w:val="14Footnote"/>
      </w:pPr>
      <w:r w:rsidRPr="00AD2F44">
        <w:rPr>
          <w:i/>
          <w:iCs/>
        </w:rPr>
        <w:t xml:space="preserve">Seventh Circuit: </w:t>
      </w:r>
      <w:r w:rsidRPr="00AD2F44">
        <w:t>Espenscheid v. Direct</w:t>
      </w:r>
      <w:r w:rsidRPr="00AD2F44">
        <w:rPr>
          <w:caps/>
        </w:rPr>
        <w:t>sat</w:t>
      </w:r>
      <w:r w:rsidRPr="00AD2F44">
        <w:t xml:space="preserve"> USA, LLC, 2010 WL 2330309, at *15 (W.D. Wis. June 7, 2010) (allowing use of telephone contact for notice, with “court-approved script,” if other methods of notice first prove unsuccessful). </w:t>
      </w:r>
    </w:p>
  </w:footnote>
  <w:footnote w:id="443">
    <w:p w14:paraId="06474BE2" w14:textId="77777777" w:rsidR="004322B1" w:rsidRPr="008017B6" w:rsidRDefault="004322B1">
      <w:pPr>
        <w:pStyle w:val="14Footnote"/>
        <w:rPr>
          <w:iCs/>
        </w:rPr>
      </w:pPr>
      <w:r w:rsidRPr="00AD2F44">
        <w:rPr>
          <w:rStyle w:val="FootnoteReference"/>
        </w:rPr>
        <w:footnoteRef/>
      </w:r>
      <w:r w:rsidRPr="00AD2F44">
        <w:t xml:space="preserve">Courts are split on the use of social media. </w:t>
      </w:r>
      <w:r w:rsidRPr="00AD2F44">
        <w:rPr>
          <w:i/>
        </w:rPr>
        <w:t xml:space="preserve">Compare </w:t>
      </w:r>
      <w:r w:rsidRPr="002F69CA">
        <w:rPr>
          <w:iCs/>
        </w:rPr>
        <w:t xml:space="preserve">King v. Voyager 888, LLC, </w:t>
      </w:r>
      <w:r w:rsidRPr="008017B6">
        <w:rPr>
          <w:iCs/>
        </w:rPr>
        <w:t>2022 BL 271656</w:t>
      </w:r>
      <w:r>
        <w:rPr>
          <w:iCs/>
        </w:rPr>
        <w:t xml:space="preserve">, </w:t>
      </w:r>
      <w:r w:rsidRPr="002F69CA">
        <w:rPr>
          <w:iCs/>
        </w:rPr>
        <w:t>2022 WL 3098783, at *6 (D.D.C. Aug. 1, 2022)</w:t>
      </w:r>
      <w:r>
        <w:rPr>
          <w:iCs/>
        </w:rPr>
        <w:t xml:space="preserve"> (ordering production of social media account information (Facebook, Instagram, WhatsApp, and Twitter) and permitting distribution of notice via those channels); </w:t>
      </w:r>
      <w:r w:rsidRPr="00AD2F44">
        <w:rPr>
          <w:iCs/>
        </w:rPr>
        <w:t>Carranza v. VBFS, Inc., 2021 BL 122750, 2021 WL 1233546 (S.D.N.Y. Apr. 2, 2021) (allowing notice dissemination on personalized social media chat (including What’sApp, Facebook, and WeChat) given limited other contact information possessed by defendants, but not general posting of notice to social media groups); Ke v. JR Sushi 2 Inc., 2021 BL 13953, 2021 WL 148751 (S.D.N.Y. Jan. 15, 2021);</w:t>
      </w:r>
      <w:r w:rsidRPr="00AD2F44">
        <w:rPr>
          <w:b/>
          <w:bCs/>
          <w:iCs/>
        </w:rPr>
        <w:t xml:space="preserve"> </w:t>
      </w:r>
      <w:r w:rsidRPr="00AD2F44">
        <w:t xml:space="preserve">Qiang Lu v. Purple Sushi Inc., 447 F. Supp. 3d 89, 97 (S.D.N.Y. 2020) (granting plaintiffs’ request to disseminate notice on social media, as well as requiring employer to produce putative collective members’ social media information, including WhatsApp, WeChat, and Facebook, noting that some putative collective members may lack phone numbers or stable addresses); McCoy v. Transdev Servs., Inc., 2020 WL 2319117, at *8 (D. Md. May 11, 2020) (allowing dissemination of notice through private messaging on Facebook), </w:t>
      </w:r>
      <w:r w:rsidRPr="00AD2F44">
        <w:rPr>
          <w:i/>
        </w:rPr>
        <w:t xml:space="preserve">with </w:t>
      </w:r>
      <w:r w:rsidRPr="00AD2F44">
        <w:rPr>
          <w:iCs/>
        </w:rPr>
        <w:t xml:space="preserve">Aleman-Valdivia v. Top Dog Plumbing &amp; Heating Corp., 2021 BL 374247, 2021 WL 4502479 (E.D.N.Y. Sept. 30, 2021) (denying request for distribution on social media services because plaintiff failed to demonstrate need beyond mail, email, text message, and WhatsApp given its similarity to text messaging); </w:t>
      </w:r>
      <w:r w:rsidRPr="00AD2F44">
        <w:t xml:space="preserve">Qian Xiong Lin v. DJ’s Int’l Buffet Inc., 2019 WL 5842798, at *5 (E.D.N.Y. Nov. 7, 2019) (denying request to post notice on social media and websites because it was “overbroad and not likely to materially improve the chances of notice” and could prejudice defendants) (citation omitted); Cervantez v. TDT Consulting, LLC, 2019 WL 3948355, at *10 (N.D. Tex. July 22, 2019) (recommending against notice distribution by Facebook or LinkedIn where plaintiff had “not shown that any of the other proposed methods [first-class mail, email, text, posting at workplace, posting online on website, and inclusion in employee paychecks] were insufficient to necessitate the need for social media”). </w:t>
      </w:r>
    </w:p>
  </w:footnote>
  <w:footnote w:id="444">
    <w:p w14:paraId="7836D4C5" w14:textId="77777777" w:rsidR="004322B1" w:rsidRPr="00AD2F44" w:rsidRDefault="004322B1">
      <w:pPr>
        <w:pStyle w:val="14Footnote"/>
      </w:pPr>
      <w:r w:rsidRPr="00AD2F44">
        <w:rPr>
          <w:vertAlign w:val="superscript"/>
        </w:rPr>
        <w:footnoteRef/>
      </w:r>
      <w:r w:rsidRPr="00AD2F44">
        <w:rPr>
          <w:i/>
          <w:iCs/>
        </w:rPr>
        <w:t>Lima</w:t>
      </w:r>
      <w:r w:rsidRPr="00AD2F44">
        <w:t>, 493 F. Supp. 2d 793.</w:t>
      </w:r>
    </w:p>
  </w:footnote>
  <w:footnote w:id="445">
    <w:p w14:paraId="6A8D8831" w14:textId="77777777" w:rsidR="004322B1" w:rsidRPr="00AD2F44" w:rsidRDefault="004322B1">
      <w:pPr>
        <w:pStyle w:val="14Footnote"/>
      </w:pPr>
      <w:r w:rsidRPr="00AD2F44">
        <w:rPr>
          <w:vertAlign w:val="superscript"/>
        </w:rPr>
        <w:footnoteRef/>
      </w:r>
      <w:r w:rsidRPr="00AD2F44">
        <w:rPr>
          <w:i/>
          <w:iCs/>
        </w:rPr>
        <w:t>See, e.g.,</w:t>
      </w:r>
    </w:p>
    <w:p w14:paraId="52AEBF1A" w14:textId="77777777" w:rsidR="004322B1" w:rsidRPr="00AD2F44" w:rsidRDefault="004322B1">
      <w:pPr>
        <w:pStyle w:val="14Footnote"/>
      </w:pPr>
      <w:r w:rsidRPr="00AD2F44">
        <w:rPr>
          <w:i/>
          <w:iCs/>
        </w:rPr>
        <w:t>Second Circuit:</w:t>
      </w:r>
      <w:r w:rsidRPr="00AD2F44">
        <w:t xml:space="preserve"> Macpherson v. Firth Rixson Ltd., 2012 WL 2522881, at *5 (W.D.N.Y. June 28, 2012) (denying plaintiff’s request to have defendants email notices to their employees and refusing to allow notice posted at worksites or in employee newsletters); Rubery v. Buth-Na-Bodhaige, Inc., 569 F. Supp. 2d 334 (W.D.N.Y. 2008); Karvaly v. eBay, Inc., 245 F.R.D. 71, 91 (E.D.N.Y. 2007) (“[T]he Court is not persuaded that notice to Eligible Class Members by electronic mail, though clearly more convenient and less expensive for the parties, is an adequate substitute for the traditional method of notifying prospective class members by first-class mail.”); Sherrill v. Sutherland Global Servs. Inc., 487 F. Supp. 2d 344 (W.D.N.Y. 2007).</w:t>
      </w:r>
    </w:p>
    <w:p w14:paraId="14E63997" w14:textId="77777777" w:rsidR="004322B1" w:rsidRPr="00AD2F44" w:rsidRDefault="004322B1">
      <w:pPr>
        <w:pStyle w:val="14Footnote"/>
      </w:pPr>
      <w:r w:rsidRPr="00AD2F44">
        <w:rPr>
          <w:i/>
          <w:iCs/>
        </w:rPr>
        <w:t>Sixth Circuit:</w:t>
      </w:r>
      <w:r w:rsidRPr="00AD2F44">
        <w:t xml:space="preserve"> Fairfax v. Hogan Transp. Equip., Inc., 2017 WL 4349035, at *8 (S.D. Ohio Sept. 29, 2017) (denying request to send notice by email until plaintiffs make showing that first class mail is ineffective).</w:t>
      </w:r>
    </w:p>
    <w:p w14:paraId="5F3C13F8" w14:textId="77777777" w:rsidR="004322B1" w:rsidRPr="00AD2F44" w:rsidRDefault="004322B1">
      <w:pPr>
        <w:pStyle w:val="14Footnote"/>
      </w:pPr>
      <w:r w:rsidRPr="00AD2F44">
        <w:rPr>
          <w:i/>
          <w:iCs/>
        </w:rPr>
        <w:t>Eighth Circuit</w:t>
      </w:r>
      <w:r w:rsidRPr="00AD2F44">
        <w:t xml:space="preserve">: Brown v. Trinity Prop. Mgmt., LLC, 2019 WL 6834018 (E.D. Ark. Dec. 13, 2019) (denying request to send notice by email as undue violation of privacy and pressure to join). </w:t>
      </w:r>
    </w:p>
    <w:p w14:paraId="1ED70130" w14:textId="77777777" w:rsidR="004322B1" w:rsidRPr="00AD2F44" w:rsidRDefault="004322B1">
      <w:pPr>
        <w:pStyle w:val="14Footnote"/>
      </w:pPr>
      <w:r w:rsidRPr="00AD2F44">
        <w:rPr>
          <w:i/>
          <w:iCs/>
        </w:rPr>
        <w:t>Tenth Circuit:</w:t>
      </w:r>
      <w:r w:rsidRPr="00AD2F44">
        <w:t xml:space="preserve"> Clayton v. Velociti, Inc., 2009 WL 304190, at *3 (D. Kan. Feb. 9, 2009) (holding that emailing notice is “impracticable, burdensome, and may confuse or mislead potential class members”); Reab v. Electronic Arts, Inc., 214 F.R.D. 623, 631 (D. Colo. 2002) (“First class mail ensures, at the outset, that the appropriately targeted audience receives the intended notification and maximizes the integrity of the notice process.”).</w:t>
      </w:r>
    </w:p>
  </w:footnote>
  <w:footnote w:id="446">
    <w:p w14:paraId="39555E16" w14:textId="77777777" w:rsidR="004322B1" w:rsidRPr="00AD2F44" w:rsidRDefault="004322B1">
      <w:pPr>
        <w:pStyle w:val="14Footnote"/>
      </w:pPr>
      <w:r w:rsidRPr="00AD2F44">
        <w:rPr>
          <w:vertAlign w:val="superscript"/>
        </w:rPr>
        <w:footnoteRef/>
      </w:r>
      <w:r w:rsidRPr="00AD2F44">
        <w:rPr>
          <w:i/>
          <w:iCs/>
        </w:rPr>
        <w:t>See, e.g.,</w:t>
      </w:r>
    </w:p>
    <w:p w14:paraId="1B074F0E"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C324DA">
        <w:t xml:space="preserve">2022 WL 17820139 </w:t>
      </w:r>
      <w:r>
        <w:t xml:space="preserve">(E.D.N.Y. Sept. 27, 2022); </w:t>
      </w:r>
      <w:r w:rsidRPr="00AD2F44">
        <w:t>Michael v. Bloomberg LP, 2015 WL 1810157 (S.D.N.Y. Apr. 17, 2015); Velasquez v. Digital Page, Inc., 2014 WL 2048425, at *15 (E.D.N.Y. May 19, 2014); Pippins v. KPMG, LLP, 2012 WL 19379, at *16 (S.D.N.Y. Jan. 3, 2012); Hallissey v. America Online, Inc., 2008 WL 465112 (S.D.N.Y. Feb. 19, 2008).</w:t>
      </w:r>
    </w:p>
    <w:p w14:paraId="0270967E" w14:textId="77777777" w:rsidR="004322B1" w:rsidRPr="00AD2F44" w:rsidRDefault="004322B1">
      <w:pPr>
        <w:pStyle w:val="14Footnote"/>
      </w:pPr>
      <w:r w:rsidRPr="00AD2F44">
        <w:rPr>
          <w:i/>
          <w:iCs/>
        </w:rPr>
        <w:t xml:space="preserve">Third Circuit: </w:t>
      </w:r>
      <w:r>
        <w:t xml:space="preserve">Weinmann v. Cont. Land Staff, LLC, </w:t>
      </w:r>
      <w:r w:rsidRPr="001A0800">
        <w:t>2023 BL 200591</w:t>
      </w:r>
      <w:r>
        <w:t xml:space="preserve">, </w:t>
      </w:r>
      <w:r w:rsidRPr="00C324DA">
        <w:t xml:space="preserve">2023 WL 3881394 </w:t>
      </w:r>
      <w:r>
        <w:t xml:space="preserve">(W.D. Pa. June 8, 2023) (allowing email notice and citing cases); </w:t>
      </w:r>
      <w:r w:rsidRPr="00AD2F44">
        <w:t>Bland v. Calfrac Well Servs. Corp., 2013 WL 4054594 (W.D. Pa. Aug. 12, 2013).</w:t>
      </w:r>
    </w:p>
    <w:p w14:paraId="344A2169" w14:textId="77777777" w:rsidR="004322B1" w:rsidRPr="00AD2F44" w:rsidRDefault="004322B1">
      <w:pPr>
        <w:pStyle w:val="14Footnote"/>
      </w:pPr>
      <w:r w:rsidRPr="00AD2F44">
        <w:rPr>
          <w:i/>
          <w:iCs/>
        </w:rPr>
        <w:t>Fifth Circuit:</w:t>
      </w:r>
      <w:r w:rsidRPr="00AD2F44">
        <w:t xml:space="preserve"> Hobbs v. Cable Mktg. &amp; Installation, 290 F. Supp. 3d 589, 598 (E.D. La. 2018) (ordering notice by email); White v. Integrated Elec. Techs., Inc., 2013 WL 2903070, at *9 (E.D. La. June 13, 2013); McCarragher v. Ryland Grp., Inc., 2012 WL 4857575, at *6 (S.D. Tex. Oct. 11, 2012); Beall v. Tyler Techs., Inc., 2009 WL 3064689, at *1 (E.D. Tex. 2009) (court granted class notice via email and later compelled the employer to produce all email addresses, both personal and work).</w:t>
      </w:r>
    </w:p>
    <w:p w14:paraId="1AF0977C" w14:textId="77777777" w:rsidR="004322B1" w:rsidRPr="00AD2F44" w:rsidRDefault="004322B1">
      <w:pPr>
        <w:pStyle w:val="14Footnote"/>
      </w:pPr>
      <w:r w:rsidRPr="00AD2F44">
        <w:rPr>
          <w:i/>
          <w:iCs/>
        </w:rPr>
        <w:t>Sixth Circuit:</w:t>
      </w:r>
      <w:r w:rsidRPr="00AD2F44">
        <w:t xml:space="preserve"> Williams v. King Bee Delivery, LLC, 2017 WL 987452 (E.D. Ky. Mar. 14, 2017) (permitting email and first class notice to former employees but only first-class mail to current employees, and ordering that notice and consent form sent with email be sent as PDF attachment so that notice would not be distorted or otherwise altered); Kutzback v. LMS Intellibound LLC, 2014 WL 7187006 (W.D. Tenn. Dec. 16, 2014) (email notice permitted); O’Neal v. Emery Fed. Credit Union, 2014 WL 842948 (S.D. Ohio Mar. 4, 2014) (plaintiff was ordered to transmit an agreed-upon and court-approved notice to the current and former loan officers via mail and email); Lutz v. Huntington Bancshares Inc., 2013 WL 1703361, at *7 (S.D. Ohio Apr. 19, 2013) (denying plaintiffs’ request for phone and Social Security numbers, finding that email and first-class mail notice constituted “reasonable” notice, noting that courts generally allow only one form of notice unless others are shown necessary).</w:t>
      </w:r>
    </w:p>
    <w:p w14:paraId="1AF02E77" w14:textId="77777777" w:rsidR="004322B1" w:rsidRPr="00AD2F44" w:rsidRDefault="004322B1">
      <w:pPr>
        <w:pStyle w:val="14Footnote"/>
      </w:pPr>
      <w:r w:rsidRPr="00AD2F44">
        <w:rPr>
          <w:i/>
          <w:iCs/>
        </w:rPr>
        <w:t>Seventh Circuit:</w:t>
      </w:r>
      <w:r w:rsidRPr="00AD2F44">
        <w:t xml:space="preserve"> </w:t>
      </w:r>
      <w:r>
        <w:t xml:space="preserve">Wilmoth v. Steak N Shake, </w:t>
      </w:r>
      <w:r w:rsidRPr="00EE5233">
        <w:t>2022 BL 192705</w:t>
      </w:r>
      <w:r>
        <w:t xml:space="preserve">, </w:t>
      </w:r>
      <w:r w:rsidRPr="00C324DA">
        <w:t>2022 WL 1913026</w:t>
      </w:r>
      <w:r>
        <w:t xml:space="preserve">, at *5 (S.D. Ind. June 3, 2022) (explaining that notice via email had become “ubiquitous in this District”); </w:t>
      </w:r>
      <w:r w:rsidRPr="00AD2F44">
        <w:t>Muir v. Guardian Heating &amp; Cooling Servs., 2017 WL 959028 (N.D. Ill. Mar. 13, 2017) (required that notice be sent in email as PDF attachment and not in body of email to avoid modification and redistribution); Boltinghouse v. Abbott Labs., Inc.,</w:t>
      </w:r>
      <w:r w:rsidRPr="00AD2F44">
        <w:rPr>
          <w:i/>
          <w:iCs/>
        </w:rPr>
        <w:t xml:space="preserve"> </w:t>
      </w:r>
      <w:r w:rsidRPr="00AD2F44">
        <w:t>196 F. Supp. 3d 838 (N.D. Ill. 2016) (permitting notice by email but requiring notice to be in PDF attachment to minimize risk of improper modification); Kelly v. Bank of Am., N.A., 2011 WL 7718421, at *2 (N.D. Ill. Sept. 23, 2011).</w:t>
      </w:r>
    </w:p>
    <w:p w14:paraId="0B334A79" w14:textId="77777777" w:rsidR="004322B1" w:rsidRPr="00AD2F44" w:rsidRDefault="004322B1">
      <w:pPr>
        <w:pStyle w:val="14Footnote"/>
      </w:pPr>
      <w:r w:rsidRPr="00AD2F44">
        <w:rPr>
          <w:i/>
          <w:iCs/>
        </w:rPr>
        <w:t>Eighth Circuit:</w:t>
      </w:r>
      <w:r w:rsidRPr="00AD2F44">
        <w:t xml:space="preserve"> Hussein v. Capital Bldg. Servs. Grp., Inc., 152 F. Supp. 3d 1182, 1198 (D. Minn. 2015) (permitting notice by, among other methods, email); Rhodes v. Truman Med. Ctr., Inc., 2014 WL 4722285, at *5 (W.D. Mo. Sept. 23, 2014) (authorizing notice by email); Nobles v. State Farm Mut. Auto. Ins. Co., 2011 WL 3794021, at *10 (W.D. Mo. Aug. 25, 2011); Perrin v. Papa John’s Int’l, Inc., 2011 WL 4815246, at *4 (E.D. Mo. Oct. 11, 2011) (permitting notice distribution by email).</w:t>
      </w:r>
    </w:p>
    <w:p w14:paraId="49BCC31F" w14:textId="77777777" w:rsidR="004322B1" w:rsidRPr="00AD2F44" w:rsidRDefault="004322B1">
      <w:pPr>
        <w:pStyle w:val="14Footnote"/>
      </w:pPr>
      <w:r w:rsidRPr="00AD2F44">
        <w:rPr>
          <w:i/>
          <w:iCs/>
        </w:rPr>
        <w:t>Ninth Circuit:</w:t>
      </w:r>
      <w:r w:rsidRPr="00AD2F44">
        <w:t xml:space="preserve"> Bazzell v. Body Contour Ctrs., LLC, 2016 WL 3655274, at *7 (W.D. Wash. July 8, 2016) (granting plaintiffs’ request to send notice via email, finding that “[e]mail is no longer novel but a routine and critical form of communication”); Benedict v. Hewlett-Packard Co., 2014 WL 587135 (N.D. Cal. Feb. 13, 2014) (recognizing that federal courts routinely approve the production of email addresses and telephone numbers with other contact information to ensure that notice is effectuated); Santiago v. Amdocs, Inc., 2011 WL 6372348, at *8 (N.D. Cal. Dec. 19, 2011); Phelps v. MC Commc’ns, Inc., 2011 WL 3298414, at *6 (D. Nev. Aug. 1, 2011) (permitting notice distribution by email sent by plaintiff and not sent by defendant as plaintiff initially requested); Schemkes v. Presidential Limousine, Inc., 2011 WL 868182, at *4–5 (D. Nev. Mar. 10, 2011) (permitting email notice in light of “current housing situation in Las Vegas” and fact that many potential class members no longer reside at current addresses, noting that email would be less intrusive than phone contact); Lewis v. Wells Fargo &amp; Co</w:t>
      </w:r>
      <w:r w:rsidRPr="00AD2F44">
        <w:rPr>
          <w:i/>
          <w:iCs/>
        </w:rPr>
        <w:t>.,</w:t>
      </w:r>
      <w:r w:rsidRPr="00AD2F44">
        <w:t xml:space="preserve"> 669 F. Supp. 2d 1124 (N.D. Cal. 2009);</w:t>
      </w:r>
      <w:r w:rsidRPr="00AD2F44">
        <w:rPr>
          <w:i/>
          <w:iCs/>
        </w:rPr>
        <w:t xml:space="preserve"> </w:t>
      </w:r>
      <w:r w:rsidRPr="00AD2F44">
        <w:t>Davis v. Westgate Planet Hollywood Las Vegas, LLC, 2009 WL 102735, at *15 (D. Nev. Jan. 12, 2009) (granting circulation of class notice via both U.S. mail and email);</w:t>
      </w:r>
      <w:r w:rsidRPr="00AD2F44">
        <w:rPr>
          <w:i/>
          <w:iCs/>
        </w:rPr>
        <w:t xml:space="preserve"> </w:t>
      </w:r>
      <w:r w:rsidRPr="00AD2F44">
        <w:t>Cranney v. Carriage Servs., Inc., 2008 WL 608639, at *5 (D. Nev. Feb. 29, 2008).</w:t>
      </w:r>
    </w:p>
    <w:p w14:paraId="69965AD2" w14:textId="77777777" w:rsidR="004322B1" w:rsidRPr="00AD2F44" w:rsidRDefault="004322B1">
      <w:pPr>
        <w:pStyle w:val="14Footnote"/>
      </w:pPr>
      <w:r w:rsidRPr="00AD2F44">
        <w:rPr>
          <w:i/>
          <w:iCs/>
        </w:rPr>
        <w:t>Eleventh Circuit:</w:t>
      </w:r>
      <w:r w:rsidRPr="00AD2F44">
        <w:t xml:space="preserve"> Palma v. Metro PCS Wireless, Inc., 2013 WL 6836535, at *3 (M.D. Fla. Dec. 26, 2013) (finding “email an inexpensive and appropriate means of delivering notice of an action to a class.”); Alequin v. Darden Rests., Inc., 2013 U.S. Dist. LEXIS 108341 (S.D. Fla. July 31, 2013). </w:t>
      </w:r>
    </w:p>
  </w:footnote>
  <w:footnote w:id="447">
    <w:p w14:paraId="48270CF8" w14:textId="77777777" w:rsidR="004322B1" w:rsidRPr="00AD2F44" w:rsidRDefault="004322B1">
      <w:pPr>
        <w:pStyle w:val="14Footnote"/>
      </w:pPr>
      <w:r w:rsidRPr="00AD2F44">
        <w:rPr>
          <w:vertAlign w:val="superscript"/>
        </w:rPr>
        <w:footnoteRef/>
      </w:r>
      <w:r w:rsidRPr="00AD2F44">
        <w:t>White v. Integrated Elec. Techs., Inc., 2013 WL 2903070 (E.D. La. June 13, 2013) (given the technical sophistication of the putative members, the court approved plaintiffs’ requests to the send notice twice by email, in addition to first-class mail).</w:t>
      </w:r>
    </w:p>
  </w:footnote>
  <w:footnote w:id="448">
    <w:p w14:paraId="1D296867" w14:textId="77777777" w:rsidR="004322B1" w:rsidRPr="00AD2F44" w:rsidRDefault="004322B1">
      <w:pPr>
        <w:pStyle w:val="14Footnote"/>
      </w:pPr>
      <w:r w:rsidRPr="00AD2F44">
        <w:rPr>
          <w:vertAlign w:val="superscript"/>
        </w:rPr>
        <w:footnoteRef/>
      </w:r>
      <w:r w:rsidRPr="00AD2F44">
        <w:rPr>
          <w:i/>
        </w:rPr>
        <w:t xml:space="preserve">See </w:t>
      </w:r>
    </w:p>
    <w:p w14:paraId="5896F6E2" w14:textId="77777777" w:rsidR="004322B1" w:rsidRDefault="004322B1">
      <w:pPr>
        <w:pStyle w:val="14Footnote"/>
      </w:pPr>
      <w:r w:rsidRPr="00AD2F44">
        <w:rPr>
          <w:i/>
          <w:iCs/>
        </w:rPr>
        <w:t>Second Circuit:</w:t>
      </w:r>
      <w:r w:rsidRPr="00AD2F44">
        <w:t xml:space="preserve"> </w:t>
      </w:r>
      <w:r>
        <w:t xml:space="preserve">Rieske v. Gov’t Emps. Ins. Co., </w:t>
      </w:r>
      <w:r w:rsidRPr="003E32B5">
        <w:t>2022 BL 418813</w:t>
      </w:r>
      <w:r>
        <w:t xml:space="preserve">, </w:t>
      </w:r>
      <w:r w:rsidRPr="002B3C15">
        <w:t xml:space="preserve">2022 WL 17127745 </w:t>
      </w:r>
      <w:r>
        <w:t xml:space="preserve">(E.D.N.Y. Nov. 22, 2022) (permitting text message notice given expansion of remote work during COVID-19 and the nature of the employees’ work as insurance adjusters in the field); </w:t>
      </w:r>
      <w:r w:rsidRPr="00AD2F44">
        <w:t xml:space="preserve">Cabrera v. Stephens, 2017 WL 4326511, at *8 (E.D.N.Y. Sept. 28, 2017) (ordering notice sent by electronic means, including text message and email, in addition to regular mail, concluding that “[p]ractical requests such as these reasonably further the purpose of notice of a collective action under the FLSA”); Martin v. Sprint/United Mgmt. Co., 2016 WL 30334, at *19 (S.D.N.Y. Jan. 4, 2016) (granting text message notice due to high turnover rate among employees); Vasto v. Credico (USA) LLC, 2016 WL 2658172 (S.D.N.Y. May 5, 2016) (same); Bhumithanarn v. 22 Noodle Mkt. Corp., 2015 WL 4240985, at *5 (S.D.N.Y. July 13, 2015) (“[G]iven the high turnover characteristic of the restaurant industry, the Court finds that notice via text message is likely to be a viable and efficient means of communicating with many prospective members of this collective action.”). </w:t>
      </w:r>
    </w:p>
    <w:p w14:paraId="328A102C" w14:textId="77777777" w:rsidR="004322B1" w:rsidRPr="00AD2F44" w:rsidRDefault="004322B1">
      <w:pPr>
        <w:pStyle w:val="14Footnote"/>
      </w:pPr>
      <w:r>
        <w:rPr>
          <w:i/>
          <w:iCs/>
        </w:rPr>
        <w:t xml:space="preserve">Third Circuit: </w:t>
      </w:r>
      <w:r>
        <w:t xml:space="preserve">Weinmann v. Cont. Land Staff, LLC, </w:t>
      </w:r>
      <w:r w:rsidRPr="001A0800">
        <w:t>2023 BL 200591</w:t>
      </w:r>
      <w:r>
        <w:t xml:space="preserve">, </w:t>
      </w:r>
      <w:r w:rsidRPr="002B3C15">
        <w:t xml:space="preserve">2023 WL 3881394 </w:t>
      </w:r>
      <w:r>
        <w:t>(W.D. Pa. June 8, 2023) (allowing text message notice and collecting cases).</w:t>
      </w:r>
    </w:p>
    <w:p w14:paraId="759B3A2E" w14:textId="77777777" w:rsidR="004322B1" w:rsidRPr="00AD2F44" w:rsidRDefault="004322B1">
      <w:pPr>
        <w:pStyle w:val="14Footnote"/>
      </w:pPr>
      <w:r w:rsidRPr="00AD2F44">
        <w:rPr>
          <w:i/>
          <w:iCs/>
        </w:rPr>
        <w:t xml:space="preserve">Fourth Circuit: </w:t>
      </w:r>
      <w:r>
        <w:t>Njoroge v. PrimaCare Partners, LLC,</w:t>
      </w:r>
      <w:r w:rsidRPr="00A815AC">
        <w:t xml:space="preserve"> 2022 BL 342131</w:t>
      </w:r>
      <w:r>
        <w:t xml:space="preserve">, </w:t>
      </w:r>
      <w:r w:rsidRPr="002B3C15">
        <w:t xml:space="preserve">2022 WL 4465894 </w:t>
      </w:r>
      <w:r>
        <w:t xml:space="preserve">(D. Md. Sept. 26, 2022) (permitting text message notice in addition to mail and email); </w:t>
      </w:r>
      <w:r w:rsidRPr="00AD2F44">
        <w:t xml:space="preserve">Mebane v. GKN Driveline N. Am., Inc., 337 F.R.D. 479 (M.D.N.C. 2020) (allowing dissemination of notice by text (as well as mail and email), noting defendant’s limited use of personal email to communicate with employees); Regan v. City of Hanahan, 2017 WL 1386334, at *3 (D.S.C. Apr. 17, 2017) (“Mail, email and text message notice is reasonable because, in today’s mobile society, individuals are likely to retain their mobile numbers and email addresses even when they move.”) (alterations omitted); Lynch v. Dining Concept Grp., LLC, Inc., 2015 WL 5916212 (D.S.C. Oct. 18, 2015) (granting text message notice where mail and email returned undeliverable); Irvine v. Destination Wild Dunes Mgmt., Inc., 132 F. Supp. 3d 707, 711 (D.S.C. 2015) (“The request that notice be distributed via direct mail, email and text messaging appears eminently reasonable to the Court. This has become a much more mobile society with one’s email address and cell phone number serving as the most consistent and reliable method of communication. Political candidates now routinely seek out their supporters’ cell phone numbers and email addresses because traditional methods of communication via regular mail and land line telephone numbers [have] quickly become obsolete.”). </w:t>
      </w:r>
    </w:p>
    <w:p w14:paraId="5F13DA84" w14:textId="77777777" w:rsidR="004322B1" w:rsidRPr="00AD2F44" w:rsidRDefault="004322B1">
      <w:pPr>
        <w:pStyle w:val="14Footnote"/>
      </w:pPr>
      <w:r w:rsidRPr="00AD2F44">
        <w:rPr>
          <w:i/>
          <w:iCs/>
        </w:rPr>
        <w:t xml:space="preserve">Fifth Circuit: </w:t>
      </w:r>
      <w:r w:rsidRPr="00AD2F44">
        <w:t xml:space="preserve">Thrower v. UniversalPegasus Int’l Inc., 484 F. Supp. 3d 473 (S.D. Tex. 2020) (allowing dissemination of notice by text, as well as mail and email, explaining more likely reception and reading of text messages); Hobbs v. Cable Mktg. &amp; Installation, 290 F. Supp. 3d 589, 598 (E.D. La. 2018) (ordering notice by mail, email, and text, with text notice including plain summary and link to the full notice); Butler v. TFS Oilfield Servs., LLC, 2017 WL 7052879, at *7 (W.D. Tex. Sept. 26, 2017) (finding notice by text reasonable given transient nature of work performed by putative opt-ins). </w:t>
      </w:r>
    </w:p>
    <w:p w14:paraId="17B2D1B2" w14:textId="77777777" w:rsidR="004322B1" w:rsidRDefault="004322B1">
      <w:pPr>
        <w:pStyle w:val="14Footnote"/>
      </w:pPr>
      <w:r w:rsidRPr="00AD2F44">
        <w:rPr>
          <w:i/>
          <w:iCs/>
        </w:rPr>
        <w:t xml:space="preserve">Seventh Circuit: </w:t>
      </w:r>
      <w:r w:rsidRPr="00AD2F44">
        <w:t>Brashier v. Quincy Prop., LLC, 2018 WL 1934069, at *6 (C.D. Ill. Apr. 24, 2018) (ordering notice sent by text message upon plaintiffs’ showing that putative members were transient and defendant did not have reliable contact information).</w:t>
      </w:r>
    </w:p>
    <w:p w14:paraId="4223680A" w14:textId="77777777" w:rsidR="004322B1" w:rsidRPr="00AD2F44" w:rsidRDefault="004322B1">
      <w:pPr>
        <w:pStyle w:val="14Footnote"/>
      </w:pPr>
      <w:r w:rsidRPr="00AD2F44">
        <w:rPr>
          <w:i/>
          <w:iCs/>
        </w:rPr>
        <w:t xml:space="preserve">Tenth Circuit: </w:t>
      </w:r>
      <w:r w:rsidRPr="00AD2F44">
        <w:t>James v. Boyd Gaming Corp., 522 F. Supp. 3d 892, 925</w:t>
      </w:r>
      <w:r w:rsidRPr="00AD2F44">
        <w:rPr>
          <w:b/>
          <w:bCs/>
        </w:rPr>
        <w:t xml:space="preserve"> </w:t>
      </w:r>
      <w:r w:rsidRPr="00AD2F44">
        <w:t>(D. Kan. 2021) (allowing dissemination of notice by text but limiting frequency of texts to ensure class members were not “overwhelmed and annoyed”);</w:t>
      </w:r>
      <w:r w:rsidRPr="00AD2F44">
        <w:rPr>
          <w:b/>
          <w:bCs/>
        </w:rPr>
        <w:t xml:space="preserve"> </w:t>
      </w:r>
      <w:r w:rsidRPr="00AD2F44">
        <w:t xml:space="preserve">Calvillo v. Bull Rogers, Inc., 267 F. Supp. 3d 1307, 1315 (D.N.M. 2017) (“Courts have recognized that notice by email and text is reasonable in today’s mobile society and may … offer a more reliable means of reaching an individual even if that individual is away from home or has moved.”); Landry v. Swire Oilfield Servs., 2017 WL 1709695, at *39–40 (D.N.M. May 2, 2017) (“[C]ommunication via email and text message” will “increase the chance of the class members receiving and reading the notice”); Dempsey v. Jason’s Premier Pumping Servs., LLC, 2015 WL 13121134, at *2 (D. Colo. Nov. 11, 2015) (granting text message notice to workers who may travel frequently and/or be away from their homes for long periods of time). </w:t>
      </w:r>
    </w:p>
    <w:p w14:paraId="635B2152" w14:textId="77777777" w:rsidR="004322B1" w:rsidRPr="00AD2F44" w:rsidRDefault="004322B1">
      <w:pPr>
        <w:pStyle w:val="14Footnote"/>
      </w:pPr>
      <w:r w:rsidRPr="00AD2F44">
        <w:rPr>
          <w:i/>
          <w:iCs/>
        </w:rPr>
        <w:t xml:space="preserve">D.C. Circuit: </w:t>
      </w:r>
      <w:r w:rsidRPr="00AD2F44">
        <w:t xml:space="preserve">Eley v. Stadium Grp., LLC, 2015 WL 5611331, at *4 (D.D.C. Sept. 22, 2015) (granting request for text message notice because request was “in line with what has been approved in other FLSA collective actions”). </w:t>
      </w:r>
    </w:p>
  </w:footnote>
  <w:footnote w:id="449">
    <w:p w14:paraId="3A1A30E3" w14:textId="77777777" w:rsidR="004322B1" w:rsidRPr="00AD2F44" w:rsidRDefault="004322B1">
      <w:pPr>
        <w:pStyle w:val="14Footnote"/>
      </w:pPr>
      <w:r w:rsidRPr="00AD2F44">
        <w:rPr>
          <w:vertAlign w:val="superscript"/>
        </w:rPr>
        <w:footnoteRef/>
      </w:r>
      <w:r w:rsidRPr="00AD2F44">
        <w:rPr>
          <w:i/>
        </w:rPr>
        <w:t xml:space="preserve">See </w:t>
      </w:r>
    </w:p>
    <w:p w14:paraId="19D25619" w14:textId="77777777" w:rsidR="004322B1" w:rsidRPr="00AD2F44" w:rsidRDefault="004322B1">
      <w:pPr>
        <w:pStyle w:val="14Footnote"/>
      </w:pPr>
      <w:r w:rsidRPr="00AD2F44">
        <w:rPr>
          <w:i/>
          <w:iCs/>
        </w:rPr>
        <w:t>Second Circuit:</w:t>
      </w:r>
      <w:r w:rsidRPr="00AD2F44">
        <w:t xml:space="preserve"> Mikityuk v. Cision US Inc., 2021 BL 165012, 2021 WL 1750370, at *9 (S.D.N.Y. May 4, 2021) (declining to allow dissemination of notice by text absent showing of high turnover rate among employees); Hotanru v. Star Nissan, Inc., 2017 WL 1390808, at *6 (E.D.N.Y. Apr. 12, 2017) (“As plaintiffs make no argument that there is a high turnover rate among automobile sales representatives, the court authorizes distribution of the notice via email and first-class mail, but not via text message.”); Ansolralli v. CVS Pharmacy, Inc., 2017 WL 570767 (E.D.N.Y. Feb. 13, 2017) (denying notice by text message). </w:t>
      </w:r>
    </w:p>
    <w:p w14:paraId="353DCA8F" w14:textId="77777777" w:rsidR="004322B1" w:rsidRPr="002F69CA" w:rsidRDefault="004322B1">
      <w:pPr>
        <w:pStyle w:val="14Footnote"/>
      </w:pPr>
      <w:r>
        <w:rPr>
          <w:i/>
          <w:iCs/>
        </w:rPr>
        <w:t>Third Circuit</w:t>
      </w:r>
      <w:r>
        <w:t xml:space="preserve">: Russo v. Gov’t Emp. Ins. Co., </w:t>
      </w:r>
      <w:r w:rsidRPr="00A3781A">
        <w:t>2022 BL 271482</w:t>
      </w:r>
      <w:r>
        <w:t xml:space="preserve">, </w:t>
      </w:r>
      <w:r w:rsidRPr="002B3C15">
        <w:t xml:space="preserve">2022 WL 3098107 </w:t>
      </w:r>
      <w:r>
        <w:t>(D.N.J. Aug. 3, 2022) (limiting notice to first-class mail and e-mail, and rejecting text message notice as unnecessary).</w:t>
      </w:r>
    </w:p>
    <w:p w14:paraId="1E90A2BF" w14:textId="77777777" w:rsidR="004322B1" w:rsidRPr="00AD2F44" w:rsidRDefault="004322B1">
      <w:pPr>
        <w:pStyle w:val="14Footnote"/>
      </w:pPr>
      <w:r w:rsidRPr="00AD2F44">
        <w:rPr>
          <w:i/>
          <w:iCs/>
        </w:rPr>
        <w:t xml:space="preserve">Fourth Circuit: </w:t>
      </w:r>
      <w:r w:rsidRPr="00AD2F44">
        <w:t>Mullis v. Wings Over Spartanburg, 2017 WL 749362 (D.S.C. Feb. 27, 2017) (permitting email and posted notice, but finding that notice via text message was unwarranted).</w:t>
      </w:r>
    </w:p>
    <w:p w14:paraId="2DC04836" w14:textId="77777777" w:rsidR="004322B1" w:rsidRPr="00AD2F44" w:rsidRDefault="004322B1">
      <w:pPr>
        <w:pStyle w:val="14Footnote"/>
      </w:pPr>
      <w:r w:rsidRPr="00AD2F44">
        <w:rPr>
          <w:i/>
          <w:iCs/>
        </w:rPr>
        <w:t xml:space="preserve">Fifth Circuit: </w:t>
      </w:r>
      <w:r w:rsidRPr="00AD2F44">
        <w:t xml:space="preserve">Macias v. Catapult Painting, LLC, </w:t>
      </w:r>
      <w:r w:rsidRPr="005447E1">
        <w:rPr>
          <w:b/>
          <w:bCs/>
        </w:rPr>
        <w:t> </w:t>
      </w:r>
      <w:r w:rsidRPr="002F69CA">
        <w:t>2020 BL 408989</w:t>
      </w:r>
      <w:r>
        <w:t xml:space="preserve">, </w:t>
      </w:r>
      <w:r w:rsidRPr="00AD2F44">
        <w:t>2020 WL 6253589, at *5 (S.D. Tex. Oct. 22, 2020) (ordering notice sent by mail and email but not text message, noting it was “not necessary” and phone calls and text messages “can present invasion of privacy concerns”);</w:t>
      </w:r>
      <w:r w:rsidRPr="00AD2F44">
        <w:rPr>
          <w:i/>
          <w:iCs/>
        </w:rPr>
        <w:t xml:space="preserve"> </w:t>
      </w:r>
      <w:r w:rsidRPr="00AD2F44">
        <w:t>Norman v. Neighborhood Healthcare Providers, PLLC, 2020 BL 314923, 2020 WL 4873848 (S.D. Miss. Aug. 19, 2020) (refusing to authorize text messaging notice and declining request for cell phone numbers)</w:t>
      </w:r>
      <w:r w:rsidRPr="008E5385">
        <w:t xml:space="preserve"> </w:t>
      </w:r>
      <w:r w:rsidRPr="00AD2F44">
        <w:t>Alverson v. BL Rest. Operations LLC,</w:t>
      </w:r>
      <w:r w:rsidRPr="005E1C39">
        <w:rPr>
          <w:rFonts w:ascii="Arial" w:hAnsi="Arial" w:cs="Arial"/>
          <w:color w:val="292E31"/>
          <w:sz w:val="24"/>
        </w:rPr>
        <w:t xml:space="preserve"> </w:t>
      </w:r>
      <w:r w:rsidRPr="005E1C39">
        <w:t>2018 BL 91541</w:t>
      </w:r>
      <w:r>
        <w:t>,</w:t>
      </w:r>
      <w:r w:rsidRPr="00AD2F44">
        <w:t xml:space="preserve"> 2018 WL 1324952, at *2 (W.D. Tex. Mar. 12, 2018) (ordering notice sent by mail and email but not text message).</w:t>
      </w:r>
    </w:p>
    <w:p w14:paraId="449F1CC1" w14:textId="77777777" w:rsidR="004322B1" w:rsidRPr="00AD2F44" w:rsidRDefault="004322B1">
      <w:pPr>
        <w:pStyle w:val="14Footnote"/>
      </w:pPr>
      <w:r w:rsidRPr="00AD2F44">
        <w:rPr>
          <w:i/>
          <w:iCs/>
        </w:rPr>
        <w:t xml:space="preserve">Sixth Circuit: </w:t>
      </w:r>
      <w:r w:rsidRPr="00AD2F44">
        <w:t xml:space="preserve">Hall v. U.S. Cargo &amp; Courier Serv., LLC, 299 F. Supp. 3d 888, 899–900 (S.D. Ohio 2018) (ordering notice sent by mail and email but not text message); Brittmon v. Upreach, LLC, 285 F. Supp. 3d 1033, 1044–45 (S.D. Ohio 2018) (ordering notice sent by mail and email but not text message until showing is made that mail and email notice was insufficient); Brandenburg v. Cousin Vinny’s Pizza LLC, 2017 WL 3500411, at *5 (S.D. Ohio Aug. 15, 2017) (declining to authorize notice by text message, finding request “premature” and “invasive” unless plaintiffs show that regular mail and email notice was “insufficient as to a given potential member”). </w:t>
      </w:r>
    </w:p>
    <w:p w14:paraId="271EE97D" w14:textId="77777777" w:rsidR="004322B1" w:rsidRPr="00AD2F44" w:rsidRDefault="004322B1">
      <w:pPr>
        <w:pStyle w:val="14Footnote"/>
      </w:pPr>
    </w:p>
    <w:p w14:paraId="67F01DED" w14:textId="77777777" w:rsidR="004322B1" w:rsidRPr="00AD2F44" w:rsidRDefault="004322B1">
      <w:pPr>
        <w:pStyle w:val="14Footnote"/>
      </w:pPr>
      <w:r w:rsidRPr="00AD2F44">
        <w:rPr>
          <w:i/>
          <w:iCs/>
        </w:rPr>
        <w:t xml:space="preserve">Seventh Circuit: </w:t>
      </w:r>
      <w:r>
        <w:t xml:space="preserve">Wilmoth v. Steak N Shake, </w:t>
      </w:r>
      <w:r w:rsidRPr="00EE5233">
        <w:t>2022 BL 192705</w:t>
      </w:r>
      <w:r>
        <w:t xml:space="preserve">, </w:t>
      </w:r>
      <w:r w:rsidRPr="002B3C15">
        <w:t xml:space="preserve">2022 WL 1913026 </w:t>
      </w:r>
      <w:r>
        <w:t xml:space="preserve">(S.D. Ind. June 3, 2022) (allowing email and website notice but rejecting text message notice as an unwarranted invasion of privacy); </w:t>
      </w:r>
      <w:r w:rsidRPr="00AD2F44">
        <w:t xml:space="preserve">Muir v. Guardian Heating &amp; Cooling Servs., Inc., 2017 WH Cases2d 77645 (N.D. Ill. Mar. 13, 2017) (permitting email and posted notice but finding that notice via text message was unwarranted); Ries v. Planesphere, Inc., 2016 WL 6277466, at *3 (N.D. Ill. Oct. 27, 2016) (same). </w:t>
      </w:r>
    </w:p>
    <w:p w14:paraId="01B8EBD0" w14:textId="77777777" w:rsidR="004322B1" w:rsidRPr="00AD2F44" w:rsidRDefault="004322B1">
      <w:pPr>
        <w:pStyle w:val="14Footnote"/>
      </w:pPr>
      <w:r w:rsidRPr="00AD2F44">
        <w:rPr>
          <w:i/>
          <w:iCs/>
        </w:rPr>
        <w:t>Eighth Circuit:</w:t>
      </w:r>
      <w:r w:rsidRPr="00AD2F44">
        <w:t xml:space="preserve"> Lockett v. Pinnacle Ent’mt, Inc., 2021 BL 94476, 2021 WL 960424, at *9 (W.D. Mo. Mar. 12, 2021) (ordering notice sent by mail and email but not text message, reasoning that text messages are “more intrusive than email”) (citation omitted). </w:t>
      </w:r>
    </w:p>
    <w:p w14:paraId="2E3B2E74" w14:textId="77777777" w:rsidR="004322B1" w:rsidRPr="00AD2F44" w:rsidRDefault="004322B1" w:rsidP="003E61AD">
      <w:pPr>
        <w:pStyle w:val="14Footnote"/>
      </w:pPr>
      <w:r w:rsidRPr="00AD2F44">
        <w:rPr>
          <w:i/>
          <w:iCs/>
        </w:rPr>
        <w:t xml:space="preserve">D.C. Circuit: </w:t>
      </w:r>
      <w:r w:rsidRPr="00AD2F44">
        <w:t>Castro v. Tierno Care Home Health Agency, Inc., 2022 BL 189359, 2022 WL 1433650, at *4 (D.D.C. Apr. 5, 2022) (ordering notice sent by mail and email but denying request to send notice by text after denying request for cell phone numbers where plaintiff failed to show “particularized need” for Spanish-speaking workers’ cell phone numbers).</w:t>
      </w:r>
    </w:p>
  </w:footnote>
  <w:footnote w:id="450">
    <w:p w14:paraId="2F71F235" w14:textId="77777777" w:rsidR="004322B1" w:rsidRPr="00AD2F44" w:rsidRDefault="004322B1" w:rsidP="00F23572">
      <w:pPr>
        <w:pStyle w:val="14Footnote"/>
      </w:pPr>
      <w:r w:rsidRPr="00AD2F44">
        <w:rPr>
          <w:rStyle w:val="FootnoteReference"/>
        </w:rPr>
        <w:footnoteRef/>
      </w:r>
      <w:r w:rsidRPr="00AD2F44">
        <w:t xml:space="preserve">Lin v. JD Produce Maspeth LLC, 2021 BL 427745, 2021 WL 5163218, at *13 (E.D.N.Y. Nov. 5, 2021) (collecting cases). </w:t>
      </w:r>
    </w:p>
  </w:footnote>
  <w:footnote w:id="451">
    <w:p w14:paraId="4165B278" w14:textId="77777777" w:rsidR="004322B1" w:rsidRPr="00AD2F44" w:rsidRDefault="004322B1" w:rsidP="00F23572">
      <w:pPr>
        <w:pStyle w:val="14Footnote"/>
      </w:pPr>
      <w:r w:rsidRPr="00AD2F44">
        <w:rPr>
          <w:rStyle w:val="FootnoteReference"/>
        </w:rPr>
        <w:footnoteRef/>
      </w:r>
      <w:r w:rsidRPr="00AD2F44">
        <w:t>Bennett v. BT’s on the River, LLC, 2023 BL 31041, 2023 WL 2838076 (S.D. Fla. Jan. 31, 2023) (permitting QR code on notice form as link to online documents such as fillable consent to join form).</w:t>
      </w:r>
    </w:p>
  </w:footnote>
  <w:footnote w:id="452">
    <w:p w14:paraId="757C8FEA" w14:textId="77777777" w:rsidR="004322B1" w:rsidRPr="00AD2F44" w:rsidRDefault="004322B1">
      <w:pPr>
        <w:pStyle w:val="14Footnote"/>
      </w:pPr>
      <w:r w:rsidRPr="00AD2F44">
        <w:rPr>
          <w:vertAlign w:val="superscript"/>
        </w:rPr>
        <w:footnoteRef/>
      </w:r>
      <w:r w:rsidRPr="00AD2F44">
        <w:rPr>
          <w:i/>
          <w:iCs/>
        </w:rPr>
        <w:t>See, e.g.,</w:t>
      </w:r>
    </w:p>
    <w:p w14:paraId="46A9FA8B" w14:textId="77777777" w:rsidR="004322B1" w:rsidRPr="00AD2F44" w:rsidRDefault="004322B1">
      <w:pPr>
        <w:pStyle w:val="14Footnote"/>
      </w:pPr>
      <w:r w:rsidRPr="00AD2F44">
        <w:rPr>
          <w:i/>
          <w:iCs/>
        </w:rPr>
        <w:t>First Circuit:</w:t>
      </w:r>
      <w:r w:rsidRPr="00AD2F44">
        <w:t xml:space="preserve"> Poreda v. Boise Cascade, LLC, 532 F. Supp. 2d 234 (D. Mass. 2008).</w:t>
      </w:r>
    </w:p>
    <w:p w14:paraId="01FD8E20" w14:textId="77777777" w:rsidR="004322B1" w:rsidRPr="00AD2F44" w:rsidRDefault="004322B1">
      <w:pPr>
        <w:pStyle w:val="14Footnote"/>
      </w:pPr>
      <w:r w:rsidRPr="00AD2F44">
        <w:rPr>
          <w:i/>
          <w:iCs/>
        </w:rPr>
        <w:t>Second Circuit:</w:t>
      </w:r>
      <w:r w:rsidRPr="00AD2F44">
        <w:t xml:space="preserve"> Ruggles v. Wellpoint, Inc., 2008 U.S. Dist. LEXIS 90819 (N.D.N.Y. Nov. 6, 2008); Dumitrescu v. Mr. Chow Enter., Ltd., 2008 WL 2600667 (S.D.N.Y. June 30, 2008); Francis v. A &amp; E Stores, Inc., 2008 WL 2588851 (S.D.N.Y. June 26, 2008); Chowdhury v. Duane Reade, Inc., 2007 WL 2873929 (S.D.N.Y. Oct. 2, 2007); Levy v. Verizon Info. Servs. Inc., 2007 WL 1747104 (E.D.N.Y. June 11, 2007); Lynch v. United Servs. Auto. Ass’n, 491 F. Supp. 2d 357 (S.D.N.Y. 2007).</w:t>
      </w:r>
    </w:p>
    <w:p w14:paraId="77421D1D" w14:textId="77777777" w:rsidR="004322B1" w:rsidRPr="00AD2F44" w:rsidRDefault="004322B1">
      <w:pPr>
        <w:pStyle w:val="14Footnote"/>
      </w:pPr>
      <w:r w:rsidRPr="00AD2F44">
        <w:rPr>
          <w:i/>
          <w:iCs/>
        </w:rPr>
        <w:t>Third Circuit:</w:t>
      </w:r>
      <w:r w:rsidRPr="00AD2F44">
        <w:t xml:space="preserve"> Hughes v. Township of Franklin, 2014 WL 1428609 (D.N.J. Apr. 14, 2014); Stillman v. Staples, Inc., 2008 WL 1843998 (D.N.J. Apr. 22, 2008); Herring v. Hewitt Assoc., Inc., 2007 WL 2121693 (D.N.J. July 24, 2007); Ritzer v. UBS Fin. Servs. Inc., 2008 U.S. Dist. LEXIS 71635 (D.N.J. Sept. 22, 2008).</w:t>
      </w:r>
    </w:p>
    <w:p w14:paraId="3E63EA48" w14:textId="77777777" w:rsidR="004322B1" w:rsidRPr="00AD2F44" w:rsidRDefault="004322B1">
      <w:pPr>
        <w:pStyle w:val="14Footnote"/>
      </w:pPr>
      <w:r w:rsidRPr="00AD2F44">
        <w:rPr>
          <w:i/>
          <w:iCs/>
        </w:rPr>
        <w:t>Fourth Circuit:</w:t>
      </w:r>
      <w:r w:rsidRPr="00AD2F44">
        <w:t xml:space="preserve"> Williams v. Long, 585 F. Supp. 2d 679, 691–92 (D. Md. 2008).</w:t>
      </w:r>
    </w:p>
    <w:p w14:paraId="1A1FA998" w14:textId="77777777" w:rsidR="004322B1" w:rsidRPr="00AD2F44" w:rsidRDefault="004322B1">
      <w:pPr>
        <w:pStyle w:val="14Footnote"/>
      </w:pPr>
      <w:r w:rsidRPr="00AD2F44">
        <w:rPr>
          <w:i/>
          <w:iCs/>
        </w:rPr>
        <w:t>Fifth Circuit:</w:t>
      </w:r>
      <w:r w:rsidRPr="00AD2F44">
        <w:t xml:space="preserve"> Roberts v. SB S. Welding LLC, 2015 WL 8773610, at *3 (N.D. Tex. Dec. 15, 2015) (denying request for email addresses, explaining that courts in that district normally begin with just name, address, and dates of employment); Behnken v. Luminant Mining Co., LLC, 2014 WL 585333 (N.D. Tex. Feb. 14, 2014); Albanil v. Coast 2 Coast, Inc., 2008 WL 4937565 (S.D. Tex. Nov. 17, 2008); Vogt v. Texas Instruments, Inc., 2006 U.S. Dist. LEXIS 67226 (N.D. Tex. Sept. 19, 2006).</w:t>
      </w:r>
    </w:p>
    <w:p w14:paraId="4BB9F31A" w14:textId="77777777" w:rsidR="004322B1" w:rsidRPr="00AD2F44" w:rsidRDefault="004322B1">
      <w:pPr>
        <w:pStyle w:val="14Footnote"/>
      </w:pPr>
      <w:r w:rsidRPr="00AD2F44">
        <w:rPr>
          <w:i/>
          <w:iCs/>
        </w:rPr>
        <w:t>Sixth Circuit:</w:t>
      </w:r>
      <w:r w:rsidRPr="00AD2F44">
        <w:t xml:space="preserve"> Larson v. Rush Fitness Corp., 2013 WL 5350640, at *7 (E.D. Tenn. Sept. 23, 2013).</w:t>
      </w:r>
    </w:p>
    <w:p w14:paraId="37AFFFD7" w14:textId="77777777" w:rsidR="004322B1" w:rsidRPr="00AD2F44" w:rsidRDefault="004322B1">
      <w:pPr>
        <w:pStyle w:val="14Footnote"/>
      </w:pPr>
      <w:r w:rsidRPr="00AD2F44">
        <w:rPr>
          <w:i/>
          <w:iCs/>
        </w:rPr>
        <w:t>Seventh Circuit:</w:t>
      </w:r>
      <w:r w:rsidRPr="00AD2F44">
        <w:t xml:space="preserve"> Sjoblom v. Charter Commc’ns LLC, 2008 U.S. Dist. LEXIS 18369 (W.D. Wis. Mar. 4, 2008); Ashley v. Lake Cnty., 2007 WL 1549926 (N.D. Ind. May 24, 2007).</w:t>
      </w:r>
    </w:p>
    <w:p w14:paraId="75F6BB4F" w14:textId="77777777" w:rsidR="004322B1" w:rsidRPr="00AD2F44" w:rsidRDefault="004322B1">
      <w:pPr>
        <w:pStyle w:val="14Footnote"/>
      </w:pPr>
      <w:r w:rsidRPr="00AD2F44">
        <w:rPr>
          <w:i/>
          <w:iCs/>
        </w:rPr>
        <w:t>Eighth Circuit:</w:t>
      </w:r>
      <w:r w:rsidRPr="00AD2F44">
        <w:t xml:space="preserve"> Cortez v. Nebraska Beef, Inc., 2008 WL 5076254 (D. Neb. Nov. 21, 2008); Perez-Benites v. Candy Brand LLC, 2008 U.S. Dist. LEXIS 91402, at *10 (W.D. Ark. Oct. 31, 2008); Burch v. Qwest Commc’ns Int’l, Inc., 500 F. Supp. 2d 1181 (D. Minn. 2007).</w:t>
      </w:r>
    </w:p>
    <w:p w14:paraId="157CCE99" w14:textId="77777777" w:rsidR="004322B1" w:rsidRPr="00AD2F44" w:rsidRDefault="004322B1">
      <w:pPr>
        <w:pStyle w:val="14Footnote"/>
      </w:pPr>
      <w:r w:rsidRPr="00AD2F44">
        <w:rPr>
          <w:i/>
          <w:iCs/>
        </w:rPr>
        <w:t>Ninth Circuit:</w:t>
      </w:r>
      <w:r w:rsidRPr="00AD2F44">
        <w:t xml:space="preserve"> Russell v. Wells Fargo &amp; Co., 2008 U.S. Dist. LEXIS 78771 (N.D. Cal. Sept. 3, 2008); Carter v. Anderson Merchandisers, LP, 2008 WL 2783193 (C.D. Cal. July 10, 2008); Campbell v. Pricewaterhouse Coopers LLC, 2008 U.S. Dist. LEXIS 44795 (E.D. Cal. June 5, 2008); Adams v. Inter-Con Sec. Sys., Inc., 2007 WL 3225466 (N.D. Cal. Oct. 30, 2007); Gerlach v. Wells Fargo &amp; Co., 2006 WL 824652 (N.D. Cal. Mar. 28, 2006).</w:t>
      </w:r>
    </w:p>
    <w:p w14:paraId="700E71A9" w14:textId="77777777" w:rsidR="004322B1" w:rsidRPr="00AD2F44" w:rsidRDefault="004322B1">
      <w:pPr>
        <w:pStyle w:val="14Footnote"/>
      </w:pPr>
      <w:r w:rsidRPr="00AD2F44">
        <w:rPr>
          <w:i/>
          <w:iCs/>
        </w:rPr>
        <w:t>Tenth Circuit:</w:t>
      </w:r>
      <w:r w:rsidRPr="00AD2F44">
        <w:t xml:space="preserve"> Barnwell v. Corrections Corp. of Am., 2008 U.S. Dist. LEXIS 104230 (D. Kan. Dec. 9, 2008).</w:t>
      </w:r>
    </w:p>
    <w:p w14:paraId="752B556E" w14:textId="77777777" w:rsidR="004322B1" w:rsidRPr="00AD2F44" w:rsidRDefault="004322B1">
      <w:pPr>
        <w:pStyle w:val="14Footnote"/>
      </w:pPr>
      <w:r w:rsidRPr="00AD2F44">
        <w:rPr>
          <w:i/>
          <w:iCs/>
        </w:rPr>
        <w:t>Eleventh Circuit:</w:t>
      </w:r>
      <w:r w:rsidRPr="00AD2F44">
        <w:t xml:space="preserve"> Cox v. Appliance Direct, Inc., 2008 WL 3050050, at *5 (M.D. Fla. Aug. 1, 2008) (requiring provision of names and addresses); Longcrier v. HL-A Co., Inc., 595 F. Supp. 2d 1218 (S.D. Ala. 2008); Vaccaro v. Candidates on Demand Grp., Inc., 2008 U.S. Dist. LEXIS 29344 (S.D. Fla. Apr. 10, 2008).</w:t>
      </w:r>
    </w:p>
  </w:footnote>
  <w:footnote w:id="453">
    <w:p w14:paraId="1A7952AD" w14:textId="77777777" w:rsidR="004322B1" w:rsidRPr="00AD2F44" w:rsidRDefault="004322B1">
      <w:pPr>
        <w:pStyle w:val="14Footnote"/>
      </w:pPr>
      <w:r w:rsidRPr="00AD2F44">
        <w:rPr>
          <w:vertAlign w:val="superscript"/>
        </w:rPr>
        <w:footnoteRef/>
      </w:r>
      <w:r w:rsidRPr="00AD2F44">
        <w:rPr>
          <w:i/>
          <w:iCs/>
        </w:rPr>
        <w:t>First Circuit:</w:t>
      </w:r>
      <w:r w:rsidRPr="00AD2F44">
        <w:t xml:space="preserve"> Doyon v. Rite Aid Corp., 279 F.R.D. 43, 49 (D. Me. 2011) (noting that “courts have held that individuals’ privacy interests in contact information such as names and addresses is minimal and, thus, not a bar to legitimate discovery requests”).</w:t>
      </w:r>
    </w:p>
    <w:p w14:paraId="3B65781C" w14:textId="77777777" w:rsidR="004322B1" w:rsidRPr="00AD2F44" w:rsidRDefault="004322B1">
      <w:pPr>
        <w:pStyle w:val="14Footnote"/>
      </w:pPr>
      <w:r w:rsidRPr="00AD2F44">
        <w:rPr>
          <w:i/>
          <w:iCs/>
        </w:rPr>
        <w:t>Second Circuit:</w:t>
      </w:r>
      <w:r w:rsidRPr="00AD2F44">
        <w:t xml:space="preserve"> Youngblood v. Family Dollar Stores, Inc., 2011 WL 1742109 (S.D.N.Y. Jan. 5, 2011); Cuzco v. Orion Builders, Inc., 477 F. Supp. 2d 628, 636 (S.D.N.Y. 2007) (finding defendants’ concerns regarding confidentiality unfounded).</w:t>
      </w:r>
    </w:p>
    <w:p w14:paraId="3EBDAC07" w14:textId="77777777" w:rsidR="004322B1" w:rsidRPr="00AD2F44" w:rsidRDefault="004322B1">
      <w:pPr>
        <w:pStyle w:val="14Footnote"/>
      </w:pPr>
      <w:r w:rsidRPr="00AD2F44">
        <w:rPr>
          <w:i/>
          <w:iCs/>
        </w:rPr>
        <w:t>Seventh Circuit:</w:t>
      </w:r>
      <w:r w:rsidRPr="00AD2F44">
        <w:t xml:space="preserve"> Acevedo v. Ace Coffee Bar, Inc., 248 F.R.D. 550, 554 (N.D. Ill. 2008) (holding plaintiffs’ request for the contact information of similarly situated employees outweighs privacy rights of potential plaintiffs but imposing a protective order to ensure the information provided to plaintiffs is protected from disclosure and used for its intended purpose).</w:t>
      </w:r>
    </w:p>
    <w:p w14:paraId="0D7D6AED" w14:textId="77777777" w:rsidR="004322B1" w:rsidRPr="00AD2F44" w:rsidRDefault="004322B1">
      <w:pPr>
        <w:pStyle w:val="14Footnote"/>
      </w:pPr>
      <w:r w:rsidRPr="00AD2F44">
        <w:rPr>
          <w:i/>
          <w:iCs/>
        </w:rPr>
        <w:t>Ninth Circuit:</w:t>
      </w:r>
      <w:r w:rsidRPr="00AD2F44">
        <w:t xml:space="preserve"> Adams v. Inter-Con Sec. Sys., Inc., 242 F.R.D. 530, 540 (N.D. Cal. 2007) (denying defendant’s request that the contact information only be provided to a third-party administrator).</w:t>
      </w:r>
    </w:p>
  </w:footnote>
  <w:footnote w:id="454">
    <w:p w14:paraId="1F7BCC88" w14:textId="77777777" w:rsidR="004322B1" w:rsidRPr="00AD2F44" w:rsidRDefault="004322B1">
      <w:pPr>
        <w:pStyle w:val="14Footnote"/>
      </w:pPr>
      <w:r w:rsidRPr="00AD2F44">
        <w:rPr>
          <w:vertAlign w:val="superscript"/>
        </w:rPr>
        <w:footnoteRef/>
      </w:r>
      <w:r w:rsidRPr="00AD2F44">
        <w:rPr>
          <w:i/>
          <w:iCs/>
        </w:rPr>
        <w:t>Second Circuit:</w:t>
      </w:r>
      <w:r w:rsidRPr="00AD2F44">
        <w:t xml:space="preserve"> </w:t>
      </w:r>
      <w:r>
        <w:t xml:space="preserve">Zimnicki v. Krysiak Constr. Corp., </w:t>
      </w:r>
      <w:r w:rsidRPr="00846456">
        <w:t>2022 BL 459417</w:t>
      </w:r>
      <w:r>
        <w:t xml:space="preserve">, </w:t>
      </w:r>
      <w:r w:rsidRPr="002B3C15">
        <w:t xml:space="preserve">2022 WL 17820139 </w:t>
      </w:r>
      <w:r>
        <w:t xml:space="preserve">(E.D.N.Y. Sept. 27, 2022) (telephone numbers but not dates of birth); </w:t>
      </w:r>
      <w:r w:rsidRPr="00AD2F44">
        <w:t xml:space="preserve">Michael v. Bloomberg LP, 2015 WL 1810157 (S.D.N.Y. Apr. 17, 2015). </w:t>
      </w:r>
    </w:p>
    <w:p w14:paraId="6B624D5A" w14:textId="77777777" w:rsidR="004322B1" w:rsidRPr="00AD2F44" w:rsidRDefault="004322B1">
      <w:pPr>
        <w:pStyle w:val="14Footnote"/>
      </w:pPr>
      <w:r w:rsidRPr="00AD2F44">
        <w:rPr>
          <w:i/>
          <w:iCs/>
        </w:rPr>
        <w:t>Third Circuit:</w:t>
      </w:r>
      <w:r w:rsidRPr="00AD2F44">
        <w:t xml:space="preserve"> Bland v. Calfrac Well Servs. Corp., 2013 WL 4054594 (W.D. Pa. Aug. 12, 2013).</w:t>
      </w:r>
    </w:p>
    <w:p w14:paraId="353E6EA1" w14:textId="77777777" w:rsidR="004322B1" w:rsidRPr="00AD2F44" w:rsidRDefault="004322B1">
      <w:pPr>
        <w:pStyle w:val="14Footnote"/>
      </w:pPr>
      <w:r w:rsidRPr="00AD2F44">
        <w:rPr>
          <w:i/>
          <w:iCs/>
        </w:rPr>
        <w:t>Fourth Circuit:</w:t>
      </w:r>
      <w:r w:rsidRPr="00AD2F44">
        <w:t xml:space="preserve"> Mendoza v. Mo’s Fisherman Exch., Inc., 2016 WL 3440007 (D. Md. June 22, 2016) (requiring defendants to produce email addresses).</w:t>
      </w:r>
    </w:p>
    <w:p w14:paraId="3726F6EC" w14:textId="77777777" w:rsidR="004322B1" w:rsidRPr="00AD2F44" w:rsidRDefault="004322B1">
      <w:pPr>
        <w:pStyle w:val="14Footnote"/>
      </w:pPr>
      <w:r w:rsidRPr="00AD2F44">
        <w:rPr>
          <w:i/>
          <w:iCs/>
        </w:rPr>
        <w:t>Sixth Circuit:</w:t>
      </w:r>
      <w:r w:rsidRPr="00AD2F44">
        <w:t xml:space="preserve"> O’Neal v. Emery Fed. Credit Union, 2014 WL 842948 (S.D. Ohio Mar. 4, 2014).</w:t>
      </w:r>
    </w:p>
    <w:p w14:paraId="6CDB8CCE" w14:textId="77777777" w:rsidR="004322B1" w:rsidRPr="00AD2F44" w:rsidRDefault="004322B1">
      <w:pPr>
        <w:pStyle w:val="14Footnote"/>
      </w:pPr>
      <w:r w:rsidRPr="00AD2F44">
        <w:rPr>
          <w:i/>
          <w:iCs/>
        </w:rPr>
        <w:t>Seventh Circuit:</w:t>
      </w:r>
      <w:r w:rsidRPr="00AD2F44">
        <w:t xml:space="preserve"> Girolamo v. Community Physical Therapy &amp; Assocs., Ltd., 2016 WL 3693426 (N.D. Ill. July 12, 2016) (ordering production of email addresses).</w:t>
      </w:r>
    </w:p>
    <w:p w14:paraId="3DB5A935" w14:textId="77777777" w:rsidR="004322B1" w:rsidRPr="00AD2F44" w:rsidRDefault="004322B1">
      <w:pPr>
        <w:pStyle w:val="14Footnote"/>
      </w:pPr>
      <w:r w:rsidRPr="00AD2F44">
        <w:rPr>
          <w:i/>
          <w:iCs/>
        </w:rPr>
        <w:t>Ninth Circuit:</w:t>
      </w:r>
      <w:r w:rsidRPr="00AD2F44">
        <w:t xml:space="preserve"> Phelps v. MC Commc’ns, Inc. 2011 WL 3298414, at *6 (D. Nev. Aug. 1, 2011).</w:t>
      </w:r>
    </w:p>
  </w:footnote>
  <w:footnote w:id="455">
    <w:p w14:paraId="7D291F28" w14:textId="77777777" w:rsidR="004322B1" w:rsidRPr="00AD2F44" w:rsidRDefault="004322B1">
      <w:pPr>
        <w:pStyle w:val="14Footnote"/>
      </w:pPr>
      <w:r w:rsidRPr="00AD2F44">
        <w:rPr>
          <w:vertAlign w:val="superscript"/>
        </w:rPr>
        <w:footnoteRef/>
      </w:r>
      <w:r w:rsidRPr="00AD2F44">
        <w:rPr>
          <w:i/>
          <w:iCs/>
        </w:rPr>
        <w:t>See, e.g.,</w:t>
      </w:r>
    </w:p>
    <w:p w14:paraId="2D9D379F" w14:textId="77777777" w:rsidR="004322B1" w:rsidRPr="00AD2F44" w:rsidRDefault="004322B1">
      <w:pPr>
        <w:pStyle w:val="14Footnote"/>
      </w:pPr>
      <w:r w:rsidRPr="00AD2F44">
        <w:rPr>
          <w:i/>
          <w:iCs/>
        </w:rPr>
        <w:t>First Circuit:</w:t>
      </w:r>
      <w:r w:rsidRPr="00AD2F44">
        <w:t xml:space="preserve"> Poreda v. Boise Cascade, LLC, 532 F. Supp. 2d 234 (D. Mass. 2008).</w:t>
      </w:r>
    </w:p>
    <w:p w14:paraId="036B8C6F"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2B3C15">
        <w:t xml:space="preserve">2022 WL 17820139 </w:t>
      </w:r>
      <w:r>
        <w:t xml:space="preserve">(E.D.N.Y. Sept. 27, 2022); </w:t>
      </w:r>
      <w:r w:rsidRPr="00AD2F44">
        <w:t>Dumitrescu v. Mr. Chow Enter., Ltd., 2008 WL 2600667 (S.D.N.Y. June 30, 2008); Chowdhury v. Duane Reade, Inc., 2007 WL 2873929 (S.D.N.Y. Oct. 2, 2007); Levy v. Verizon Info. Servs. Inc., 2007 WL 1747104 (E.D.N.Y. June 11, 2007); Lynch v. United Servs. Auto. Ass’n, 491 F. Supp. 2d 357, 371–72 (S.D.N.Y. 2007); Sherrill v. Sutherland Global Servs., Inc., 487 F. Supp. 2d 344, 350 (W.D.N.Y. 2007); Damassia v. Duane Reade, Inc., 2006 WL 2853971, at *8 (S.D.N.Y. Oct. 5, 2006).</w:t>
      </w:r>
    </w:p>
    <w:p w14:paraId="4FF71E3E" w14:textId="77777777" w:rsidR="004322B1" w:rsidRPr="00AD2F44" w:rsidRDefault="004322B1">
      <w:pPr>
        <w:pStyle w:val="14Footnote"/>
      </w:pPr>
      <w:r w:rsidRPr="00AD2F44">
        <w:rPr>
          <w:i/>
          <w:iCs/>
        </w:rPr>
        <w:t>Fourth Circuit:</w:t>
      </w:r>
      <w:r w:rsidRPr="00AD2F44">
        <w:t xml:space="preserve"> Sharer v. Tandberg, Inc., 2006 WL 2988104, at *3 (E.D. Va. Oct. 17, 2006).</w:t>
      </w:r>
    </w:p>
    <w:p w14:paraId="565018E6" w14:textId="77777777" w:rsidR="004322B1" w:rsidRPr="00AD2F44" w:rsidRDefault="004322B1">
      <w:pPr>
        <w:pStyle w:val="14Footnote"/>
      </w:pPr>
      <w:r w:rsidRPr="00AD2F44">
        <w:rPr>
          <w:i/>
          <w:iCs/>
        </w:rPr>
        <w:t>Fifth Circuit:</w:t>
      </w:r>
      <w:r w:rsidRPr="00AD2F44">
        <w:t xml:space="preserve"> Salinas-Rodriguez v. Alpha Servs., LLC, 2005 WL 3557178, at *4 (S.D. Miss. Dec. 27, 2005).</w:t>
      </w:r>
    </w:p>
    <w:p w14:paraId="59D80A5E" w14:textId="77777777" w:rsidR="004322B1" w:rsidRPr="00AD2F44" w:rsidRDefault="004322B1">
      <w:pPr>
        <w:pStyle w:val="14Footnote"/>
      </w:pPr>
      <w:r w:rsidRPr="00AD2F44">
        <w:rPr>
          <w:i/>
          <w:iCs/>
        </w:rPr>
        <w:t>Seventh Circuit:</w:t>
      </w:r>
      <w:r w:rsidRPr="00AD2F44">
        <w:t xml:space="preserve"> Espenscheid v. DirectSAT USA, LLC, 2010 WL 2330309, at *15 (W.D. Wis. June 7, 2010) (requiring production of telephone numbers to facilitate contact with putative class members, but only if other methods of notice first prove unsuccessful).</w:t>
      </w:r>
    </w:p>
    <w:p w14:paraId="501297AE" w14:textId="77777777" w:rsidR="004322B1" w:rsidRPr="00AD2F44" w:rsidRDefault="004322B1">
      <w:pPr>
        <w:pStyle w:val="14Footnote"/>
      </w:pPr>
      <w:r w:rsidRPr="00AD2F44">
        <w:rPr>
          <w:i/>
          <w:iCs/>
        </w:rPr>
        <w:t>Eighth Circuit:</w:t>
      </w:r>
      <w:r w:rsidRPr="00AD2F44">
        <w:t xml:space="preserve"> Perez-Benites v. Candy Brand LLC, 2008 U.S. Dist. LEXIS 91402, at *10 (W.D. Ark. Oct. 31, 2008); Burch v. Qwest Commc’ns Int’l, Inc., 500 F. Supp. 2d 1181 (D. Minn. 2007).</w:t>
      </w:r>
    </w:p>
    <w:p w14:paraId="7451DEC0" w14:textId="77777777" w:rsidR="004322B1" w:rsidRPr="00AD2F44" w:rsidRDefault="004322B1">
      <w:pPr>
        <w:pStyle w:val="14Footnote"/>
      </w:pPr>
      <w:r w:rsidRPr="00AD2F44">
        <w:rPr>
          <w:i/>
          <w:iCs/>
        </w:rPr>
        <w:t>Ninth Circuit:</w:t>
      </w:r>
      <w:r w:rsidRPr="00AD2F44">
        <w:t xml:space="preserve"> Benedict v. Hewlett-Packard Co., 2014 WL 587135 (N.D. Cal. Feb. 13, 2014) (finding production of telephone numbers and email addresses routine); Russell v. Wells Fargo &amp; Co., 2008 U.S. Dist. LEXIS 78771 (N.D. Cal. Sept. 3, 2008); Carter v. Anderson Merch., LP, 2008 WL 2783193, at *7 (C.D. Cal. July 10, 2008) (rejecting objection to provision of personal contact information to include name, address, and telephone number); Gerlach v. Wells Fargo &amp; Co., 2006 WL 824652 (N.D. Cal. Mar. 28, 2006); Romero v. Producers Dairy Foods, Inc., 235 F.R.D. 474 (E.D. Cal. 2006).</w:t>
      </w:r>
    </w:p>
    <w:p w14:paraId="03DB6536" w14:textId="77777777" w:rsidR="004322B1" w:rsidRPr="00AD2F44" w:rsidRDefault="004322B1">
      <w:pPr>
        <w:pStyle w:val="14Footnote"/>
      </w:pPr>
      <w:r w:rsidRPr="00AD2F44">
        <w:rPr>
          <w:i/>
          <w:iCs/>
        </w:rPr>
        <w:t>Tenth Circuit:</w:t>
      </w:r>
      <w:r w:rsidRPr="00AD2F44">
        <w:t xml:space="preserve"> Pinkston v. Wheatland Enters., Inc., 2013 WL 1191207, at *4 (D. Kan. Mar. 22, 2013).</w:t>
      </w:r>
    </w:p>
    <w:p w14:paraId="12C68D08" w14:textId="77777777" w:rsidR="004322B1" w:rsidRPr="00AD2F44" w:rsidRDefault="004322B1">
      <w:pPr>
        <w:pStyle w:val="14Footnote"/>
      </w:pPr>
      <w:r w:rsidRPr="00AD2F44">
        <w:rPr>
          <w:i/>
          <w:iCs/>
        </w:rPr>
        <w:t>Eleventh Circuit:</w:t>
      </w:r>
      <w:r w:rsidRPr="00AD2F44">
        <w:t xml:space="preserve"> Vaccaro v. Candidates on Demand Grp., Inc., 2008 U.S. Dist. LEXIS 29344 (S.D. Fla. Apr. 10, 2008).</w:t>
      </w:r>
    </w:p>
    <w:p w14:paraId="661D1929" w14:textId="77777777" w:rsidR="004322B1" w:rsidRPr="00AD2F44" w:rsidRDefault="004322B1">
      <w:pPr>
        <w:pStyle w:val="14Footnote"/>
      </w:pPr>
      <w:r w:rsidRPr="00AD2F44">
        <w:rPr>
          <w:i/>
          <w:iCs/>
        </w:rPr>
        <w:t>D.C. Circuit:</w:t>
      </w:r>
      <w:r w:rsidRPr="00AD2F44">
        <w:t xml:space="preserve"> Ayala v. Tito Contractors, 2014 WL 464786 (D.D.C. Feb. 6, 2014) (telephone numbers).</w:t>
      </w:r>
    </w:p>
    <w:p w14:paraId="055B2F03" w14:textId="77777777" w:rsidR="004322B1" w:rsidRPr="00AD2F44" w:rsidRDefault="004322B1">
      <w:pPr>
        <w:pStyle w:val="14Footnote"/>
      </w:pPr>
      <w:r w:rsidRPr="00AD2F44">
        <w:rPr>
          <w:i/>
        </w:rPr>
        <w:t>But see</w:t>
      </w:r>
    </w:p>
    <w:p w14:paraId="162735E6" w14:textId="77777777" w:rsidR="004322B1" w:rsidRPr="00AD2F44" w:rsidRDefault="004322B1">
      <w:pPr>
        <w:pStyle w:val="14Footnote"/>
      </w:pPr>
      <w:r w:rsidRPr="00AD2F44">
        <w:rPr>
          <w:i/>
          <w:iCs/>
        </w:rPr>
        <w:t>Second Circuit:</w:t>
      </w:r>
      <w:r w:rsidRPr="00AD2F44">
        <w:t xml:space="preserve"> Cordova v. SCCF, Inc., 2014 WL 3512820 (S.D.N.Y. July 16, 2014) (refusing disclosure of telephone numbers unless mail returned undeliverable, but phone numbers must be disclosed in two business days if proof of undelivered mail sent to defendant); Alli v. Boston Mkt. Co., 2011 WL 4006691, at *6 (D. Conn. Sept. 8, 2011) (refusing to order production of telephone numbers because there was no showing their disclosure was necessary).</w:t>
      </w:r>
    </w:p>
    <w:p w14:paraId="794B67AE" w14:textId="77777777" w:rsidR="004322B1" w:rsidRPr="00AD2F44" w:rsidRDefault="004322B1">
      <w:pPr>
        <w:pStyle w:val="14Footnote"/>
      </w:pPr>
      <w:r w:rsidRPr="00AD2F44">
        <w:rPr>
          <w:i/>
          <w:iCs/>
        </w:rPr>
        <w:t>Fourth Circuit:</w:t>
      </w:r>
      <w:r w:rsidRPr="00AD2F44">
        <w:t xml:space="preserve"> </w:t>
      </w:r>
      <w:r w:rsidRPr="00AD2F44">
        <w:rPr>
          <w:i/>
          <w:iCs/>
        </w:rPr>
        <w:t>Mendoza</w:t>
      </w:r>
      <w:r w:rsidRPr="00AD2F44">
        <w:t>, 2016 WL 3440007 (holding that defendants did not need to produce telephone numbers); Arevalo v. D.J.’s Underground, Inc., 2010 WL 4026112, at *2 (D. Md. Oct. 13, 2010) (refusing to provide telephone numbers of putative class members despite low opt-in rate and research suggesting addresses were inaccurate; plaintiffs did not show “special need” required for allowing contact by telephone).</w:t>
      </w:r>
    </w:p>
    <w:p w14:paraId="5CD58814" w14:textId="77777777" w:rsidR="004322B1" w:rsidRPr="00AD2F44" w:rsidRDefault="004322B1">
      <w:pPr>
        <w:pStyle w:val="14Footnote"/>
      </w:pPr>
      <w:r w:rsidRPr="00AD2F44">
        <w:rPr>
          <w:i/>
          <w:iCs/>
        </w:rPr>
        <w:t xml:space="preserve">Fifth Circuit: </w:t>
      </w:r>
      <w:r w:rsidRPr="00AD2F44">
        <w:t>Alford v. Freedom Oilfield Servs., LLC, 2016 WL 8673858 (W.D. Tex. Aug. 17, 2016) (declining to order production of birth dates, phone numbers, and partial Social Security numbers, except to extent that defendant was unwilling or unable to provide valid mailing addresses or email addresses for every putative class member).</w:t>
      </w:r>
    </w:p>
    <w:p w14:paraId="06D24980" w14:textId="77777777" w:rsidR="004322B1" w:rsidRPr="00AD2F44" w:rsidRDefault="004322B1">
      <w:pPr>
        <w:pStyle w:val="14Footnote"/>
      </w:pPr>
      <w:r w:rsidRPr="00AD2F44">
        <w:rPr>
          <w:i/>
          <w:iCs/>
        </w:rPr>
        <w:t>Seventh Circuit:</w:t>
      </w:r>
      <w:r w:rsidRPr="00AD2F44">
        <w:t xml:space="preserve"> </w:t>
      </w:r>
      <w:r>
        <w:t xml:space="preserve">Wilmoth v. Steak N Shake, Inc., </w:t>
      </w:r>
      <w:r w:rsidRPr="00EE5233">
        <w:t>2022 BL 192705</w:t>
      </w:r>
      <w:r>
        <w:t xml:space="preserve">, </w:t>
      </w:r>
      <w:r w:rsidRPr="00AB2EFC">
        <w:t xml:space="preserve">2022 WL 1913026 </w:t>
      </w:r>
      <w:r>
        <w:t xml:space="preserve">(S.D. Ind. June 3, 2022) (rejecting request for telephone numbers); </w:t>
      </w:r>
      <w:r w:rsidRPr="00AD2F44">
        <w:rPr>
          <w:i/>
          <w:iCs/>
        </w:rPr>
        <w:t>Girolamo</w:t>
      </w:r>
      <w:r w:rsidRPr="00AD2F44">
        <w:t xml:space="preserve">, 2016 WL 3693426 (ordering production of telephone numbers); Howard v. Securitas Sec. Servs., USA, Inc., 2009 WL 140126, at *9 (N.D. Ill. Jan. 20, 2009) (rejecting inclusion of telephone numbers as beyond information required by </w:t>
      </w:r>
      <w:r w:rsidRPr="00AD2F44">
        <w:rPr>
          <w:i/>
          <w:iCs/>
        </w:rPr>
        <w:t xml:space="preserve">Hoffmann-La Roche v. Sperling, </w:t>
      </w:r>
      <w:r w:rsidRPr="00AD2F44">
        <w:t>493 U.S. 165 (1989)); Ashley v. Lake Cnty., 2007 WL 1549926 (N.D. Ind. May 24, 2007).</w:t>
      </w:r>
    </w:p>
    <w:p w14:paraId="4C5A6BFF" w14:textId="77777777" w:rsidR="004322B1" w:rsidRPr="00AD2F44" w:rsidRDefault="004322B1">
      <w:pPr>
        <w:pStyle w:val="14Footnote"/>
      </w:pPr>
      <w:r w:rsidRPr="00AD2F44">
        <w:rPr>
          <w:i/>
          <w:iCs/>
        </w:rPr>
        <w:t xml:space="preserve">Ninth Circuit: </w:t>
      </w:r>
      <w:r w:rsidRPr="00AD2F44">
        <w:t>Russell v. Swick Mining Servs. USA Inc., 2017 WL 1365081, at *6 (D. Ariz. Apr. 14, 2017) (denying plaintiffs’ request that defendant be ordered to provide telephone numbers, Social Security numbers, and birth dates, concluding that there was “no reason to demand such unnecessarily intrusive information to be produced”).</w:t>
      </w:r>
    </w:p>
  </w:footnote>
  <w:footnote w:id="456">
    <w:p w14:paraId="43EDEDD4" w14:textId="77777777" w:rsidR="004322B1" w:rsidRPr="00AD2F44" w:rsidRDefault="004322B1">
      <w:pPr>
        <w:pStyle w:val="14Footnote"/>
      </w:pPr>
      <w:r w:rsidRPr="00AD2F44">
        <w:rPr>
          <w:vertAlign w:val="superscript"/>
        </w:rPr>
        <w:footnoteRef/>
      </w:r>
      <w:r w:rsidRPr="00AD2F44">
        <w:rPr>
          <w:i/>
        </w:rPr>
        <w:t>Compare</w:t>
      </w:r>
    </w:p>
    <w:p w14:paraId="19C9AFD7" w14:textId="77777777" w:rsidR="004322B1" w:rsidRPr="00AD2F44" w:rsidRDefault="004322B1">
      <w:pPr>
        <w:pStyle w:val="14Footnote"/>
      </w:pPr>
      <w:r w:rsidRPr="00AD2F44">
        <w:rPr>
          <w:i/>
          <w:iCs/>
        </w:rPr>
        <w:t>Second Circuit:</w:t>
      </w:r>
      <w:r w:rsidRPr="00AD2F44">
        <w:t xml:space="preserve"> </w:t>
      </w:r>
      <w:r>
        <w:t xml:space="preserve">Zimnicki v. Krysiak Constr. Corp., </w:t>
      </w:r>
      <w:r w:rsidRPr="00846456">
        <w:t>2022 BL 459417</w:t>
      </w:r>
      <w:r>
        <w:t xml:space="preserve">, </w:t>
      </w:r>
      <w:r w:rsidRPr="00AB2EFC">
        <w:t xml:space="preserve">2022 WL 17820139 </w:t>
      </w:r>
      <w:r>
        <w:t xml:space="preserve">(E.D.N.Y. Sept. 27, 2022); </w:t>
      </w:r>
      <w:r w:rsidRPr="00AD2F44">
        <w:t xml:space="preserve">King v. Fedcap Rehab. Servs., Inc., 2022 BL 33551, 2022 WL 292914 (S.D.N.Y. Feb. 1, 2022) (denying request for production of Social Security numbers, recognizing privacy concerns and finding that request was overly broad and did not aid dissemination of notice where mailing addresses, emails, and phone numbers were ordered to be produced); Benavides v. Serenity Spa NY Inc., 166 F. Supp. 3d 474, 489 (S.D.N.Y. 2016) (denying request for Social Security numbers as plaintiff failed to demonstrate need for this “sensitive” information); </w:t>
      </w:r>
      <w:r w:rsidRPr="00AD2F44">
        <w:rPr>
          <w:i/>
          <w:iCs/>
        </w:rPr>
        <w:t>Michael</w:t>
      </w:r>
      <w:r w:rsidRPr="00AD2F44">
        <w:t>, 2015 WL 1810157 (no production of Social Security numbers absent showing of high undeliverable rate); Macpherson v. Firth Rixson Ltd., 2012 WL 2522881, at *5 (W.D.N.Y. June 28, 2012) (denying plaintiff’s request for Social Security numbers, citing defendant’s privacy concerns); Alli v. Boston Mkt. Co., 2011 WL 4006691, at *6 (D. Conn. Sept. 8, 2011) (refusing to order production of Social Security numbers because there was no showing their disclosure was necessary); Chowdhury v. Duane Reade, Inc., 2007 WL 2873929 (S.D.N.Y. Oct. 2, 2007); Levy v. Verizon Info. Servs. Inc., 2007 WL 1747104 (E.D.N.Y. June 11, 2007); Damassia v. Duane Reade, Inc., 2006 WL 2853971 (S.D.N.Y. Oct. 5, 2006); Hens v. Clientlogic Operating Corp., 2006 WL 2795620 (W.D.N.Y. Sept. 26, 2006);</w:t>
      </w:r>
    </w:p>
    <w:p w14:paraId="696B8C11" w14:textId="77777777" w:rsidR="004322B1" w:rsidRPr="00AD2F44" w:rsidRDefault="004322B1">
      <w:pPr>
        <w:pStyle w:val="14Footnote"/>
      </w:pPr>
      <w:r w:rsidRPr="00AD2F44">
        <w:rPr>
          <w:i/>
          <w:iCs/>
        </w:rPr>
        <w:t>Fourth Circuit:</w:t>
      </w:r>
      <w:r w:rsidRPr="00AD2F44">
        <w:t xml:space="preserve"> Sharer v. Tandberg, Inc., 2006 WL 2988104 (E.D. Va. Oct. 17, 2006);</w:t>
      </w:r>
    </w:p>
    <w:p w14:paraId="5DE95485" w14:textId="77777777" w:rsidR="004322B1" w:rsidRPr="00AD2F44" w:rsidRDefault="004322B1">
      <w:pPr>
        <w:pStyle w:val="14Footnote"/>
      </w:pPr>
      <w:r w:rsidRPr="00AD2F44">
        <w:rPr>
          <w:i/>
          <w:iCs/>
        </w:rPr>
        <w:t>Fifth Circuit:</w:t>
      </w:r>
      <w:r w:rsidRPr="00AD2F44">
        <w:t xml:space="preserve"> White v. Integrated Elec. Sol. </w:t>
      </w:r>
      <w:r w:rsidRPr="00AD2F44">
        <w:rPr>
          <w:lang w:val="fr-FR"/>
        </w:rPr>
        <w:t xml:space="preserve">Techs., Inc., 2013 WL 2903070 (E.D. La. </w:t>
      </w:r>
      <w:r w:rsidRPr="00AD2F44">
        <w:t>June 13, 2013); Vogt v. Texas Instruments, Inc., 2006 WL 4660134 (N.D. Tex. Sept. 19, 2006) (refusing production of information beyond last known addresses but allowing plaintiffs to petition court for production of phone numbers and/or Social Security numbers of potential opt-ins whose notices are returned due to inaccurate address information);</w:t>
      </w:r>
    </w:p>
    <w:p w14:paraId="5B5C652E" w14:textId="77777777" w:rsidR="004322B1" w:rsidRPr="00AD2F44" w:rsidRDefault="004322B1">
      <w:pPr>
        <w:pStyle w:val="14Footnote"/>
      </w:pPr>
      <w:r w:rsidRPr="00AD2F44">
        <w:rPr>
          <w:i/>
          <w:iCs/>
        </w:rPr>
        <w:t>Sixth Circuit:</w:t>
      </w:r>
      <w:r w:rsidRPr="00AD2F44">
        <w:t xml:space="preserve"> Lutz v. Huntington Bancshares Inc., 2013 WL 1703361, at *7 (S.D. Ohio Apr. 19, 2013) (denying plaintiffs’ request for phone and Social Security numbers, finding that email and first-class mail notice constituted “reasonable” notice, noting that courts generally allow only one form of notice unless others are shown necessary); Jackson v. Papa John’s USA, Inc., 2009 WL 1011105, at *3–4 (N.D. Ohio Apr. 15, 2009) (evaluating five factors and determining that costs of releasing Social Security numbers outweighed benefits);</w:t>
      </w:r>
    </w:p>
    <w:p w14:paraId="02A28103" w14:textId="77777777" w:rsidR="004322B1" w:rsidRPr="00AD2F44" w:rsidRDefault="004322B1">
      <w:pPr>
        <w:pStyle w:val="14Footnote"/>
      </w:pPr>
      <w:r w:rsidRPr="00AD2F44">
        <w:rPr>
          <w:i/>
          <w:iCs/>
        </w:rPr>
        <w:t xml:space="preserve">Seventh Circuit: </w:t>
      </w:r>
      <w:r>
        <w:t xml:space="preserve">Wilmoth v. Steak N Shake, Inc., </w:t>
      </w:r>
      <w:r w:rsidRPr="0067546C">
        <w:t>2022 BL 192705</w:t>
      </w:r>
      <w:r>
        <w:t xml:space="preserve">, </w:t>
      </w:r>
      <w:r w:rsidRPr="00AB2EFC">
        <w:t xml:space="preserve">2022 WL 1913026 </w:t>
      </w:r>
      <w:r>
        <w:t xml:space="preserve">(S.D. Ind. June 3, 2022) (rejecting request for partial social security numbers); </w:t>
      </w:r>
      <w:r w:rsidRPr="00AD2F44">
        <w:t>Brand v. Comcast Corp., 2012 WL 4482124, at *9 (N.D. Ill. Sept. 26, 2012) (denying plaintiffs access to Social Security numbers, phone numbers, and email addresses);</w:t>
      </w:r>
    </w:p>
    <w:p w14:paraId="2F3C07C3" w14:textId="77777777" w:rsidR="004322B1" w:rsidRDefault="004322B1" w:rsidP="00E64B4B">
      <w:pPr>
        <w:pStyle w:val="14Footnote"/>
      </w:pPr>
      <w:r w:rsidRPr="00AD2F44">
        <w:rPr>
          <w:i/>
          <w:iCs/>
        </w:rPr>
        <w:t>Eighth Circuit:</w:t>
      </w:r>
      <w:r w:rsidRPr="00AD2F44">
        <w:t xml:space="preserve"> Perez-Benites v. Candy Brand LLC, 2008 U.S. Dist. LEXIS 91402 (W.D. Ark. Oct. 31, 2008);</w:t>
      </w:r>
    </w:p>
    <w:p w14:paraId="2D029C1C" w14:textId="77777777" w:rsidR="004322B1" w:rsidRPr="002C7C24" w:rsidRDefault="004322B1" w:rsidP="00E64B4B">
      <w:pPr>
        <w:pStyle w:val="14Footnote"/>
      </w:pPr>
      <w:r>
        <w:rPr>
          <w:i/>
          <w:iCs/>
        </w:rPr>
        <w:t xml:space="preserve">Ninth Circuit: </w:t>
      </w:r>
      <w:r>
        <w:t xml:space="preserve">Roberts v. Sidwell Air Freight, Inc., </w:t>
      </w:r>
      <w:r w:rsidRPr="00B726E3">
        <w:t>2023 BL 15817</w:t>
      </w:r>
      <w:r>
        <w:t>, 2023 WL 256820 (W.D. Wash. Jan. 18, 2023) (denying plaintiff’s request for last four digits of social security numbers as too intrusive, particularly given production of phone numbers).</w:t>
      </w:r>
    </w:p>
    <w:p w14:paraId="582BA79A" w14:textId="77777777" w:rsidR="004322B1" w:rsidRPr="00AD2F44" w:rsidRDefault="004322B1">
      <w:pPr>
        <w:pStyle w:val="14Footnote"/>
      </w:pPr>
      <w:r w:rsidRPr="00AD2F44">
        <w:rPr>
          <w:i/>
          <w:iCs/>
        </w:rPr>
        <w:t>and</w:t>
      </w:r>
    </w:p>
    <w:p w14:paraId="1DC99916" w14:textId="77777777" w:rsidR="004322B1" w:rsidRPr="00AD2F44" w:rsidRDefault="004322B1">
      <w:pPr>
        <w:pStyle w:val="14Footnote"/>
      </w:pPr>
      <w:r w:rsidRPr="00AD2F44">
        <w:rPr>
          <w:i/>
          <w:iCs/>
        </w:rPr>
        <w:t>Tenth Circuit:</w:t>
      </w:r>
      <w:r w:rsidRPr="00AD2F44">
        <w:t xml:space="preserve"> Pinkston v. Wheatland Enters., Inc., 2013 WL 1191207, at *4 (D. Kan. Mar. 22, 2013) (“Plaintiff has not yet shown a need for this information; if Plaintiff finds that he is unable to locate potential class members using names, telephone numbers, and addresses, he may make an appropriate motion detailing the need for the more private information.”);</w:t>
      </w:r>
    </w:p>
    <w:p w14:paraId="5A02A82C" w14:textId="77777777" w:rsidR="004322B1" w:rsidRPr="00AD2F44" w:rsidRDefault="004322B1">
      <w:pPr>
        <w:pStyle w:val="14Footnote"/>
      </w:pPr>
      <w:r w:rsidRPr="00AD2F44">
        <w:t>with</w:t>
      </w:r>
    </w:p>
    <w:p w14:paraId="32FA8F41" w14:textId="77777777" w:rsidR="004322B1" w:rsidRPr="00AD2F44" w:rsidRDefault="004322B1">
      <w:pPr>
        <w:pStyle w:val="14Footnote"/>
      </w:pPr>
      <w:r w:rsidRPr="00AD2F44">
        <w:rPr>
          <w:i/>
          <w:iCs/>
        </w:rPr>
        <w:t>Second Circuit:</w:t>
      </w:r>
      <w:r w:rsidRPr="00AD2F44">
        <w:t xml:space="preserve"> Whitehorn v. Wolfgang’s Steakhouse, Inc., 767 F. Supp. 2d 445 (S.D.N.Y. 2011) (defendant ordered to produce Social Security numbers of individuals whom plaintiffs had been unable to contact, and parties ordered to enter confidentiality order);</w:t>
      </w:r>
    </w:p>
    <w:p w14:paraId="51568056" w14:textId="77777777" w:rsidR="004322B1" w:rsidRPr="00AD2F44" w:rsidRDefault="004322B1">
      <w:pPr>
        <w:pStyle w:val="14Footnote"/>
      </w:pPr>
      <w:r w:rsidRPr="00AD2F44">
        <w:rPr>
          <w:i/>
          <w:iCs/>
        </w:rPr>
        <w:t xml:space="preserve">Third Circuit: </w:t>
      </w:r>
      <w:r w:rsidRPr="00AD2F44">
        <w:t>Ritzer v. UBS Fin. Servs., Inc., 2008 WL 4372784, at *5 (D.N.J. Sept. 22, 2008) (refusing to release Social Security numbers unless first class mail proves insufficient);</w:t>
      </w:r>
    </w:p>
    <w:p w14:paraId="7E864745" w14:textId="77777777" w:rsidR="004322B1" w:rsidRPr="00AD2F44" w:rsidRDefault="004322B1">
      <w:pPr>
        <w:pStyle w:val="14Footnote"/>
      </w:pPr>
      <w:r w:rsidRPr="00AD2F44">
        <w:rPr>
          <w:i/>
          <w:iCs/>
        </w:rPr>
        <w:t xml:space="preserve">Seventh Circuit: </w:t>
      </w:r>
      <w:r w:rsidRPr="00AD2F44">
        <w:t xml:space="preserve">Kelly v. Bluegreen Corp., 256 F.R.D. 626, 632 (W.D. Wis. 2009) (refusing disclosure of Social Security numbers, birthdates, and phone numbers, but allowing plaintiffs to seek reconsideration if they have difficulty providing notice); </w:t>
      </w:r>
      <w:r w:rsidRPr="00AD2F44">
        <w:rPr>
          <w:i/>
          <w:iCs/>
        </w:rPr>
        <w:t>and</w:t>
      </w:r>
    </w:p>
    <w:p w14:paraId="00690EB7" w14:textId="77777777" w:rsidR="004322B1" w:rsidRDefault="004322B1">
      <w:pPr>
        <w:pStyle w:val="14Footnote"/>
      </w:pPr>
      <w:r w:rsidRPr="00AD2F44">
        <w:rPr>
          <w:i/>
          <w:iCs/>
        </w:rPr>
        <w:t>Ninth Circuit</w:t>
      </w:r>
      <w:r w:rsidRPr="00AD2F44">
        <w:t>: Ramirez v. Ghilotti Bros., 941 F. Supp. 2d 1197, 1207 (N.D. Cal. 2013) (denying defendant’s request to have opt-ins put last four digits of Social Security number on notice, finding defendant provided no evidence that it would be difficult to confirm that responses were, in fact, former employees).</w:t>
      </w:r>
    </w:p>
    <w:p w14:paraId="596644A4" w14:textId="77777777" w:rsidR="004322B1" w:rsidRPr="00E64B4B" w:rsidRDefault="004322B1">
      <w:pPr>
        <w:pStyle w:val="14Footnote"/>
      </w:pPr>
      <w:r>
        <w:rPr>
          <w:i/>
          <w:iCs/>
        </w:rPr>
        <w:t>Eleventh Circuit</w:t>
      </w:r>
      <w:r>
        <w:t xml:space="preserve">: </w:t>
      </w:r>
      <w:r w:rsidRPr="00E64B4B">
        <w:t>Negron v. Red Crab FL LLC</w:t>
      </w:r>
      <w:r>
        <w:t xml:space="preserve">, </w:t>
      </w:r>
      <w:r w:rsidRPr="00434FF5">
        <w:t>2022 BL 345819</w:t>
      </w:r>
      <w:r>
        <w:t xml:space="preserve">, </w:t>
      </w:r>
      <w:r w:rsidRPr="00E64B4B">
        <w:t>2022 WL 4547935</w:t>
      </w:r>
      <w:r w:rsidRPr="00E64B4B">
        <w:rPr>
          <w:b/>
        </w:rPr>
        <w:t xml:space="preserve"> </w:t>
      </w:r>
      <w:r w:rsidRPr="00E64B4B">
        <w:t>(S.D. Fla. Sept. 29, 2022)</w:t>
      </w:r>
      <w:r>
        <w:t xml:space="preserve"> (</w:t>
      </w:r>
      <w:r w:rsidRPr="00E64B4B">
        <w:t>restrict</w:t>
      </w:r>
      <w:r>
        <w:t>ing</w:t>
      </w:r>
      <w:r w:rsidRPr="00E64B4B">
        <w:t xml:space="preserve"> production of the social security numbers to only the last four digits and declin</w:t>
      </w:r>
      <w:r>
        <w:t>ing</w:t>
      </w:r>
      <w:r w:rsidRPr="00E64B4B">
        <w:t xml:space="preserve"> to authorize disclosure of telephone numbers absent further showing of need</w:t>
      </w:r>
      <w:r>
        <w:t>,</w:t>
      </w:r>
      <w:r w:rsidRPr="00E64B4B">
        <w:t xml:space="preserve"> to protect </w:t>
      </w:r>
      <w:r>
        <w:t xml:space="preserve">putative </w:t>
      </w:r>
      <w:r w:rsidRPr="00E64B4B">
        <w:t>class members</w:t>
      </w:r>
      <w:r>
        <w:t xml:space="preserve">’ privacy). </w:t>
      </w:r>
    </w:p>
  </w:footnote>
  <w:footnote w:id="457">
    <w:p w14:paraId="43643054" w14:textId="77777777" w:rsidR="004322B1" w:rsidRPr="00AD2F44" w:rsidRDefault="004322B1">
      <w:pPr>
        <w:pStyle w:val="14Footnote"/>
      </w:pPr>
      <w:r w:rsidRPr="00AD2F44">
        <w:rPr>
          <w:vertAlign w:val="superscript"/>
        </w:rPr>
        <w:footnoteRef/>
      </w:r>
      <w:r w:rsidRPr="00AD2F44">
        <w:rPr>
          <w:i/>
        </w:rPr>
        <w:t xml:space="preserve">See, e.g., </w:t>
      </w:r>
    </w:p>
    <w:p w14:paraId="759EEC31" w14:textId="77777777" w:rsidR="004322B1" w:rsidRPr="00AD2F44" w:rsidRDefault="004322B1">
      <w:pPr>
        <w:pStyle w:val="14Footnote"/>
      </w:pPr>
      <w:r w:rsidRPr="00AD2F44">
        <w:rPr>
          <w:i/>
          <w:iCs/>
        </w:rPr>
        <w:t>Second Circuit:</w:t>
      </w:r>
      <w:r w:rsidRPr="00AD2F44">
        <w:t xml:space="preserve"> Levy v. Verizon Info. Servs. Inc., 2007 WL 1747104 (E.D.N.Y. June 11, 2007); Lynch v. United Servs. Auto. Ass’n, 491 F. Supp. 2d 357 (S.D.N.Y. 2007).</w:t>
      </w:r>
    </w:p>
    <w:p w14:paraId="6CD8004B" w14:textId="77777777" w:rsidR="004322B1" w:rsidRPr="00AD2F44" w:rsidRDefault="004322B1">
      <w:pPr>
        <w:pStyle w:val="14Footnote"/>
      </w:pPr>
      <w:r w:rsidRPr="00AD2F44">
        <w:rPr>
          <w:i/>
          <w:iCs/>
        </w:rPr>
        <w:t>Third Circuit:</w:t>
      </w:r>
      <w:r w:rsidRPr="00AD2F44">
        <w:t xml:space="preserve"> Stillman v. Staples, Inc., 2008 WL 1843998 (D.N.J. Apr. 22, 2008) (last four digits of Social Security numbers).</w:t>
      </w:r>
    </w:p>
    <w:p w14:paraId="35903E0C" w14:textId="77777777" w:rsidR="004322B1" w:rsidRPr="00AD2F44" w:rsidRDefault="004322B1">
      <w:pPr>
        <w:pStyle w:val="14Footnote"/>
      </w:pPr>
      <w:r w:rsidRPr="00AD2F44">
        <w:rPr>
          <w:i/>
          <w:iCs/>
        </w:rPr>
        <w:t>Eighth Circuit:</w:t>
      </w:r>
      <w:r w:rsidRPr="00AD2F44">
        <w:t xml:space="preserve"> Burch v. Qwest Commc’ns Int’l, Inc., 500 F. Supp. 2d 1181 (D. Minn. 2007).</w:t>
      </w:r>
    </w:p>
    <w:p w14:paraId="79A9357C" w14:textId="77777777" w:rsidR="004322B1" w:rsidRPr="00AD2F44" w:rsidRDefault="004322B1">
      <w:pPr>
        <w:pStyle w:val="14Footnote"/>
      </w:pPr>
      <w:r w:rsidRPr="00AD2F44">
        <w:rPr>
          <w:i/>
          <w:iCs/>
        </w:rPr>
        <w:t>Ninth Circuit:</w:t>
      </w:r>
      <w:r w:rsidRPr="00AD2F44">
        <w:t xml:space="preserve"> Russell v. Wells Fargo &amp; Co., 2008 U.S. Dist. LEXIS 78771 (N.D. Cal. Sept. 3, 2008); Rees v. Souza’s Milk Transp. Co., 2006 WL 3251829 (E.D. Cal. Nov. 8, 2006).</w:t>
      </w:r>
    </w:p>
    <w:p w14:paraId="6B75E229" w14:textId="77777777" w:rsidR="004322B1" w:rsidRPr="00AD2F44" w:rsidRDefault="004322B1">
      <w:pPr>
        <w:pStyle w:val="14Footnote"/>
      </w:pPr>
      <w:r w:rsidRPr="00AD2F44">
        <w:rPr>
          <w:i/>
          <w:iCs/>
        </w:rPr>
        <w:t>Tenth Circuit:</w:t>
      </w:r>
      <w:r w:rsidRPr="00AD2F44">
        <w:t xml:space="preserve"> Gieseke v. First Horizon Home Loan Corp., 2007 WL 445202 (D. Kan. Feb. 7, 2007).</w:t>
      </w:r>
    </w:p>
  </w:footnote>
  <w:footnote w:id="458">
    <w:p w14:paraId="24723283" w14:textId="77777777" w:rsidR="004322B1" w:rsidRPr="00AD2F44" w:rsidRDefault="004322B1">
      <w:pPr>
        <w:pStyle w:val="14Footnote"/>
      </w:pPr>
      <w:r w:rsidRPr="00AD2F44">
        <w:rPr>
          <w:vertAlign w:val="superscript"/>
        </w:rPr>
        <w:footnoteRef/>
      </w:r>
      <w:r w:rsidRPr="00AD2F44">
        <w:rPr>
          <w:i/>
          <w:iCs/>
        </w:rPr>
        <w:t>See, e.g.,</w:t>
      </w:r>
    </w:p>
    <w:p w14:paraId="4C08898E" w14:textId="77777777" w:rsidR="004322B1" w:rsidRPr="00AD2F44" w:rsidRDefault="004322B1">
      <w:pPr>
        <w:pStyle w:val="14Footnote"/>
      </w:pPr>
      <w:r w:rsidRPr="00AD2F44">
        <w:rPr>
          <w:i/>
          <w:iCs/>
        </w:rPr>
        <w:t>Second Circuit:</w:t>
      </w:r>
      <w:r w:rsidRPr="00AD2F44">
        <w:t xml:space="preserve"> Fonseca v. Dircksen &amp; Talleyrand Inc., 2014 WL 1487279 (S.D.N.Y. Apr. 11, 2014) (providing Social Security numbers when notices returned).</w:t>
      </w:r>
    </w:p>
    <w:p w14:paraId="7E91EEBD" w14:textId="77777777" w:rsidR="004322B1" w:rsidRPr="00AD2F44" w:rsidRDefault="004322B1">
      <w:pPr>
        <w:pStyle w:val="14Footnote"/>
      </w:pPr>
      <w:r w:rsidRPr="00AD2F44">
        <w:rPr>
          <w:i/>
          <w:iCs/>
        </w:rPr>
        <w:t>Third Circuit:</w:t>
      </w:r>
      <w:r w:rsidRPr="00AD2F44">
        <w:t xml:space="preserve"> Bland v. Calfrac Well Servs. Corp., 2013 WL 4054594 (W.D. Pa. Aug. 12, 2013) (providing for production of last four digits of Social Security numbers when notices returned).</w:t>
      </w:r>
    </w:p>
    <w:p w14:paraId="3F80C6EA" w14:textId="77777777" w:rsidR="004322B1" w:rsidRPr="00AD2F44" w:rsidRDefault="004322B1">
      <w:pPr>
        <w:pStyle w:val="14Footnote"/>
      </w:pPr>
      <w:r w:rsidRPr="00AD2F44">
        <w:rPr>
          <w:i/>
          <w:iCs/>
        </w:rPr>
        <w:t>Fifth Circuit:</w:t>
      </w:r>
      <w:r w:rsidRPr="00AD2F44">
        <w:t xml:space="preserve"> Roberts v. SB S. Welding LLC, 2015 WL 8773610, at *3 (N.D. Tex. Dec. 15, 2015) (providing for production of last four digits of Social Security number if particular putative opt-in’s notice was returned as undeliverable); Rodriguez v. Mechanical Tech. Servs., Inc., 2014 WL 1778915 (W.D. Tex. Apr. 17, 2014) (upon court approval, permitted the issuance of a supplemental notice in light of the fact that 66 of 312 notices had been marked as “undeliverable”).</w:t>
      </w:r>
    </w:p>
    <w:p w14:paraId="4A5BDB65" w14:textId="77777777" w:rsidR="004322B1" w:rsidRPr="00AD2F44" w:rsidRDefault="004322B1">
      <w:pPr>
        <w:pStyle w:val="14Footnote"/>
      </w:pPr>
      <w:r w:rsidRPr="00AD2F44">
        <w:rPr>
          <w:i/>
          <w:iCs/>
        </w:rPr>
        <w:t>Sixth Circuit:</w:t>
      </w:r>
      <w:r w:rsidRPr="00AD2F44">
        <w:t xml:space="preserve"> Larson v. Rush Fitness Corp., 2012 U.S. Dist. LEXIS 189211 (E.D. Tenn. Oct. 17, 2012), </w:t>
      </w:r>
      <w:r w:rsidRPr="00AD2F44">
        <w:rPr>
          <w:i/>
          <w:iCs/>
        </w:rPr>
        <w:t>adopted by</w:t>
      </w:r>
      <w:r w:rsidRPr="00AD2F44">
        <w:t xml:space="preserve"> 2013 U.S. Dist. LEXIS 163541 (E.D. Tenn. Sept. 23, 2013) (providing email addresses and telephone numbers when notices returned).</w:t>
      </w:r>
    </w:p>
  </w:footnote>
  <w:footnote w:id="459">
    <w:p w14:paraId="40FC8A1B" w14:textId="77777777" w:rsidR="004322B1" w:rsidRPr="00AD2F44" w:rsidRDefault="004322B1">
      <w:pPr>
        <w:pStyle w:val="14Footnote"/>
      </w:pPr>
      <w:r w:rsidRPr="00AD2F44">
        <w:rPr>
          <w:vertAlign w:val="superscript"/>
        </w:rPr>
        <w:footnoteRef/>
      </w:r>
      <w:r w:rsidRPr="00AD2F44">
        <w:rPr>
          <w:i/>
          <w:iCs/>
        </w:rPr>
        <w:t>See</w:t>
      </w:r>
    </w:p>
    <w:p w14:paraId="334B1489" w14:textId="77777777" w:rsidR="004322B1" w:rsidRPr="00AD2F44" w:rsidRDefault="004322B1">
      <w:pPr>
        <w:pStyle w:val="14Footnote"/>
      </w:pPr>
      <w:r w:rsidRPr="00AD2F44">
        <w:rPr>
          <w:i/>
          <w:iCs/>
        </w:rPr>
        <w:t>Third Circuit:</w:t>
      </w:r>
      <w:r w:rsidRPr="00AD2F44">
        <w:t xml:space="preserve"> Bland v. PNC Bank, N.A., 2015 WL 7587365, at *3 (W.D. Pa. Nov. 25, 2015) (declining request to send reminder, given use of website, email, and mail notice).</w:t>
      </w:r>
    </w:p>
    <w:p w14:paraId="625FA6BB" w14:textId="77777777" w:rsidR="004322B1" w:rsidRPr="00AD2F44" w:rsidRDefault="004322B1">
      <w:pPr>
        <w:pStyle w:val="14Footnote"/>
      </w:pPr>
      <w:r w:rsidRPr="00AD2F44">
        <w:rPr>
          <w:i/>
          <w:iCs/>
        </w:rPr>
        <w:t xml:space="preserve">Fourth Circuit: </w:t>
      </w:r>
      <w:r w:rsidRPr="00AD2F44">
        <w:t>Danford v. Lowe’s Home Ctrs., LLC, 2019 WL 4874823 (W.D.N.C. Oct. 2, 2019) (denying request to send reminder notice halfway through period, noting that other courts in Fourth Circuit have similarly denied reminder notices for relatively short opt-in period); Mueller v. Chesapeake Bay Seafood House Assocs., LLC, 2018 WL 1898557, at *9–10 (D. Md. Apr. 20, 2018) (denying request for second round of notices because plaintiffs were merely speculating as to why potential members did not opt in).</w:t>
      </w:r>
    </w:p>
    <w:p w14:paraId="0A8C4168" w14:textId="77777777" w:rsidR="004322B1" w:rsidRPr="00AD2F44" w:rsidRDefault="004322B1">
      <w:pPr>
        <w:pStyle w:val="14Footnote"/>
      </w:pPr>
      <w:r w:rsidRPr="00AD2F44">
        <w:rPr>
          <w:i/>
          <w:iCs/>
        </w:rPr>
        <w:t xml:space="preserve">Fifth Circuit: </w:t>
      </w:r>
      <w:r w:rsidRPr="00AD2F44">
        <w:t xml:space="preserve">Roberts v. SB S. Welding, LLC, 2015 WL 8773610, at *3 (N.D. Tex. Dec. 15, 2015) (declining request to send reminder notice because it was unnecessary and could be viewed as encouragement by court to join action) (collecting cases on split of authority). </w:t>
      </w:r>
    </w:p>
    <w:p w14:paraId="41B5F4B8" w14:textId="77777777" w:rsidR="004322B1" w:rsidRPr="00AD2F44" w:rsidRDefault="004322B1">
      <w:pPr>
        <w:pStyle w:val="14Footnote"/>
      </w:pPr>
      <w:r w:rsidRPr="00AD2F44">
        <w:rPr>
          <w:i/>
          <w:iCs/>
        </w:rPr>
        <w:t>Sixth Circuit</w:t>
      </w:r>
      <w:r w:rsidRPr="00AD2F44">
        <w:t xml:space="preserve">: Kim v. Detroit Med. Informatics, LLC, 2019 WL 6307196, at *5 (E.D. Mich. Nov. 25, 2019) (denying plaintiffs’ request to send reminder notice as “unnecessary and redundant” given postal mail and electronic mail notice distribution). </w:t>
      </w:r>
    </w:p>
  </w:footnote>
  <w:footnote w:id="460">
    <w:p w14:paraId="7C7A0AAF" w14:textId="77777777" w:rsidR="004322B1" w:rsidRPr="00AD2F44" w:rsidRDefault="004322B1">
      <w:pPr>
        <w:pStyle w:val="14Footnote"/>
      </w:pPr>
      <w:r w:rsidRPr="00AD2F44">
        <w:rPr>
          <w:vertAlign w:val="superscript"/>
        </w:rPr>
        <w:footnoteRef/>
      </w:r>
      <w:r w:rsidRPr="00AD2F44">
        <w:rPr>
          <w:i/>
          <w:iCs/>
        </w:rPr>
        <w:t>See</w:t>
      </w:r>
    </w:p>
    <w:p w14:paraId="70F8E597" w14:textId="77777777" w:rsidR="004322B1" w:rsidRPr="00AD2F44" w:rsidRDefault="004322B1">
      <w:pPr>
        <w:pStyle w:val="14Footnote"/>
      </w:pPr>
      <w:r w:rsidRPr="00AD2F44">
        <w:rPr>
          <w:i/>
          <w:iCs/>
        </w:rPr>
        <w:t>Third Circuit:</w:t>
      </w:r>
      <w:r w:rsidRPr="00AD2F44">
        <w:t xml:space="preserve"> Garcia v. Vertical Screen, Inc., 387 F. Supp. 3d 598 (E.D. Pa. 2019) (allowing reminder communication, noting that such practice is routinely permitted in Third Circuit); Sanchez v. Santander Bank, 2019 WL 6050738 (D.N.J. Nov. 15, 2019) (permitting plaintiffs to send reminder notice by regular and electronic mail halfway through notice period). </w:t>
      </w:r>
    </w:p>
    <w:p w14:paraId="178CC22D" w14:textId="77777777" w:rsidR="004322B1" w:rsidRPr="00AD2F44" w:rsidRDefault="004322B1">
      <w:pPr>
        <w:pStyle w:val="14Footnote"/>
      </w:pPr>
      <w:r w:rsidRPr="00AD2F44">
        <w:rPr>
          <w:i/>
          <w:iCs/>
        </w:rPr>
        <w:t>Fifth Circuit:</w:t>
      </w:r>
      <w:r w:rsidRPr="00AD2F44">
        <w:t xml:space="preserve"> Lawrence v. A-1 Cleaning &amp; Septic Sys., LLC, 2020 WL 2042323 (S.D. Tex. Apr. 28, 2020) (allowing reminder notices by first-class mail, email, and text, but not reminder phone calls).</w:t>
      </w:r>
    </w:p>
    <w:p w14:paraId="0E01F69E" w14:textId="77777777" w:rsidR="004322B1" w:rsidRPr="002F69CA" w:rsidRDefault="004322B1" w:rsidP="008E5385">
      <w:pPr>
        <w:pStyle w:val="14Footnote"/>
      </w:pPr>
      <w:r>
        <w:rPr>
          <w:i/>
          <w:iCs/>
        </w:rPr>
        <w:t xml:space="preserve">Seventh Circuit: </w:t>
      </w:r>
      <w:r>
        <w:t xml:space="preserve">Wilmoth v. Steak N Shake, Inc., </w:t>
      </w:r>
      <w:r w:rsidRPr="00EE5233">
        <w:t>2022 BL 192705</w:t>
      </w:r>
      <w:r>
        <w:t xml:space="preserve">, </w:t>
      </w:r>
      <w:r w:rsidRPr="00AB2EFC">
        <w:t xml:space="preserve">2022 WL 1913026 </w:t>
      </w:r>
      <w:r>
        <w:t>(S.D. Ind. June 3, 2022) (permitting reminder given purposes of notice).</w:t>
      </w:r>
    </w:p>
    <w:p w14:paraId="7C5EBCB3" w14:textId="77777777" w:rsidR="004322B1" w:rsidRDefault="004322B1">
      <w:pPr>
        <w:pStyle w:val="14Footnote"/>
      </w:pPr>
      <w:r w:rsidRPr="00AD2F44">
        <w:rPr>
          <w:i/>
          <w:iCs/>
        </w:rPr>
        <w:t xml:space="preserve">Eighth Circuit: </w:t>
      </w:r>
      <w:r w:rsidRPr="00AD2F44">
        <w:t xml:space="preserve">Walkinshaw v. Saint Elizabeth Reg. Med. Ctr., 507 F. Supp. 3d 1106, 1126 (D. Neb. 2020) (allowing reminder notice over defendant’s objections after adding clarifying language to dispel concerns of judicial endorsement); Hussein v. Capital Bldg. Servs. Grp., Inc., 152 F. Supp. 3d 1182, 1198–99, 2015 WH Cases2d 384 (D. Minn. 2015) (permitting reminder notice because it helps putative class members who do not receive, open, or read initial notice, or lose or forget about it, and assists judicial economy). </w:t>
      </w:r>
    </w:p>
    <w:p w14:paraId="597A0CCC" w14:textId="77777777" w:rsidR="004322B1" w:rsidRPr="00AD2F44" w:rsidRDefault="004322B1">
      <w:pPr>
        <w:pStyle w:val="14Footnote"/>
      </w:pPr>
      <w:r>
        <w:rPr>
          <w:i/>
          <w:iCs/>
        </w:rPr>
        <w:t xml:space="preserve">Ninth Circuit: </w:t>
      </w:r>
      <w:r>
        <w:t xml:space="preserve">Stanfield v. Lasalle Corrs. W. LLC, </w:t>
      </w:r>
      <w:r w:rsidRPr="004A078D">
        <w:t>2022 BL 259650</w:t>
      </w:r>
      <w:r>
        <w:t xml:space="preserve">, </w:t>
      </w:r>
      <w:r w:rsidRPr="006F46AE">
        <w:t xml:space="preserve">2022 WL 2967711 </w:t>
      </w:r>
      <w:r>
        <w:t>(D. Ariz. July 26, 2022) (allowing reminder email after 30 days and rejecting argument it suggests judicial encouragement).</w:t>
      </w:r>
    </w:p>
    <w:p w14:paraId="3A49CBFF" w14:textId="77777777" w:rsidR="004322B1" w:rsidRPr="00AD2F44" w:rsidRDefault="004322B1">
      <w:pPr>
        <w:pStyle w:val="14Footnote"/>
      </w:pPr>
      <w:r w:rsidRPr="00AD2F44">
        <w:rPr>
          <w:i/>
          <w:iCs/>
        </w:rPr>
        <w:t>Tenth Circuit</w:t>
      </w:r>
      <w:r w:rsidRPr="00AD2F44">
        <w:t xml:space="preserve">: Mayhew v. Angmar Med. Holdings, Inc., 2019 WL 6255109 (D. Kan. Nov. 22, 2019) (allowing one reminder notice to those who had not filed consent form or indicated that they did not wish to participate, but denying request for two reminders). </w:t>
      </w:r>
    </w:p>
  </w:footnote>
  <w:footnote w:id="461">
    <w:p w14:paraId="3C23BFF7" w14:textId="77777777" w:rsidR="004322B1" w:rsidRPr="00AD2F44" w:rsidRDefault="004322B1">
      <w:pPr>
        <w:pStyle w:val="14Footnote"/>
      </w:pPr>
      <w:r w:rsidRPr="00AD2F44">
        <w:rPr>
          <w:vertAlign w:val="superscript"/>
        </w:rPr>
        <w:footnoteRef/>
      </w:r>
      <w:r w:rsidRPr="00AD2F44">
        <w:t xml:space="preserve">As the Eleventh Circuit noted in </w:t>
      </w:r>
      <w:r w:rsidRPr="00AD2F44">
        <w:rPr>
          <w:i/>
          <w:iCs/>
        </w:rPr>
        <w:t>Morgan v. Family Dollar Stores</w:t>
      </w:r>
      <w:r w:rsidRPr="00AD2F44">
        <w:t xml:space="preserve">, the ultimate question at both stages is whether collective action members are “similarly situated.” 551 F.3d 1233, 1258–64 (11th Cir. 2008); </w:t>
      </w:r>
      <w:r w:rsidRPr="00AD2F44">
        <w:rPr>
          <w:i/>
          <w:iCs/>
        </w:rPr>
        <w:t>see also</w:t>
      </w:r>
      <w:r w:rsidRPr="00AD2F44">
        <w:t xml:space="preserve"> Bayles v. American Med. Response, 950 F. Supp. 1053, 1058 (D. Colo. 1996) (granting decertification because it found plaintiffs were not “similarly situated” under the “plain meaning” of §216(b), but not defining similarly situated).</w:t>
      </w:r>
    </w:p>
  </w:footnote>
  <w:footnote w:id="462">
    <w:p w14:paraId="428847C3" w14:textId="77777777" w:rsidR="004322B1" w:rsidRPr="00AD2F44" w:rsidRDefault="004322B1">
      <w:pPr>
        <w:pStyle w:val="14Footnote"/>
      </w:pPr>
      <w:r w:rsidRPr="00AD2F44">
        <w:rPr>
          <w:vertAlign w:val="superscript"/>
        </w:rPr>
        <w:footnoteRef/>
      </w:r>
      <w:r w:rsidRPr="00AD2F44">
        <w:rPr>
          <w:i/>
          <w:iCs/>
        </w:rPr>
        <w:t>See, e.g.,</w:t>
      </w:r>
    </w:p>
    <w:p w14:paraId="0135E64D" w14:textId="77777777" w:rsidR="004322B1" w:rsidRPr="00AD2F44" w:rsidRDefault="004322B1">
      <w:pPr>
        <w:pStyle w:val="14Footnote"/>
      </w:pPr>
      <w:r w:rsidRPr="00AD2F44">
        <w:rPr>
          <w:i/>
          <w:iCs/>
        </w:rPr>
        <w:t>Second Circuit:</w:t>
      </w:r>
      <w:r w:rsidRPr="00AD2F44">
        <w:t xml:space="preserve"> Rubery v. Buth-Na-Bodhaige, Inc., 569 F. Supp. 2d 334, 336 n.1 (W.D.N.Y. 2008).</w:t>
      </w:r>
    </w:p>
    <w:p w14:paraId="0BD0BF04" w14:textId="77777777" w:rsidR="004322B1" w:rsidRPr="00AD2F44" w:rsidRDefault="004322B1">
      <w:pPr>
        <w:pStyle w:val="14Footnote"/>
      </w:pPr>
      <w:r w:rsidRPr="00AD2F44">
        <w:rPr>
          <w:i/>
          <w:iCs/>
        </w:rPr>
        <w:t>Third Circuit:</w:t>
      </w:r>
      <w:r w:rsidRPr="00AD2F44">
        <w:rPr>
          <w:b/>
          <w:bCs/>
        </w:rPr>
        <w:t xml:space="preserve"> </w:t>
      </w:r>
      <w:r w:rsidRPr="00AD2F44">
        <w:t>Craig v. Rite Aid Corp., 2012 WL 279647, at *3–6 (M.D. Pa. Jan. 31, 2012) (granting plaintiffs’ motion to stay consideration of defendant’s decertification motion until completion of fact discovery, reasoning that precedent suggested that waiting until close of discovery was routine and substantial discovery remained given that over 1,000 individuals opted in and there were still questions to answer about central corporate policies).</w:t>
      </w:r>
    </w:p>
    <w:p w14:paraId="623CA1EB" w14:textId="77777777" w:rsidR="004322B1" w:rsidRPr="00AD2F44" w:rsidRDefault="004322B1">
      <w:pPr>
        <w:pStyle w:val="14Footnote"/>
      </w:pPr>
      <w:r w:rsidRPr="00AD2F44">
        <w:rPr>
          <w:i/>
          <w:iCs/>
        </w:rPr>
        <w:t>Fifth Circuit:</w:t>
      </w:r>
      <w:r w:rsidRPr="00AD2F44">
        <w:t xml:space="preserve"> Mooney v. Aramco Servs. Co., 54 F.3d 1207, 1214 (5th Cir. 1995).</w:t>
      </w:r>
      <w:r w:rsidRPr="00AD2F44">
        <w:rPr>
          <w:b/>
        </w:rPr>
        <w:t xml:space="preserve"> [Caution: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p>
    <w:p w14:paraId="4B1C92D1" w14:textId="77777777" w:rsidR="004322B1" w:rsidRPr="00AD2F44" w:rsidRDefault="004322B1">
      <w:pPr>
        <w:pStyle w:val="14Footnote"/>
      </w:pPr>
      <w:r w:rsidRPr="00AD2F44">
        <w:rPr>
          <w:i/>
          <w:iCs/>
        </w:rPr>
        <w:t>Tenth Circuit:</w:t>
      </w:r>
      <w:r w:rsidRPr="00AD2F44">
        <w:t xml:space="preserve"> Thiessen v. General Elec. Capital Corp., 267 F.3d 1095, 1103 (10th Cir. 2001).</w:t>
      </w:r>
    </w:p>
    <w:p w14:paraId="22394760" w14:textId="77777777" w:rsidR="004322B1" w:rsidRPr="00AD2F44" w:rsidRDefault="004322B1">
      <w:pPr>
        <w:pStyle w:val="14Footnote"/>
      </w:pPr>
      <w:r w:rsidRPr="00AD2F44">
        <w:rPr>
          <w:i/>
          <w:iCs/>
        </w:rPr>
        <w:t>Eleventh Circuit:</w:t>
      </w:r>
      <w:r w:rsidRPr="00AD2F44">
        <w:t xml:space="preserve"> </w:t>
      </w:r>
      <w:r w:rsidRPr="00AD2F44">
        <w:rPr>
          <w:i/>
          <w:iCs/>
        </w:rPr>
        <w:t>Morgan</w:t>
      </w:r>
      <w:r w:rsidRPr="00AD2F44">
        <w:t>, 551 F.3d at 1260; Anderson v. Cagles, Inc., 488 F.3d 945, 953 (11th Cir. 2007).</w:t>
      </w:r>
    </w:p>
  </w:footnote>
  <w:footnote w:id="463">
    <w:p w14:paraId="0A73F37D" w14:textId="77777777" w:rsidR="004322B1" w:rsidRPr="00AD2F44" w:rsidRDefault="004322B1">
      <w:pPr>
        <w:pStyle w:val="14Footnote"/>
      </w:pPr>
      <w:r w:rsidRPr="00AD2F44">
        <w:rPr>
          <w:vertAlign w:val="superscript"/>
        </w:rPr>
        <w:footnoteRef/>
      </w:r>
      <w:r w:rsidRPr="00AD2F44">
        <w:rPr>
          <w:i/>
          <w:iCs/>
        </w:rPr>
        <w:t>See, e.g</w:t>
      </w:r>
      <w:r w:rsidRPr="00AD2F44">
        <w:t xml:space="preserve">., Johnson v. Big Lots Stores, Inc., 561 F. Supp. 2d 567, 570–72, 578–79 (E.D. La. 2008) (granting decertification motion after seven-day bench trial); </w:t>
      </w:r>
      <w:r w:rsidRPr="00AD2F44">
        <w:rPr>
          <w:i/>
          <w:iCs/>
        </w:rPr>
        <w:t>see also</w:t>
      </w:r>
      <w:r w:rsidRPr="00AD2F44">
        <w:t xml:space="preserve"> Baldridge v. SBC Commc’ns, 404 F.3d 930 (5th Cir. 2005) (holding decertification decision is not final decision terminating litigation and allowing appeal); Falcon v. Starbucks, 580 F. Supp. 2d 528, 541 (S.D. Tex. 2008) (denying defendant’s motion for decertification, but noting that court will reconsider its decision “at any time” if it determines case cannot adequately be tried through representative testimony or that trial would be too unwieldy for a jury); Chavez v. IBP, Inc., 2005 U.S. Dist. LEXIS 29714, at *8 (E.D. Wash. May 16, 2005) (explaining §216(b) “certifications are preliminary until final judgment is issued, and are subject to modification prior to a decision on the merits”).</w:t>
      </w:r>
    </w:p>
  </w:footnote>
  <w:footnote w:id="464">
    <w:p w14:paraId="1D50AC13" w14:textId="77777777" w:rsidR="004322B1" w:rsidRPr="00AD2F44" w:rsidRDefault="004322B1">
      <w:pPr>
        <w:pStyle w:val="14Footnote"/>
      </w:pPr>
      <w:r w:rsidRPr="00AD2F44">
        <w:rPr>
          <w:vertAlign w:val="superscript"/>
        </w:rPr>
        <w:footnoteRef/>
      </w:r>
      <w:r w:rsidRPr="00AD2F44">
        <w:rPr>
          <w:i/>
          <w:iCs/>
        </w:rPr>
        <w:t>See, e.g.,</w:t>
      </w:r>
    </w:p>
    <w:p w14:paraId="3AE60814" w14:textId="77777777" w:rsidR="004322B1" w:rsidRPr="00AD2F44" w:rsidRDefault="004322B1">
      <w:pPr>
        <w:pStyle w:val="14Footnote"/>
      </w:pPr>
      <w:r w:rsidRPr="00AD2F44">
        <w:rPr>
          <w:i/>
          <w:iCs/>
        </w:rPr>
        <w:t>First Circuit:</w:t>
      </w:r>
      <w:r w:rsidRPr="00AD2F44">
        <w:t xml:space="preserve"> Melendez Cintron v. Hershey P.R., Inc., 363 F. Supp. 2d 10, 16 (D.P.R. 2005).</w:t>
      </w:r>
    </w:p>
    <w:p w14:paraId="25D0C36E" w14:textId="77777777" w:rsidR="004322B1" w:rsidRPr="00AD2F44" w:rsidRDefault="004322B1">
      <w:pPr>
        <w:pStyle w:val="14Footnote"/>
      </w:pPr>
      <w:r w:rsidRPr="00AD2F44">
        <w:rPr>
          <w:i/>
          <w:iCs/>
        </w:rPr>
        <w:t>Second Circuit:</w:t>
      </w:r>
      <w:r w:rsidRPr="00AD2F44">
        <w:t xml:space="preserve"> Ruiz v. Citibank, N.A., 93 F. Supp. 3d 279, 298 (S.D.N.Y. 2015) (noting that second stage is “more stringent stage” and that there is “little difference” in various approaches applied by courts in deciding motions to decertify, whether or not they expressly import Rule 23 requirements).</w:t>
      </w:r>
    </w:p>
    <w:p w14:paraId="54E61678" w14:textId="77777777" w:rsidR="004322B1" w:rsidRPr="00AD2F44" w:rsidRDefault="004322B1">
      <w:pPr>
        <w:pStyle w:val="14Footnote"/>
      </w:pPr>
      <w:r w:rsidRPr="00AD2F44">
        <w:rPr>
          <w:i/>
          <w:iCs/>
        </w:rPr>
        <w:t>Third Circuit:</w:t>
      </w:r>
      <w:r w:rsidRPr="00AD2F44">
        <w:t xml:space="preserve"> Morisky v. Public Serv. Elec. &amp; Gas Co., 111 F. Supp. 2d 493, 497 (D.N.J. 2000).</w:t>
      </w:r>
    </w:p>
    <w:p w14:paraId="19F8ECB0" w14:textId="77777777" w:rsidR="004322B1" w:rsidRPr="00AD2F44" w:rsidRDefault="004322B1">
      <w:pPr>
        <w:pStyle w:val="14Footnote"/>
      </w:pPr>
      <w:r w:rsidRPr="00AD2F44">
        <w:rPr>
          <w:i/>
          <w:iCs/>
        </w:rPr>
        <w:t>Fourth Circuit:</w:t>
      </w:r>
      <w:r w:rsidRPr="00AD2F44">
        <w:t xml:space="preserve"> Butler v. DirectSAT USA, 47 F. Supp. 3d 300, 306 (D. Md. 2014); Rawls v. Augustine Home Health Care, Inc., 244 F.R.D. 298, 300 (D. Md. 2007); Duncan v. Phoenix Supported Living, Inc., 2007 WL 1033360, at *1 (W.D.N.C. Mar. 30, 2007).</w:t>
      </w:r>
    </w:p>
    <w:p w14:paraId="7D9CCF69" w14:textId="77777777" w:rsidR="004322B1" w:rsidRPr="00AD2F44" w:rsidRDefault="004322B1">
      <w:pPr>
        <w:pStyle w:val="14Footnote"/>
      </w:pPr>
      <w:r w:rsidRPr="00AD2F44">
        <w:rPr>
          <w:i/>
          <w:iCs/>
        </w:rPr>
        <w:t>Fifth Circuit:</w:t>
      </w:r>
      <w:r w:rsidRPr="00AD2F44">
        <w:t xml:space="preserve"> Kelly v. Healthcare Servs. Grp., Inc., 106 F. Supp. 3d 808, 813 (E.D. Tex. 2015); Proctor v. Allsups Convenience Stores, Inc., 250 F.R.D. 278, 280 (N.D. Tex. 2008).</w:t>
      </w:r>
    </w:p>
    <w:p w14:paraId="03CDE72F" w14:textId="77777777" w:rsidR="004322B1" w:rsidRPr="00AD2F44" w:rsidRDefault="004322B1">
      <w:pPr>
        <w:pStyle w:val="14Footnote"/>
      </w:pPr>
      <w:r w:rsidRPr="00AD2F44">
        <w:rPr>
          <w:i/>
          <w:iCs/>
        </w:rPr>
        <w:t>Sixth Circuit:</w:t>
      </w:r>
      <w:r w:rsidRPr="00AD2F44">
        <w:t xml:space="preserve"> Comer v. Wal-Mart Stores, 454 F.3d 544, 547 (6th Cir. 2006); Olivo v. GMAC Mortg. Corp., 374 F. Supp. 2d 545, 548 n.2 (E.D. Mich. 2004).</w:t>
      </w:r>
    </w:p>
    <w:p w14:paraId="0D2AA941" w14:textId="77777777" w:rsidR="004322B1" w:rsidRPr="00AD2F44" w:rsidRDefault="004322B1">
      <w:pPr>
        <w:pStyle w:val="14Footnote"/>
      </w:pPr>
      <w:r w:rsidRPr="00AD2F44">
        <w:rPr>
          <w:i/>
          <w:iCs/>
        </w:rPr>
        <w:t>Eighth Circuit:</w:t>
      </w:r>
      <w:r w:rsidRPr="00AD2F44">
        <w:t xml:space="preserve"> Hamilton v. Diversicare Leasing Corp., 2014 WL 4955799, at *3 (W.D. Ark. Oct. 1, 2014) (“At the second stage … named Plaintiffs must make a stronger showing to continue to proceed on a collective basis.”); King v. West Corp., 2006 WL 118577, at *13 (D. Neb. Jan. 13, 2006); Smith v. Heartland Auto. Servs., 404 F. Supp. 2d 1144, 1149 (D. Minn. 2005).</w:t>
      </w:r>
    </w:p>
    <w:p w14:paraId="38ABD86A" w14:textId="77777777" w:rsidR="004322B1" w:rsidRPr="00AD2F44" w:rsidRDefault="004322B1">
      <w:pPr>
        <w:pStyle w:val="14Footnote"/>
      </w:pPr>
      <w:r w:rsidRPr="00AD2F44">
        <w:rPr>
          <w:i/>
          <w:iCs/>
        </w:rPr>
        <w:t>Ninth Circuit:</w:t>
      </w:r>
      <w:r w:rsidRPr="00AD2F44">
        <w:t xml:space="preserve"> Campbell v. City of L.A., 903 F.3d 1090 (9th Cir. 2018) (holding that courts should apply the summary judgment standard in determining whether to decertify a class when decertification overlaps with merits of underlying claims); Brewer v. General Nutrition Corp., 2014 WL 5877695, at *14 (N.D. Cal. Nov. 12, 2014) (noting that, at second stage, there is “more searching review” and “it is plaintiffs’ burden to provide substantial evidence to demonstrate that they are similarly situated”).</w:t>
      </w:r>
    </w:p>
    <w:p w14:paraId="339A1E05" w14:textId="77777777" w:rsidR="004322B1" w:rsidRPr="00AD2F44" w:rsidRDefault="004322B1">
      <w:pPr>
        <w:pStyle w:val="14Footnote"/>
      </w:pPr>
      <w:r w:rsidRPr="00AD2F44">
        <w:rPr>
          <w:i/>
          <w:iCs/>
        </w:rPr>
        <w:t>Eleventh Circuit: Morgan,</w:t>
      </w:r>
      <w:r w:rsidRPr="00AD2F44">
        <w:t xml:space="preserve"> 551 F.3d at 1261.</w:t>
      </w:r>
    </w:p>
  </w:footnote>
  <w:footnote w:id="465">
    <w:p w14:paraId="3A7E728B" w14:textId="77777777" w:rsidR="004322B1" w:rsidRPr="00AD2F44" w:rsidRDefault="004322B1">
      <w:pPr>
        <w:pStyle w:val="14Footnote"/>
      </w:pPr>
      <w:r w:rsidRPr="00AD2F44">
        <w:rPr>
          <w:vertAlign w:val="superscript"/>
        </w:rPr>
        <w:footnoteRef/>
      </w:r>
      <w:r w:rsidRPr="00AD2F44">
        <w:rPr>
          <w:i/>
          <w:iCs/>
        </w:rPr>
        <w:t>See, e.g.,</w:t>
      </w:r>
    </w:p>
    <w:p w14:paraId="1FFD1856" w14:textId="77777777" w:rsidR="004322B1" w:rsidRPr="00AD2F44" w:rsidRDefault="004322B1">
      <w:pPr>
        <w:pStyle w:val="14Footnote"/>
      </w:pPr>
      <w:r w:rsidRPr="00AD2F44">
        <w:rPr>
          <w:i/>
          <w:iCs/>
        </w:rPr>
        <w:t>Second Circuit:</w:t>
      </w:r>
      <w:r w:rsidRPr="00AD2F44">
        <w:t xml:space="preserve"> Perez v. Allstate Ins. Co., 2014 WL 4635745, at *6 (E.D.N.Y. Sept. 16, 2014); Stevens v. HMS Host Corp., 2014 WL 4261410, at *5 (E.D.N.Y. Aug. 24, 2014).</w:t>
      </w:r>
    </w:p>
    <w:p w14:paraId="4B9B6CEA" w14:textId="77777777" w:rsidR="004322B1" w:rsidRPr="00AD2F44" w:rsidRDefault="004322B1">
      <w:pPr>
        <w:pStyle w:val="14Footnote"/>
      </w:pPr>
      <w:r w:rsidRPr="00AD2F44">
        <w:rPr>
          <w:i/>
          <w:iCs/>
        </w:rPr>
        <w:t>Third Circuit:</w:t>
      </w:r>
      <w:r w:rsidRPr="00AD2F44">
        <w:t xml:space="preserve"> Bell v. Reading Hosp. &amp; Med. Ctr., 2016 WL 3902938, at *8 (E.D. Pa. July 19, 2016); Chabrier v. Wilmington Fin. Inc., 2008 WL 938872, at *3 (E.D. Pa. Apr. 4, 2008) (quoting Garcia v. Elite Labor Serv., 1996 WL 33500122 (N.D. Ill. July 11, 1996)); Morisky v. Public Serv. Elec. &amp; Gas Co., 111 F. Supp. 2d 493, 496 (D.N.J. 2000).</w:t>
      </w:r>
    </w:p>
    <w:p w14:paraId="24AE2666" w14:textId="77777777" w:rsidR="004322B1" w:rsidRPr="00AD2F44" w:rsidRDefault="004322B1">
      <w:pPr>
        <w:pStyle w:val="14Footnote"/>
      </w:pPr>
      <w:r w:rsidRPr="00AD2F44">
        <w:rPr>
          <w:i/>
          <w:iCs/>
        </w:rPr>
        <w:t>Fifth Circuit:</w:t>
      </w:r>
      <w:r w:rsidRPr="00AD2F44">
        <w:t xml:space="preserve"> </w:t>
      </w:r>
      <w:r w:rsidRPr="00AD2F44">
        <w:rPr>
          <w:i/>
          <w:iCs/>
        </w:rPr>
        <w:t>Kelly</w:t>
      </w:r>
      <w:r w:rsidRPr="00AD2F44">
        <w:t xml:space="preserve">, 106 F. Supp. 3d at 816; </w:t>
      </w:r>
      <w:r w:rsidRPr="00AD2F44">
        <w:rPr>
          <w:i/>
          <w:iCs/>
        </w:rPr>
        <w:t>Falcon</w:t>
      </w:r>
      <w:r w:rsidRPr="00AD2F44">
        <w:t>, 580 F. Supp. 2d at 534; England v. New Century Fin. Corp., 370 F. Supp. 2d 504, 507 (M.D. La. 2005); Basco v. Wal-Mart Stores, Inc., 2004 WL 1497709, at *5 (E.D. La. July 2, 2004).</w:t>
      </w:r>
    </w:p>
    <w:p w14:paraId="4803E548" w14:textId="77777777" w:rsidR="004322B1" w:rsidRPr="00AD2F44" w:rsidRDefault="004322B1">
      <w:pPr>
        <w:pStyle w:val="14Footnote"/>
      </w:pPr>
      <w:r w:rsidRPr="00AD2F44">
        <w:rPr>
          <w:i/>
          <w:iCs/>
        </w:rPr>
        <w:t>Sixth Circuit:</w:t>
      </w:r>
      <w:r w:rsidRPr="00AD2F44">
        <w:t xml:space="preserve"> Wilks v. Pep Boys, 2006 WL 2821700, at *3 (M.D. Tenn. Sept. 26, 2006).</w:t>
      </w:r>
    </w:p>
    <w:p w14:paraId="587FC6E8" w14:textId="77777777" w:rsidR="004322B1" w:rsidRPr="00AD2F44" w:rsidRDefault="004322B1">
      <w:pPr>
        <w:pStyle w:val="14Footnote"/>
      </w:pPr>
      <w:r w:rsidRPr="00AD2F44">
        <w:rPr>
          <w:i/>
          <w:iCs/>
        </w:rPr>
        <w:t>Eighth Circuit:</w:t>
      </w:r>
      <w:r w:rsidRPr="00AD2F44">
        <w:t xml:space="preserve"> </w:t>
      </w:r>
      <w:r w:rsidRPr="00AD2F44">
        <w:rPr>
          <w:i/>
          <w:iCs/>
        </w:rPr>
        <w:t>Hamilton</w:t>
      </w:r>
      <w:r w:rsidRPr="00AD2F44">
        <w:t xml:space="preserve">, 2014 WL 4955799, at *3 (“At the second stage … named Plaintiffs must make a stronger showing to continue to proceed on a collective basis.”); Nerland v. Caribou Coffee Co., 564 F. Supp. 2d 1010, 1018 (D. Minn. 2007); </w:t>
      </w:r>
      <w:r w:rsidRPr="00AD2F44">
        <w:rPr>
          <w:i/>
          <w:iCs/>
        </w:rPr>
        <w:t>King</w:t>
      </w:r>
      <w:r w:rsidRPr="00AD2F44">
        <w:t>, 2006 WL 118577, at *13.</w:t>
      </w:r>
    </w:p>
    <w:p w14:paraId="38FEA49F" w14:textId="77777777" w:rsidR="004322B1" w:rsidRPr="00AD2F44" w:rsidRDefault="004322B1">
      <w:pPr>
        <w:pStyle w:val="14Footnote"/>
      </w:pPr>
      <w:r w:rsidRPr="00AD2F44">
        <w:rPr>
          <w:i/>
          <w:iCs/>
        </w:rPr>
        <w:t>Eleventh Circuit:</w:t>
      </w:r>
      <w:r w:rsidRPr="00AD2F44">
        <w:t xml:space="preserve"> </w:t>
      </w:r>
      <w:r w:rsidRPr="00AD2F44">
        <w:rPr>
          <w:i/>
          <w:iCs/>
        </w:rPr>
        <w:t>Morgan</w:t>
      </w:r>
      <w:r w:rsidRPr="00AD2F44">
        <w:t>, 551 F.3d at 1260; Grayson v. K Mart Corp., 79 F.3d 1086, 1097 (11th Cir. 1996); Pendlebury v. Starbucks, 518 F. Supp. 2d 1345, 1348 (S.D. Fla. 2008);</w:t>
      </w:r>
      <w:r w:rsidRPr="00AD2F44">
        <w:rPr>
          <w:i/>
          <w:iCs/>
        </w:rPr>
        <w:t xml:space="preserve"> see also</w:t>
      </w:r>
      <w:r w:rsidRPr="00AD2F44">
        <w:t xml:space="preserve"> Anderson v. Cagle’s, Inc., 488 F.3d 945, 953 (11th Cir. 2007) (noting that while plaintiffs do not need to show their positions are identical, they must establish similarities beyond mere job duties and pay provisions).</w:t>
      </w:r>
    </w:p>
  </w:footnote>
  <w:footnote w:id="466">
    <w:p w14:paraId="1BFE48A6" w14:textId="77777777" w:rsidR="004322B1" w:rsidRPr="00AD2F44" w:rsidRDefault="004322B1">
      <w:pPr>
        <w:pStyle w:val="14Footnote"/>
      </w:pPr>
      <w:r w:rsidRPr="00AD2F44">
        <w:rPr>
          <w:vertAlign w:val="superscript"/>
        </w:rPr>
        <w:footnoteRef/>
      </w:r>
      <w:r w:rsidRPr="00AD2F44">
        <w:rPr>
          <w:i/>
          <w:iCs/>
        </w:rPr>
        <w:t>See, e.g.,</w:t>
      </w:r>
    </w:p>
    <w:p w14:paraId="0535B677" w14:textId="77777777" w:rsidR="004322B1" w:rsidRPr="00AD2F44" w:rsidRDefault="004322B1">
      <w:pPr>
        <w:pStyle w:val="14Footnote"/>
      </w:pPr>
      <w:r w:rsidRPr="00AD2F44">
        <w:rPr>
          <w:i/>
          <w:iCs/>
        </w:rPr>
        <w:t>Second Circuit:</w:t>
      </w:r>
      <w:r w:rsidRPr="00AD2F44">
        <w:t xml:space="preserve"> Hernandez v. Fresh Diet, Inc., 2014 WL 5039431, at *3 (S.D.N.Y. Sept. 29, 2014); </w:t>
      </w:r>
      <w:r w:rsidRPr="00AD2F44">
        <w:rPr>
          <w:i/>
          <w:iCs/>
        </w:rPr>
        <w:t>Stevens</w:t>
      </w:r>
      <w:r w:rsidRPr="00AD2F44">
        <w:t>, 2014 WL 4261410, at *5.</w:t>
      </w:r>
    </w:p>
    <w:p w14:paraId="78A5A282" w14:textId="77777777" w:rsidR="004322B1" w:rsidRPr="00AD2F44" w:rsidRDefault="004322B1">
      <w:pPr>
        <w:pStyle w:val="14Footnote"/>
      </w:pPr>
      <w:r w:rsidRPr="00AD2F44">
        <w:rPr>
          <w:i/>
          <w:iCs/>
        </w:rPr>
        <w:t>Fourth Circuit:</w:t>
      </w:r>
      <w:r w:rsidRPr="00AD2F44">
        <w:t xml:space="preserve"> </w:t>
      </w:r>
      <w:r w:rsidRPr="00AD2F44">
        <w:rPr>
          <w:i/>
          <w:iCs/>
        </w:rPr>
        <w:t>Butler</w:t>
      </w:r>
      <w:r w:rsidRPr="00AD2F44">
        <w:t>, 47 F. Supp. 3d at 306.</w:t>
      </w:r>
    </w:p>
    <w:p w14:paraId="055846AC" w14:textId="77777777" w:rsidR="004322B1" w:rsidRPr="00AD2F44" w:rsidRDefault="004322B1">
      <w:pPr>
        <w:pStyle w:val="14Footnote"/>
      </w:pPr>
      <w:r w:rsidRPr="00AD2F44">
        <w:rPr>
          <w:i/>
          <w:iCs/>
        </w:rPr>
        <w:t>Fifth Circuit:</w:t>
      </w:r>
      <w:r w:rsidRPr="00AD2F44">
        <w:t xml:space="preserve"> </w:t>
      </w:r>
      <w:r w:rsidRPr="00AD2F44">
        <w:rPr>
          <w:i/>
          <w:iCs/>
        </w:rPr>
        <w:t>Falcon</w:t>
      </w:r>
      <w:r w:rsidRPr="00AD2F44">
        <w:t>, 580 F. Supp. 2d at 534.</w:t>
      </w:r>
    </w:p>
    <w:p w14:paraId="269BE843" w14:textId="77777777" w:rsidR="004322B1" w:rsidRPr="00AD2F44" w:rsidRDefault="004322B1">
      <w:pPr>
        <w:pStyle w:val="14Footnote"/>
      </w:pPr>
      <w:r w:rsidRPr="00AD2F44">
        <w:rPr>
          <w:i/>
          <w:iCs/>
        </w:rPr>
        <w:t>Eighth Circuit:</w:t>
      </w:r>
      <w:r w:rsidRPr="00AD2F44">
        <w:t xml:space="preserve"> Judkins v. SouthernCare, Inc., 74 F. Supp. 3d 1007, 1010 (S.D. Iowa 2015); </w:t>
      </w:r>
      <w:r w:rsidRPr="00AD2F44">
        <w:rPr>
          <w:i/>
          <w:iCs/>
        </w:rPr>
        <w:t>Nerland</w:t>
      </w:r>
      <w:r w:rsidRPr="00AD2F44">
        <w:t>, 564 F. Supp. 2d at 1018.</w:t>
      </w:r>
    </w:p>
    <w:p w14:paraId="462A1986" w14:textId="77777777" w:rsidR="004322B1" w:rsidRPr="00AD2F44" w:rsidRDefault="004322B1">
      <w:pPr>
        <w:pStyle w:val="14Footnote"/>
      </w:pPr>
      <w:r w:rsidRPr="00AD2F44">
        <w:rPr>
          <w:i/>
          <w:iCs/>
        </w:rPr>
        <w:t>Ninth Circuit:</w:t>
      </w:r>
      <w:r w:rsidRPr="00AD2F44">
        <w:t xml:space="preserve"> </w:t>
      </w:r>
      <w:r w:rsidRPr="00AD2F44">
        <w:rPr>
          <w:i/>
          <w:iCs/>
        </w:rPr>
        <w:t>Brewer</w:t>
      </w:r>
      <w:r w:rsidRPr="00AD2F44">
        <w:t>, 2014 WL 5877695, at *15.</w:t>
      </w:r>
    </w:p>
    <w:p w14:paraId="5821F295" w14:textId="77777777" w:rsidR="004322B1" w:rsidRPr="00AD2F44" w:rsidRDefault="004322B1">
      <w:pPr>
        <w:pStyle w:val="14Footnote"/>
      </w:pPr>
      <w:r w:rsidRPr="00A674E3">
        <w:rPr>
          <w:i/>
          <w:iCs/>
        </w:rPr>
        <w:t>Tenth Circuit: Thiessen,</w:t>
      </w:r>
      <w:r w:rsidRPr="00AD2F44">
        <w:t xml:space="preserve"> 267 F.3d at 1103.</w:t>
      </w:r>
    </w:p>
    <w:p w14:paraId="29643438" w14:textId="77777777" w:rsidR="004322B1" w:rsidRPr="00AD2F44" w:rsidRDefault="004322B1">
      <w:pPr>
        <w:pStyle w:val="14Footnote"/>
      </w:pPr>
      <w:r w:rsidRPr="00AD2F44">
        <w:rPr>
          <w:i/>
          <w:iCs/>
        </w:rPr>
        <w:t>Eleventh Circuit:</w:t>
      </w:r>
      <w:r w:rsidRPr="00AD2F44">
        <w:t xml:space="preserve"> Morgan v. Family Dollar Stores, Inc., 551 F.3d 1233, 1260 (11th Cir. 2008); Geter v. Galardi S. Enters., Inc., 2015 WL 2384068, at *2 (S.D. Fla. May 19, 2015); </w:t>
      </w:r>
      <w:r w:rsidRPr="00AD2F44">
        <w:rPr>
          <w:i/>
          <w:iCs/>
        </w:rPr>
        <w:t>Pendlebury</w:t>
      </w:r>
      <w:r w:rsidRPr="00AD2F44">
        <w:t>, 518 F. Supp. 2d at 1348–49.</w:t>
      </w:r>
    </w:p>
  </w:footnote>
  <w:footnote w:id="467">
    <w:p w14:paraId="04340604" w14:textId="77777777" w:rsidR="004322B1" w:rsidRPr="00AD2F44" w:rsidRDefault="004322B1">
      <w:pPr>
        <w:pStyle w:val="14Footnote"/>
      </w:pPr>
      <w:r w:rsidRPr="00AD2F44">
        <w:rPr>
          <w:vertAlign w:val="superscript"/>
        </w:rPr>
        <w:footnoteRef/>
      </w:r>
      <w:r w:rsidRPr="00AD2F44">
        <w:t xml:space="preserve">Zavala v. Walmart Stores, Inc., 691 F.3d 527, 537 (3d Cir. 2012); </w:t>
      </w:r>
      <w:r w:rsidRPr="00AD2F44">
        <w:rPr>
          <w:i/>
          <w:iCs/>
        </w:rPr>
        <w:t>see also</w:t>
      </w:r>
      <w:r w:rsidRPr="00AD2F44">
        <w:t xml:space="preserve"> </w:t>
      </w:r>
      <w:r w:rsidRPr="00AD2F44">
        <w:rPr>
          <w:i/>
          <w:iCs/>
        </w:rPr>
        <w:t>Bell</w:t>
      </w:r>
      <w:r w:rsidRPr="00AD2F44">
        <w:t xml:space="preserve">, 2016 WL 3902938, at *7; Adami v. Cardo Windows, Inc., 2016 WL 1241798, at *5 (D.N.J. Mar. 30, 2016); </w:t>
      </w:r>
      <w:r w:rsidRPr="00AD2F44">
        <w:rPr>
          <w:i/>
          <w:iCs/>
        </w:rPr>
        <w:t>accord</w:t>
      </w:r>
      <w:r w:rsidRPr="00AD2F44">
        <w:t xml:space="preserve"> </w:t>
      </w:r>
      <w:r w:rsidRPr="00AD2F44">
        <w:rPr>
          <w:i/>
          <w:iCs/>
        </w:rPr>
        <w:t>Perez</w:t>
      </w:r>
      <w:r w:rsidRPr="00AD2F44">
        <w:t xml:space="preserve">, 2014 WL 4635745, at *6 (following </w:t>
      </w:r>
      <w:r w:rsidRPr="00AD2F44">
        <w:rPr>
          <w:i/>
          <w:iCs/>
        </w:rPr>
        <w:t>Zavala</w:t>
      </w:r>
      <w:r w:rsidRPr="00AD2F44">
        <w:t xml:space="preserve"> and holding that, at second stage, plaintiffs must prove that members of collective are similarly situated by preponderance of evidence); Hinterberger v. Catholic Health Sys., 299 F.R.D. 22, 55 (W.D.N.Y. 2014) (same).</w:t>
      </w:r>
    </w:p>
  </w:footnote>
  <w:footnote w:id="468">
    <w:p w14:paraId="5AD7675F" w14:textId="77777777" w:rsidR="004322B1" w:rsidRPr="00AD2F44" w:rsidRDefault="004322B1">
      <w:pPr>
        <w:pStyle w:val="14Footnote"/>
      </w:pPr>
      <w:r w:rsidRPr="00AD2F44">
        <w:rPr>
          <w:vertAlign w:val="superscript"/>
        </w:rPr>
        <w:footnoteRef/>
      </w:r>
      <w:r w:rsidRPr="00AD2F44">
        <w:rPr>
          <w:i/>
          <w:iCs/>
        </w:rPr>
        <w:t>See, e.g.,</w:t>
      </w:r>
    </w:p>
    <w:p w14:paraId="14A58FE4" w14:textId="77777777" w:rsidR="004322B1" w:rsidRPr="00AD2F44" w:rsidRDefault="004322B1">
      <w:pPr>
        <w:pStyle w:val="14Footnote"/>
      </w:pPr>
      <w:r w:rsidRPr="00AD2F44">
        <w:rPr>
          <w:i/>
          <w:iCs/>
        </w:rPr>
        <w:t xml:space="preserve">First Circuit: </w:t>
      </w:r>
      <w:r w:rsidRPr="00AD2F44">
        <w:t>Norceide v. Cambridge Health Alliance, 2014 WL 775453, at *3 (D. Mass. Feb. 24, 2014); Reeves v. Alliant Techsys., Inc., 77 F. Supp. 2d 242, 247 (D.R.I. 1999).</w:t>
      </w:r>
    </w:p>
    <w:p w14:paraId="2E8DD248" w14:textId="77777777" w:rsidR="004322B1" w:rsidRPr="00AD2F44" w:rsidRDefault="004322B1">
      <w:pPr>
        <w:pStyle w:val="14Footnote"/>
      </w:pPr>
      <w:r w:rsidRPr="00AD2F44">
        <w:rPr>
          <w:i/>
          <w:iCs/>
        </w:rPr>
        <w:t>Second Circuit:</w:t>
      </w:r>
      <w:r w:rsidRPr="00AD2F44">
        <w:t xml:space="preserve"> Jacob v. Duane Reade, Inc., 2016 WL 3221148, at *7 (S.D.N.Y. June 9, 2016); Griffith v. Fordham Fin. Mgmt., Inc., 2016 WL 354895, at *3 (S.D.N.Y. Jan. 28, 2016); Harper v. Government Emps. Ins. Co., 2015 WL 9673810, at *4 (E.D.N.Y. Nov. 16, 2015); </w:t>
      </w:r>
      <w:r w:rsidRPr="00AD2F44">
        <w:rPr>
          <w:i/>
          <w:iCs/>
        </w:rPr>
        <w:t>Hernandez</w:t>
      </w:r>
      <w:r w:rsidRPr="00AD2F44">
        <w:t xml:space="preserve">, 2014 WL 5039431, at *3; </w:t>
      </w:r>
      <w:r w:rsidRPr="00AD2F44">
        <w:rPr>
          <w:i/>
          <w:iCs/>
        </w:rPr>
        <w:t>Perez</w:t>
      </w:r>
      <w:r w:rsidRPr="00AD2F44">
        <w:t>, 2014 WL 4635745, at *6; DeSilva v. North Shore-Long Island Jewish Health Sys., Inc., 27 F. Supp. 3d 313, 320 (E.D.N.Y. 2014); Johnson v. Wave Comm GR LLC, 4 F. Supp. 3d 453, 458 (N.D.N.Y. 2014); Ayers v. SGS Control Serv., Inc., 2007 WL 646326, at *5 (S.D.N.Y. Feb. 27, 2007).</w:t>
      </w:r>
    </w:p>
    <w:p w14:paraId="11C8CD54" w14:textId="77777777" w:rsidR="004322B1" w:rsidRPr="00AD2F44" w:rsidRDefault="004322B1">
      <w:pPr>
        <w:pStyle w:val="14Footnote"/>
      </w:pPr>
      <w:r w:rsidRPr="00AD2F44">
        <w:rPr>
          <w:i/>
          <w:iCs/>
        </w:rPr>
        <w:t>Third Circuit:</w:t>
      </w:r>
      <w:r w:rsidRPr="00AD2F44">
        <w:t xml:space="preserve"> Zavala v. Walmart Stores, Inc., 691 F.3d 527, 537 (3d Cir. 2012) (recognizing factors applied by district courts); </w:t>
      </w:r>
      <w:r w:rsidRPr="00AD2F44">
        <w:rPr>
          <w:i/>
          <w:iCs/>
        </w:rPr>
        <w:t>Bell</w:t>
      </w:r>
      <w:r w:rsidRPr="00AD2F44">
        <w:t>, 2016 WL 3902938, at *8; Ruffin v. Avis Budget Car Rental, LLC, 2014 WL 294675, at *3 (D. N.J. Jan. 27, 2014); Moss v. Crawford &amp; Co., 201 F.R.D. 398, 409 (W.D. Pa. 2000).</w:t>
      </w:r>
    </w:p>
    <w:p w14:paraId="5F79D9B1" w14:textId="77777777" w:rsidR="004322B1" w:rsidRPr="00AD2F44" w:rsidRDefault="004322B1">
      <w:pPr>
        <w:pStyle w:val="14Footnote"/>
      </w:pPr>
      <w:r w:rsidRPr="00AD2F44">
        <w:rPr>
          <w:i/>
          <w:iCs/>
        </w:rPr>
        <w:t>Fourth Circuit:</w:t>
      </w:r>
      <w:r w:rsidRPr="00AD2F44">
        <w:t xml:space="preserve"> Regan v. City of Charleston, 2015 WL 6727079, at *3 (D.S.C. Nov. 3, 2015); Randolph v. PowerComm Constr., Inc., 309 F.R.D. 349, 368 (D. Md. 2015); Rehberg v. Flowers Baking Co. of Jamestown, LLC, 2015 WL 1346125, at *15 (W.D.N.C. Mar. 24, 2015); </w:t>
      </w:r>
      <w:r w:rsidRPr="00AD2F44">
        <w:rPr>
          <w:i/>
          <w:iCs/>
        </w:rPr>
        <w:t>Butler</w:t>
      </w:r>
      <w:r w:rsidRPr="00AD2F44">
        <w:t xml:space="preserve">, 47 F. Supp. 3d at 306; LaFleur v. Dollar Tree Stores, Inc., 30 F. Supp. 3d 463, 468 (E.D. Va. 2014); Rawls v. Augustine Home Health Care, Inc., 244 F.R.D. 298, 300 (D. Md. 2007); Sharer v. Tandberg, Inc., 2007 WL 676220, at *2 (E.D. Va. Feb. 27, 2007); </w:t>
      </w:r>
      <w:r w:rsidRPr="00AD2F44">
        <w:rPr>
          <w:i/>
          <w:iCs/>
        </w:rPr>
        <w:t>Duncan</w:t>
      </w:r>
      <w:r w:rsidRPr="00AD2F44">
        <w:t>, 2007 WL 1033360, at *1.</w:t>
      </w:r>
    </w:p>
    <w:p w14:paraId="60A154C2" w14:textId="77777777" w:rsidR="004322B1" w:rsidRPr="00AD2F44" w:rsidRDefault="004322B1">
      <w:pPr>
        <w:pStyle w:val="14Footnote"/>
      </w:pPr>
      <w:r w:rsidRPr="00AD2F44">
        <w:rPr>
          <w:i/>
          <w:iCs/>
        </w:rPr>
        <w:t>Fifth Circuit:</w:t>
      </w:r>
      <w:r w:rsidRPr="00AD2F44">
        <w:t xml:space="preserve"> Mooney v. Aramco Servs., Co., 54 F.3d 1207, 1213 n.7, 1215–16 (5th Cir. 1995)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Nguyen v. Versacom, LLC, 2016 WL 6650860, at *3 (N.D. Tex. Nov. 9, 2016); </w:t>
      </w:r>
      <w:r w:rsidRPr="00AD2F44">
        <w:rPr>
          <w:i/>
          <w:iCs/>
        </w:rPr>
        <w:t>Kelly</w:t>
      </w:r>
      <w:r w:rsidRPr="00AD2F44">
        <w:t xml:space="preserve">, 106 F. Supp. 3d at 813; Lipnicki v. Meritage Homes Corp., 2014 WL 5620603, at *2 (S.D. Tex. Nov. 4, 2014); Clark v. Centene Co. of Tex. LP, 44 F. Supp. 3d 674, 688 (W.D. Tex. 2014); Vanzzini v. Action Meat Distribs., Inc., 995 F. Supp. 2d 703, 720–21 (S.D. Tex. 2014); White v. NTC Transp., Inc., 2013 WL 5874566, at *2 (N.D. Miss. Oct. 31, 2013); </w:t>
      </w:r>
      <w:r w:rsidRPr="00AD2F44">
        <w:rPr>
          <w:i/>
          <w:iCs/>
        </w:rPr>
        <w:t>Proctor</w:t>
      </w:r>
      <w:r w:rsidRPr="00AD2F44">
        <w:t>, 250 F.R.D. at 280.</w:t>
      </w:r>
    </w:p>
    <w:p w14:paraId="283D812D" w14:textId="77777777" w:rsidR="004322B1" w:rsidRPr="00AD2F44" w:rsidRDefault="004322B1">
      <w:pPr>
        <w:pStyle w:val="14Footnote"/>
      </w:pPr>
      <w:r w:rsidRPr="00AD2F44">
        <w:rPr>
          <w:i/>
          <w:iCs/>
        </w:rPr>
        <w:t>Sixth Circuit:</w:t>
      </w:r>
      <w:r w:rsidRPr="00AD2F44">
        <w:t xml:space="preserve"> Frye v. Baptist Mem. Hosp., Inc., 495 F. App’x 669, 672 (6th Cir. 2012) (reviewing application of </w:t>
      </w:r>
      <w:r w:rsidRPr="00AD2F44">
        <w:rPr>
          <w:i/>
          <w:iCs/>
        </w:rPr>
        <w:t>O’Brien</w:t>
      </w:r>
      <w:r w:rsidRPr="00AD2F44">
        <w:t xml:space="preserve"> factors); O’Brien v. Ed Donnelly Enters., Inc., 575 F.3d 567, 584 (6th Cir. 2009) (tacitly approving the three factors); </w:t>
      </w:r>
      <w:r w:rsidRPr="00201342">
        <w:t xml:space="preserve">Stephenson v. Family Sols. </w:t>
      </w:r>
      <w:r>
        <w:t>o</w:t>
      </w:r>
      <w:r w:rsidRPr="00201342">
        <w:t>f Ohio, Inc.</w:t>
      </w:r>
      <w:r>
        <w:t xml:space="preserve">, </w:t>
      </w:r>
      <w:r w:rsidRPr="00201342">
        <w:t>645 F.</w:t>
      </w:r>
      <w:r>
        <w:t xml:space="preserve"> </w:t>
      </w:r>
      <w:r w:rsidRPr="00201342">
        <w:t>Supp.</w:t>
      </w:r>
      <w:r>
        <w:t xml:space="preserve"> </w:t>
      </w:r>
      <w:r w:rsidRPr="00201342">
        <w:t>3d 755 (N.D. Ohio</w:t>
      </w:r>
      <w:r>
        <w:t xml:space="preserve"> </w:t>
      </w:r>
      <w:r w:rsidRPr="00201342">
        <w:t>2022)</w:t>
      </w:r>
      <w:r>
        <w:t xml:space="preserve">; </w:t>
      </w:r>
      <w:r w:rsidRPr="00AD2F44">
        <w:t>Thompson v. Bruister and Assocs., Inc., 967 F. Supp. 2d 1204, 1211 (M.D. Tenn. Aug. 23, 2013); Creely v. HCR Manorcare, Inc., 920 F. Supp. 2d 846, 851 (N.D. Ohio 2013).</w:t>
      </w:r>
    </w:p>
    <w:p w14:paraId="5A9167FF" w14:textId="77777777" w:rsidR="004322B1" w:rsidRPr="00AD2F44" w:rsidRDefault="004322B1">
      <w:pPr>
        <w:pStyle w:val="14Footnote"/>
      </w:pPr>
      <w:r w:rsidRPr="00AD2F44">
        <w:rPr>
          <w:i/>
          <w:iCs/>
        </w:rPr>
        <w:t>Seventh Circuit:</w:t>
      </w:r>
      <w:r w:rsidRPr="00AD2F44">
        <w:t xml:space="preserve"> Long v. Epic Sys. Corp., 2016 WL 4625497, at *5 (W.D. Wis. Sept. 6, 2016); Allen v. City of Chi., 2014 WL 5461856, at *4 (N.D. Ill. Oct. 22, 2014), </w:t>
      </w:r>
      <w:r w:rsidRPr="00AD2F44">
        <w:rPr>
          <w:i/>
          <w:iCs/>
        </w:rPr>
        <w:t>aff’d on other grounds,</w:t>
      </w:r>
      <w:r w:rsidRPr="00AD2F44">
        <w:t xml:space="preserve"> 865 F.3d 936 (7th Cir. 2017); Blakes v. Illinois Bell Tel. Co., 2013 WL 6662831, at *9 (N.D. Ill. Dec. 17, 2013); Hundt v. DirectSAT USA, LLC, 294 F.R.D. 101, 104 (N.D. Ill. 2013).</w:t>
      </w:r>
    </w:p>
    <w:p w14:paraId="174F9AE0" w14:textId="77777777" w:rsidR="004322B1" w:rsidRPr="00AD2F44" w:rsidRDefault="004322B1">
      <w:pPr>
        <w:pStyle w:val="14Footnote"/>
      </w:pPr>
      <w:r w:rsidRPr="00AD2F44">
        <w:rPr>
          <w:i/>
          <w:iCs/>
        </w:rPr>
        <w:t>Eighth Circuit:</w:t>
      </w:r>
      <w:r w:rsidRPr="00AD2F44">
        <w:t xml:space="preserve"> Bouaphakeo v. Tyson Foods, Inc., 765 F.3d 791, 796 (8th Cir. 2014); Arnold v. DirecTV, LLC, 2017 WL 1251033, at *2 (E.D. Mo. Mar. 31, 2017); Lindsay v. Clear Wireless, LLC, 2016 WL 916365, at *3 (D. Minn. Mar. 10, 2016); Swartz v. DJ Eng’g, Inc., 2015 WL 4139376, at *6 (D. Kan. July 9, 2015); </w:t>
      </w:r>
      <w:r w:rsidRPr="00AD2F44">
        <w:rPr>
          <w:i/>
          <w:iCs/>
        </w:rPr>
        <w:t>Judkins</w:t>
      </w:r>
      <w:r w:rsidRPr="00AD2F44">
        <w:t>, 74</w:t>
      </w:r>
      <w:r w:rsidRPr="00AD2F44">
        <w:br/>
        <w:t>F. Supp. 3d at 1009; Brackett v. St. Louis Bd. of Police Comm’rs, 2014 WL 1377460, at *2 (E.D. Mo. April 8, 2014); Jancich v. Stonegate Mortg. Corp., 2014 WL 1011480, at *2 (D. Kan. Mar. 17, 2014); Holaway v. Stratasys, Inc., 2013 WL 5787476, at *3 (D. Minn. Oct. 28, 2013); Watson v. Surf-Frac Wellhead Equip. Co., 2013 WL 5524122, at *6 (E.D. Ark. Oct. 3, 2013); King v. West Corp., 2006 WL 118577, at *14 (D. Neb. Jan. 13, 2006).</w:t>
      </w:r>
    </w:p>
    <w:p w14:paraId="63F532CE" w14:textId="77777777" w:rsidR="004322B1" w:rsidRPr="00AD2F44" w:rsidRDefault="004322B1">
      <w:pPr>
        <w:pStyle w:val="14Footnote"/>
      </w:pPr>
      <w:r w:rsidRPr="00AD2F44">
        <w:rPr>
          <w:i/>
          <w:iCs/>
        </w:rPr>
        <w:t>Ninth Circuit:</w:t>
      </w:r>
      <w:r w:rsidRPr="00AD2F44">
        <w:t xml:space="preserve"> Woods v. Vector Mktg. Corp., 2015 WL 5188682, at *6 (N.D. Cal. Sept. 4, 2015); Collinge v. IntelliQuick Delivery, Inc., 2015 WL 1292444, at *2 (D. Ariz. Mar. 23, 2015); Lillehagen v. Alorica, Inc., 2014 WL 6989230, at *26 (C.D. Cal. Dec. 10, 2014); </w:t>
      </w:r>
      <w:r w:rsidRPr="00AD2F44">
        <w:rPr>
          <w:i/>
          <w:iCs/>
        </w:rPr>
        <w:t>Brewer</w:t>
      </w:r>
      <w:r w:rsidRPr="00AD2F44">
        <w:t>, 2014 WL 5877695, at *15; Santiago v. Amdocs, Inc., 2013 WL 5444324, at *4 (N.D. Cal. Sept. 30, 2014); Chavez v. IBP, Inc., 2005 U.S. Dist. LEXIS 29714, at *6 (E.D. Wa. May 16, 2005).</w:t>
      </w:r>
    </w:p>
    <w:p w14:paraId="50AAE1DA" w14:textId="77777777" w:rsidR="004322B1" w:rsidRPr="00AD2F44" w:rsidRDefault="004322B1">
      <w:pPr>
        <w:pStyle w:val="14Footnote"/>
      </w:pPr>
      <w:r w:rsidRPr="00AD2F44">
        <w:rPr>
          <w:i/>
          <w:iCs/>
        </w:rPr>
        <w:t>Tenth Circuit:</w:t>
      </w:r>
      <w:r w:rsidRPr="00AD2F44">
        <w:t xml:space="preserve"> Thiessen v. General Elec. Capital Corp., 267 F.3d 1095, 1103 (10th Cir. 2001); Lozoya v. All Phase Landscape Constr., Inc., 2014 WL 222104, at *1 (D. Colo. Jan. 21, 2014).</w:t>
      </w:r>
    </w:p>
    <w:p w14:paraId="46A739F1" w14:textId="77777777" w:rsidR="004322B1" w:rsidRPr="00AD2F44" w:rsidRDefault="004322B1">
      <w:pPr>
        <w:pStyle w:val="14Footnote"/>
      </w:pPr>
      <w:r w:rsidRPr="00AD2F44">
        <w:rPr>
          <w:i/>
          <w:iCs/>
        </w:rPr>
        <w:t>Eleventh Circuit:</w:t>
      </w:r>
      <w:r w:rsidRPr="00AD2F44">
        <w:t xml:space="preserve"> Morgan v. Family Dollar Stores, Inc., 551 F.3d 1233 (11th Cir. 2008) (applying factors); Anderson v. Cagle’s, Inc., 488 F.3d 945, 953 (11th Cir. 2007) (referencing three factors with approval); Miller v. FleetCor Techs. Operating Co., LLC, 118 F. Supp. 3d 1351, 1355 (N.D. Ga. 2015); Tanner v. TPUSA, Inc., 2015 WL 6940118, at *3 (M.D. Ga. Nov. 9, 2015); </w:t>
      </w:r>
      <w:r w:rsidRPr="00AD2F44">
        <w:rPr>
          <w:i/>
          <w:iCs/>
        </w:rPr>
        <w:t>Geter</w:t>
      </w:r>
      <w:r w:rsidRPr="00AD2F44">
        <w:t>, 2015 WL 2384068, at *2; Mathis v. Darden Rests., 2014 WL 4428171, at *2 (S.D. Fla. Sept. 1, 2014); Rindfleisch v. Gentiva Servs., Inc., 22 F. Supp. 3d 1295, 1303 (N.D. Ga. 2014); Hughes v. Burie, 2014 WL 1572543, at *1 (N.D. Fla. Apr. 18, 2014); Bobbit v. Broadband Interactive, Inc., 2013 WL 5720329, at *12 (M.D. Fla. Oct. 21, 2013).</w:t>
      </w:r>
    </w:p>
  </w:footnote>
  <w:footnote w:id="469">
    <w:p w14:paraId="1866B2E9" w14:textId="77777777" w:rsidR="004322B1" w:rsidRPr="00AD2F44" w:rsidRDefault="004322B1">
      <w:pPr>
        <w:pStyle w:val="14Footnote"/>
      </w:pPr>
      <w:r w:rsidRPr="00AD2F44">
        <w:rPr>
          <w:vertAlign w:val="superscript"/>
        </w:rPr>
        <w:footnoteRef/>
      </w:r>
      <w:r w:rsidRPr="00AD2F44">
        <w:t xml:space="preserve">Johnson v. Big Lots Stores, Inc., 561 F. Supp. 2d 567, 574 (E.D. La. 2008); </w:t>
      </w:r>
      <w:r w:rsidRPr="00AD2F44">
        <w:rPr>
          <w:i/>
          <w:iCs/>
        </w:rPr>
        <w:t>see also</w:t>
      </w:r>
      <w:r w:rsidRPr="00AD2F44">
        <w:t xml:space="preserve"> Chabrier v. Wilmington Fin. Inc., 2008 WL 938872, at *3 (E.D. Pa. Apr. 4, 2008) (explaining “[f]inal certification is not based on any single factor in isolation, but on many factors”).</w:t>
      </w:r>
    </w:p>
  </w:footnote>
  <w:footnote w:id="470">
    <w:p w14:paraId="36EA5EC0" w14:textId="77777777" w:rsidR="004322B1" w:rsidRPr="00AD2F44" w:rsidRDefault="004322B1">
      <w:pPr>
        <w:pStyle w:val="14Footnote"/>
      </w:pPr>
      <w:r w:rsidRPr="00AD2F44">
        <w:rPr>
          <w:vertAlign w:val="superscript"/>
        </w:rPr>
        <w:footnoteRef/>
      </w:r>
      <w:r w:rsidRPr="00AD2F44">
        <w:rPr>
          <w:i/>
          <w:iCs/>
        </w:rPr>
        <w:t>Johnson</w:t>
      </w:r>
      <w:r w:rsidRPr="00AD2F44">
        <w:t xml:space="preserve">, 561 F. Supp. 2d at 574; </w:t>
      </w:r>
      <w:r w:rsidRPr="00AD2F44">
        <w:rPr>
          <w:i/>
          <w:iCs/>
        </w:rPr>
        <w:t>see also</w:t>
      </w:r>
      <w:r w:rsidRPr="00AD2F44">
        <w:t xml:space="preserve"> </w:t>
      </w:r>
      <w:r w:rsidRPr="00AD2F44">
        <w:rPr>
          <w:i/>
          <w:iCs/>
        </w:rPr>
        <w:t>Anderson</w:t>
      </w:r>
      <w:r w:rsidRPr="00AD2F44">
        <w:t>, 488 F.3d at 953.</w:t>
      </w:r>
    </w:p>
  </w:footnote>
  <w:footnote w:id="471">
    <w:p w14:paraId="5841B7E0" w14:textId="77777777" w:rsidR="004322B1" w:rsidRPr="00AD2F44" w:rsidRDefault="004322B1">
      <w:pPr>
        <w:pStyle w:val="14Footnote"/>
      </w:pPr>
      <w:r w:rsidRPr="00AD2F44">
        <w:rPr>
          <w:vertAlign w:val="superscript"/>
        </w:rPr>
        <w:footnoteRef/>
      </w:r>
      <w:r w:rsidRPr="00AD2F44">
        <w:rPr>
          <w:i/>
        </w:rPr>
        <w:t>Ayers</w:t>
      </w:r>
      <w:r w:rsidRPr="00AD2F44">
        <w:t>, 2007 WL 646326, at *5 (citing Scott v. Aetna Servs., Inc</w:t>
      </w:r>
      <w:r w:rsidRPr="00AD2F44">
        <w:rPr>
          <w:i/>
        </w:rPr>
        <w:t>.,</w:t>
      </w:r>
      <w:r w:rsidRPr="00AD2F44">
        <w:t xml:space="preserve"> 210 F.R.D. 261, 265 (D. Conn. 2002)). For a discussion of generalized defenses, see Chapter 16, Litigation Issues, §VII [Defenses]. </w:t>
      </w:r>
    </w:p>
  </w:footnote>
  <w:footnote w:id="472">
    <w:p w14:paraId="6C37FB31" w14:textId="77777777" w:rsidR="004322B1" w:rsidRPr="00AD2F44" w:rsidRDefault="004322B1">
      <w:pPr>
        <w:pStyle w:val="14Footnote"/>
      </w:pPr>
      <w:r w:rsidRPr="00AD2F44">
        <w:rPr>
          <w:vertAlign w:val="superscript"/>
        </w:rPr>
        <w:footnoteRef/>
      </w:r>
      <w:r w:rsidRPr="00AD2F44">
        <w:t xml:space="preserve">Holaway v. Stratasys, Inc., 2013 WL 5787476, at *3 (D. Minn. Oct. 28, 2013) (decertifying collective action with one plaintiff and two opt-ins in part because “[t]here are few if any procedural efficiencies to be gained by trying this case as a three-plaintiff class or as three separate actions individually”). </w:t>
      </w:r>
      <w:r w:rsidRPr="00AD2F44">
        <w:rPr>
          <w:i/>
          <w:iCs/>
        </w:rPr>
        <w:t>But see</w:t>
      </w:r>
      <w:r w:rsidRPr="00AD2F44">
        <w:t xml:space="preserve"> Judkins v. SouthernCare, Inc., 74 F. Supp. 3d 1007, 1014 (S.D. Iowa 2015) (“Although there may be a need for individual testimony, the relatively small number of plaintiffs mitigates any concern about procedural efficiency.”).</w:t>
      </w:r>
    </w:p>
  </w:footnote>
  <w:footnote w:id="473">
    <w:p w14:paraId="3AAC7971" w14:textId="77777777" w:rsidR="004322B1" w:rsidRPr="00AD2F44" w:rsidRDefault="004322B1">
      <w:pPr>
        <w:pStyle w:val="14Footnote"/>
      </w:pPr>
      <w:r w:rsidRPr="00AD2F44">
        <w:rPr>
          <w:vertAlign w:val="superscript"/>
        </w:rPr>
        <w:footnoteRef/>
      </w:r>
      <w:r w:rsidRPr="00AD2F44">
        <w:rPr>
          <w:i/>
          <w:iCs/>
        </w:rPr>
        <w:t>Griffith</w:t>
      </w:r>
      <w:r w:rsidRPr="00AD2F44">
        <w:t>, 2016 WL 354895, at *3 (“While Section 216(b) does not have a numerosity requirement, the apparent lack of enthusiasm by the class indicates that a collective action is inappropriate.”); Keef v. M.A. Mortenson Co., 2009 WL 465030, at *1, 3 (D. Minn. Feb. 24, 2009) (granting decertification motion because the individualized inquiries necessary in light of the facts and legal analysis meant that the plaintiffs were not similarly situated; as the court stated, “In view of the fact-intensive inquiry required for each plaintiff, and the limited number of potential plaintiffs who have chosen to opt in, the Court exercises its discretion and concludes an FLSA collective action is inappropriate.”).</w:t>
      </w:r>
    </w:p>
  </w:footnote>
  <w:footnote w:id="474">
    <w:p w14:paraId="05BBBA99" w14:textId="77777777" w:rsidR="004322B1" w:rsidRPr="00AD2F44" w:rsidRDefault="004322B1">
      <w:pPr>
        <w:pStyle w:val="14Footnote"/>
      </w:pPr>
      <w:r w:rsidRPr="00AD2F44">
        <w:rPr>
          <w:vertAlign w:val="superscript"/>
        </w:rPr>
        <w:footnoteRef/>
      </w:r>
      <w:r w:rsidRPr="00AD2F44">
        <w:t xml:space="preserve">Falcon v. Starbucks, 580 F. Supp. 2d 528, 538 (S.D. Tex. 2008); </w:t>
      </w:r>
      <w:r w:rsidRPr="00AD2F44">
        <w:rPr>
          <w:i/>
          <w:iCs/>
        </w:rPr>
        <w:t>cf</w:t>
      </w:r>
      <w:r w:rsidRPr="00AD2F44">
        <w:t>. Wilks v. Pep Boys, 2006 WL 2821700, at *1 (M.D. Tenn. Sept. 26, 2006) (denying decertification without discussing opt-in rate issue in case where 356 out of 90,000 putative collective action plaintiffs opted in).</w:t>
      </w:r>
    </w:p>
  </w:footnote>
  <w:footnote w:id="475">
    <w:p w14:paraId="0DF22B32" w14:textId="77777777" w:rsidR="004322B1" w:rsidRPr="00AD2F44" w:rsidRDefault="004322B1">
      <w:pPr>
        <w:pStyle w:val="14Footnote"/>
      </w:pPr>
      <w:r w:rsidRPr="00AD2F44">
        <w:rPr>
          <w:vertAlign w:val="superscript"/>
        </w:rPr>
        <w:footnoteRef/>
      </w:r>
      <w:r w:rsidRPr="00AD2F44">
        <w:t>Senne v. Kansas City Royals Baseball Corp., 934 F.3d 918, 948–49 (9th Cir. 2019) (quoting Campbell v. City of L.A., 903 F.3d 1090, 1117 (9th Cir. 2018)) (affirming collective as to minimum wage and overtime claims).</w:t>
      </w:r>
    </w:p>
  </w:footnote>
  <w:footnote w:id="476">
    <w:p w14:paraId="1E6FC5B4" w14:textId="77777777" w:rsidR="004322B1" w:rsidRPr="00F24822" w:rsidRDefault="004322B1">
      <w:pPr>
        <w:pStyle w:val="14Footnote"/>
      </w:pPr>
      <w:r w:rsidRPr="00AD2F44">
        <w:rPr>
          <w:vertAlign w:val="superscript"/>
        </w:rPr>
        <w:footnoteRef/>
      </w:r>
      <w:r w:rsidRPr="00AD2F44">
        <w:rPr>
          <w:i/>
          <w:iCs/>
        </w:rPr>
        <w:t>Id</w:t>
      </w:r>
      <w:r w:rsidRPr="00AD2F44">
        <w:t>. (affirming district court’s denial of decertification motion because plaintiffs had met their burden of demonstrating that they were similarly situated).</w:t>
      </w:r>
      <w:r>
        <w:t xml:space="preserve"> </w:t>
      </w:r>
      <w:r>
        <w:rPr>
          <w:i/>
          <w:iCs/>
        </w:rPr>
        <w:t>See also</w:t>
      </w:r>
      <w:r>
        <w:t xml:space="preserve"> </w:t>
      </w:r>
      <w:r w:rsidRPr="00F24822">
        <w:t>Ribota v. C</w:t>
      </w:r>
      <w:r>
        <w:t>oun</w:t>
      </w:r>
      <w:r w:rsidRPr="00F24822">
        <w:t>ty of San Bernardino,</w:t>
      </w:r>
      <w:r>
        <w:t xml:space="preserve"> </w:t>
      </w:r>
      <w:r w:rsidRPr="00434FF5">
        <w:t>2023 BL 32485</w:t>
      </w:r>
      <w:r>
        <w:t xml:space="preserve">, </w:t>
      </w:r>
      <w:r w:rsidRPr="00F24822">
        <w:t>2023 WL 2558561 (C.D. Cal. Jan. 31, 2023)</w:t>
      </w:r>
      <w:r>
        <w:t xml:space="preserve"> (following </w:t>
      </w:r>
      <w:r w:rsidRPr="00751ABC">
        <w:rPr>
          <w:i/>
          <w:iCs/>
        </w:rPr>
        <w:t>Campbell</w:t>
      </w:r>
      <w:r>
        <w:t xml:space="preserve">, denying decertification motion, despite defendant’s evidentiary submission creating multiple issues of disputed fact, reasoning </w:t>
      </w:r>
      <w:r w:rsidRPr="00F24822">
        <w:t>it would be improper to resolve disputed factual questions as to whether plaintiffs are similarly situated in defendant’s favor</w:t>
      </w:r>
      <w:r>
        <w:t xml:space="preserve"> and </w:t>
      </w:r>
      <w:r w:rsidRPr="00F24822">
        <w:t>plaintiffs submitted substantial evidence of a uniform policy and practice that violates the FLSA</w:t>
      </w:r>
      <w:r>
        <w:t xml:space="preserve">). </w:t>
      </w:r>
    </w:p>
  </w:footnote>
  <w:footnote w:id="477">
    <w:p w14:paraId="41004822" w14:textId="77777777" w:rsidR="004322B1" w:rsidRPr="00AD2F44" w:rsidRDefault="004322B1">
      <w:pPr>
        <w:pStyle w:val="14Footnote"/>
      </w:pPr>
      <w:r w:rsidRPr="00AD2F44">
        <w:rPr>
          <w:rStyle w:val="FootnoteReference"/>
        </w:rPr>
        <w:footnoteRef/>
      </w:r>
      <w:r w:rsidRPr="00AD2F44">
        <w:t>Scott v. Chipotle Mexican Grill, Inc</w:t>
      </w:r>
      <w:r w:rsidRPr="00AD2F44">
        <w:rPr>
          <w:i/>
          <w:iCs/>
        </w:rPr>
        <w:t>.</w:t>
      </w:r>
      <w:r w:rsidRPr="00AD2F44">
        <w:t xml:space="preserve">, 954 F.3d 502 (2d Cir. 2020). </w:t>
      </w:r>
    </w:p>
  </w:footnote>
  <w:footnote w:id="478">
    <w:p w14:paraId="42DC0D9A" w14:textId="77777777" w:rsidR="004322B1" w:rsidRPr="00AD2F44" w:rsidRDefault="004322B1">
      <w:pPr>
        <w:pStyle w:val="14Footnote"/>
        <w:rPr>
          <w:b/>
          <w:bCs/>
        </w:rPr>
      </w:pPr>
      <w:r w:rsidRPr="00AD2F44">
        <w:rPr>
          <w:rStyle w:val="FootnoteReference"/>
        </w:rPr>
        <w:footnoteRef/>
      </w:r>
      <w:r w:rsidRPr="00AD2F44">
        <w:rPr>
          <w:i/>
          <w:iCs/>
        </w:rPr>
        <w:t>Id.</w:t>
      </w:r>
      <w:r w:rsidRPr="00AD2F44">
        <w:t xml:space="preserve"> at 517. </w:t>
      </w:r>
      <w:r w:rsidRPr="00AD2F44">
        <w:rPr>
          <w:i/>
          <w:iCs/>
        </w:rPr>
        <w:t>See also</w:t>
      </w:r>
      <w:r w:rsidRPr="00AD2F44">
        <w:t xml:space="preserve"> Foster v. City of N.Y., 2021 BL 115191, 2021 WL 1191810 (S.D.N.Y. Mar. 30, 2021) (adopting this inquiry as appropriate standard at decertification stage in Second Circuit, citing </w:t>
      </w:r>
      <w:r w:rsidRPr="00AD2F44">
        <w:rPr>
          <w:i/>
          <w:iCs/>
        </w:rPr>
        <w:t>Scott</w:t>
      </w:r>
      <w:r w:rsidRPr="00AD2F44">
        <w:t>); Pino v. Harris Water Main &amp; Sewer Contractors Inc., 2020 BL 364493, 2020 WL 5708889 (E.D.N.Y. Sept. 23, 2020) (same).</w:t>
      </w:r>
    </w:p>
  </w:footnote>
  <w:footnote w:id="479">
    <w:p w14:paraId="0F02B134" w14:textId="77777777" w:rsidR="004322B1" w:rsidRPr="00AD2F44" w:rsidRDefault="004322B1">
      <w:pPr>
        <w:pStyle w:val="14Footnote"/>
      </w:pPr>
      <w:r w:rsidRPr="00AD2F44">
        <w:rPr>
          <w:vertAlign w:val="superscript"/>
        </w:rPr>
        <w:footnoteRef/>
      </w:r>
      <w:r w:rsidRPr="00AD2F44">
        <w:rPr>
          <w:i/>
          <w:iCs/>
        </w:rPr>
        <w:t>See, e.g.,</w:t>
      </w:r>
    </w:p>
    <w:p w14:paraId="7554CCB6" w14:textId="77777777" w:rsidR="004322B1" w:rsidRPr="00AD2F44" w:rsidRDefault="004322B1">
      <w:pPr>
        <w:pStyle w:val="14Footnote"/>
      </w:pPr>
      <w:r w:rsidRPr="00AD2F44">
        <w:rPr>
          <w:i/>
          <w:iCs/>
        </w:rPr>
        <w:t>First Circuit:</w:t>
      </w:r>
      <w:r w:rsidRPr="00AD2F44">
        <w:t xml:space="preserve"> Kane v. Gage Merch. Servs., 138 F. Supp. 2d 212, 214 (D. Mass. 2001).</w:t>
      </w:r>
    </w:p>
    <w:p w14:paraId="513E647E" w14:textId="77777777" w:rsidR="004322B1" w:rsidRPr="00AD2F44" w:rsidRDefault="004322B1">
      <w:pPr>
        <w:pStyle w:val="14Footnote"/>
      </w:pPr>
      <w:r w:rsidRPr="00AD2F44">
        <w:rPr>
          <w:i/>
          <w:iCs/>
        </w:rPr>
        <w:t>Second Circuit:</w:t>
      </w:r>
      <w:r w:rsidRPr="00AD2F44">
        <w:t xml:space="preserve"> Rubery v. Buth-Na-Bodhaige, Inc., 569 F. Supp. 2d 334, 336 n.1 (W.D.N.Y. 2007); Scott v. Aetna Servs., Inc., 210 F.R.D. 261, 264 (D. Conn. 2002).</w:t>
      </w:r>
    </w:p>
    <w:p w14:paraId="61A211B5" w14:textId="77777777" w:rsidR="004322B1" w:rsidRPr="00AD2F44" w:rsidRDefault="004322B1">
      <w:pPr>
        <w:pStyle w:val="14Footnote"/>
      </w:pPr>
      <w:r w:rsidRPr="00AD2F44">
        <w:rPr>
          <w:i/>
          <w:iCs/>
        </w:rPr>
        <w:t>Third Circuit:</w:t>
      </w:r>
      <w:r w:rsidRPr="00AD2F44">
        <w:t xml:space="preserve"> Chabrier v. Wilmington Fin. Inc., 2008 WL 938872, at *3 (E.D. Pa. Apr. 4, 2008).</w:t>
      </w:r>
    </w:p>
    <w:p w14:paraId="218E4817" w14:textId="77777777" w:rsidR="004322B1" w:rsidRPr="00AD2F44" w:rsidRDefault="004322B1">
      <w:pPr>
        <w:pStyle w:val="14Footnote"/>
      </w:pPr>
      <w:r w:rsidRPr="00AD2F44">
        <w:rPr>
          <w:i/>
          <w:iCs/>
        </w:rPr>
        <w:t>Fifth Circuit:</w:t>
      </w:r>
      <w:r w:rsidRPr="00AD2F44">
        <w:t xml:space="preserve"> Mooney v. Aramco Servs. Co., 54 F.3d 1207, 1214 (5th Cir. 1995)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White v. NTC Transp., Inc., 2013 WL 5874566, at *2 (N.D. Miss. Oct. 31, 2013); Proctor v. Allsups Convenience Stores, Inc., 250 F.R.D. 278, 280 (N.D. Tex. 2008).</w:t>
      </w:r>
    </w:p>
    <w:p w14:paraId="6A704D14" w14:textId="77777777" w:rsidR="004322B1" w:rsidRPr="00AD2F44" w:rsidRDefault="004322B1">
      <w:pPr>
        <w:pStyle w:val="14Footnote"/>
      </w:pPr>
      <w:r w:rsidRPr="00AD2F44">
        <w:rPr>
          <w:i/>
          <w:iCs/>
        </w:rPr>
        <w:t>Sixth Circuit:</w:t>
      </w:r>
      <w:r w:rsidRPr="00AD2F44">
        <w:t xml:space="preserve"> Smith v. Lowe’s Home Ctr., Inc., 236 F.R.D. 354, 357 (S.D. Ohio 2006).</w:t>
      </w:r>
    </w:p>
    <w:p w14:paraId="7149F757" w14:textId="77777777" w:rsidR="004322B1" w:rsidRPr="00AD2F44" w:rsidRDefault="004322B1">
      <w:pPr>
        <w:pStyle w:val="14Footnote"/>
      </w:pPr>
      <w:r w:rsidRPr="00AD2F44">
        <w:rPr>
          <w:i/>
          <w:iCs/>
        </w:rPr>
        <w:t>Eighth Circuit:</w:t>
      </w:r>
      <w:r w:rsidRPr="00AD2F44">
        <w:t xml:space="preserve"> Arnold v. DirecTV, LLC, 2017 WL 1251033, at *2 (E.D. Mo. Mar. 31, 2017) (“If the [class members] are similarly situated, the district court allows the representative action to proceed to trial.”); Nerland v. Caribou Coffee Co., 564 F. Supp. 2d 1010, 1017 (D. Minn. 2007).</w:t>
      </w:r>
    </w:p>
    <w:p w14:paraId="3DA2C735" w14:textId="77777777" w:rsidR="004322B1" w:rsidRPr="00AD2F44" w:rsidRDefault="004322B1">
      <w:pPr>
        <w:pStyle w:val="14Footnote"/>
      </w:pPr>
      <w:r w:rsidRPr="00AD2F44">
        <w:rPr>
          <w:i/>
          <w:iCs/>
        </w:rPr>
        <w:t>Eleventh Circuit:</w:t>
      </w:r>
      <w:r w:rsidRPr="00AD2F44">
        <w:t xml:space="preserve"> Epps v. Oak St. Mortg. LLC, 2006 WL 1460273, at *4 (M.D. Fla. May 22, 2006).</w:t>
      </w:r>
    </w:p>
  </w:footnote>
  <w:footnote w:id="480">
    <w:p w14:paraId="28C106CF" w14:textId="77777777" w:rsidR="004322B1" w:rsidRPr="00AD2F44" w:rsidRDefault="004322B1">
      <w:pPr>
        <w:pStyle w:val="14Footnote"/>
      </w:pPr>
      <w:r w:rsidRPr="00AD2F44">
        <w:rPr>
          <w:vertAlign w:val="superscript"/>
        </w:rPr>
        <w:footnoteRef/>
      </w:r>
      <w:r w:rsidRPr="00AD2F44">
        <w:rPr>
          <w:i/>
          <w:iCs/>
        </w:rPr>
        <w:t>See, e.g.,</w:t>
      </w:r>
    </w:p>
    <w:p w14:paraId="102F02C7" w14:textId="77777777" w:rsidR="004322B1" w:rsidRPr="00AD2F44" w:rsidRDefault="004322B1">
      <w:pPr>
        <w:pStyle w:val="14Footnote"/>
      </w:pPr>
      <w:r w:rsidRPr="00AD2F44">
        <w:rPr>
          <w:i/>
          <w:iCs/>
        </w:rPr>
        <w:t>First Circuit:</w:t>
      </w:r>
      <w:r w:rsidRPr="00AD2F44">
        <w:t xml:space="preserve"> </w:t>
      </w:r>
      <w:r w:rsidRPr="00AD2F44">
        <w:rPr>
          <w:i/>
          <w:iCs/>
        </w:rPr>
        <w:t>Kane</w:t>
      </w:r>
      <w:r w:rsidRPr="00AD2F44">
        <w:t>, 138 F. Supp. 2d at 214.</w:t>
      </w:r>
    </w:p>
    <w:p w14:paraId="768A3C05" w14:textId="77777777" w:rsidR="004322B1" w:rsidRPr="00AD2F44" w:rsidRDefault="004322B1">
      <w:pPr>
        <w:pStyle w:val="14Footnote"/>
      </w:pPr>
      <w:r w:rsidRPr="00AD2F44">
        <w:rPr>
          <w:i/>
          <w:iCs/>
        </w:rPr>
        <w:t>Second Circuit:</w:t>
      </w:r>
      <w:r w:rsidRPr="00AD2F44">
        <w:t xml:space="preserve"> Perez v. Metro Dairy Corp., 2015 WL 1535294, at *1 (E.D.N.Y. Apr. 6, 2015); Hinterberger v. Catholic Health Sys., 299 F.R.D. 22, 55 (W.D.N.Y. 2014); DeSilva v. North Shore-Long Island Jewish Health Sys., Inc., 27 F. Supp. 3d 313, 320 (E.D.N.Y. 2014); </w:t>
      </w:r>
      <w:r w:rsidRPr="00AD2F44">
        <w:rPr>
          <w:i/>
          <w:iCs/>
        </w:rPr>
        <w:t>Rubery</w:t>
      </w:r>
      <w:r w:rsidRPr="00AD2F44">
        <w:t>, 569 F. Supp. 2d at 336 n.1;</w:t>
      </w:r>
      <w:r w:rsidRPr="00AD2F44">
        <w:rPr>
          <w:i/>
          <w:iCs/>
        </w:rPr>
        <w:t xml:space="preserve"> Scott</w:t>
      </w:r>
      <w:r w:rsidRPr="00AD2F44">
        <w:t>, 210 F.R.D. at 264.</w:t>
      </w:r>
    </w:p>
    <w:p w14:paraId="302D80B5" w14:textId="77777777" w:rsidR="004322B1" w:rsidRPr="00AD2F44" w:rsidRDefault="004322B1">
      <w:pPr>
        <w:pStyle w:val="14Footnote"/>
      </w:pPr>
      <w:r w:rsidRPr="00AD2F44">
        <w:rPr>
          <w:i/>
          <w:iCs/>
        </w:rPr>
        <w:t>Third Circuit:</w:t>
      </w:r>
      <w:r w:rsidRPr="00AD2F44">
        <w:t xml:space="preserve"> </w:t>
      </w:r>
      <w:r w:rsidRPr="00AD2F44">
        <w:rPr>
          <w:i/>
          <w:iCs/>
        </w:rPr>
        <w:t>Chabrier</w:t>
      </w:r>
      <w:r w:rsidRPr="00AD2F44">
        <w:t>, 2008 WL 938872, at *3.</w:t>
      </w:r>
    </w:p>
    <w:p w14:paraId="5CAF6104" w14:textId="77777777" w:rsidR="004322B1" w:rsidRPr="00AD2F44" w:rsidRDefault="004322B1">
      <w:pPr>
        <w:pStyle w:val="14Footnote"/>
      </w:pPr>
      <w:r w:rsidRPr="00AD2F44">
        <w:rPr>
          <w:i/>
          <w:iCs/>
        </w:rPr>
        <w:t>Fourth Circuit:</w:t>
      </w:r>
      <w:r w:rsidRPr="00AD2F44">
        <w:t xml:space="preserve"> LaFleur v. Dollar Tree Stores, Inc., 30 F. Supp. 3d 463, 468 (E.D. Va. 2014).</w:t>
      </w:r>
    </w:p>
    <w:p w14:paraId="4F29B84F" w14:textId="77777777" w:rsidR="004322B1" w:rsidRPr="00AD2F44" w:rsidRDefault="004322B1">
      <w:pPr>
        <w:pStyle w:val="14Footnote"/>
      </w:pPr>
      <w:r w:rsidRPr="00AD2F44">
        <w:rPr>
          <w:i/>
          <w:iCs/>
        </w:rPr>
        <w:t>Fifth Circuit:</w:t>
      </w:r>
      <w:r w:rsidRPr="00AD2F44">
        <w:t xml:space="preserve"> </w:t>
      </w:r>
      <w:r w:rsidRPr="00AD2F44">
        <w:rPr>
          <w:i/>
          <w:iCs/>
        </w:rPr>
        <w:t>Mooney</w:t>
      </w:r>
      <w:r w:rsidRPr="00AD2F44">
        <w:t xml:space="preserve">, 54 F.3d at 1214 </w:t>
      </w:r>
      <w:r w:rsidRPr="00AD2F44">
        <w:rPr>
          <w:b/>
        </w:rPr>
        <w:t xml:space="preserve">[Caution: </w:t>
      </w:r>
      <w:r w:rsidRPr="00AD2F44">
        <w:t xml:space="preserve">The Fifth Circuit later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 xml:space="preserve">; </w:t>
      </w:r>
      <w:r w:rsidRPr="00AD2F44">
        <w:rPr>
          <w:i/>
          <w:iCs/>
        </w:rPr>
        <w:t>White</w:t>
      </w:r>
      <w:r w:rsidRPr="00AD2F44">
        <w:t xml:space="preserve">, 2013 WL 5874566, at *2; </w:t>
      </w:r>
      <w:r w:rsidRPr="00AD2F44">
        <w:rPr>
          <w:i/>
          <w:iCs/>
        </w:rPr>
        <w:t>Proctor</w:t>
      </w:r>
      <w:r w:rsidRPr="00AD2F44">
        <w:t>, 250 F.R.D. at 280.</w:t>
      </w:r>
    </w:p>
    <w:p w14:paraId="0E909115" w14:textId="77777777" w:rsidR="004322B1" w:rsidRPr="00AD2F44" w:rsidRDefault="004322B1">
      <w:pPr>
        <w:pStyle w:val="14Footnote"/>
      </w:pPr>
      <w:r w:rsidRPr="00A674E3">
        <w:rPr>
          <w:i/>
          <w:iCs/>
        </w:rPr>
        <w:t>Sixth Circuit:</w:t>
      </w:r>
      <w:r w:rsidRPr="00AD2F44">
        <w:t xml:space="preserve"> </w:t>
      </w:r>
      <w:r w:rsidRPr="00AD2F44">
        <w:rPr>
          <w:i/>
          <w:iCs/>
        </w:rPr>
        <w:t>Lowe’s Home Centers,</w:t>
      </w:r>
      <w:r w:rsidRPr="00AD2F44">
        <w:t xml:space="preserve"> 236 F.R.D. at 357.</w:t>
      </w:r>
    </w:p>
    <w:p w14:paraId="5B1A990F" w14:textId="77777777" w:rsidR="004322B1" w:rsidRPr="00AD2F44" w:rsidRDefault="004322B1">
      <w:pPr>
        <w:pStyle w:val="14Footnote"/>
      </w:pPr>
      <w:r w:rsidRPr="00AD2F44">
        <w:rPr>
          <w:i/>
          <w:iCs/>
        </w:rPr>
        <w:t>Eighth Circuit:</w:t>
      </w:r>
      <w:r w:rsidRPr="00AD2F44">
        <w:t xml:space="preserve"> </w:t>
      </w:r>
      <w:r w:rsidRPr="00AD2F44">
        <w:rPr>
          <w:i/>
          <w:iCs/>
        </w:rPr>
        <w:t>Arnold</w:t>
      </w:r>
      <w:r w:rsidRPr="00AD2F44">
        <w:t xml:space="preserve">, 2017 WL 1251033, at *2 (“If the [class members] are similarly situated, the district court allows the representative action to proceed to trial. If not, the district court decertifies the class, dismisses without prejudice the opt-in plaintiffs, and allows the class representative to proceed to trial on her individual claims.”); </w:t>
      </w:r>
      <w:r w:rsidRPr="00AD2F44">
        <w:rPr>
          <w:i/>
          <w:iCs/>
        </w:rPr>
        <w:t>Nerland</w:t>
      </w:r>
      <w:r w:rsidRPr="00AD2F44">
        <w:t>, 564 F. Supp. 2d at 1017</w:t>
      </w:r>
    </w:p>
  </w:footnote>
  <w:footnote w:id="481">
    <w:p w14:paraId="266ECAC3" w14:textId="77777777" w:rsidR="004322B1" w:rsidRPr="00AD2F44" w:rsidRDefault="004322B1">
      <w:pPr>
        <w:pStyle w:val="14Footnote"/>
      </w:pPr>
      <w:r w:rsidRPr="00AD2F44">
        <w:rPr>
          <w:vertAlign w:val="superscript"/>
        </w:rPr>
        <w:footnoteRef/>
      </w:r>
      <w:r w:rsidRPr="00AD2F44">
        <w:rPr>
          <w:i/>
          <w:iCs/>
        </w:rPr>
        <w:t>See, e.g.,</w:t>
      </w:r>
      <w:r w:rsidRPr="00AD2F44">
        <w:t xml:space="preserve"> Roussell v. Brinker Int’l, Inc., 441 F. App’x 222, 226 (5th Cir. Sept. 14, 2011) (upholding partial decertification and dismissing 3,500 opt-ins, but permitting 55 to proceed on a collective basis because the evidence showed they were similarly situated); Blakes v. Illinois Bell Tel. Co., 2013 WL 6662831, at *17–21 (N.D. Ill. Dec. 17, 2013) (denying decertification as to policy of requiring post-shift working time off the clock, but granting decertification as to claims that plaintiffs worked during lunch to improve efficiency because resolution of such claims required individualized inquiries); Russell v. Illinois Bell Tel. Co., 721 F. Supp. 2d 804 (N.D. Ill. 2010) (granting in part and denying in part decertification motion for off-the-clock claims at call center; decertified claims were highly individualized, such as for time spent blowing up balloons; claims that retained certification were based on common policies).</w:t>
      </w:r>
    </w:p>
  </w:footnote>
  <w:footnote w:id="482">
    <w:p w14:paraId="03656D6A" w14:textId="77777777" w:rsidR="004322B1" w:rsidRPr="00AD2F44" w:rsidRDefault="004322B1">
      <w:pPr>
        <w:pStyle w:val="14Footnote"/>
      </w:pPr>
      <w:r w:rsidRPr="00AD2F44">
        <w:rPr>
          <w:vertAlign w:val="superscript"/>
        </w:rPr>
        <w:footnoteRef/>
      </w:r>
      <w:r w:rsidRPr="00AD2F44">
        <w:rPr>
          <w:i/>
          <w:iCs/>
        </w:rPr>
        <w:t>See, e.g</w:t>
      </w:r>
      <w:r w:rsidRPr="00AD2F44">
        <w:t xml:space="preserve">., Bailey v. Gentiva Health Servs., No. 1:14-cv-01892, Doc. 26 (N.D. Ga. Mar. 4, 2015) (applying Rules 20 and 21 of the Federal Rules of Civil Procedure and dismissing on misjoinder grounds claims of over 100 opt-ins who filed a multi-plaintiff action following the decertification order in </w:t>
      </w:r>
      <w:r w:rsidRPr="00AD2F44">
        <w:rPr>
          <w:i/>
          <w:iCs/>
        </w:rPr>
        <w:t>Rindfleisch v. Gentiva Health Servs., Inc.</w:t>
      </w:r>
      <w:r w:rsidRPr="00AD2F44">
        <w:t xml:space="preserve">, 22 F. Supp. 3d 1295 (N.D. Ga. 2014)); Gray v. Dolgencorp, Inc., No. 7:06-cv-01538, Docs. 46–48 (N.D. Ala. Nov. 3, 2006) (following Rules 20 and 21 and severing over 2,000 multiple claims and designating many for transfer to jurisdictions across the country following the district court’s decertification order in </w:t>
      </w:r>
      <w:r w:rsidRPr="00AD2F44">
        <w:rPr>
          <w:i/>
          <w:iCs/>
        </w:rPr>
        <w:t>Brown v. Dollar General Stores, Ltd.</w:t>
      </w:r>
      <w:r w:rsidRPr="00AD2F44">
        <w:t>, No. 7:02-cv-0673, Doc. 703, 707 (N.D. Ala. Aug. 4 and 6, 2006)).</w:t>
      </w:r>
    </w:p>
  </w:footnote>
  <w:footnote w:id="483">
    <w:p w14:paraId="6523356D" w14:textId="77777777" w:rsidR="004322B1" w:rsidRPr="00AD2F44" w:rsidRDefault="004322B1">
      <w:pPr>
        <w:pStyle w:val="14Footnote"/>
      </w:pPr>
      <w:r w:rsidRPr="00AD2F44">
        <w:rPr>
          <w:vertAlign w:val="superscript"/>
        </w:rPr>
        <w:footnoteRef/>
      </w:r>
      <w:r w:rsidRPr="00AD2F44">
        <w:rPr>
          <w:i/>
          <w:iCs/>
        </w:rPr>
        <w:t>See generally</w:t>
      </w:r>
      <w:r w:rsidRPr="00AD2F44">
        <w:t xml:space="preserve"> </w:t>
      </w:r>
      <w:r w:rsidRPr="00AD2F44">
        <w:rPr>
          <w:i/>
          <w:iCs/>
        </w:rPr>
        <w:t>In re</w:t>
      </w:r>
      <w:r w:rsidRPr="00AD2F44">
        <w:t xml:space="preserve"> Tyson Foods, Inc., 502 F. Supp. 2d 1358, 1360 (J.P.M.L. Aug. 17, 2007).</w:t>
      </w:r>
    </w:p>
  </w:footnote>
  <w:footnote w:id="484">
    <w:p w14:paraId="12C5801A" w14:textId="77777777" w:rsidR="004322B1" w:rsidRPr="00AD2F44" w:rsidRDefault="004322B1">
      <w:pPr>
        <w:pStyle w:val="14Footnote"/>
      </w:pPr>
      <w:r w:rsidRPr="00AD2F44">
        <w:rPr>
          <w:vertAlign w:val="superscript"/>
        </w:rPr>
        <w:footnoteRef/>
      </w:r>
      <w:r w:rsidRPr="00AD2F44">
        <w:rPr>
          <w:i/>
          <w:iCs/>
        </w:rPr>
        <w:t>See, e.g</w:t>
      </w:r>
      <w:r w:rsidRPr="00AD2F44">
        <w:t>., Brechler v. Qwest Commc’ns Int’l, Inc., 2009 WL 692329, at *1 (D. Ariz. Mar. 17, 2009) (“‘demonstrated similarity among the individual situations … some factual nexus which binds the named plaintiffs and potential class members together as victims of a particular alleged [policy or practice]’”) (alteration in original) (quoting Heagney v. European Am. Bank, 122 F.R.D. 125, 127 (E.D.N.Y. 1988)); Falcon v. Starbucks, 580 F. Supp. 2d 528, 535 (S.D. Tex. 2008) (quoting Simmons v. T-Mobile, 2007 WL 210008, at *8 (S.D. Tex. Jan. 24, 2007)).</w:t>
      </w:r>
    </w:p>
  </w:footnote>
  <w:footnote w:id="485">
    <w:p w14:paraId="3DD00F55" w14:textId="77777777" w:rsidR="004322B1" w:rsidRPr="00AD2F44" w:rsidRDefault="004322B1">
      <w:pPr>
        <w:pStyle w:val="14Footnote"/>
      </w:pPr>
      <w:r w:rsidRPr="00AD2F44">
        <w:rPr>
          <w:vertAlign w:val="superscript"/>
        </w:rPr>
        <w:footnoteRef/>
      </w:r>
      <w:r w:rsidRPr="00AD2F44">
        <w:t xml:space="preserve">Duncan v. Phoenix Supported Living, Inc., 2007 WL 1033360, at *1 (W.D.N.C. Mar. 30, 2007). </w:t>
      </w:r>
    </w:p>
  </w:footnote>
  <w:footnote w:id="486">
    <w:p w14:paraId="71E8F7F5" w14:textId="77777777" w:rsidR="004322B1" w:rsidRPr="00AD2F44" w:rsidRDefault="004322B1">
      <w:pPr>
        <w:pStyle w:val="14Footnote"/>
      </w:pPr>
      <w:r w:rsidRPr="00AD2F44">
        <w:rPr>
          <w:vertAlign w:val="superscript"/>
        </w:rPr>
        <w:footnoteRef/>
      </w:r>
      <w:r w:rsidRPr="00AD2F44">
        <w:t xml:space="preserve">Hill v. Muscogee Cnty. Sch. Dist., 2005 WL 3526669, at *3–4 (M.D. Ga. Dec. 20, 2005) (emphasis in original) (denying defendant’s decertification motion in part because plaintiffs had presented sufficient evidence of a “pattern of potential FLSA violations,” but explaining that “unrelated sporadic violations” would not suffice to establish that claims should be treated collectively); </w:t>
      </w:r>
      <w:r w:rsidRPr="00AD2F44">
        <w:rPr>
          <w:i/>
          <w:iCs/>
        </w:rPr>
        <w:t>see also</w:t>
      </w:r>
      <w:r w:rsidRPr="00AD2F44">
        <w:t xml:space="preserve"> Zavala v. Walmart Stores, Inc., 691 F.3d 527, 537 (3d Cir. 2012) (affirming decertification: “While the District Court noted the commonalities among the proposed plaintiffs, it was ultimately convinced that the class should not be certified for trial. … ‘[T]he putative class members worked in 180 different stores in 33 states throughout the country and for 70 different contractors and subcontractors. The individuals worked varying hours and for different wages depending on the contractor.’ … These factors convinced the District Court that there were ‘significant differences in the factual and employment settings of the individual claimants.’”); Marsh v. Butler Sch. Sys., 242 F. Supp. 2d 1086, 1094 (M.D. Ala. 2003) (explaining that unrelated sporadic violations of FLSA by a single employer are insufficient to justify collective treatment).</w:t>
      </w:r>
    </w:p>
  </w:footnote>
  <w:footnote w:id="487">
    <w:p w14:paraId="117D682B" w14:textId="77777777" w:rsidR="004322B1" w:rsidRPr="00AD2F44" w:rsidRDefault="004322B1">
      <w:pPr>
        <w:pStyle w:val="14Footnote"/>
      </w:pPr>
      <w:r w:rsidRPr="00AD2F44">
        <w:rPr>
          <w:vertAlign w:val="superscript"/>
        </w:rPr>
        <w:footnoteRef/>
      </w:r>
      <w:r w:rsidRPr="00AD2F44">
        <w:rPr>
          <w:i/>
          <w:iCs/>
        </w:rPr>
        <w:t>See, e.g</w:t>
      </w:r>
      <w:r w:rsidRPr="00AD2F44">
        <w:t>., Bell v. Reading Hosp. &amp; Med. Ctr., 2016 WL 3902938, at *10 (E.D. Pa. July 19, 2016) (granting decertification where 22 opt-in plaintiffs worked in 14 departments under 32 supervisors, and each department offered different services, maintained different hours of operation, and varied in size and capacity); Reed v. County of Orange, 266 F.R.D. 446, 450 (C.D. Cal. 2010) (collecting cases).</w:t>
      </w:r>
    </w:p>
  </w:footnote>
  <w:footnote w:id="488">
    <w:p w14:paraId="1311FE55" w14:textId="77777777" w:rsidR="004322B1" w:rsidRPr="00AD2F44" w:rsidRDefault="004322B1">
      <w:pPr>
        <w:pStyle w:val="14Footnote"/>
      </w:pPr>
      <w:r w:rsidRPr="00AD2F44">
        <w:rPr>
          <w:vertAlign w:val="superscript"/>
        </w:rPr>
        <w:footnoteRef/>
      </w:r>
      <w:r w:rsidRPr="00AD2F44">
        <w:rPr>
          <w:i/>
          <w:iCs/>
        </w:rPr>
        <w:t>See, e.g.,</w:t>
      </w:r>
    </w:p>
    <w:p w14:paraId="3456CC03" w14:textId="77777777" w:rsidR="004322B1" w:rsidRPr="00AD2F44" w:rsidRDefault="004322B1">
      <w:pPr>
        <w:pStyle w:val="14Footnote"/>
      </w:pPr>
      <w:r w:rsidRPr="00AD2F44">
        <w:rPr>
          <w:i/>
          <w:iCs/>
        </w:rPr>
        <w:t>Third Circuit:</w:t>
      </w:r>
      <w:r w:rsidRPr="00AD2F44">
        <w:t xml:space="preserve"> Moss v. Crawford &amp; Co., 201 F.R.D. 398, 409 (W.D. Pa. 2000).</w:t>
      </w:r>
    </w:p>
    <w:p w14:paraId="00DD4D5C" w14:textId="77777777" w:rsidR="004322B1" w:rsidRPr="00AD2F44" w:rsidRDefault="004322B1">
      <w:pPr>
        <w:pStyle w:val="14Footnote"/>
      </w:pPr>
      <w:r w:rsidRPr="00AD2F44">
        <w:rPr>
          <w:i/>
          <w:iCs/>
        </w:rPr>
        <w:t>Fourth Circuit:</w:t>
      </w:r>
      <w:r w:rsidRPr="00AD2F44">
        <w:t xml:space="preserve"> Rehberg v. Flowers Baking Co. of Jamestown, LLC, 2015 WL 1346125, at *17 (W.D.N.C. Mar. 24, 2015); LaFleur v. Dollar Tree Stores, Inc., 30 F. Supp. 3d 463, 469 (E.D. Va. 2014); Rawls v. Augustine Home Health Care, Inc., 244 F.R.D. 298, 300 (D. Md. 2007).</w:t>
      </w:r>
    </w:p>
    <w:p w14:paraId="44ED73BA" w14:textId="77777777" w:rsidR="004322B1" w:rsidRPr="00AD2F44" w:rsidRDefault="004322B1">
      <w:pPr>
        <w:pStyle w:val="14Footnote"/>
      </w:pPr>
      <w:r w:rsidRPr="00AD2F44">
        <w:rPr>
          <w:i/>
          <w:iCs/>
        </w:rPr>
        <w:t>Fifth Circuit:</w:t>
      </w:r>
      <w:r w:rsidRPr="00AD2F44">
        <w:t xml:space="preserve"> Reyes v. Texas EZPawn, L.P., 2007 WL 101808, at *2 (S.D. Tex. Jan. 8, 2007).</w:t>
      </w:r>
    </w:p>
    <w:p w14:paraId="647D6DFA" w14:textId="77777777" w:rsidR="004322B1" w:rsidRPr="00AD2F44" w:rsidRDefault="004322B1">
      <w:pPr>
        <w:pStyle w:val="14Footnote"/>
      </w:pPr>
      <w:r w:rsidRPr="00AD2F44">
        <w:rPr>
          <w:i/>
          <w:iCs/>
        </w:rPr>
        <w:t>Sixth Circuit:</w:t>
      </w:r>
      <w:r w:rsidRPr="00AD2F44">
        <w:t xml:space="preserve"> Crawford v. Lexington-Fayette Urban Cnty. Gov’t, 2008 WL 2885230, at *8 (E.D. Ky. July 22, 2008).</w:t>
      </w:r>
    </w:p>
    <w:p w14:paraId="3AF0F918" w14:textId="77777777" w:rsidR="004322B1" w:rsidRPr="00AD2F44" w:rsidRDefault="004322B1">
      <w:pPr>
        <w:pStyle w:val="14Footnote"/>
      </w:pPr>
      <w:r w:rsidRPr="00AD2F44">
        <w:rPr>
          <w:i/>
          <w:iCs/>
        </w:rPr>
        <w:t>Eighth Circuit:</w:t>
      </w:r>
      <w:r w:rsidRPr="00AD2F44">
        <w:t xml:space="preserve"> Hamilton v. Diversicare Leasing Corp., 2014 WL 4955799, at *3 (W.D. Ark. Oct. 1, 2014).</w:t>
      </w:r>
    </w:p>
    <w:p w14:paraId="4990EF6D" w14:textId="77777777" w:rsidR="004322B1" w:rsidRPr="00AD2F44" w:rsidRDefault="004322B1">
      <w:pPr>
        <w:pStyle w:val="14Footnote"/>
      </w:pPr>
      <w:r w:rsidRPr="00AD2F44">
        <w:rPr>
          <w:i/>
          <w:iCs/>
        </w:rPr>
        <w:t>Ninth Circuit:</w:t>
      </w:r>
      <w:r w:rsidRPr="00AD2F44">
        <w:t xml:space="preserve"> Benedict v. Hewlett-Packard Co., 2016 WL 3742342, at *6 (N.D. Cal. July 13, 2016) (granting decertification of class of technical consultants, noting that “[c]ourts look at whether plaintiffs had differing job titles or duties, worked in different geographic locations, worked under different supervisors, or allege different types of violative conduct. … The greater the variation, the less manageable an FLSA collective becomes.”); Smith v. Micron Elec., Inc., 2005 WL 5336571, at *2 (D. Idaho Feb. 4, 2005).</w:t>
      </w:r>
    </w:p>
    <w:p w14:paraId="583DFD0A" w14:textId="77777777" w:rsidR="004322B1" w:rsidRPr="00AD2F44" w:rsidRDefault="004322B1">
      <w:pPr>
        <w:pStyle w:val="14Footnote"/>
      </w:pPr>
      <w:r w:rsidRPr="00AD2F44">
        <w:rPr>
          <w:i/>
          <w:iCs/>
        </w:rPr>
        <w:t xml:space="preserve">Tenth Circuit: </w:t>
      </w:r>
      <w:r w:rsidRPr="00AD2F44">
        <w:t xml:space="preserve">Brayman v. KeyPoint Gov’t Sols., Inc., </w:t>
      </w:r>
      <w:r w:rsidRPr="00AB2EFC">
        <w:rPr>
          <w:lang w:val="es-ES"/>
        </w:rPr>
        <w:t>595 F. Supp. 3d 983 (D. Colo. 2022) (granting final certification and denying decertification despite plaintiffs working in different geographical settings because of same job title and general supervision, being subject to same pay requirements and performance standards, and consistent declaration testimony about environment that caused or encouraged off-the-clock work across worksites).</w:t>
      </w:r>
    </w:p>
    <w:p w14:paraId="5D215DAB" w14:textId="77777777" w:rsidR="004322B1" w:rsidRPr="00AD2F44" w:rsidRDefault="004322B1">
      <w:pPr>
        <w:pStyle w:val="14Footnote"/>
      </w:pPr>
      <w:r w:rsidRPr="00AD2F44">
        <w:rPr>
          <w:i/>
          <w:iCs/>
        </w:rPr>
        <w:t>Eleventh Circuit:</w:t>
      </w:r>
      <w:r w:rsidRPr="00AD2F44">
        <w:t xml:space="preserve"> Blandon v. Waste Pro USA, Inc., 2021 BL 485969, 2021 WL 7447594 (M.D. Fla. Dec. 21, 2021) (granting decertification where drivers worked in multiple states and with varying compensation structures); Carr v. AutoZoner, LLC, 2021 BL 403608, 2021 WL 4894610 (N.D. Ala. Oct. 20, 2021) (granting decertification where deposition testimony showed store managers had different daily responsibilities, discretion over managerial tasks, and differing authority to hire, promote, and set pay); Geter v. Galardi S. Enters., Inc., 2015 WL 2384068 (S.D. Fla. May 19, 2015) (denying motion for decertification in independent contractor misclassification case filed by exotic dancers where all plaintiffs worked in same location, performed similar job duties, and were supervised by individuals at one workplace, even though some had written agreements and others did not and earning potential among class members varied); Mathis v. Darden Rests., 2014 WL 4428171, at *4 (S.D. Fla. Sept. 1, 2014) (finding disparate factual and employment settings between bartenders and servers where they worked across 1,995 restaurants spread across 50 states and relevant policies differed by job title, state, brand, specific restaurant, and managers); Whineglass v. Smith, 2013 WL 2237841, at *7 (M.D. Fla. May 21, 2013) (collecting cases); </w:t>
      </w:r>
      <w:r w:rsidRPr="00AD2F44">
        <w:rPr>
          <w:i/>
          <w:iCs/>
        </w:rPr>
        <w:t>In re</w:t>
      </w:r>
      <w:r w:rsidRPr="00AD2F44">
        <w:t xml:space="preserve"> Tyson Foods, Inc. FLSA Litig., 694 F. Supp. 2d 1372, 1378–79 (M.D. Ga. Mar. 16, 2010) (denying decertification after considering evidence related to compensation practices at eight plants, in light of defendant’s common practice of paying plaintiffs based on “mastercard” system that paid employees based on production line time).</w:t>
      </w:r>
    </w:p>
  </w:footnote>
  <w:footnote w:id="489">
    <w:p w14:paraId="64135EAF" w14:textId="77777777" w:rsidR="004322B1" w:rsidRPr="00AD2F44" w:rsidRDefault="004322B1">
      <w:pPr>
        <w:pStyle w:val="14Footnote"/>
      </w:pPr>
      <w:r w:rsidRPr="00AD2F44">
        <w:rPr>
          <w:vertAlign w:val="superscript"/>
        </w:rPr>
        <w:footnoteRef/>
      </w:r>
      <w:r w:rsidRPr="00AD2F44">
        <w:rPr>
          <w:i/>
          <w:iCs/>
        </w:rPr>
        <w:t>See</w:t>
      </w:r>
    </w:p>
    <w:p w14:paraId="56243930" w14:textId="77777777" w:rsidR="004322B1" w:rsidRPr="00AD2F44" w:rsidRDefault="004322B1">
      <w:pPr>
        <w:pStyle w:val="14Footnote"/>
      </w:pPr>
      <w:r w:rsidRPr="00AD2F44">
        <w:rPr>
          <w:i/>
          <w:iCs/>
        </w:rPr>
        <w:t xml:space="preserve">Second Circuit: </w:t>
      </w:r>
      <w:r w:rsidRPr="00AD2F44">
        <w:t>Perez v. Allstate Ins. Co., 2014 WL 4635745, at *9 (E.D.N.Y. Sept. 16, 2014) (finding that fact that adjusters worked in different states and applied different fee schedules did not alter court’s conclusion that primary duties of all adjusters in collective were substantially similar).</w:t>
      </w:r>
    </w:p>
    <w:p w14:paraId="46B2C991" w14:textId="77777777" w:rsidR="004322B1" w:rsidRPr="00AD2F44" w:rsidRDefault="004322B1">
      <w:pPr>
        <w:pStyle w:val="14Footnote"/>
      </w:pPr>
      <w:r w:rsidRPr="00AD2F44">
        <w:rPr>
          <w:i/>
          <w:iCs/>
        </w:rPr>
        <w:t>Fifth Circuit:</w:t>
      </w:r>
      <w:r w:rsidRPr="00AD2F44">
        <w:t xml:space="preserve"> Nguyen v. Versacom, LLC, 2016 WL 6650860, at *4–5 (N.D. Tex. Nov. 9, 2016) (denying decertification motion and finding plaintiffs similarly situated where all plaintiffs held two technician positions that were subject to one or both of two allegedly unlawful policies, even though variations existed as to project location, job duties, and management structure).</w:t>
      </w:r>
    </w:p>
    <w:p w14:paraId="53EBA56D" w14:textId="77777777" w:rsidR="004322B1" w:rsidRPr="00AD2F44" w:rsidRDefault="004322B1">
      <w:pPr>
        <w:pStyle w:val="14Footnote"/>
      </w:pPr>
      <w:r w:rsidRPr="00AD2F44">
        <w:rPr>
          <w:i/>
          <w:iCs/>
        </w:rPr>
        <w:t>Sixth Circuit:</w:t>
      </w:r>
      <w:r w:rsidRPr="00AD2F44">
        <w:t xml:space="preserve"> Wilson v. Guardian Angel Nursing, Inc., 2009 WL 790107, at *8 (M.D. Tenn. Mar. 24, 2009) (holding different geographic locations of class members did not warrant decertification where facts undisputed by defendants in earlier summary judgment proceeding showed that collective decision on merits was proper).</w:t>
      </w:r>
    </w:p>
    <w:p w14:paraId="12363A11" w14:textId="77777777" w:rsidR="004322B1" w:rsidRPr="00AD2F44" w:rsidRDefault="004322B1">
      <w:pPr>
        <w:pStyle w:val="14Footnote"/>
      </w:pPr>
      <w:r w:rsidRPr="00AD2F44">
        <w:rPr>
          <w:i/>
          <w:iCs/>
        </w:rPr>
        <w:t>Eighth Circuit:</w:t>
      </w:r>
      <w:r w:rsidRPr="00AD2F44">
        <w:t xml:space="preserve"> Judkins v. SouthernCare, Inc., 74 F. Supp. 3d 1007, 1010 (S.D. Iowa 2015) (denying motion to decertify class where plaintiffs worked at various different geographic locations but had job duties that were substantially similar).</w:t>
      </w:r>
    </w:p>
    <w:p w14:paraId="455E4E21" w14:textId="77777777" w:rsidR="004322B1" w:rsidRPr="00AD2F44" w:rsidRDefault="004322B1">
      <w:pPr>
        <w:pStyle w:val="14Footnote"/>
      </w:pPr>
      <w:r w:rsidRPr="00AD2F44">
        <w:rPr>
          <w:i/>
          <w:iCs/>
        </w:rPr>
        <w:t>Eleventh Circuit:</w:t>
      </w:r>
      <w:r w:rsidRPr="00AD2F44">
        <w:t xml:space="preserve"> Hipp v. Liberty Nat’l Life Ins. Co., 252 F.3d 1208, 1219 (11th Cir. 2001) (in an ADEA case, the fact that plaintiffs worked at different locations was not sufficient to warrant reversal of district court’s denial of decertification); Epps v. Oak St. Mortg. LLC, 2006 WL 1460273, at *6 (M.D. Fla. May 22, 2006) (denying decertification motion as to exempt loan officers and noting that the fact that plaintiffs “worked in three different branch offices in two states is not conclusive as to the similarly situated inquiry,” where plaintiffs shared the same job title, job description, job functions, production requirements, evaluation process, and compensation plan, and had offered no evidence that their discretion varied by employee or office).</w:t>
      </w:r>
    </w:p>
    <w:p w14:paraId="4DE82B6B" w14:textId="77777777" w:rsidR="004322B1" w:rsidRPr="00AD2F44" w:rsidRDefault="004322B1">
      <w:pPr>
        <w:pStyle w:val="14Footnote"/>
      </w:pPr>
      <w:r w:rsidRPr="00AD2F44">
        <w:rPr>
          <w:i/>
          <w:iCs/>
        </w:rPr>
        <w:t xml:space="preserve">But see </w:t>
      </w:r>
      <w:r w:rsidRPr="00AD2F44">
        <w:t>England v. New Century Fin. Corp., 370 F. Supp. 2d 504, 511 (M.D. La. 2005) (finding individualized inquiries would predominate because of the different locations, managers, and factual situations, as evidenced in part by plaintiffs’ counsel’s estimate of a need for 200–400 depositions); Johnson v. TGF Precision Haircutters, Inc., 2005 WL 1994286, at *2 (S.D. Tex. Aug. 17, 2005) (explaining “variances even within a single state, however, are not necessarily insignificant,” and finding that geographic dispersion supported decertification because employment practices varied by location).</w:t>
      </w:r>
    </w:p>
  </w:footnote>
  <w:footnote w:id="490">
    <w:p w14:paraId="5ED68322" w14:textId="77777777" w:rsidR="004322B1" w:rsidRPr="00AD2F44" w:rsidRDefault="004322B1">
      <w:pPr>
        <w:pStyle w:val="14Footnote"/>
      </w:pPr>
      <w:r w:rsidRPr="00AD2F44">
        <w:rPr>
          <w:vertAlign w:val="superscript"/>
        </w:rPr>
        <w:footnoteRef/>
      </w:r>
      <w:r w:rsidRPr="00AD2F44">
        <w:t>Anderson v. Cagle’s, Inc., 488 F.3d 945, 953 (11th Cir. 2007) (reasoning that the “similarities necessary to maintain a collective action under Section 16(b) must extend ‘beyond the mere facts of job duties and pay provisions’”) (internal citation omitted); Colosimo v. Flagship Resort Dev. Corp., 2021 BL 119087,</w:t>
      </w:r>
      <w:r w:rsidRPr="00AD2F44">
        <w:rPr>
          <w:rFonts w:ascii="Arial" w:eastAsia="Cambria" w:hAnsi="Arial" w:cs="Arial"/>
          <w:color w:val="000000"/>
          <w:sz w:val="24"/>
          <w:szCs w:val="20"/>
        </w:rPr>
        <w:t xml:space="preserve"> </w:t>
      </w:r>
      <w:r w:rsidRPr="00AD2F44">
        <w:t xml:space="preserve">2021 WL 1207484 (D.N.J. Mar. 31, 2021) (denying final certification, finding salesperson plaintiffs were not similarly situated because they created their own markets and schedules and performed varying amounts of work in office and field); Illano v. H&amp;R Block E. Enters., Inc., 2010 WL 9553051, at *3–5 (S.D. Fla. Nov. 4, 2010) (decertifying collective action including employees with same job titles and pay structures where plaintiffs worked at various different locations, under different managers, and cited different reasons for working off the clock). Nevertheless, mere differences in pay rates are not sufficient to justify decertification. </w:t>
      </w:r>
      <w:r w:rsidRPr="00AD2F44">
        <w:rPr>
          <w:i/>
          <w:iCs/>
        </w:rPr>
        <w:t>See, e.g</w:t>
      </w:r>
      <w:r w:rsidRPr="00AD2F44">
        <w:t xml:space="preserve">., Bradford v. Bed Bath &amp; Beyond, Inc., 184 F. Supp. 2d 1342, 1351 (N.D. Ga. 2002); </w:t>
      </w:r>
      <w:r w:rsidRPr="00AD2F44">
        <w:rPr>
          <w:i/>
          <w:iCs/>
        </w:rPr>
        <w:t>Moss</w:t>
      </w:r>
      <w:r w:rsidRPr="00AD2F44">
        <w:t>, 201 F.R.D. at 410. However, variations in payment and compensation structures can support decertification. Johnson v. TGF Precision Haircutters, Inc., 2005 WL 1994286, at *5 (S.D. Tex. Aug. 17, 2005).</w:t>
      </w:r>
    </w:p>
  </w:footnote>
  <w:footnote w:id="491">
    <w:p w14:paraId="66719254" w14:textId="77777777" w:rsidR="004322B1" w:rsidRPr="00AD2F44" w:rsidRDefault="004322B1">
      <w:pPr>
        <w:pStyle w:val="14Footnote"/>
      </w:pPr>
      <w:r w:rsidRPr="00AD2F44">
        <w:rPr>
          <w:vertAlign w:val="superscript"/>
        </w:rPr>
        <w:footnoteRef/>
      </w:r>
      <w:r w:rsidRPr="00AD2F44">
        <w:rPr>
          <w:i/>
          <w:iCs/>
        </w:rPr>
        <w:t>See, e.g.,</w:t>
      </w:r>
    </w:p>
    <w:p w14:paraId="2E079EB2" w14:textId="77777777" w:rsidR="004322B1" w:rsidRPr="00AD2F44" w:rsidRDefault="004322B1">
      <w:pPr>
        <w:pStyle w:val="14Footnote"/>
      </w:pPr>
      <w:r w:rsidRPr="00AD2F44">
        <w:rPr>
          <w:i/>
          <w:iCs/>
        </w:rPr>
        <w:t>Eighth Circuit:</w:t>
      </w:r>
      <w:r w:rsidRPr="00AD2F44">
        <w:t xml:space="preserve"> Frank v. Gold’n Plump Poultry, Inc., 2007 WL 2780504, at *4–5 (D. Minn. Sept. 24, 2007) (partially denying defendant’s motion for decertification because defendant exaggerated the differences in donning and doffing requirements between shifts and departments and noting “plaintiffs’ claims need to be considered at a higher level of abstraction,” but retaining a subclass for a single division at a single plant because of the factual similarities among plaintiffs in that subclass).</w:t>
      </w:r>
    </w:p>
    <w:p w14:paraId="755FE801" w14:textId="77777777" w:rsidR="004322B1" w:rsidRPr="00AD2F44" w:rsidRDefault="004322B1">
      <w:pPr>
        <w:pStyle w:val="14Footnote"/>
      </w:pPr>
      <w:r w:rsidRPr="00AD2F44">
        <w:rPr>
          <w:i/>
          <w:iCs/>
        </w:rPr>
        <w:t>Ninth Circuit:</w:t>
      </w:r>
      <w:r w:rsidRPr="00AD2F44">
        <w:t xml:space="preserve"> Echeverria v. Nevada, 2022 BL 179057, 2022 WL 1652450 (D. Nev. May 23, 2022) (denying decertification motion, finding sufficient evidence of common policy of unpaid preliminary and postliminary activities; holding different amounts of time to perform different tasks went to damages inquiry, not certification); Khadera v. ABM Indus., Inc., 2011 WL 7064235, at *2–3 (W.D. Wash. Dec. 1, 2011) (denying decertification where majority of opt-in plaintiffs performed cleaning duties and unifying theory supported by deposition testimony was that defendant forced plaintiffs to perform uncompensated work before and after shifts and during unpaid meal breaks, and workload could not be completed during scheduled hours).</w:t>
      </w:r>
    </w:p>
    <w:p w14:paraId="7B546A4B" w14:textId="77777777" w:rsidR="004322B1" w:rsidRPr="00AD2F44" w:rsidRDefault="004322B1">
      <w:pPr>
        <w:pStyle w:val="14Footnote"/>
      </w:pPr>
      <w:r w:rsidRPr="00AD2F44">
        <w:rPr>
          <w:i/>
          <w:iCs/>
        </w:rPr>
        <w:t>Tenth Circuit:</w:t>
      </w:r>
      <w:r w:rsidRPr="00AD2F44">
        <w:t xml:space="preserve"> Underwood v. NMC Mortg. Corp., 2009 WL 1322588, at *3 (D. Kan. May 11, 2009) (reasoning different locations and different supervisors did not undermine collective treatment where issues to be decided related to uniform scheduling policy and uniform compensation plan).</w:t>
      </w:r>
    </w:p>
    <w:p w14:paraId="707EA9DE" w14:textId="77777777" w:rsidR="004322B1" w:rsidRPr="00AD2F44" w:rsidRDefault="004322B1">
      <w:pPr>
        <w:pStyle w:val="14Footnote"/>
      </w:pPr>
      <w:r w:rsidRPr="00AD2F44">
        <w:rPr>
          <w:i/>
          <w:iCs/>
        </w:rPr>
        <w:t>Eleventh Circuit:</w:t>
      </w:r>
      <w:r w:rsidRPr="00AD2F44">
        <w:t xml:space="preserve"> Pendlebury v. Starbucks, 518 F. Supp. 2d 1345, 1355–56 (S.D. Fla. 2008) (rejecting defendant’s decertification arguments about the plaintiffs’ individual management styles and concluding “[t]he fact that many managers will go about the performance of a particular task in different ways does not mean that they have different responsibilities”).</w:t>
      </w:r>
    </w:p>
  </w:footnote>
  <w:footnote w:id="492">
    <w:p w14:paraId="464795C5" w14:textId="77777777" w:rsidR="004322B1" w:rsidRPr="00AD2F44" w:rsidRDefault="004322B1">
      <w:pPr>
        <w:pStyle w:val="14Footnote"/>
      </w:pPr>
      <w:r w:rsidRPr="00AD2F44">
        <w:rPr>
          <w:vertAlign w:val="superscript"/>
        </w:rPr>
        <w:footnoteRef/>
      </w:r>
      <w:r w:rsidRPr="00AD2F44">
        <w:rPr>
          <w:i/>
          <w:iCs/>
        </w:rPr>
        <w:t>See, e.g.,</w:t>
      </w:r>
    </w:p>
    <w:p w14:paraId="4349849A" w14:textId="77777777" w:rsidR="004322B1" w:rsidRPr="00AD2F44" w:rsidRDefault="004322B1">
      <w:pPr>
        <w:pStyle w:val="14Footnote"/>
      </w:pPr>
      <w:r w:rsidRPr="00AD2F44">
        <w:rPr>
          <w:i/>
          <w:iCs/>
        </w:rPr>
        <w:t>Second Circuit:</w:t>
      </w:r>
      <w:r w:rsidRPr="00AD2F44">
        <w:t xml:space="preserve"> Ayers v. SGS Control Serv., Inc., 2007 WL 646326, at *5 (S.D.N.Y. Feb. 27, 2007).</w:t>
      </w:r>
    </w:p>
    <w:p w14:paraId="7670E035" w14:textId="77777777" w:rsidR="004322B1" w:rsidRPr="00AD2F44" w:rsidRDefault="004322B1">
      <w:pPr>
        <w:pStyle w:val="14Footnote"/>
      </w:pPr>
      <w:r w:rsidRPr="00AD2F44">
        <w:rPr>
          <w:i/>
          <w:iCs/>
        </w:rPr>
        <w:t>Third Circuit:</w:t>
      </w:r>
      <w:r w:rsidRPr="00AD2F44">
        <w:t xml:space="preserve"> </w:t>
      </w:r>
      <w:r w:rsidRPr="00AD2F44">
        <w:rPr>
          <w:i/>
          <w:iCs/>
        </w:rPr>
        <w:t>Moss</w:t>
      </w:r>
      <w:r w:rsidRPr="00AD2F44">
        <w:t>, 201 F.R.D. at 409–10.</w:t>
      </w:r>
    </w:p>
    <w:p w14:paraId="63565068" w14:textId="77777777" w:rsidR="004322B1" w:rsidRPr="00AD2F44" w:rsidRDefault="004322B1">
      <w:pPr>
        <w:pStyle w:val="14Footnote"/>
      </w:pPr>
      <w:r w:rsidRPr="00AD2F44">
        <w:rPr>
          <w:i/>
          <w:iCs/>
        </w:rPr>
        <w:t>Fourth Circuit:</w:t>
      </w:r>
      <w:r w:rsidRPr="00AD2F44">
        <w:t xml:space="preserve"> Regan v. City of Charleston, 2015 WL 6727079, at *4 (D.S.C. Nov. 3, 2015) (denying motion for decertification where challenged fluctuating workweek pay plan applied to all plaintiffs and opt-ins in case); </w:t>
      </w:r>
      <w:r w:rsidRPr="00AD2F44">
        <w:rPr>
          <w:i/>
          <w:iCs/>
        </w:rPr>
        <w:t>Rawls</w:t>
      </w:r>
      <w:r w:rsidRPr="00AD2F44">
        <w:t>, 244 F.R.D. at 300.</w:t>
      </w:r>
    </w:p>
    <w:p w14:paraId="01578911" w14:textId="77777777" w:rsidR="004322B1" w:rsidRPr="00AD2F44" w:rsidRDefault="004322B1">
      <w:pPr>
        <w:pStyle w:val="14Footnote"/>
      </w:pPr>
      <w:r w:rsidRPr="00AD2F44">
        <w:rPr>
          <w:i/>
          <w:iCs/>
        </w:rPr>
        <w:t>Fifth Circuit:</w:t>
      </w:r>
      <w:r w:rsidRPr="00AD2F44">
        <w:t xml:space="preserve"> Roussell v. Brinker Int’l, Inc., 441 F. App’x 222, 226–27 (5th Cir. 2011) (upholding district court’s decision to decertify part of 3,556-person opt-in class, and retain 55 opt-in plaintiffs who showed they were similarly situated, because evidence revealed pattern of coercion among all 55 class members to share tips, and differences highlighted by defendant were not relevant to legal issues to be resolved); Maynor v. Dow Chem. Co., 671 F. Supp. 2d 902, 929–37 (S.D. Tex. 2009) (denying decertification in light of defendant’s common practice of requiring uncompensated training time and application of possible discipline for failing to meet training requirements).</w:t>
      </w:r>
    </w:p>
    <w:p w14:paraId="1631F824" w14:textId="77777777" w:rsidR="004322B1" w:rsidRPr="00AD2F44" w:rsidRDefault="004322B1">
      <w:pPr>
        <w:pStyle w:val="14Footnote"/>
      </w:pPr>
      <w:r w:rsidRPr="00AD2F44">
        <w:rPr>
          <w:i/>
          <w:iCs/>
        </w:rPr>
        <w:t>Sixth Circuit:</w:t>
      </w:r>
      <w:r w:rsidRPr="00AD2F44">
        <w:t xml:space="preserve"> Jordan v. IBP, Inc., 542 F. Supp. 2d 790, 813 (M.D. Tenn. 2008); </w:t>
      </w:r>
      <w:r w:rsidRPr="00AD2F44">
        <w:rPr>
          <w:i/>
          <w:iCs/>
        </w:rPr>
        <w:t>Crawford</w:t>
      </w:r>
      <w:r w:rsidRPr="00AD2F44">
        <w:t>, 2008 WL 2885230, at *5 (stating “plaintiffs must produce substantial evidence demonstrating that a central policy exists that binds the potential class members together”).</w:t>
      </w:r>
    </w:p>
    <w:p w14:paraId="160941F1" w14:textId="77777777" w:rsidR="004322B1" w:rsidRPr="00AD2F44" w:rsidRDefault="004322B1">
      <w:pPr>
        <w:pStyle w:val="14Footnote"/>
      </w:pPr>
      <w:r w:rsidRPr="00AD2F44">
        <w:rPr>
          <w:i/>
          <w:iCs/>
        </w:rPr>
        <w:t>Eighth Circuit:</w:t>
      </w:r>
      <w:r w:rsidRPr="00AD2F44">
        <w:t xml:space="preserve"> Cope v. Let’s Eat Out, Inc., 354 F. Supp. 3d 976 (W.D. Mo. 2019) (denying employer’s decertification motion because though tipped putative class members did not all perform the same nontipped tasks, that did not overcome the fact that all were subject to the common policy to not pay for such time); </w:t>
      </w:r>
      <w:r w:rsidRPr="00AD2F44">
        <w:rPr>
          <w:i/>
          <w:iCs/>
        </w:rPr>
        <w:t>Judkins</w:t>
      </w:r>
      <w:r w:rsidRPr="00AD2F44">
        <w:t>, 74 F. Supp. 3d at 1009 (“Plaintiffs must demonstrate that they are similarly situated, which is proved if they ‘suffer from a single, FLSA-violating policy, and when proof of that policy or of conduct in conformity with that policy proves a violation to all the plaintiffs.’”) (citation omitted).</w:t>
      </w:r>
    </w:p>
    <w:p w14:paraId="7C3376C1" w14:textId="77777777" w:rsidR="004322B1" w:rsidRPr="00AD2F44" w:rsidRDefault="004322B1">
      <w:pPr>
        <w:pStyle w:val="14Footnote"/>
      </w:pPr>
      <w:r w:rsidRPr="00AD2F44">
        <w:rPr>
          <w:i/>
          <w:iCs/>
        </w:rPr>
        <w:t>Ninth Circuit:</w:t>
      </w:r>
      <w:r w:rsidRPr="00AD2F44">
        <w:t xml:space="preserve"> Phillips v. Cnty. of Riverside, 2022 BL 121604, 2022 WL 2162822 (C.D. Cal. Apr. 7, 2022) (decertifying collective where evidence showed no uniform policy to deny overtime for administrative tasks); Wong v. HSBC Mortg. Corp. (USA), 2010 WL 3833952, at *2–4 (N.D. Cal. Sept. 29, 2010) (granting decertification given that there was no “centralized rule, policy or practice” that governs how plaintiffs spent their work time in outside sales exemption misclassification case, and relying on Rule 23 certification analyses as “instructive with respect to the question of whether the instant class members are ‘similarly situated’” under FLSA); </w:t>
      </w:r>
      <w:r w:rsidRPr="00AD2F44">
        <w:rPr>
          <w:i/>
          <w:iCs/>
        </w:rPr>
        <w:t>Micron Electronics</w:t>
      </w:r>
      <w:r w:rsidRPr="00AD2F44">
        <w:t xml:space="preserve">, 2005 WL 5336571, at *2 (the “key issue” relating to the first factor is whether the employer had a “common, </w:t>
      </w:r>
      <w:r w:rsidRPr="00AD2F44">
        <w:rPr>
          <w:i/>
          <w:iCs/>
        </w:rPr>
        <w:t>de facto</w:t>
      </w:r>
      <w:r w:rsidRPr="00AD2F44">
        <w:t xml:space="preserve"> policy of permitting off-the-clock work”).</w:t>
      </w:r>
    </w:p>
    <w:p w14:paraId="5D5FB526" w14:textId="77777777" w:rsidR="004322B1" w:rsidRPr="00AD2F44" w:rsidRDefault="004322B1">
      <w:pPr>
        <w:pStyle w:val="14Footnote"/>
      </w:pPr>
      <w:r w:rsidRPr="00AD2F44">
        <w:rPr>
          <w:i/>
          <w:iCs/>
        </w:rPr>
        <w:t>Eleventh Circuit:</w:t>
      </w:r>
      <w:r w:rsidRPr="00AD2F44">
        <w:t xml:space="preserve"> </w:t>
      </w:r>
      <w:r w:rsidRPr="00AD2F44">
        <w:rPr>
          <w:i/>
          <w:iCs/>
        </w:rPr>
        <w:t>In re</w:t>
      </w:r>
      <w:r w:rsidRPr="00AD2F44">
        <w:t xml:space="preserve"> </w:t>
      </w:r>
      <w:r w:rsidRPr="00AD2F44">
        <w:rPr>
          <w:i/>
          <w:iCs/>
        </w:rPr>
        <w:t xml:space="preserve">Tyson Foods, </w:t>
      </w:r>
      <w:r w:rsidRPr="00AD2F44">
        <w:t>694 F. Supp. 2d at 1378–79 (denying decertification in light of defendant’s common practice of paying plaintiffs based on “mastercard” system that paid employees based on production line time).</w:t>
      </w:r>
    </w:p>
  </w:footnote>
  <w:footnote w:id="493">
    <w:p w14:paraId="3BB54BBF" w14:textId="77777777" w:rsidR="004322B1" w:rsidRPr="00AD2F44" w:rsidRDefault="004322B1">
      <w:pPr>
        <w:pStyle w:val="14Footnote"/>
        <w:rPr>
          <w:i/>
          <w:iCs/>
        </w:rPr>
      </w:pPr>
      <w:r w:rsidRPr="00AD2F44">
        <w:rPr>
          <w:vertAlign w:val="superscript"/>
        </w:rPr>
        <w:footnoteRef/>
      </w:r>
      <w:r w:rsidRPr="00AD2F44">
        <w:t xml:space="preserve">Wilks v. Pep Boys, 2006 WL 2821700, at *3 (M.D. Tenn. Sept. 26, 2006), </w:t>
      </w:r>
      <w:r w:rsidRPr="00AD2F44">
        <w:rPr>
          <w:i/>
          <w:iCs/>
        </w:rPr>
        <w:t>aff’d</w:t>
      </w:r>
      <w:r w:rsidRPr="00AD2F44">
        <w:t>, 278 F. App’x 488 (6th Cir. 2008).</w:t>
      </w:r>
      <w:r w:rsidRPr="00AD2F44">
        <w:rPr>
          <w:i/>
          <w:iCs/>
        </w:rPr>
        <w:t xml:space="preserve"> See, e.g.,</w:t>
      </w:r>
    </w:p>
    <w:p w14:paraId="3527A92B" w14:textId="77777777" w:rsidR="004322B1" w:rsidRPr="00AD2F44" w:rsidRDefault="004322B1">
      <w:pPr>
        <w:pStyle w:val="14Footnote"/>
      </w:pPr>
      <w:r w:rsidRPr="00AD2F44">
        <w:rPr>
          <w:i/>
          <w:iCs/>
        </w:rPr>
        <w:t>Fourth Circuit:</w:t>
      </w:r>
      <w:r w:rsidRPr="00AD2F44">
        <w:t xml:space="preserve"> </w:t>
      </w:r>
      <w:r w:rsidRPr="00AD2F44">
        <w:rPr>
          <w:i/>
          <w:iCs/>
        </w:rPr>
        <w:t>Rehberg</w:t>
      </w:r>
      <w:r w:rsidRPr="00AD2F44">
        <w:t>, 2015 WL 1346125, at *17 (motion to decertify denied as to companywide class of delivery drivers because all were classified as independent contractors and subject to uniform procedures); Butler v. DirectSAT USA, 47 F. Supp. 3d 300, 311 (D. Md. 2014) (denying decertification motion as to technicians where evidence showed common policy for technicians not to be paid for off-the-clock work before and after their shifts).</w:t>
      </w:r>
    </w:p>
    <w:p w14:paraId="4D9194BC" w14:textId="77777777" w:rsidR="004322B1" w:rsidRPr="00AD2F44" w:rsidRDefault="004322B1">
      <w:pPr>
        <w:pStyle w:val="14Footnote"/>
      </w:pPr>
      <w:r w:rsidRPr="00AD2F44">
        <w:rPr>
          <w:i/>
          <w:iCs/>
        </w:rPr>
        <w:t>Fifth Circuit:</w:t>
      </w:r>
      <w:r w:rsidRPr="00AD2F44">
        <w:t xml:space="preserve"> Vanzzini v. Action Meat Distribs., Inc., 995 F. Supp. 2d 703, 721 (S.D. Tex. 2014) (“The presence of a common policy, plan or practice affecting all putative class members, although not required, can be helpful in assessing the first factor, concerning the plaintiff’s factual and employment settings.”).</w:t>
      </w:r>
    </w:p>
    <w:p w14:paraId="6503E063" w14:textId="77777777" w:rsidR="004322B1" w:rsidRPr="00AD2F44" w:rsidRDefault="004322B1">
      <w:pPr>
        <w:pStyle w:val="14Footnote"/>
      </w:pPr>
      <w:r w:rsidRPr="00AD2F44">
        <w:rPr>
          <w:i/>
          <w:iCs/>
        </w:rPr>
        <w:t xml:space="preserve">Ninth Circuit: </w:t>
      </w:r>
      <w:r w:rsidRPr="00AD2F44">
        <w:t xml:space="preserve">Senne v. Kansas City Royals Baseball Corp., 934 F.3d 918, 949 (9th Cir. 2019) (affirming recertification order after concluding that members of the collective (minor league baseball players) were subject to the same pay practice, including not paying minor league players for spring training, extended spring training, and instructional league). </w:t>
      </w:r>
    </w:p>
    <w:p w14:paraId="60C42BFA" w14:textId="77777777" w:rsidR="004322B1" w:rsidRPr="00AD2F44" w:rsidRDefault="004322B1">
      <w:pPr>
        <w:pStyle w:val="14Footnote"/>
      </w:pPr>
      <w:r w:rsidRPr="00AD2F44">
        <w:rPr>
          <w:i/>
          <w:iCs/>
        </w:rPr>
        <w:t>Tenth Circuit:</w:t>
      </w:r>
      <w:r w:rsidRPr="00AD2F44">
        <w:t xml:space="preserve"> </w:t>
      </w:r>
      <w:r w:rsidRPr="00AD2F44">
        <w:rPr>
          <w:i/>
          <w:iCs/>
        </w:rPr>
        <w:t>Underwood</w:t>
      </w:r>
      <w:r w:rsidRPr="00AD2F44">
        <w:t>, 2009 WL 1322588, at *3 (ruling that uniform scheduling and compensation plan were sufficiently similar to overcome other factual differences for purposes of collective treatment).</w:t>
      </w:r>
    </w:p>
  </w:footnote>
  <w:footnote w:id="494">
    <w:p w14:paraId="60D7F2E1" w14:textId="77777777" w:rsidR="004322B1" w:rsidRPr="00AD2F44" w:rsidRDefault="004322B1">
      <w:pPr>
        <w:pStyle w:val="14Footnote"/>
      </w:pPr>
      <w:r w:rsidRPr="00AD2F44">
        <w:rPr>
          <w:vertAlign w:val="superscript"/>
        </w:rPr>
        <w:footnoteRef/>
      </w:r>
      <w:r w:rsidRPr="00AD2F44">
        <w:rPr>
          <w:i/>
          <w:iCs/>
        </w:rPr>
        <w:t>See, e.g</w:t>
      </w:r>
      <w:r w:rsidRPr="00AD2F44">
        <w:t>., Frank v. Gold’n Plump Poultry, Inc., 2007 WL 2780504, at *3 (D. Minn. Sept. 24, 2007) (rejecting defendant’s argument that decertification was warranted because the company did not have a standard policy regarding whether or not employees should be compensated for time spent donning and doffing protective clothing and holding “[t]he bottom line is that Gold’n Plump has, at a minimum, decided not to require that its employees be paid for donning and doffing. That no-policy has allegedly injured all members of the putative class and is properly challenged through a class action.”); Wren v. RGIS Inventory Specialists, 256 F.R.D. 180 (N.D. Cal. 2009) (holding that the absence of a policy to pay for donning and waiting time constituted a policy).</w:t>
      </w:r>
    </w:p>
  </w:footnote>
  <w:footnote w:id="495">
    <w:p w14:paraId="578D9281" w14:textId="77777777" w:rsidR="004322B1" w:rsidRPr="00AD2F44" w:rsidRDefault="004322B1">
      <w:pPr>
        <w:pStyle w:val="14Footnote"/>
      </w:pPr>
      <w:r w:rsidRPr="00AD2F44">
        <w:rPr>
          <w:vertAlign w:val="superscript"/>
        </w:rPr>
        <w:footnoteRef/>
      </w:r>
      <w:r w:rsidRPr="00AD2F44">
        <w:rPr>
          <w:i/>
          <w:iCs/>
        </w:rPr>
        <w:t>See</w:t>
      </w:r>
      <w:r w:rsidRPr="00AD2F44">
        <w:t xml:space="preserve"> Hipp v. Liberty Nat’l Life Ins. Co., 252 F.3d 1208, 1219 (11th Cir. 2001). At least one district court in the Eleventh Circuit has held that the common policy standard is appropriate at the first stage of analysis, not the second stage. </w:t>
      </w:r>
      <w:r w:rsidRPr="00AD2F44">
        <w:rPr>
          <w:i/>
          <w:iCs/>
        </w:rPr>
        <w:t>See Pendlebury</w:t>
      </w:r>
      <w:r w:rsidRPr="00AD2F44">
        <w:t>, 518 F. Supp. 2d at 1348 n.3 (noting this factor is more appropriately examined under the first prong of the two-part test).</w:t>
      </w:r>
    </w:p>
  </w:footnote>
  <w:footnote w:id="496">
    <w:p w14:paraId="6D3A46DC" w14:textId="77777777" w:rsidR="004322B1" w:rsidRPr="00AD2F44" w:rsidRDefault="004322B1">
      <w:pPr>
        <w:pStyle w:val="14Footnote"/>
      </w:pPr>
      <w:r w:rsidRPr="00AD2F44">
        <w:rPr>
          <w:vertAlign w:val="superscript"/>
        </w:rPr>
        <w:footnoteRef/>
      </w:r>
      <w:r w:rsidRPr="00AD2F44">
        <w:rPr>
          <w:i/>
          <w:iCs/>
        </w:rPr>
        <w:t>See, e.g</w:t>
      </w:r>
      <w:r w:rsidRPr="00AD2F44">
        <w:t>., Crawford v. Professional Transp., Inc., 2017 WL 1077660, at *6–7 (S.D. Ind. Mar. 22, 2017) (granting decertification where drivers were subject to exemption and pre-trip inspection policies that changed three times during class period, and evidence showed divergent information regarding knowledge of policies and practices employed by drivers with respect to pre-trip inspections); Brechler v. Qwest Commc’ns Int’l, Inc., 2009 WL 692329, at *3 (D. Ariz. Mar. 17, 2009) (reasoning that variations in whether discipline was issued and overtime was allowed, evidence that some employees could work no overtime and not be disciplined for failing to complete tasks, and evidence that overtime was carefully monitored at some facilities warranted decertification, in spite of defendant’s “troubling” lack of system for reporting overtime other than “incidental” overtime); Duncan v. Phoenix Supported Living, Inc., 2007 WL 1033360, at *2 (W.D.N.C. Mar. 30, 2007).</w:t>
      </w:r>
    </w:p>
  </w:footnote>
  <w:footnote w:id="497">
    <w:p w14:paraId="6FBD6A9E" w14:textId="77777777" w:rsidR="004322B1" w:rsidRPr="00AD2F44" w:rsidRDefault="004322B1">
      <w:pPr>
        <w:pStyle w:val="14Footnote"/>
      </w:pPr>
      <w:r w:rsidRPr="00AD2F44">
        <w:rPr>
          <w:vertAlign w:val="superscript"/>
        </w:rPr>
        <w:footnoteRef/>
      </w:r>
      <w:r w:rsidRPr="00AD2F44">
        <w:rPr>
          <w:i/>
          <w:iCs/>
        </w:rPr>
        <w:t>See, e.g</w:t>
      </w:r>
      <w:r w:rsidRPr="00AD2F44">
        <w:t>., Arnold v. DirecTV, LLC, 2017 WL 1251033, at *7 (E.D. Mo. Mar. 31, 2017) (“Where a purported unlawful policy impacts Plaintiffs in different and individual ways, ‘there is not one single decision, policy, or plan but rather multiple policies that require decertification.’”) (citation omitted); Johnson v. TGF Precision Haircutters, Inc., 2005 WL 1994286, at *4 (S.D. Tex. Aug. 17, 2005).</w:t>
      </w:r>
    </w:p>
  </w:footnote>
  <w:footnote w:id="498">
    <w:p w14:paraId="50B0239D" w14:textId="77777777" w:rsidR="004322B1" w:rsidRPr="00AD2F44" w:rsidRDefault="004322B1">
      <w:pPr>
        <w:pStyle w:val="14Footnote"/>
      </w:pPr>
      <w:r w:rsidRPr="00AD2F44">
        <w:rPr>
          <w:vertAlign w:val="superscript"/>
        </w:rPr>
        <w:footnoteRef/>
      </w:r>
      <w:r w:rsidRPr="00AD2F44">
        <w:rPr>
          <w:i/>
          <w:iCs/>
        </w:rPr>
        <w:t>See, e.g</w:t>
      </w:r>
      <w:r w:rsidRPr="00AD2F44">
        <w:t>., Thiessen v. General Elec. Capital, 267 F.3d 1095, 1104 (10th Cir. 2001) (holding that decertification was an abuse of discretion, even though the policy at issue was expressly repudiated during the middle of the class period).</w:t>
      </w:r>
    </w:p>
  </w:footnote>
  <w:footnote w:id="499">
    <w:p w14:paraId="10530D63" w14:textId="77777777" w:rsidR="004322B1" w:rsidRPr="00AD2F44" w:rsidRDefault="004322B1">
      <w:pPr>
        <w:pStyle w:val="14Footnote"/>
      </w:pPr>
      <w:r w:rsidRPr="00AD2F44">
        <w:rPr>
          <w:vertAlign w:val="superscript"/>
        </w:rPr>
        <w:footnoteRef/>
      </w:r>
      <w:r w:rsidRPr="00AD2F44">
        <w:rPr>
          <w:i/>
        </w:rPr>
        <w:t xml:space="preserve">See, e.g., </w:t>
      </w:r>
    </w:p>
    <w:p w14:paraId="5D355027" w14:textId="77777777" w:rsidR="004322B1" w:rsidRPr="00AD2F44" w:rsidRDefault="004322B1">
      <w:pPr>
        <w:pStyle w:val="14Footnote"/>
      </w:pPr>
      <w:r w:rsidRPr="00AD2F44">
        <w:rPr>
          <w:i/>
          <w:iCs/>
        </w:rPr>
        <w:t>First Circuit:</w:t>
      </w:r>
      <w:r w:rsidRPr="00AD2F44">
        <w:t xml:space="preserve"> Owens v. City of Malden, 568 F. Supp. 3d 77 (D. Mass. 2021) (analyzing disparate factual employment setting factor with individualized defenses factor and decertifying collective of police officers after five-day bench trial upon finding that individual considerations overwhelmed common questions). </w:t>
      </w:r>
    </w:p>
    <w:p w14:paraId="6150C30E" w14:textId="77777777" w:rsidR="004322B1" w:rsidRPr="00AD2F44" w:rsidRDefault="004322B1">
      <w:pPr>
        <w:pStyle w:val="14Footnote"/>
      </w:pPr>
      <w:r w:rsidRPr="00AD2F44">
        <w:rPr>
          <w:i/>
          <w:iCs/>
        </w:rPr>
        <w:t>Second Circuit:</w:t>
      </w:r>
      <w:r w:rsidRPr="00AD2F44">
        <w:t xml:space="preserve"> Harper v. Government Emps. Ins. Co., 2015 WL 9673810, at *6 (E.D.N.Y. Nov. 16, 2015) (“Courts within this Circuit have held that if determination of ‘whether a plaintiff is subject to FLSA exemption will require individualized, rather than representative, proof,’ then ‘the individualized defenses prong of the analysis mirrors the disparate employment settings prong.’”) (citation omitted); Hernandez v. Fresh Diet, Inc., 2014 WL 5039431, at *6 (S.D.N.Y. Sept. 29, 2014) (“[T]he individualized defenses prong of the analysis mirrors the disparate employment settings prong.”); Stevens v. HMS Host Corp., 2014 WL 4261410, at *7 (E.D.N.Y. Aug. 24, 2014) (“Here, the individualized defenses prong of the analysis mirrors the disparate employment settings prong.”).</w:t>
      </w:r>
    </w:p>
    <w:p w14:paraId="7257D696" w14:textId="77777777" w:rsidR="004322B1" w:rsidRPr="00AD2F44" w:rsidRDefault="004322B1">
      <w:pPr>
        <w:pStyle w:val="14Footnote"/>
      </w:pPr>
      <w:r w:rsidRPr="00AD2F44">
        <w:rPr>
          <w:i/>
          <w:iCs/>
        </w:rPr>
        <w:t>Fifth Circuit:</w:t>
      </w:r>
      <w:r w:rsidRPr="00AD2F44">
        <w:t xml:space="preserve"> Kelly v. Healthcare Servs. Grp., Inc., 106 F. Supp. 3d 808, 813 (E.D. Tex. 2015) (noting that first and second certification factors “largely merge into one inquiry”); Lipnicki v. Meritage Homes Corp., 2014 WL 5620603, at *2 (S.D. Tex. Nov. 4, 2014) (same); Johnson v. Big Lots Stores, Inc., 561 F. Supp. 2d 567, 574 (E.D. La. 2008) (explaining “[t]he extent to which opt-in plaintiffs’ work experiences differ directly influences Big Lots’ capacity to prove its statutory exemption defense”).</w:t>
      </w:r>
    </w:p>
    <w:p w14:paraId="2ED024EA" w14:textId="77777777" w:rsidR="004322B1" w:rsidRPr="00AD2F44" w:rsidRDefault="004322B1">
      <w:pPr>
        <w:pStyle w:val="14Footnote"/>
      </w:pPr>
      <w:r w:rsidRPr="00AD2F44">
        <w:rPr>
          <w:i/>
          <w:iCs/>
        </w:rPr>
        <w:t>Eighth Circuit:</w:t>
      </w:r>
      <w:r w:rsidRPr="00AD2F44">
        <w:t xml:space="preserve"> Olukayode v. UnitedHealth Grp., 2021 BL 290601, 2021 WL 3293648 (D. Minn. Aug. 2, 2021) (decertifying collective upon determination of factual employment setting factor and individualized defenses factor, finding disparate work experiences among consultants and individualized defenses made collective litigation unmanageable). </w:t>
      </w:r>
    </w:p>
  </w:footnote>
  <w:footnote w:id="500">
    <w:p w14:paraId="0224F88F" w14:textId="77777777" w:rsidR="004322B1" w:rsidRPr="00AD2F44" w:rsidRDefault="004322B1">
      <w:pPr>
        <w:pStyle w:val="14Footnote"/>
      </w:pPr>
      <w:r w:rsidRPr="00AD2F44">
        <w:rPr>
          <w:vertAlign w:val="superscript"/>
        </w:rPr>
        <w:footnoteRef/>
      </w:r>
      <w:r w:rsidRPr="00AD2F44">
        <w:rPr>
          <w:i/>
          <w:iCs/>
        </w:rPr>
        <w:t>Moss</w:t>
      </w:r>
      <w:r w:rsidRPr="00AD2F44">
        <w:t xml:space="preserve">, 201 F.R.D. at 410; </w:t>
      </w:r>
      <w:r w:rsidRPr="00AD2F44">
        <w:rPr>
          <w:i/>
          <w:iCs/>
        </w:rPr>
        <w:t>accord</w:t>
      </w:r>
      <w:r w:rsidRPr="00AD2F44">
        <w:t xml:space="preserve"> Solsol v. Scrub, Inc., 2017 WL 2285822, at *3–4 (N.D. Ill. May 23, 2017) (finding that class of janitorial service workers who worked at O’Hare International Airport asserted affirmative defenses that relied on individualized testimony unique to each plaintiff that could not be generalized); Benedict v. Hewlett-Packard Co., 2016 WL 3742342, at *9–10 (N.D. Cal. July 13, 2016) (finding individualized defenses weighed in favor of decertification where defendants invoked four exemptions as defenses that required individualized inquiries); Crawford v. Lexington-Fayette Urban Cnty. Gov’t, 2008 WL 2885230, at *9 (E.D. Ky. July 22, 2008); Reyes v. Texas EZPawn, L.P., 2007 WL 101808, at *5 (S.D. Tex. Jan. 8, 2007).</w:t>
      </w:r>
    </w:p>
  </w:footnote>
  <w:footnote w:id="501">
    <w:p w14:paraId="5F60275E" w14:textId="77777777" w:rsidR="004322B1" w:rsidRPr="00AD2F44" w:rsidRDefault="004322B1">
      <w:pPr>
        <w:pStyle w:val="14Footnote"/>
        <w:rPr>
          <w:i/>
          <w:iCs/>
        </w:rPr>
      </w:pPr>
      <w:r w:rsidRPr="00AD2F44">
        <w:rPr>
          <w:vertAlign w:val="superscript"/>
        </w:rPr>
        <w:footnoteRef/>
      </w:r>
      <w:r w:rsidRPr="00AD2F44">
        <w:t xml:space="preserve">Morgan v. Family Dollar Stores, Inc., 551 F.3d 1233, 1263 (11th Cir. 2008); </w:t>
      </w:r>
      <w:r w:rsidRPr="00AD2F44">
        <w:rPr>
          <w:i/>
          <w:iCs/>
        </w:rPr>
        <w:t>see also</w:t>
      </w:r>
    </w:p>
    <w:p w14:paraId="06D31B71" w14:textId="77777777" w:rsidR="004322B1" w:rsidRPr="00AD2F44" w:rsidRDefault="004322B1">
      <w:pPr>
        <w:pStyle w:val="14Footnote"/>
      </w:pPr>
      <w:r w:rsidRPr="00AD2F44">
        <w:rPr>
          <w:i/>
          <w:iCs/>
        </w:rPr>
        <w:t>Second Circuit:</w:t>
      </w:r>
      <w:r w:rsidRPr="00AD2F44">
        <w:t xml:space="preserve"> Locurto v. AT&amp;T Mobility Servs. LLC, 2018 WL 4519201 (S.D.N.Y. Sept. 20, 2018) (rejecting defendant’s decertification motion based on arguments regarding application of the administrative exemption, evaluating the credibility of plaintiffs, and whether plaintiffs had failed to properly perform their jobs, where there was substantial evidence that plaintiffs and opt-in plaintiffs performed the same duties in largely the same manner, and exercised similar levels of discretion); Perez v. Metro Dairy Corp., 2015 WL 1535294, at *3 (E.D.N.Y. Apr. 6, 2015) (denying decertification motion and rejecting employer’s argument that named plaintiff was subject to exemption defenses not applicable to other opt-in plaintiffs in class; according to court, even though named plaintiff had some supervisor and sales roles, he was similarly situated to assistant milk truck drivers and milk truck drivers in class).</w:t>
      </w:r>
    </w:p>
    <w:p w14:paraId="6BD083CF" w14:textId="77777777" w:rsidR="004322B1" w:rsidRPr="00AD2F44" w:rsidRDefault="004322B1">
      <w:pPr>
        <w:pStyle w:val="14Footnote"/>
      </w:pPr>
      <w:r w:rsidRPr="00AD2F44">
        <w:rPr>
          <w:i/>
          <w:iCs/>
        </w:rPr>
        <w:t>Fourth Circuit:</w:t>
      </w:r>
      <w:r w:rsidRPr="00AD2F44">
        <w:t xml:space="preserve"> Devine v. City of Hampton, 2015 WL 10765154, at *4 (E.D. Va. Oct. 13, 2015) (finding that defendant’s claimed individualized defenses challenged measure of damages, not liability); Randolph v. PowerComm Constr., Inc., 309 F.R.D. 349, 369 (D. Md. 2015) (“The individualized defenses factor assesses whether potential defenses pertain to the plaintiff class or whether the potential defenses require proof of individual facts at trial.”); Rehberg v. Flowers Baking Co. of Jamestown, LLC, 2015 WL 1346125, at *17 (W.D.N.C. Mar. 24, 2015) (“The presence of defenses that require individualized inquiries does not necessarily require decertification if common issues and facts predominate, and the court finds other factors indicate that Plaintiffs are similarly situated and proceeding as a collective action would be appropriate.”); LaFleur v. Dollar Tree Stores, 30 F. Supp. 2d 463, 473–75 (E.D. Va. Mar. 7, 2014) (finding that the individualized defense factor weighed in favor of certification where various defenses raised by the employer, including the de minimis defense, the no notice defense, the good faith defense, and the no willfulness defense, could be presented by the employer on a broad basis as to the class).</w:t>
      </w:r>
    </w:p>
    <w:p w14:paraId="395D7A29" w14:textId="77777777" w:rsidR="004322B1" w:rsidRPr="00AD2F44" w:rsidRDefault="004322B1">
      <w:pPr>
        <w:pStyle w:val="14Footnote"/>
      </w:pPr>
      <w:r w:rsidRPr="00AD2F44">
        <w:rPr>
          <w:i/>
          <w:iCs/>
        </w:rPr>
        <w:t>Fifth Circuit:</w:t>
      </w:r>
      <w:r w:rsidRPr="00AD2F44">
        <w:t xml:space="preserve"> Segovia v. Fuelco Energy LLC, 2021 BL 200228, 2021 WL 2187956, at *11 (W.D. Tex. May 28, 2021) (denying decertification motion post-</w:t>
      </w:r>
      <w:r w:rsidRPr="00AD2F44">
        <w:rPr>
          <w:i/>
          <w:iCs/>
        </w:rPr>
        <w:t>Swales</w:t>
      </w:r>
      <w:r w:rsidRPr="00AD2F44">
        <w:t>, finding defenses “mostly globally applicable” and any individualized defenses can be handled by court with case management tools); Senegal v. Fairfield Indus., Inc., 2018 WL 6079354 (S.D. Tex. Nov. 21, 2018) (refusing to decertify collective based on defendant’s arguments regarding individualized defenses that are not uniformly applicable to the entire class); Nguyen v. Versacom, LLC, 2016 WL 6650860, at *5–6 (N.D. Tex. Nov. 9, 2016) (finding that defendant failed to meet its burden of proving merits of defense that plaintiff’s work for competitor would give rise to valid defense to overtime claim, and further finding that defendant’s claim that 10 plaintiffs met highly compensated exemption could be handled as part of collective action and would not render collective action unmanageable); Maynor v. Dow Chem. Co., 671 F. Supp. 2d 902, 932–35 (S.D. Tex. 2009) (denying decertification where defendant contended it did not know, and could not know, what kind of training and how much training many plaintiffs used; court concluded that issue of knowledge of training was common issue and amount of time went to damages).</w:t>
      </w:r>
    </w:p>
    <w:p w14:paraId="52244857" w14:textId="77777777" w:rsidR="004322B1" w:rsidRPr="00AD2F44" w:rsidRDefault="004322B1">
      <w:pPr>
        <w:pStyle w:val="14Footnote"/>
      </w:pPr>
      <w:r w:rsidRPr="00AD2F44">
        <w:rPr>
          <w:i/>
          <w:iCs/>
        </w:rPr>
        <w:t>Sixth Circuit:</w:t>
      </w:r>
      <w:r w:rsidRPr="00AD2F44">
        <w:t xml:space="preserve"> Monroe v. FTS USA, LLC, 860 F.3d 389 (6th Cir. 2017) (affirming district court’s certification, holding that individualized defenses alone did not warrant decertification where sufficient common issues or job traits otherwise permit collective litigation; court found that plaintiffs presented credible testimony and documentary evidence showing they performed uncompensated work, which shifted burden to defendants to negate inferences drawn from evidence, and jury partially accepted defendants’ defenses in concluding that technicians worked less than what they claimed at trial); Martinez v. First Class Interiors of Naples, LLC, 2022 BL 160046, 2022 WL 1462965 (M.D. Tenn. May 6, 2022) (denying decertification motion, holding single defense of employer status applied to all plaintiffs, which supported finding that workers were similarly situated); Johnson v. Koch Foods, Inc., 657 F. Supp. 2d 951 (E.D. Tenn. 2009) (denying decertification because common practice of paying for “production line time” rather than actual time worked outweighed individualized defenses asserted by defendant).</w:t>
      </w:r>
    </w:p>
    <w:p w14:paraId="54F81C74" w14:textId="77777777" w:rsidR="004322B1" w:rsidRPr="00AD2F44" w:rsidRDefault="004322B1">
      <w:pPr>
        <w:pStyle w:val="14Footnote"/>
      </w:pPr>
      <w:r w:rsidRPr="00AD2F44">
        <w:rPr>
          <w:i/>
          <w:iCs/>
        </w:rPr>
        <w:t>Seventh Circuit:</w:t>
      </w:r>
      <w:r w:rsidRPr="00AD2F44">
        <w:t xml:space="preserve"> Allen v. City of Chi., 2014 WL 5461856, at *8 (N.D. Ill. Oct. 22, 2014) (finding that police officers could proceed collectively with off-the-clock work claims where officers used Blackberry devices but worked different assignments in different locations, on different teams, and under different supervisors; common question of whether city had unwritten policy of permitting off-the-clock work was predominant), </w:t>
      </w:r>
      <w:r w:rsidRPr="00AD2F44">
        <w:rPr>
          <w:i/>
          <w:iCs/>
        </w:rPr>
        <w:t>aff’d</w:t>
      </w:r>
      <w:r w:rsidRPr="00AD2F44">
        <w:t>, 865 F.3d 936 (7th Cir. 2017); Blakes v. Illinois Bell Tel. Co., 2013 WL 6662831, at *20 (N.D. Ill. Dec. 17, 2013) (finding that various defenses to cable splicers’ post-employment off-the-clock work claims, including employer knowledge and the de minimis defense, could be determined collectively where work was performed in the employer’s garages and appeared to be uniform).</w:t>
      </w:r>
    </w:p>
    <w:p w14:paraId="4D6868BA" w14:textId="77777777" w:rsidR="004322B1" w:rsidRPr="00AD2F44" w:rsidRDefault="004322B1">
      <w:pPr>
        <w:pStyle w:val="14Footnote"/>
      </w:pPr>
      <w:r w:rsidRPr="00AD2F44">
        <w:rPr>
          <w:i/>
          <w:iCs/>
        </w:rPr>
        <w:t>Eighth Circuit:</w:t>
      </w:r>
      <w:r w:rsidRPr="00AD2F44">
        <w:t xml:space="preserve"> Harris v. Chipotle Mexican Grill, Inc.,</w:t>
      </w:r>
      <w:r w:rsidRPr="00AD2F44">
        <w:rPr>
          <w:b/>
          <w:bCs/>
        </w:rPr>
        <w:t xml:space="preserve"> </w:t>
      </w:r>
      <w:r w:rsidRPr="00AD2F44">
        <w:t>2017 WL 2537228 (D. Minn. June 12, 2017) (denying decertification motion, holding that plaintiffs’ ability to prove actual or constructive knowledge of work performed off the clock was common among class members and that amount of time plaintiffs spent on compensable and noncompensable activities, plaintiffs’ failure to use timekeeping system correctly, and credibility determinations did not warrant decertification); Swartz v. DJ Eng’g, Inc., 2015 WL 4139376, at *6–11 (D. Kan. July 9, 2015) (finding that “common issues about the alleged violations of the salary-basis requirement would predominate over issues relating to actual job duties performed”); Brackett v. St. Louis Bd. of Police Comm’rs, 2014 WL 1377460, at *3 (E.D. Mo. April 8, 2014) (denying decertification motion where plaintiffs’ exemption status was capable of collective disposition).</w:t>
      </w:r>
    </w:p>
    <w:p w14:paraId="39869890" w14:textId="77777777" w:rsidR="004322B1" w:rsidRPr="00AD2F44" w:rsidRDefault="004322B1">
      <w:pPr>
        <w:pStyle w:val="14Footnote"/>
      </w:pPr>
      <w:r w:rsidRPr="00AD2F44">
        <w:rPr>
          <w:i/>
          <w:iCs/>
        </w:rPr>
        <w:t>Ninth Circuit:</w:t>
      </w:r>
      <w:r w:rsidRPr="00AD2F44">
        <w:t xml:space="preserve"> Lillehagen v. Alorica, Inc., 2014 WL 6989230, at *28 (C.D. Cal. Dec. 10, 2014) (“Even if a defense does not apply identically to every single plaintiff, the district court need not decertify if the defenses are generalizable to most of them or if the differences between the plaintiffs in relation to the defense are only minor differences.”); Khadera v. ABM Indus., Inc., 2011 WL 7064235, at *3–5 (W.D. Wash. Dec. 1, 2011) (denying decertification and rejecting argument that employer’s knowledge of off-the-clock work had to be litigated individually, reasoning that not every employee had to complain about such work, and that it would be sufficient if employer was generally aware of “types of practices” that were employed to deny overtime, an issue which could be addressed collectively).</w:t>
      </w:r>
    </w:p>
    <w:p w14:paraId="7B97A2DA" w14:textId="77777777" w:rsidR="004322B1" w:rsidRPr="00AD2F44" w:rsidRDefault="004322B1">
      <w:pPr>
        <w:pStyle w:val="14Footnote"/>
      </w:pPr>
      <w:r w:rsidRPr="00AD2F44">
        <w:rPr>
          <w:i/>
          <w:iCs/>
        </w:rPr>
        <w:t>Tenth Circuit:</w:t>
      </w:r>
      <w:r w:rsidRPr="00AD2F44">
        <w:t xml:space="preserve"> Thiessen v. General Elec. Capital Corp., 267 F.3d 1095, 1104–08 (10th Cir. 2001) (rejecting the argument that “individualized defenses” required decertification); Jancich v. Stonegate Mortg. Co., 2014 WL 1011480, at *3 (D. Kan. Mar. 17, 2014) (rejecting argument that exemption defenses were highly individualized and finding that application of the administrative exemption could be determined across the board).</w:t>
      </w:r>
    </w:p>
    <w:p w14:paraId="034F7D89" w14:textId="77777777" w:rsidR="004322B1" w:rsidRPr="00AD2F44" w:rsidRDefault="004322B1">
      <w:pPr>
        <w:pStyle w:val="14Footnote"/>
      </w:pPr>
      <w:r w:rsidRPr="00AD2F44">
        <w:rPr>
          <w:i/>
          <w:iCs/>
        </w:rPr>
        <w:t>Eleventh Circuit:</w:t>
      </w:r>
      <w:r w:rsidRPr="00AD2F44">
        <w:t xml:space="preserve"> Schumann v. Collier Anesthesia, P.A., 2017 WL 1361524, at *4 (M.D. Fla. Apr. 14, 2017) (finding that statute of limitations defense did not support decertification because it was “class-wide” defense that could be “readily and fairly managed” in collective action); Miller v. FleetCor Techs. Operating Co., LLC, 118 F. Supp. 3d 1351, 1359–60 (N.D. Ga. 2015) (holding that similarities in job responsibilities, pay structure, across-the-board encouragement to work overtime to meet sales quotas, lack of formal time-tracking system, and lack of paid overtime outweighed differences in statutes of limitations, credibility, and manager leniency); </w:t>
      </w:r>
      <w:r w:rsidRPr="00AD2F44">
        <w:rPr>
          <w:i/>
          <w:iCs/>
        </w:rPr>
        <w:t>In re</w:t>
      </w:r>
      <w:r w:rsidRPr="00AD2F44">
        <w:t xml:space="preserve"> Tyson Foods, Inc. FLSA Litig., 694 F. Supp. 2d 1372, 1379 (M.D. Ga. 2010) (denying decertification and reasoning that individualized defenses related to practice of paying for donning and doffing time were insufficient to warrant decertification in light of “general practice” not to pay for donning and doffing).</w:t>
      </w:r>
    </w:p>
  </w:footnote>
  <w:footnote w:id="502">
    <w:p w14:paraId="1B8F9975" w14:textId="77777777" w:rsidR="004322B1" w:rsidRPr="00AD2F44" w:rsidRDefault="004322B1">
      <w:pPr>
        <w:pStyle w:val="14Footnote"/>
      </w:pPr>
      <w:r w:rsidRPr="00AD2F44">
        <w:rPr>
          <w:vertAlign w:val="superscript"/>
        </w:rPr>
        <w:footnoteRef/>
      </w:r>
      <w:r w:rsidRPr="00AD2F44">
        <w:rPr>
          <w:i/>
        </w:rPr>
        <w:t xml:space="preserve">See, e.g., </w:t>
      </w:r>
    </w:p>
    <w:p w14:paraId="6EFEE92E" w14:textId="77777777" w:rsidR="004322B1" w:rsidRPr="00AD2F44" w:rsidRDefault="004322B1">
      <w:pPr>
        <w:pStyle w:val="14Footnote"/>
      </w:pPr>
      <w:r w:rsidRPr="00AD2F44">
        <w:rPr>
          <w:i/>
          <w:iCs/>
        </w:rPr>
        <w:t>Second Circuit:</w:t>
      </w:r>
      <w:r w:rsidRPr="00AD2F44">
        <w:t xml:space="preserve"> </w:t>
      </w:r>
      <w:r w:rsidRPr="00AD2F44">
        <w:rPr>
          <w:i/>
          <w:iCs/>
        </w:rPr>
        <w:t>Stevens</w:t>
      </w:r>
      <w:r w:rsidRPr="00AD2F44">
        <w:t>, 2014 WL 4261410, at *7 (noting that judicial estoppel and statute of limitations defenses are not the kind of individualized defenses that require decertification); Johnson v. Wave Comm GR LLC, 4 F. Supp. 3d 453, 460 (N.D.N.Y. 2014) (holding that statute of limitations defenses did not support decertification as they could be easily applied to the class).</w:t>
      </w:r>
    </w:p>
    <w:p w14:paraId="44448C16" w14:textId="77777777" w:rsidR="004322B1" w:rsidRPr="00AD2F44" w:rsidRDefault="004322B1">
      <w:pPr>
        <w:pStyle w:val="14Footnote"/>
      </w:pPr>
      <w:r w:rsidRPr="00AD2F44">
        <w:rPr>
          <w:i/>
          <w:iCs/>
        </w:rPr>
        <w:t>Third Circuit:</w:t>
      </w:r>
      <w:r w:rsidRPr="00AD2F44">
        <w:t xml:space="preserve"> </w:t>
      </w:r>
      <w:r w:rsidRPr="00AD2F44">
        <w:rPr>
          <w:i/>
          <w:iCs/>
        </w:rPr>
        <w:t>Moss</w:t>
      </w:r>
      <w:r w:rsidRPr="00AD2F44">
        <w:t>, 201 F.R.D. at 410–11 (noting the defendant’s intent to “examine each opt-in plaintiff’s background and personal knowledge of the FLSA in support of their statute of limitations defense,” but concluding the defense was intended to be raised against the entire class and would not render the opt-in class unmanageable).</w:t>
      </w:r>
    </w:p>
    <w:p w14:paraId="14BF03EF" w14:textId="77777777" w:rsidR="004322B1" w:rsidRPr="00AD2F44" w:rsidRDefault="004322B1">
      <w:pPr>
        <w:pStyle w:val="14Footnote"/>
      </w:pPr>
      <w:r w:rsidRPr="00AD2F44">
        <w:rPr>
          <w:i/>
          <w:iCs/>
        </w:rPr>
        <w:t>Fourth Circuit:</w:t>
      </w:r>
      <w:r w:rsidRPr="00AD2F44">
        <w:t xml:space="preserve"> </w:t>
      </w:r>
      <w:r w:rsidRPr="00AD2F44">
        <w:rPr>
          <w:i/>
          <w:iCs/>
        </w:rPr>
        <w:t>Rehberg</w:t>
      </w:r>
      <w:r w:rsidRPr="00AD2F44">
        <w:t>, 2015 WL 1346125, at *18 (finding that statute of limitations and judicial estoppel are defenses that involve legal issues for court to determine and would not render class unmanageable); Butler v. DirectSAT USA, 47 F. Supp. 3d 300, 313 (D. Md. 2014) (concluding that willfulness can be determined on collective basis).</w:t>
      </w:r>
    </w:p>
    <w:p w14:paraId="7F06966D" w14:textId="77777777" w:rsidR="004322B1" w:rsidRPr="00AD2F44" w:rsidRDefault="004322B1">
      <w:pPr>
        <w:pStyle w:val="14Footnote"/>
      </w:pPr>
      <w:r w:rsidRPr="00AD2F44">
        <w:rPr>
          <w:i/>
          <w:iCs/>
        </w:rPr>
        <w:t>Fifth Circuit:</w:t>
      </w:r>
      <w:r w:rsidRPr="00AD2F44">
        <w:t xml:space="preserve"> Clark v. Centene Co. of Tex. LP, 44 F. Supp. 3d 674, 691 (W.D. Tex. 2014) (denying decertification motion and finding that statute of limitations defenses did not support decertification because plaintiffs’ dates of employment were undisputed and, once determination regarding willfulness was made, application of limitations period was straightforward task); Escobedo v. Dynasty Insulation, Inc., 2009 WL 2382982, at *7–8 (W.D. Tex. July 31, 2009) (denying decertification based on defendant’s argument that opt-in plaintiffs had time-barred claims, reasoning that defendant’s defense was to whether its conduct was willful, and that applied to all plaintiffs, not just opt-ins, as did issue of whether equitable tolling and equitable estoppel applied; finally, even if defendant’s defenses to opt-in plaintiffs applied only to them, allegations by plaintiffs regarding defendants’ deliberate decision not to pay overtime applied across class, and defenses went only to issue of recovery).</w:t>
      </w:r>
    </w:p>
    <w:p w14:paraId="3AC5D30D" w14:textId="77777777" w:rsidR="004322B1" w:rsidRPr="00AD2F44" w:rsidRDefault="004322B1">
      <w:pPr>
        <w:pStyle w:val="14Footnote"/>
      </w:pPr>
      <w:r w:rsidRPr="00AD2F44">
        <w:rPr>
          <w:i/>
          <w:iCs/>
        </w:rPr>
        <w:t>Seventh Circuit:</w:t>
      </w:r>
      <w:r w:rsidRPr="00AD2F44">
        <w:t xml:space="preserve"> </w:t>
      </w:r>
      <w:r w:rsidRPr="00AD2F44">
        <w:rPr>
          <w:i/>
          <w:iCs/>
        </w:rPr>
        <w:t>Allen</w:t>
      </w:r>
      <w:r w:rsidRPr="00AD2F44">
        <w:t>, 2014 WL 5461856, at *8 (finding that “the statute of limitations defense is not a particularized inquiry where the common policy or practice is alleged to be an unwritten rule understood by everyone”).</w:t>
      </w:r>
    </w:p>
    <w:p w14:paraId="523E7283" w14:textId="77777777" w:rsidR="004322B1" w:rsidRPr="00AD2F44" w:rsidRDefault="004322B1">
      <w:pPr>
        <w:pStyle w:val="14Footnote"/>
      </w:pPr>
      <w:r w:rsidRPr="00AD2F44">
        <w:rPr>
          <w:i/>
          <w:iCs/>
        </w:rPr>
        <w:t>Ninth Circuit:</w:t>
      </w:r>
      <w:r w:rsidRPr="00AD2F44">
        <w:t xml:space="preserve"> </w:t>
      </w:r>
      <w:r w:rsidRPr="00AD2F44">
        <w:rPr>
          <w:i/>
          <w:iCs/>
        </w:rPr>
        <w:t>Micron Electronics</w:t>
      </w:r>
      <w:r w:rsidRPr="00AD2F44">
        <w:t>, 2005 WL 5336571, at *3 n.6 (holding defenses pertaining to statutes of limitations, equitable tolling, judicial estoppel, and lack of standing due to bankruptcy findings would not require individualized proof at trial).</w:t>
      </w:r>
    </w:p>
    <w:p w14:paraId="40BBEECC" w14:textId="77777777" w:rsidR="004322B1" w:rsidRPr="00AD2F44" w:rsidRDefault="004322B1">
      <w:pPr>
        <w:pStyle w:val="14Footnote"/>
      </w:pPr>
      <w:r w:rsidRPr="00AD2F44">
        <w:rPr>
          <w:i/>
          <w:iCs/>
        </w:rPr>
        <w:t>Eleventh Circuit:</w:t>
      </w:r>
      <w:r w:rsidRPr="00AD2F44">
        <w:t xml:space="preserve"> Geter v. Galardi S. Enters., Inc., 2015 WL 2384068, at *5 (S.D. Fla. May 19, 2015) (finding that statute of limitations defense that impacts amount of damages and not liability does not compel decertification).</w:t>
      </w:r>
    </w:p>
    <w:p w14:paraId="04C4CE79" w14:textId="77777777" w:rsidR="004322B1" w:rsidRPr="00AD2F44" w:rsidRDefault="004322B1">
      <w:pPr>
        <w:pStyle w:val="14Footnote"/>
      </w:pPr>
      <w:r w:rsidRPr="00AD2F44">
        <w:rPr>
          <w:i/>
          <w:iCs/>
        </w:rPr>
        <w:t>But see</w:t>
      </w:r>
      <w:r w:rsidRPr="00AD2F44">
        <w:t xml:space="preserve"> Illano v. H&amp;R Block E. Enters., Inc., 2010 WL 9553051, at *4 (S.D. Fla. Nov. 4, 2010) (granting decertification motion, in part, because individualized inquiries would need to be made to determine whether the defendant employer’s actions were willful).</w:t>
      </w:r>
    </w:p>
  </w:footnote>
  <w:footnote w:id="503">
    <w:p w14:paraId="0D319A94" w14:textId="77777777" w:rsidR="004322B1" w:rsidRPr="00AD2F44" w:rsidRDefault="004322B1">
      <w:pPr>
        <w:pStyle w:val="14Footnote"/>
      </w:pPr>
      <w:r w:rsidRPr="00AD2F44">
        <w:rPr>
          <w:vertAlign w:val="superscript"/>
        </w:rPr>
        <w:footnoteRef/>
      </w:r>
      <w:r w:rsidRPr="00AD2F44">
        <w:rPr>
          <w:i/>
          <w:iCs/>
        </w:rPr>
        <w:t>See, e.g.,</w:t>
      </w:r>
    </w:p>
    <w:p w14:paraId="4303D018" w14:textId="77777777" w:rsidR="004322B1" w:rsidRPr="00AD2F44" w:rsidRDefault="004322B1">
      <w:pPr>
        <w:pStyle w:val="14Footnote"/>
      </w:pPr>
      <w:r w:rsidRPr="00AD2F44">
        <w:rPr>
          <w:i/>
          <w:iCs/>
        </w:rPr>
        <w:t>Second Circuit:</w:t>
      </w:r>
      <w:r w:rsidRPr="00AD2F44">
        <w:t xml:space="preserve"> </w:t>
      </w:r>
      <w:r w:rsidRPr="00AD2F44">
        <w:rPr>
          <w:i/>
          <w:iCs/>
        </w:rPr>
        <w:t>Wave Comm</w:t>
      </w:r>
      <w:r w:rsidRPr="00AD2F44">
        <w:t>, 4 F. Supp. 3d at 460 (holding that individualized issues as to damages did not require decertification where common questions regarding liability predominate).</w:t>
      </w:r>
    </w:p>
    <w:p w14:paraId="045308A2" w14:textId="77777777" w:rsidR="004322B1" w:rsidRPr="00AD2F44" w:rsidRDefault="004322B1">
      <w:pPr>
        <w:pStyle w:val="14Footnote"/>
      </w:pPr>
      <w:r w:rsidRPr="00AD2F44">
        <w:rPr>
          <w:i/>
          <w:iCs/>
        </w:rPr>
        <w:t>Fourth Circuit:</w:t>
      </w:r>
      <w:r w:rsidRPr="00AD2F44">
        <w:t xml:space="preserve"> LaFleur v. Dollar Tree Stores, 30 F. Supp. 2d 463, 473–75 (E.D. Va. 2014) (finding individualized issues regarding damages, including dates, hours, and pay rate, do not preclude the parties from proceeding collectively on the issue of liability); Martinez-Hernandez v. Butterball, LLC, 2011 WL 4549606, at *4 (E.D.N.C. Sept. 29, 2011) (denying decertification in donning and doffing case, despite differences in amount of compensation received, because this variation went primarily to the issue of damages).</w:t>
      </w:r>
    </w:p>
    <w:p w14:paraId="007ECF26" w14:textId="77777777" w:rsidR="004322B1" w:rsidRPr="00AD2F44" w:rsidRDefault="004322B1">
      <w:pPr>
        <w:pStyle w:val="14Footnote"/>
      </w:pPr>
      <w:r w:rsidRPr="00AD2F44">
        <w:rPr>
          <w:i/>
          <w:iCs/>
        </w:rPr>
        <w:t>Fifth Circuit:</w:t>
      </w:r>
      <w:r w:rsidRPr="00AD2F44">
        <w:t xml:space="preserve"> </w:t>
      </w:r>
      <w:r w:rsidRPr="00AD2F44">
        <w:rPr>
          <w:i/>
          <w:iCs/>
        </w:rPr>
        <w:t>Clark</w:t>
      </w:r>
      <w:r w:rsidRPr="00AD2F44">
        <w:t>, 44 F. Supp. 3d at 690 (denying decertification motion and finding that evidence of differing hours worked by plaintiffs is relevant only to damages, not liability).</w:t>
      </w:r>
    </w:p>
    <w:p w14:paraId="1BDDA34C" w14:textId="77777777" w:rsidR="004322B1" w:rsidRPr="00AD2F44" w:rsidRDefault="004322B1">
      <w:pPr>
        <w:pStyle w:val="14Footnote"/>
      </w:pPr>
      <w:r w:rsidRPr="00AD2F44">
        <w:rPr>
          <w:i/>
          <w:iCs/>
        </w:rPr>
        <w:t>Seventh Circuit:</w:t>
      </w:r>
      <w:r w:rsidRPr="00AD2F44">
        <w:t xml:space="preserve"> </w:t>
      </w:r>
      <w:r w:rsidRPr="00AD2F44">
        <w:rPr>
          <w:i/>
          <w:iCs/>
        </w:rPr>
        <w:t>Allen</w:t>
      </w:r>
      <w:r w:rsidRPr="00AD2F44">
        <w:t>, 2014 WL 5461856, at *9 (stating that decertification was not necessary due to different overtime hours claimed by 52 plaintiffs in class because court could rely on emails, telephone records, and unreported time “reconstructed from memory” to determine damages or, if need be, appoint a special master to “resolve a difficult computation of damages”).</w:t>
      </w:r>
    </w:p>
    <w:p w14:paraId="20CE60D2" w14:textId="77777777" w:rsidR="004322B1" w:rsidRPr="00AD2F44" w:rsidRDefault="004322B1">
      <w:pPr>
        <w:pStyle w:val="14Footnote"/>
      </w:pPr>
      <w:r w:rsidRPr="00AD2F44">
        <w:rPr>
          <w:i/>
          <w:iCs/>
        </w:rPr>
        <w:t>Eighth Circuit:</w:t>
      </w:r>
      <w:r w:rsidRPr="00AD2F44">
        <w:t xml:space="preserve"> Cruz v. TMI Hospitality, Inc., 2015 WL 6671334, at *17 (D. Minn. Oct. 30, 2015) (finding that individualized issues on number of hours worked did not overwhelm common issues presented in action); Nerland v. Caribou Coffee Co., 564 F. Supp. 2d 1010, 1025 (D. Minn. 2007).</w:t>
      </w:r>
    </w:p>
    <w:p w14:paraId="28651ED6" w14:textId="77777777" w:rsidR="004322B1" w:rsidRPr="00AD2F44" w:rsidRDefault="004322B1">
      <w:pPr>
        <w:pStyle w:val="14Footnote"/>
      </w:pPr>
      <w:r w:rsidRPr="00AD2F44">
        <w:rPr>
          <w:i/>
          <w:iCs/>
        </w:rPr>
        <w:t>Ninth Circuit:</w:t>
      </w:r>
      <w:r w:rsidRPr="00AD2F44">
        <w:t xml:space="preserve"> Campbell v. City of L.A., 903 F.3d 1090, 1117 (9th Cir. 2018) </w:t>
      </w:r>
      <w:r w:rsidRPr="00AD2F44">
        <w:br/>
        <w:t>(“[i]ndividualized damages cannot defeat collective treatment under the more forgiving standard” for FLSA collective certification); Gilmer v. Alameda-Contra Costa Transit Dist., 2011 WL 5242977, at *5–8 (N.D. Cal. Nov. 2, 2011) (denying decertification based on claim that some drivers did not work 40 hours, because court had previously found employer’s pre- and post-shift travel time policy unlawful, and rejecting argument that variations in damages justified decertification, as differences related to damage valuation, which was not a sufficient basis for decertification; relying on Ninth Circuit authority in Rule 23(b)(3) class cases); Smith v. Micron Elec., Inc., 2005 WL 5336571, at *3 (D. Idaho Feb. 4, 2005).</w:t>
      </w:r>
    </w:p>
    <w:p w14:paraId="4A5CBEF6" w14:textId="77777777" w:rsidR="004322B1" w:rsidRPr="00AD2F44" w:rsidRDefault="004322B1">
      <w:pPr>
        <w:pStyle w:val="14Footnote"/>
      </w:pPr>
      <w:r w:rsidRPr="00AD2F44">
        <w:rPr>
          <w:i/>
          <w:iCs/>
        </w:rPr>
        <w:t>Tenth Circuit:</w:t>
      </w:r>
      <w:r w:rsidRPr="00AD2F44">
        <w:t xml:space="preserve"> Underwood v. NMC Mortg. Corp., 2009 WL 1322588, at *4 (D. Kan. May 11, 2009) (reasoning that individualized defenses primarily related to hours worked by each of 32 class members, and this kind of “straightforward inquiry” did not undermine collective treatment).</w:t>
      </w:r>
    </w:p>
    <w:p w14:paraId="6316C2F0" w14:textId="77777777" w:rsidR="004322B1" w:rsidRPr="00AD2F44" w:rsidRDefault="004322B1">
      <w:pPr>
        <w:pStyle w:val="14Footnote"/>
      </w:pPr>
      <w:r w:rsidRPr="00AD2F44">
        <w:rPr>
          <w:i/>
          <w:iCs/>
        </w:rPr>
        <w:t>Eleventh Circuit:</w:t>
      </w:r>
      <w:r w:rsidRPr="00AD2F44">
        <w:t xml:space="preserve"> Hill v. Muscogee Cnty. Sch. Dist., 2005 WL 3526669, at *4 (M.D. Ga. Dec. 20, 2005); Bradford v. Bed Bath &amp; Beyond, Inc., 184 F. Supp. 2d 1342, 1351 (N.D. Ga. 2002).</w:t>
      </w:r>
    </w:p>
    <w:p w14:paraId="7B4151FE" w14:textId="77777777" w:rsidR="004322B1" w:rsidRPr="00AD2F44" w:rsidRDefault="004322B1">
      <w:pPr>
        <w:pStyle w:val="14Footnote"/>
      </w:pPr>
      <w:r w:rsidRPr="00AD2F44">
        <w:rPr>
          <w:i/>
          <w:iCs/>
        </w:rPr>
        <w:t>But see</w:t>
      </w:r>
      <w:r w:rsidRPr="00AD2F44">
        <w:t xml:space="preserve"> Rindfleisch v. Gentiva Servs., Inc., 22 F. Supp. 3d 1295, 1303 (N.D. Ga. 2014) (representative testimony regarding damages was not appropriate where evidence showed that not every plaintiff worked overtime).</w:t>
      </w:r>
    </w:p>
  </w:footnote>
  <w:footnote w:id="504">
    <w:p w14:paraId="13F37131" w14:textId="77777777" w:rsidR="004322B1" w:rsidRPr="00AD2F44" w:rsidRDefault="004322B1">
      <w:pPr>
        <w:pStyle w:val="14Footnote"/>
      </w:pPr>
      <w:r w:rsidRPr="00AD2F44">
        <w:rPr>
          <w:vertAlign w:val="superscript"/>
        </w:rPr>
        <w:footnoteRef/>
      </w:r>
      <w:r w:rsidRPr="00AD2F44">
        <w:rPr>
          <w:i/>
          <w:iCs/>
        </w:rPr>
        <w:t>Second Circuit:</w:t>
      </w:r>
      <w:r w:rsidRPr="00AD2F44">
        <w:t xml:space="preserve"> Indergit v. Rite Aid Corp., 52 F. Supp. 3d 522, 524 (S.D.N.Y. 2014) (“[T]he issue of damages does not preclude collective action, and the case can be bifurcated into liability and damages phases if and when it becomes necessary.”).</w:t>
      </w:r>
    </w:p>
    <w:p w14:paraId="7D4A1846" w14:textId="77777777" w:rsidR="004322B1" w:rsidRPr="00AD2F44" w:rsidRDefault="004322B1">
      <w:pPr>
        <w:pStyle w:val="14Footnote"/>
      </w:pPr>
      <w:r w:rsidRPr="00AD2F44">
        <w:rPr>
          <w:i/>
          <w:iCs/>
        </w:rPr>
        <w:t>Fifth Circuit:</w:t>
      </w:r>
      <w:r w:rsidRPr="00AD2F44">
        <w:t xml:space="preserve"> Mahoney v. Farmers Ins. Exch.,</w:t>
      </w:r>
      <w:r w:rsidRPr="00AD2F44">
        <w:rPr>
          <w:b/>
          <w:bCs/>
        </w:rPr>
        <w:t xml:space="preserve"> </w:t>
      </w:r>
      <w:r w:rsidRPr="00AD2F44">
        <w:t>2011 WL 4458513, at *10 (S.D. Tex. Sept. 23, 2011) (defendant’s concern over off-the-clock hours worked by 18 plaintiffs could be addressed through bifurcation, as liability stage would focus on classwide question of whether defendant knew or should have known of off-the-clock work, and damages phase would focus on number of overtime hours, overtime compensation, and extent to which off-the-clock work could be attributed to reasons other than company policies).</w:t>
      </w:r>
    </w:p>
    <w:p w14:paraId="1E922D78" w14:textId="77777777" w:rsidR="004322B1" w:rsidRPr="00AD2F44" w:rsidRDefault="004322B1">
      <w:pPr>
        <w:pStyle w:val="14Footnote"/>
      </w:pPr>
      <w:r w:rsidRPr="00AD2F44">
        <w:rPr>
          <w:i/>
          <w:iCs/>
        </w:rPr>
        <w:t>Eighth Circuit:</w:t>
      </w:r>
      <w:r w:rsidRPr="00AD2F44">
        <w:t xml:space="preserve"> Rikard v. U.S. Auto Prot., LLC, 2013 WL 5532688, at *3 (E.D. Mo. Oct. 4, 2013) (denying decertification motion, finding that the court will consider bifurcation into liability and damages phases, using the damages phase to debate the impact of any unlawful policy on plaintiffs); </w:t>
      </w:r>
      <w:r w:rsidRPr="00AD2F44">
        <w:rPr>
          <w:i/>
          <w:iCs/>
        </w:rPr>
        <w:t>Nerland</w:t>
      </w:r>
      <w:r w:rsidRPr="00AD2F44">
        <w:t>, 564 F. Supp. 2d at 1025.</w:t>
      </w:r>
    </w:p>
    <w:p w14:paraId="68E707C5" w14:textId="77777777" w:rsidR="004322B1" w:rsidRPr="00AD2F44" w:rsidRDefault="004322B1">
      <w:pPr>
        <w:pStyle w:val="14Footnote"/>
      </w:pPr>
      <w:r w:rsidRPr="00AD2F44">
        <w:rPr>
          <w:i/>
          <w:iCs/>
        </w:rPr>
        <w:t>Eleventh Circuit:</w:t>
      </w:r>
      <w:r w:rsidRPr="00AD2F44">
        <w:t xml:space="preserve"> Bobbit v. Broadband Interactive, Inc., 2013 WL 5720329, at *17 (M.D. Fla. Oct. 17, 2013) (agreeing that the number of overtime hours and extent of damages need to be determined on an individualized basis but can be handled in a separate damages phase).</w:t>
      </w:r>
    </w:p>
  </w:footnote>
  <w:footnote w:id="505">
    <w:p w14:paraId="0221ECBB" w14:textId="77777777" w:rsidR="004322B1" w:rsidRPr="00AD2F44" w:rsidRDefault="004322B1">
      <w:pPr>
        <w:pStyle w:val="14Footnote"/>
      </w:pPr>
      <w:r w:rsidRPr="00AD2F44">
        <w:rPr>
          <w:vertAlign w:val="superscript"/>
        </w:rPr>
        <w:footnoteRef/>
      </w:r>
      <w:r w:rsidRPr="00AD2F44">
        <w:t>Prise v. Alderwoods Grp., Inc., 817 F. Supp. 2d 651 (W.D. Pa. 2011) (rejecting proposal for bifurcation as method to avoid decertification; various defenses asserted were too individualized and the case would devolve into hundreds of mini-trials). See also §V.B [Case Management Issues; Bifurcation of Liability and Damages] of this chapter.</w:t>
      </w:r>
    </w:p>
  </w:footnote>
  <w:footnote w:id="506">
    <w:p w14:paraId="6A838571" w14:textId="77777777" w:rsidR="004322B1" w:rsidRPr="00AD2F44" w:rsidRDefault="004322B1">
      <w:pPr>
        <w:pStyle w:val="14Footnote"/>
      </w:pPr>
      <w:r w:rsidRPr="00AD2F44">
        <w:rPr>
          <w:vertAlign w:val="superscript"/>
        </w:rPr>
        <w:footnoteRef/>
      </w:r>
      <w:r w:rsidRPr="00AD2F44">
        <w:t>Drake v. Steak N Shake Operations, Inc., 286 F. Supp. 3d 1040, 1045 (E.D. Mo. 2017) (denying decertification motion, recognizing that defendant’s unclean hands defense based on plaintiffs signing “Certification of Job Duties” form was common to collective);</w:t>
      </w:r>
      <w:r w:rsidRPr="00AD2F44">
        <w:rPr>
          <w:i/>
          <w:iCs/>
        </w:rPr>
        <w:t xml:space="preserve"> Allen</w:t>
      </w:r>
      <w:r w:rsidRPr="00AD2F44">
        <w:t xml:space="preserve">, 2014 WL 5461856, at *7 (finding that liquidated damages defense would apply similarly to each opt-in plaintiff); Frank v. Gold’n Plump Poultry, Inc., 2007 WL 2780504, at *4 (D. Minn. Sept. 24, 2007) (concluding the employer’s arguments regarding whether donning and doffing constituted compensable work, whether the amount of time spent could be considered de minimis, and whether the employer acted in good faith could be litigated on a classwide basis); </w:t>
      </w:r>
      <w:r w:rsidRPr="00AD2F44">
        <w:rPr>
          <w:i/>
          <w:iCs/>
        </w:rPr>
        <w:t>see also</w:t>
      </w:r>
      <w:r w:rsidRPr="00AD2F44">
        <w:t xml:space="preserve"> Wilks v. Pep Boys, 2006 WL 2821700, at *7 (M.D. Tenn. Sept. 26, 2006) (denying decertification motion where the defenses, including evidence of lawful employment policies and practices, can be raised collectively).</w:t>
      </w:r>
    </w:p>
  </w:footnote>
  <w:footnote w:id="507">
    <w:p w14:paraId="52A33324" w14:textId="77777777" w:rsidR="004322B1" w:rsidRPr="00AD2F44" w:rsidRDefault="004322B1">
      <w:pPr>
        <w:pStyle w:val="14Footnote"/>
      </w:pPr>
      <w:r w:rsidRPr="00AD2F44">
        <w:rPr>
          <w:vertAlign w:val="superscript"/>
        </w:rPr>
        <w:footnoteRef/>
      </w:r>
      <w:r w:rsidRPr="00AD2F44">
        <w:t xml:space="preserve">Geter v. Galardi S. Enters., Inc., 2015 WL 2384068, at *5 (S.D. Fla. May 19, 2015) (holding that decertification was not necessary where it appeared set-off defense could be applied across the board); Smith v. Family Video Movie Club, Inc., 2015 WL 1542649, at *8 (N.D. Ill. Mar. 31, 2015) (finding that setoff claimed for 30-minute paid meal breaks could be efficiently managed when computing damages). </w:t>
      </w:r>
    </w:p>
  </w:footnote>
  <w:footnote w:id="508">
    <w:p w14:paraId="59EDDCEB" w14:textId="77777777" w:rsidR="004322B1" w:rsidRPr="00AD2F44" w:rsidRDefault="004322B1">
      <w:pPr>
        <w:pStyle w:val="14Footnote"/>
      </w:pPr>
      <w:r w:rsidRPr="00AD2F44">
        <w:rPr>
          <w:vertAlign w:val="superscript"/>
        </w:rPr>
        <w:footnoteRef/>
      </w:r>
      <w:r w:rsidRPr="00AD2F44">
        <w:rPr>
          <w:i/>
          <w:iCs/>
        </w:rPr>
        <w:t>See, e.g</w:t>
      </w:r>
      <w:r w:rsidRPr="00AD2F44">
        <w:t>., Morgan v. Family Dollar Stores, Inc., 551 F.3d 1233, 1264 (11th Cir. 2008); Khadera v. ABM Indus., Inc., 2011 WL 7064235, at *6 (W.D. Wash. Dec. 1, 2011) (reasoning that sample testimony and representative evidence on damages could be used to litigate claims collectively).</w:t>
      </w:r>
    </w:p>
  </w:footnote>
  <w:footnote w:id="509">
    <w:p w14:paraId="15411258" w14:textId="77777777" w:rsidR="004322B1" w:rsidRPr="00AD2F44" w:rsidRDefault="004322B1">
      <w:pPr>
        <w:pStyle w:val="14Footnote"/>
      </w:pPr>
      <w:r w:rsidRPr="00AD2F44">
        <w:rPr>
          <w:vertAlign w:val="superscript"/>
        </w:rPr>
        <w:footnoteRef/>
      </w:r>
      <w:r w:rsidRPr="00AD2F44">
        <w:rPr>
          <w:i/>
        </w:rPr>
        <w:t>Compare</w:t>
      </w:r>
    </w:p>
    <w:p w14:paraId="7C696DD1" w14:textId="77777777" w:rsidR="004322B1" w:rsidRPr="00AD2F44" w:rsidRDefault="004322B1">
      <w:pPr>
        <w:pStyle w:val="14Footnote"/>
      </w:pPr>
      <w:r w:rsidRPr="00AD2F44">
        <w:rPr>
          <w:i/>
          <w:iCs/>
        </w:rPr>
        <w:t>Second Circuit:</w:t>
      </w:r>
      <w:r w:rsidRPr="00AD2F44">
        <w:t xml:space="preserve"> Vecchio v. Quest Diagnostics Inc., 2020 BL 358141, 2020 WL 5604080 (S.D.N.Y. Sept. 18, 2020) (granting decertification motion, finding lack of common evidence for hours worked and defendant’s knowledge of hours worked); Harper v. Government Emps. Ins. Co., 2015 WL 9673810, at *4 (E.D.N.Y. Nov. 16, 2015); DeSilva v. North Shore-Long Island Jewish Health Sys., Inc., 27 F. Supp. 3d 313, 325–26 (E.D.N.Y. 2014) (decertifying action where plaintiffs’ burden to show that employer had actual or constructive knowledge of claimed off-the-clock work required individual determinations); Zivali v. AT&amp;T Mobility, LLC, 784 F. Supp. 2d 456, 467–68 (S.D.N.Y. 2011) (granting decertification in off-the-clock case where there was no company policy or practice of encouraging off-the-clock work and, thus, plaintiffs would have to prove prima facie case of such work individually and defendant could challenge some claims as de minimis);</w:t>
      </w:r>
    </w:p>
    <w:p w14:paraId="73A6DF70" w14:textId="77777777" w:rsidR="004322B1" w:rsidRPr="00AD2F44" w:rsidRDefault="004322B1">
      <w:pPr>
        <w:pStyle w:val="14Footnote"/>
      </w:pPr>
      <w:r w:rsidRPr="00AD2F44">
        <w:rPr>
          <w:i/>
          <w:iCs/>
        </w:rPr>
        <w:t>Third Circuit:</w:t>
      </w:r>
      <w:r w:rsidRPr="00AD2F44">
        <w:t xml:space="preserve"> Bell v. Reading Hosp. &amp; Med. Ctr., 2016 WL 3902938, at *12 (E.D. Pa. July 19, 2016) (“When plaintiffs allege that FLSA violations result from the </w:t>
      </w:r>
      <w:r w:rsidRPr="00AD2F44">
        <w:rPr>
          <w:i/>
          <w:iCs/>
        </w:rPr>
        <w:t>enforcement</w:t>
      </w:r>
      <w:r w:rsidRPr="00AD2F44">
        <w:t xml:space="preserve"> decisions of individual supervisors … collective treatment is not appropriate.”); Prise v. Alderwoods Grp., Inc., 817 F. Supp. 2d 651, 681 (W.D. Pa. 2011) (granting decertification of nationwide collective action where evidence demonstrated that evaluation of claims would devolve into individualized inquiries);</w:t>
      </w:r>
    </w:p>
    <w:p w14:paraId="63D6B6E8" w14:textId="77777777" w:rsidR="004322B1" w:rsidRPr="00AD2F44" w:rsidRDefault="004322B1">
      <w:pPr>
        <w:pStyle w:val="14Footnote"/>
      </w:pPr>
      <w:r w:rsidRPr="00AD2F44">
        <w:rPr>
          <w:i/>
          <w:iCs/>
        </w:rPr>
        <w:t>Fifth Circuit:</w:t>
      </w:r>
      <w:r w:rsidRPr="00AD2F44">
        <w:t xml:space="preserve"> Reyes v. Texas EZPawn, L.P., 2007 WL 101808, at *5 (S.D. Tex. Jan. 8, 2007) (explaining defendants in an exemption case intended to use employment records, performance reviews, and internal complaint procedure records to support each plaintiff’s classification as an exempt employee); England v. New Century Fin. Corp., 370 F. Supp. 2d 504, 511 (M.D. La. 2005) (finding individualized inquiries would predominate because of different locations, managers, and factual situations, as evidenced in part by plaintiffs’ counsel’s estimate of need for 200–400 depositions); Basco v. Wal-Mart Stores, Inc., 2004 WL 1497709, at *8 (E.D. La. July 2, 2004) (applying criteria from first- and second-stage analysis after significant discovery had been conducted to deny certification of off-the-clock collective action where defendant was entitled to contest whether any uncompensated work occurred, whether uncompensated work was compensable, whether managers were aware of uncompensated work, whether plaintiffs properly availed themselves of company’s timekeeping system, whether preliminary and postliminary activities were compensable, whether uncompensated work was de minimis, whether individual claims were barred on statute of limitations grounds, and whether each individual manager acted in good faith);</w:t>
      </w:r>
    </w:p>
    <w:p w14:paraId="3F33DFC9" w14:textId="77777777" w:rsidR="004322B1" w:rsidRPr="00AD2F44" w:rsidRDefault="004322B1">
      <w:pPr>
        <w:pStyle w:val="14Footnote"/>
      </w:pPr>
      <w:r w:rsidRPr="00AD2F44">
        <w:rPr>
          <w:i/>
          <w:iCs/>
        </w:rPr>
        <w:t>Eighth Circuit:</w:t>
      </w:r>
      <w:r w:rsidRPr="00AD2F44">
        <w:t xml:space="preserve"> Arnold v. DirecTV, LLC, 2017 WL 1251033, at *8 (E.D. Mo. Mar. 31, 2017) (decertifying collective action including 800 current and former DirecTV technicians, in part, due to individualized defenses: “The Court has already ruled on DirecTV’s motions for summary judgment, finding that the applicability of the 7(i) exemption and the Employee Commuting Flexibility Act, as well as the statute of limitations issue (and willfulness), are not common questions that can be determined as a matter of law based on representative testimony. Defenses raised as to individual Plaintiffs, i.e., unclean hands, judicial estoppel, and the failure of certain Plaintiffs to fit within the class definition, further highlight the distinctions between the Plaintiffs’ claims and, therefore, favor decertification.”); King v. West Corp., 2006 WL 118577, at *15 (D. Neb. Jan. 13, 2006) (decertifying a class in part because defendant intended to offer individualized defenses regarding whether uncompensated work occurred, whether time spent performing such work was de minimis, and whether plaintiffs had scheduling flexibility, and noting “[d]isparate individual defenses heighten the individuality of the claims, and requiring the defendant to raise these arguments in a class action suit undermines its ability to mount a clear and coherent defense to the case and significantly complicates trial management”);</w:t>
      </w:r>
    </w:p>
    <w:p w14:paraId="441D0560" w14:textId="77777777" w:rsidR="004322B1" w:rsidRPr="00AD2F44" w:rsidRDefault="004322B1">
      <w:pPr>
        <w:pStyle w:val="14Footnote"/>
      </w:pPr>
      <w:r w:rsidRPr="00AD2F44">
        <w:rPr>
          <w:i/>
          <w:iCs/>
        </w:rPr>
        <w:t>Ninth Circuit:</w:t>
      </w:r>
      <w:r w:rsidRPr="00AD2F44">
        <w:t xml:space="preserve"> Espinosa v. County of Fresno, 290 F.R.D. 494, 506 (E.D. Cal. 2013) (“Courts have found that the </w:t>
      </w:r>
      <w:r w:rsidRPr="00AD2F44">
        <w:rPr>
          <w:i/>
          <w:iCs/>
        </w:rPr>
        <w:t>de minimis</w:t>
      </w:r>
      <w:r w:rsidRPr="00AD2F44">
        <w:t xml:space="preserve"> issue can support a finding of decertification”); Beauperthuy v. 24 Hour Fitness USA, Inc., 772 F. Supp. 2d 1111, 1125–26 (N.D. Cal. 2011) (granting decertification in case testing §207(i) exemption, because weekly analysis required by statute, coupled with variations in wages and commissions based on experience, certification level, and time period worked all led to conclusion that inquiry would be highly individualized and not capable of resolution by common proof); </w:t>
      </w:r>
      <w:r w:rsidRPr="00AD2F44">
        <w:rPr>
          <w:i/>
          <w:iCs/>
        </w:rPr>
        <w:t>and</w:t>
      </w:r>
    </w:p>
    <w:p w14:paraId="2864082C" w14:textId="77777777" w:rsidR="004322B1" w:rsidRPr="00AD2F44" w:rsidRDefault="004322B1">
      <w:pPr>
        <w:pStyle w:val="14Footnote"/>
      </w:pPr>
      <w:r w:rsidRPr="00AD2F44">
        <w:rPr>
          <w:i/>
          <w:iCs/>
        </w:rPr>
        <w:t>Eleventh Circuit:</w:t>
      </w:r>
      <w:r w:rsidRPr="00AD2F44">
        <w:t xml:space="preserve"> Blandon v. Waste Pro USA, Inc., 2021 WL 7447594 (M.D. Fla. Dec. 21, 2021) (holding individualized defenses favored decertification based on applicability of Motor Carrier Exemption and whether alleged overtime work was de minimis); Williams v. Accredited Home Lenders, Inc., 2006 WL 2085312, at *5 (N.D. Ga. July 25, 2006) (decertifying the class where plaintiffs intended to use computer activity reports, emails, and phone records to prove hundreds of small overtime claims and the cost of litigating such issues “is mind boggling” and “[t]he waste of scarce judicial resources of conducting such a trial would be unconscionable”); Epps v. Oak St. Mortg. LLC, 2006 WL 1460273, at *8 (M.D. Fla. May 22, 2006) (granting decertification to nonexempt subclass where defendant intended to contest when each plaintiff worked off the clock, if each plaintiff even worked 40 hours in a given week, whether each manager knew about the off-the-clock work, whether the plaintiffs failed to take advantage of the company’s time system, whether any off-the-clock work was de minimis, and whether each manager acted in good faith);</w:t>
      </w:r>
    </w:p>
    <w:p w14:paraId="209A40BA" w14:textId="77777777" w:rsidR="004322B1" w:rsidRPr="00AD2F44" w:rsidRDefault="004322B1">
      <w:pPr>
        <w:pStyle w:val="14Footnote"/>
        <w:rPr>
          <w:i/>
          <w:iCs/>
        </w:rPr>
      </w:pPr>
      <w:r w:rsidRPr="00AD2F44">
        <w:rPr>
          <w:i/>
          <w:iCs/>
        </w:rPr>
        <w:t>with</w:t>
      </w:r>
    </w:p>
    <w:p w14:paraId="58B1D0A6" w14:textId="77777777" w:rsidR="004322B1" w:rsidRPr="00AD2F44" w:rsidRDefault="004322B1">
      <w:pPr>
        <w:pStyle w:val="14Footnote"/>
      </w:pPr>
      <w:r w:rsidRPr="00AD2F44">
        <w:rPr>
          <w:i/>
          <w:iCs/>
        </w:rPr>
        <w:t>Fifth Circuit:</w:t>
      </w:r>
      <w:r w:rsidRPr="00AD2F44">
        <w:t xml:space="preserve"> Falcon v. Starbucks, 580 F. Supp. 2d 528, 540 (S.D. Tex. 2008) (rejecting defendant’s argument that decertification was necessary because court would be required to conduct “mini-trials” into whether off-the-clock activities were compensable, whether defendant had actual or constructive knowledge of off-the-clock work, and whether off-the-clock work was de minimis);</w:t>
      </w:r>
    </w:p>
    <w:p w14:paraId="389E492C" w14:textId="77777777" w:rsidR="004322B1" w:rsidRPr="00AD2F44" w:rsidRDefault="004322B1">
      <w:pPr>
        <w:pStyle w:val="14Footnote"/>
      </w:pPr>
      <w:r w:rsidRPr="00AD2F44">
        <w:rPr>
          <w:i/>
          <w:iCs/>
        </w:rPr>
        <w:t>Eighth Circuit:</w:t>
      </w:r>
      <w:r w:rsidRPr="00AD2F44">
        <w:t xml:space="preserve"> Ahle v. Veracity Rsch. Co., 738 F. Supp. 2d 896, 923 (D. Minn. 2010) (denying decertification where court had determined that various asserted exemptions did not apply, so applicability of exemptions would not need to be evaluated individually, and criticizing argument that applicability of exemptions needs to be evaluated individually, because it would undermine FLSA collective action device (citing cases));</w:t>
      </w:r>
    </w:p>
    <w:p w14:paraId="2B69E0CC" w14:textId="77777777" w:rsidR="004322B1" w:rsidRPr="00AD2F44" w:rsidRDefault="004322B1">
      <w:pPr>
        <w:pStyle w:val="14Footnote"/>
      </w:pPr>
      <w:r w:rsidRPr="00AD2F44">
        <w:rPr>
          <w:i/>
          <w:iCs/>
        </w:rPr>
        <w:t>Ninth Circuit:</w:t>
      </w:r>
      <w:r w:rsidRPr="00AD2F44">
        <w:t xml:space="preserve"> Lillehagen v. Alorica, Inc., 2014 WL 6989230, at *29 (C.D. Cal. Dec. 10, 2014) (denying decertification motion and finding that issue of whether employer had actual or constructive knowledge of unpaid log-out episodes and breaks did not require individualized analysis); </w:t>
      </w:r>
      <w:r w:rsidRPr="00AD2F44">
        <w:rPr>
          <w:i/>
          <w:iCs/>
        </w:rPr>
        <w:t>and</w:t>
      </w:r>
    </w:p>
    <w:p w14:paraId="17E1B459" w14:textId="77777777" w:rsidR="004322B1" w:rsidRPr="00AD2F44" w:rsidRDefault="004322B1">
      <w:pPr>
        <w:pStyle w:val="14Footnote"/>
      </w:pPr>
      <w:r w:rsidRPr="00AD2F44">
        <w:rPr>
          <w:i/>
          <w:iCs/>
        </w:rPr>
        <w:t>Eleventh Circuit:</w:t>
      </w:r>
      <w:r w:rsidRPr="00AD2F44">
        <w:t xml:space="preserve"> Bradford v. Bed Bath &amp; Beyond, 184 F. Supp. 2d 1342 (N.D. Ga. 2002) (rejecting decertification in managerial exemption case where job duties of plaintiffs across stores were “substantially similar” such that individualized defenses did not present difficulty for proceeding collectively).</w:t>
      </w:r>
    </w:p>
  </w:footnote>
  <w:footnote w:id="510">
    <w:p w14:paraId="48D083B0" w14:textId="77777777" w:rsidR="004322B1" w:rsidRPr="00AD2F44" w:rsidRDefault="004322B1">
      <w:pPr>
        <w:pStyle w:val="14Footnote"/>
      </w:pPr>
      <w:r w:rsidRPr="00AD2F44">
        <w:rPr>
          <w:vertAlign w:val="superscript"/>
        </w:rPr>
        <w:footnoteRef/>
      </w:r>
      <w:r w:rsidRPr="00AD2F44">
        <w:rPr>
          <w:i/>
          <w:iCs/>
        </w:rPr>
        <w:t>See, e.g.,</w:t>
      </w:r>
    </w:p>
    <w:p w14:paraId="0258CA1D" w14:textId="77777777" w:rsidR="004322B1" w:rsidRPr="00AD2F44" w:rsidRDefault="004322B1">
      <w:pPr>
        <w:pStyle w:val="14Footnote"/>
      </w:pPr>
      <w:r w:rsidRPr="00AD2F44">
        <w:rPr>
          <w:i/>
          <w:iCs/>
        </w:rPr>
        <w:t>First Circuit:</w:t>
      </w:r>
      <w:r w:rsidRPr="00AD2F44">
        <w:t xml:space="preserve"> Noll v. Flowers Foods, Inc., 478 F. Supp. 3d. 59 (D. Me. 2020) (granting decertification upon finding disparate evidence on application of “small” or “personal” vehicle exception to Motor Carrier Act’s exemption defense). </w:t>
      </w:r>
    </w:p>
    <w:p w14:paraId="234E5F7A" w14:textId="77777777" w:rsidR="004322B1" w:rsidRPr="00AD2F44" w:rsidRDefault="004322B1">
      <w:pPr>
        <w:pStyle w:val="14Footnote"/>
      </w:pPr>
      <w:r w:rsidRPr="00AD2F44">
        <w:rPr>
          <w:i/>
          <w:iCs/>
        </w:rPr>
        <w:t>Second Circuit: DeSilva</w:t>
      </w:r>
      <w:r w:rsidRPr="00AD2F44">
        <w:t xml:space="preserve">, 27 F. Supp. 3d at 326 (granting decertification motion where defendants intended to argue that some members of putative class were exempt employees). </w:t>
      </w:r>
    </w:p>
    <w:p w14:paraId="10B193DB" w14:textId="77777777" w:rsidR="004322B1" w:rsidRPr="00AD2F44" w:rsidRDefault="004322B1">
      <w:pPr>
        <w:pStyle w:val="14Footnote"/>
      </w:pPr>
      <w:r w:rsidRPr="00AD2F44">
        <w:rPr>
          <w:i/>
          <w:iCs/>
        </w:rPr>
        <w:t xml:space="preserve">Fifth Circuit: </w:t>
      </w:r>
      <w:r w:rsidRPr="00AD2F44">
        <w:t>Sanders v. Latshaw Drilling Co., LLC, 2019 WL 1209769 (N.D. Tex. Mar.14, 2019) (finding that individual defenses were present regarding whether workers were misclassified as exempt (as plaintiffs worked in different job titles, worked in different divisions, performed different tasks, and exercised different levels of discretion), such that certification was inapplicable); Vanzzini v. Action Meat Distribs., Inc., 995 F. Supp. 2d 703, 720–21 (S.D. Tex. 2014) (decertifying collective action where one plaintiff was subject to Motor Carrier Act exemption defense and other class members were not).</w:t>
      </w:r>
    </w:p>
  </w:footnote>
  <w:footnote w:id="511">
    <w:p w14:paraId="0781FC73" w14:textId="77777777" w:rsidR="004322B1" w:rsidRPr="00AD2F44" w:rsidRDefault="004322B1">
      <w:pPr>
        <w:pStyle w:val="14Footnote"/>
      </w:pPr>
      <w:r w:rsidRPr="00AD2F44">
        <w:rPr>
          <w:vertAlign w:val="superscript"/>
        </w:rPr>
        <w:footnoteRef/>
      </w:r>
      <w:r w:rsidRPr="00AD2F44">
        <w:rPr>
          <w:i/>
          <w:iCs/>
        </w:rPr>
        <w:t xml:space="preserve">Fourth Circuit: </w:t>
      </w:r>
      <w:r w:rsidRPr="00AD2F44">
        <w:t>Rehberg v. Flowers Baking Co. of Jamestown, LLC, 2015 WL 1346125, at *18 (W.D.N.C. Mar. 24, 2015) (holding that possibility of Motor Carrier Act and outside sales exemption defenses did not overwhelm similarly situated analysis where primary inquiry was for court to determine whether distributors were misclassified as independent contractors).</w:t>
      </w:r>
    </w:p>
    <w:p w14:paraId="20BE6A9F" w14:textId="77777777" w:rsidR="004322B1" w:rsidRPr="00AD2F44" w:rsidRDefault="004322B1">
      <w:pPr>
        <w:pStyle w:val="14Footnote"/>
      </w:pPr>
      <w:r w:rsidRPr="00AD2F44">
        <w:rPr>
          <w:i/>
          <w:iCs/>
        </w:rPr>
        <w:t xml:space="preserve">Ninth Circuit: </w:t>
      </w:r>
      <w:r w:rsidRPr="00AD2F44">
        <w:t>Collinge v. IntelliQuick Delivery, Inc., 2015 WL 1292444, at *8–9 (D. Ariz. Mar. 23, 2015) (denying motion for decertification in independent contractor misclassification case where application of Motor Carrier Act exemption defense did not require individualized showing or those subject to defense could be easily identified).</w:t>
      </w:r>
    </w:p>
    <w:p w14:paraId="440D1AFF" w14:textId="77777777" w:rsidR="004322B1" w:rsidRPr="00AD2F44" w:rsidRDefault="004322B1">
      <w:pPr>
        <w:pStyle w:val="14Footnote"/>
      </w:pPr>
      <w:r w:rsidRPr="00AD2F44">
        <w:rPr>
          <w:i/>
          <w:iCs/>
        </w:rPr>
        <w:t xml:space="preserve">Eleventh Circuit: </w:t>
      </w:r>
      <w:r w:rsidRPr="00AD2F44">
        <w:t>Geter v. Galardi S. Enters., Inc., 2015 WL 2384068, at *2 (S.D. Fla. May 19, 2015) (denying motion to decertify independent contractor misclassification case filed by exotic dancers; finding that application of creative, artistic professional exemption to any or all plaintiffs would not be hampered by proceeding as collective action).</w:t>
      </w:r>
    </w:p>
  </w:footnote>
  <w:footnote w:id="512">
    <w:p w14:paraId="45D17C2F" w14:textId="77777777" w:rsidR="004322B1" w:rsidRPr="00AD2F44" w:rsidRDefault="004322B1">
      <w:pPr>
        <w:pStyle w:val="14Footnote"/>
      </w:pPr>
      <w:r w:rsidRPr="00AD2F44">
        <w:rPr>
          <w:vertAlign w:val="superscript"/>
        </w:rPr>
        <w:footnoteRef/>
      </w:r>
      <w:r w:rsidRPr="00AD2F44">
        <w:rPr>
          <w:i/>
          <w:iCs/>
        </w:rPr>
        <w:t xml:space="preserve">Compare </w:t>
      </w:r>
      <w:r w:rsidRPr="00AD2F44">
        <w:t xml:space="preserve">Sargent v. HG Staffing, LLC, 171 F. Supp. 3d 1063, 1082–83 (D. Nev. 2016) (determining whether work performed off the clock was de minimis required individualized inquiries and favored decertification), DeSilva v. North Shore-Long Island Jewish Health Sys., Inc., 27 F. Supp. 3d 313, 326 (E.D.N.Y. 2014) (finding that de minimis defense required individual analysis and weighed against certification), </w:t>
      </w:r>
      <w:r w:rsidRPr="00AD2F44">
        <w:rPr>
          <w:i/>
          <w:iCs/>
        </w:rPr>
        <w:t>and</w:t>
      </w:r>
      <w:r w:rsidRPr="00AD2F44">
        <w:t xml:space="preserve"> Brewer v. General Nutrition Corp., 2014 WL 5877695, at *16 (N.D. Cal. Nov. 12, 2014), </w:t>
      </w:r>
      <w:r w:rsidRPr="00AD2F44">
        <w:rPr>
          <w:i/>
          <w:iCs/>
        </w:rPr>
        <w:t>with</w:t>
      </w:r>
      <w:r w:rsidRPr="00AD2F44">
        <w:t xml:space="preserve"> Cruz v. TMI Hospitality, Inc., 2015 WL 6671334, at *17 (D. Minn. Oct. 30, 2015) (finding that estoppel defense could be litigated on collective basis), </w:t>
      </w:r>
      <w:r w:rsidRPr="00AD2F44">
        <w:rPr>
          <w:i/>
          <w:iCs/>
        </w:rPr>
        <w:t xml:space="preserve">and </w:t>
      </w:r>
      <w:r w:rsidRPr="00AD2F44">
        <w:t xml:space="preserve">Allen v. City of Chi., 2014 WL 5461856, at *8 (N.D. Ill. Oct. 22, 2014) (denying decertification motion and noting that, although some plaintiffs’ claims may not exceed de minimis or setoff thresholds, that issue would not be unduly difficult to determine if necessary after court determined whether city maintained policy that violated FLSA), </w:t>
      </w:r>
      <w:r w:rsidRPr="00AD2F44">
        <w:rPr>
          <w:i/>
          <w:iCs/>
        </w:rPr>
        <w:t>aff’d on other grounds,</w:t>
      </w:r>
      <w:r w:rsidRPr="00AD2F44">
        <w:t xml:space="preserve"> 865 F.3d 936 (7th Cir. 2017). </w:t>
      </w:r>
    </w:p>
  </w:footnote>
  <w:footnote w:id="513">
    <w:p w14:paraId="1095DEDC" w14:textId="77777777" w:rsidR="004322B1" w:rsidRPr="00AD2F44" w:rsidRDefault="004322B1">
      <w:pPr>
        <w:pStyle w:val="14Footnote"/>
      </w:pPr>
      <w:r w:rsidRPr="00AD2F44">
        <w:rPr>
          <w:vertAlign w:val="superscript"/>
        </w:rPr>
        <w:footnoteRef/>
      </w:r>
      <w:r w:rsidRPr="00AD2F44">
        <w:rPr>
          <w:i/>
          <w:iCs/>
        </w:rPr>
        <w:t>See, e.g.,</w:t>
      </w:r>
      <w:r w:rsidRPr="00AD2F44">
        <w:t xml:space="preserve"> Tanner v. TPUSA, Inc., 2015 WL 6940118, at *5–7 (M.D. Ga. Nov. 9, 2015) (“Taken together, </w:t>
      </w:r>
      <w:r w:rsidRPr="00AD2F44">
        <w:rPr>
          <w:i/>
          <w:iCs/>
        </w:rPr>
        <w:t>Morgan</w:t>
      </w:r>
      <w:r w:rsidRPr="00AD2F44">
        <w:t xml:space="preserve"> [</w:t>
      </w:r>
      <w:r w:rsidRPr="00AD2F44">
        <w:rPr>
          <w:i/>
          <w:iCs/>
        </w:rPr>
        <w:t>v. Family Dollar Stores, Inc.</w:t>
      </w:r>
      <w:r w:rsidRPr="00AD2F44">
        <w:t xml:space="preserve">, 551 F.3d 1233 (11th Cir. 2008),] and </w:t>
      </w:r>
      <w:r w:rsidRPr="00AD2F44">
        <w:rPr>
          <w:i/>
          <w:iCs/>
        </w:rPr>
        <w:t>Rindfleisch</w:t>
      </w:r>
      <w:r w:rsidRPr="00AD2F44">
        <w:t xml:space="preserve"> [</w:t>
      </w:r>
      <w:r w:rsidRPr="00AD2F44">
        <w:rPr>
          <w:i/>
          <w:iCs/>
        </w:rPr>
        <w:t>v. Gentiva Servs., Inc.</w:t>
      </w:r>
      <w:r w:rsidRPr="00AD2F44">
        <w:t xml:space="preserve">, 22 F. Supp. 3d 1295 (N.D. Ga. 2014),] support this Court’s and other courts’ conclusion that distinctions among plaintiffs’ individual damages may not be a basis for decertification but where class-wide liability is not established, decertification is appropriate.”); Willoughby v. Youth Vills., Inc., 113 F. Supp. 3d 1265, 1275 (N.D. Ga. 2015) (holding that “collective action is improper when actual liability cannot be established on a class-wide basis” and that “as a general rule, a group of opt-in plaintiffs cannot be similarly situated for the purposes of a collective action when individual determinations regarding liability must be made”). </w:t>
      </w:r>
    </w:p>
  </w:footnote>
  <w:footnote w:id="514">
    <w:p w14:paraId="609351D8" w14:textId="77777777" w:rsidR="004322B1" w:rsidRPr="00AD2F44" w:rsidRDefault="004322B1">
      <w:pPr>
        <w:pStyle w:val="14Footnote"/>
      </w:pPr>
      <w:r w:rsidRPr="00AD2F44">
        <w:rPr>
          <w:vertAlign w:val="superscript"/>
        </w:rPr>
        <w:footnoteRef/>
      </w:r>
      <w:r w:rsidRPr="00AD2F44">
        <w:t>705 F.3d 770 (7th Cir. 2013).</w:t>
      </w:r>
    </w:p>
  </w:footnote>
  <w:footnote w:id="515">
    <w:p w14:paraId="0EB7C6F4" w14:textId="77777777" w:rsidR="004322B1" w:rsidRPr="00AD2F44" w:rsidRDefault="004322B1">
      <w:pPr>
        <w:pStyle w:val="14Footnote"/>
      </w:pPr>
      <w:r w:rsidRPr="00AD2F44">
        <w:rPr>
          <w:vertAlign w:val="superscript"/>
        </w:rPr>
        <w:footnoteRef/>
      </w:r>
      <w:r w:rsidRPr="00AD2F44">
        <w:rPr>
          <w:i/>
          <w:iCs/>
        </w:rPr>
        <w:t>Id.</w:t>
      </w:r>
      <w:r w:rsidRPr="00AD2F44">
        <w:t xml:space="preserve"> at 771–72.</w:t>
      </w:r>
    </w:p>
  </w:footnote>
  <w:footnote w:id="516">
    <w:p w14:paraId="3B583F4E" w14:textId="77777777" w:rsidR="004322B1" w:rsidRPr="00AD2F44" w:rsidRDefault="004322B1">
      <w:pPr>
        <w:pStyle w:val="14Footnote"/>
      </w:pPr>
      <w:r w:rsidRPr="00AD2F44">
        <w:rPr>
          <w:vertAlign w:val="superscript"/>
        </w:rPr>
        <w:footnoteRef/>
      </w:r>
      <w:r w:rsidRPr="00AD2F44">
        <w:rPr>
          <w:i/>
          <w:iCs/>
        </w:rPr>
        <w:t>Id</w:t>
      </w:r>
      <w:r w:rsidRPr="00AD2F44">
        <w:t>. at 772–73.</w:t>
      </w:r>
    </w:p>
  </w:footnote>
  <w:footnote w:id="517">
    <w:p w14:paraId="438163CF" w14:textId="77777777" w:rsidR="004322B1" w:rsidRPr="00AD2F44" w:rsidRDefault="004322B1">
      <w:pPr>
        <w:pStyle w:val="14Footnote"/>
      </w:pPr>
      <w:r w:rsidRPr="00AD2F44">
        <w:rPr>
          <w:vertAlign w:val="superscript"/>
        </w:rPr>
        <w:footnoteRef/>
      </w:r>
      <w:r w:rsidRPr="00AD2F44">
        <w:rPr>
          <w:i/>
          <w:iCs/>
        </w:rPr>
        <w:t>Id</w:t>
      </w:r>
      <w:r w:rsidRPr="00AD2F44">
        <w:t>. at 773.</w:t>
      </w:r>
    </w:p>
  </w:footnote>
  <w:footnote w:id="518">
    <w:p w14:paraId="55DED92F"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id</w:t>
      </w:r>
      <w:r w:rsidRPr="00AD2F44">
        <w:t xml:space="preserve">. at 774. </w:t>
      </w:r>
      <w:r w:rsidRPr="00AD2F44">
        <w:rPr>
          <w:i/>
          <w:iCs/>
        </w:rPr>
        <w:t>But see</w:t>
      </w:r>
      <w:r w:rsidRPr="00AD2F44">
        <w:t xml:space="preserve"> Butler v. DirectSAT USA, 47 F. Supp. 3d 300, 306 (D. Md. 2014) (distinguishing </w:t>
      </w:r>
      <w:r w:rsidRPr="00AD2F44">
        <w:rPr>
          <w:i/>
          <w:iCs/>
        </w:rPr>
        <w:t xml:space="preserve">Espenscheid </w:t>
      </w:r>
      <w:r w:rsidRPr="00AD2F44">
        <w:t>and finding that it is possible to go through each plaintiffs’ damages individually if need be with class of only 26 plaintiffs).</w:t>
      </w:r>
    </w:p>
  </w:footnote>
  <w:footnote w:id="519">
    <w:p w14:paraId="613EC9DF" w14:textId="77777777" w:rsidR="004322B1" w:rsidRPr="00AD2F44" w:rsidRDefault="004322B1">
      <w:pPr>
        <w:pStyle w:val="14Footnote"/>
      </w:pPr>
      <w:r w:rsidRPr="00AD2F44">
        <w:rPr>
          <w:vertAlign w:val="superscript"/>
        </w:rPr>
        <w:footnoteRef/>
      </w:r>
      <w:r w:rsidRPr="00AD2F44">
        <w:rPr>
          <w:i/>
          <w:iCs/>
        </w:rPr>
        <w:t xml:space="preserve">Espenscheid, </w:t>
      </w:r>
      <w:r w:rsidRPr="00AD2F44">
        <w:t>705 F.3d at 773.</w:t>
      </w:r>
    </w:p>
  </w:footnote>
  <w:footnote w:id="520">
    <w:p w14:paraId="40D35C22" w14:textId="77777777" w:rsidR="004322B1" w:rsidRPr="00AD2F44" w:rsidRDefault="004322B1">
      <w:pPr>
        <w:pStyle w:val="14Footnote"/>
      </w:pPr>
      <w:r w:rsidRPr="00AD2F44">
        <w:rPr>
          <w:vertAlign w:val="superscript"/>
        </w:rPr>
        <w:footnoteRef/>
      </w:r>
      <w:r w:rsidRPr="00AD2F44">
        <w:rPr>
          <w:i/>
          <w:iCs/>
        </w:rPr>
        <w:t>Id</w:t>
      </w:r>
      <w:r w:rsidRPr="00AD2F44">
        <w:t>. at 774.</w:t>
      </w:r>
    </w:p>
  </w:footnote>
  <w:footnote w:id="521">
    <w:p w14:paraId="07826251" w14:textId="77777777" w:rsidR="004322B1" w:rsidRPr="00AD2F44" w:rsidRDefault="004322B1">
      <w:pPr>
        <w:pStyle w:val="14Footnote"/>
      </w:pPr>
      <w:r w:rsidRPr="00AD2F44">
        <w:rPr>
          <w:vertAlign w:val="superscript"/>
        </w:rPr>
        <w:footnoteRef/>
      </w:r>
      <w:r w:rsidRPr="00AD2F44">
        <w:rPr>
          <w:i/>
          <w:iCs/>
        </w:rPr>
        <w:t>Id</w:t>
      </w:r>
      <w:r w:rsidRPr="00AD2F44">
        <w:t>. at 773.</w:t>
      </w:r>
    </w:p>
  </w:footnote>
  <w:footnote w:id="522">
    <w:p w14:paraId="3002685C" w14:textId="77777777" w:rsidR="004322B1" w:rsidRPr="00AD2F44" w:rsidRDefault="004322B1">
      <w:pPr>
        <w:pStyle w:val="14Footnote"/>
      </w:pPr>
      <w:r w:rsidRPr="00AD2F44">
        <w:rPr>
          <w:vertAlign w:val="superscript"/>
        </w:rPr>
        <w:footnoteRef/>
      </w:r>
      <w:r w:rsidRPr="00AD2F44">
        <w:rPr>
          <w:i/>
          <w:iCs/>
        </w:rPr>
        <w:t>Id</w:t>
      </w:r>
      <w:r w:rsidRPr="00AD2F44">
        <w:t xml:space="preserve">. at 777; </w:t>
      </w:r>
      <w:r w:rsidRPr="00AD2F44">
        <w:rPr>
          <w:i/>
          <w:iCs/>
        </w:rPr>
        <w:t>see also</w:t>
      </w:r>
      <w:r w:rsidRPr="00AD2F44">
        <w:t xml:space="preserve"> Hazelbaker v. Metropolitan Prop. &amp; Cas. Ins. Co., 2014 WL 5304911, at *5 (D. Ariz. Oct. 16, 2014) (“Plaintiffs’ proposed solutions—bifurcation of the damages stage and representative testimony—cannot rescue this case from its inevitable descent into a multitude of mini-trials. Bifurcation does the Court no good when the liability stage is not itself spared from individualized inquiries.”).</w:t>
      </w:r>
    </w:p>
  </w:footnote>
  <w:footnote w:id="523">
    <w:p w14:paraId="676A6E55" w14:textId="77777777" w:rsidR="004322B1" w:rsidRPr="00AD2F44" w:rsidRDefault="004322B1">
      <w:pPr>
        <w:pStyle w:val="14Footnote"/>
      </w:pPr>
      <w:r w:rsidRPr="00AD2F44">
        <w:rPr>
          <w:vertAlign w:val="superscript"/>
        </w:rPr>
        <w:footnoteRef/>
      </w:r>
      <w:r w:rsidRPr="00AD2F44">
        <w:t xml:space="preserve">52 F. Supp. 3d 522 (S.D.N.Y. 2014). </w:t>
      </w:r>
    </w:p>
  </w:footnote>
  <w:footnote w:id="524">
    <w:p w14:paraId="791795B5" w14:textId="77777777" w:rsidR="004322B1" w:rsidRPr="00AD2F44" w:rsidRDefault="004322B1">
      <w:pPr>
        <w:pStyle w:val="14Footnote"/>
      </w:pPr>
      <w:r w:rsidRPr="00AD2F44">
        <w:rPr>
          <w:vertAlign w:val="superscript"/>
        </w:rPr>
        <w:footnoteRef/>
      </w:r>
      <w:r w:rsidRPr="00AD2F44">
        <w:rPr>
          <w:i/>
          <w:iCs/>
        </w:rPr>
        <w:t>Id</w:t>
      </w:r>
      <w:r w:rsidRPr="00AD2F44">
        <w:t>.</w:t>
      </w:r>
      <w:r w:rsidRPr="00AD2F44">
        <w:rPr>
          <w:i/>
          <w:iCs/>
        </w:rPr>
        <w:t xml:space="preserve"> </w:t>
      </w:r>
      <w:r w:rsidRPr="00AD2F44">
        <w:t xml:space="preserve">at 524; </w:t>
      </w:r>
      <w:r w:rsidRPr="00AD2F44">
        <w:rPr>
          <w:i/>
          <w:iCs/>
        </w:rPr>
        <w:t>see also</w:t>
      </w:r>
      <w:r w:rsidRPr="00AD2F44">
        <w:t xml:space="preserve"> Bitner v. Wyndham Vacation Resorts, Inc., 2016 WL 7480428, at *15 (W.D. Wis. Dec. 29, 2017) (finding defendant’s fairness and due process concerns could be mitigated by bifurcating determinations of liability and damages); Nguyen v. Versacom, LLC, 2016 WL 6650860, at *7 (N.D. Tex. Nov. 9, 2016) (distinguishing </w:t>
      </w:r>
      <w:r w:rsidRPr="00AD2F44">
        <w:rPr>
          <w:i/>
          <w:iCs/>
        </w:rPr>
        <w:t xml:space="preserve">Espenscheid </w:t>
      </w:r>
      <w:r w:rsidRPr="00AD2F44">
        <w:t xml:space="preserve">and finding that plaintiffs’ claims, involving 72 plaintiffs (as opposed to 2,341 plaintiffs), could proceed as collective action and, at most, court would need to hold 72 separate hearings on damages, which could be handled through bifurcation or use of special master). </w:t>
      </w:r>
    </w:p>
  </w:footnote>
  <w:footnote w:id="525">
    <w:p w14:paraId="18D73100" w14:textId="77777777" w:rsidR="004322B1" w:rsidRPr="00AD2F44" w:rsidRDefault="004322B1">
      <w:pPr>
        <w:pStyle w:val="14Footnote"/>
        <w:rPr>
          <w:i/>
          <w:iCs/>
        </w:rPr>
      </w:pPr>
      <w:r w:rsidRPr="00AD2F44">
        <w:rPr>
          <w:vertAlign w:val="superscript"/>
        </w:rPr>
        <w:footnoteRef/>
      </w:r>
      <w:r w:rsidRPr="00AD2F44">
        <w:t xml:space="preserve">Hoffmann-La Roche, Inc. v. Sperling, 493 U.S. 165, 170 (1989); </w:t>
      </w:r>
      <w:r w:rsidRPr="00AD2F44">
        <w:rPr>
          <w:i/>
          <w:iCs/>
        </w:rPr>
        <w:t>see also</w:t>
      </w:r>
    </w:p>
    <w:p w14:paraId="127F8460" w14:textId="77777777" w:rsidR="004322B1" w:rsidRPr="00AD2F44" w:rsidRDefault="004322B1">
      <w:pPr>
        <w:pStyle w:val="14Footnote"/>
      </w:pPr>
      <w:r w:rsidRPr="00AD2F44">
        <w:rPr>
          <w:i/>
          <w:iCs/>
        </w:rPr>
        <w:t>Second Circuit:</w:t>
      </w:r>
      <w:r w:rsidRPr="00AD2F44">
        <w:t xml:space="preserve"> Stevens v. HMS Host Corp., 2014 WL 4261410, at *8 (E.D.N.Y. Aug. 24, 2014); Johnson v. Wave Comm GR LLC, 4 F. Supp. 3d 453, 461 (N.D.N.Y. 2014).</w:t>
      </w:r>
    </w:p>
    <w:p w14:paraId="41061344" w14:textId="77777777" w:rsidR="004322B1" w:rsidRPr="00AD2F44" w:rsidRDefault="004322B1">
      <w:pPr>
        <w:pStyle w:val="14Footnote"/>
      </w:pPr>
      <w:r w:rsidRPr="00AD2F44">
        <w:rPr>
          <w:i/>
          <w:iCs/>
        </w:rPr>
        <w:t>Third Circuit:</w:t>
      </w:r>
      <w:r w:rsidRPr="00AD2F44">
        <w:t xml:space="preserve"> Adami v. Cardo Windows, Inc., 2016 WL 1241798, at *11 (D.N.J. Mar. 30, 2016); Moss v. Crawford &amp; Co., 201 F.R.D. 398, 410 (W.D. Pa. 2000).</w:t>
      </w:r>
    </w:p>
    <w:p w14:paraId="211E00FB" w14:textId="77777777" w:rsidR="004322B1" w:rsidRPr="00AD2F44" w:rsidRDefault="004322B1">
      <w:pPr>
        <w:pStyle w:val="14Footnote"/>
      </w:pPr>
      <w:r w:rsidRPr="00AD2F44">
        <w:rPr>
          <w:i/>
          <w:iCs/>
        </w:rPr>
        <w:t>Fourth Circuit:</w:t>
      </w:r>
      <w:r w:rsidRPr="00AD2F44">
        <w:t xml:space="preserve"> Devine v. City of Hampton, 2015 WL 10765154, at *4 (E.D. Va. Oct. 13, 2015); Rehberg v. Flowers Baking Co. of Jamestown, LLC, 2015 WL 1346125, at *18 (W.D.N.C. Mar. 24, 2015); Randolph v. PowerComm Constr., Inc., 309 F.R.D. 349, 369 (D. Md. 2015); Butler v. DirectSAT USA, 47 F. Supp. 3d 300, 314 (D. Md. 2014); LaFleur v. Dollar Tree Stores, 30 F. Supp. 2d 463, 468 (E.D. Va. Mar. 7, 2014).</w:t>
      </w:r>
    </w:p>
    <w:p w14:paraId="17185888" w14:textId="77777777" w:rsidR="004322B1" w:rsidRPr="00AD2F44" w:rsidRDefault="004322B1">
      <w:pPr>
        <w:pStyle w:val="14Footnote"/>
      </w:pPr>
      <w:r w:rsidRPr="00AD2F44">
        <w:rPr>
          <w:i/>
          <w:iCs/>
        </w:rPr>
        <w:t>Fifth Circuit:</w:t>
      </w:r>
      <w:r w:rsidRPr="00AD2F44">
        <w:t xml:space="preserve"> Nguyen v. Versacom, LLC, 2016 WL 6650860, at *6 (N.D. Tex. Nov. 9, 2016).</w:t>
      </w:r>
    </w:p>
    <w:p w14:paraId="1C09077D" w14:textId="77777777" w:rsidR="004322B1" w:rsidRPr="00AD2F44" w:rsidRDefault="004322B1">
      <w:pPr>
        <w:pStyle w:val="14Footnote"/>
      </w:pPr>
      <w:r w:rsidRPr="00AD2F44">
        <w:rPr>
          <w:i/>
          <w:iCs/>
        </w:rPr>
        <w:t>Eighth Circuit:</w:t>
      </w:r>
      <w:r w:rsidRPr="00AD2F44">
        <w:t xml:space="preserve"> Arnold v. DirecTV, LLC, 2017 WL 1251033, at *9 (E.D. Mo. Mar. 31, 2017); Cruz v. TMI Hospitality, Inc., 2015 WL 6671334, at *18 (D. Minn. Oct. 30, 2015); Judkins v. SouthernCare, Inc., 74 F. Supp. 3d 1007, 1009 (S.D. Iowa 2015); Brackett v. St. Louis Bd. of Police Com</w:t>
      </w:r>
      <w:r>
        <w:t>m</w:t>
      </w:r>
      <w:r w:rsidRPr="00AD2F44">
        <w:t>’rs, 2014 WL 1377460, at *3 (E.D. Mo. Apr. 8, 2014); Rikard v. Auto Prot., LLC, 2013 WL 5532688, at *3 (E.D. Mo. Oct. 4, 2013).</w:t>
      </w:r>
    </w:p>
    <w:p w14:paraId="21711516" w14:textId="77777777" w:rsidR="004322B1" w:rsidRPr="00AD2F44" w:rsidRDefault="004322B1">
      <w:pPr>
        <w:pStyle w:val="14Footnote"/>
      </w:pPr>
      <w:r w:rsidRPr="00AD2F44">
        <w:rPr>
          <w:i/>
          <w:iCs/>
        </w:rPr>
        <w:t>Ninth Circuit:</w:t>
      </w:r>
      <w:r w:rsidRPr="00AD2F44">
        <w:t xml:space="preserve"> Collinge v. IntelliQuick Delivery, Inc., 2015 WL 1292444, at *10 (D. Ariz. Mar. 23, 2015); Lillehagen v. Alorica, Inc., 2014 WL 6989230, at *31 (C.D. Cal. Dec. 10, 2014).</w:t>
      </w:r>
    </w:p>
    <w:p w14:paraId="0A42BC32" w14:textId="77777777" w:rsidR="004322B1" w:rsidRPr="00AD2F44" w:rsidRDefault="004322B1">
      <w:pPr>
        <w:pStyle w:val="14Footnote"/>
      </w:pPr>
      <w:r w:rsidRPr="00AD2F44">
        <w:rPr>
          <w:i/>
          <w:iCs/>
        </w:rPr>
        <w:t>Tenth Circuit:</w:t>
      </w:r>
      <w:r w:rsidRPr="00AD2F44">
        <w:t xml:space="preserve"> Jancich v. Stonegate Mortg. Corp., 2014 WL 1011480, at *4 (D. Kan. Mar. 17, 2014).</w:t>
      </w:r>
    </w:p>
    <w:p w14:paraId="3D3A7D6A" w14:textId="77777777" w:rsidR="004322B1" w:rsidRPr="00AD2F44" w:rsidRDefault="004322B1">
      <w:pPr>
        <w:pStyle w:val="14Footnote"/>
      </w:pPr>
      <w:r w:rsidRPr="00AD2F44">
        <w:rPr>
          <w:i/>
          <w:iCs/>
        </w:rPr>
        <w:t>Eleventh Circuit:</w:t>
      </w:r>
      <w:r w:rsidRPr="00AD2F44">
        <w:t xml:space="preserve"> Morgan v. Family Dollar Stores, Inc., 551 F.3d 1233, 1264 (11th Cir. 2008); Miller v. FleetCor Techs. Operating Co., LLC, 118 F. Supp. 3d 1351, 1355 (N.D. Ga. 2015); Bobbit v. Broadband Interactive, Inc., 2013 WL 5720329, at *17 (M.D. Fla. Oct. 17, 2013).</w:t>
      </w:r>
    </w:p>
  </w:footnote>
  <w:footnote w:id="526">
    <w:p w14:paraId="07EA2EA4" w14:textId="77777777" w:rsidR="004322B1" w:rsidRPr="00AD2F44" w:rsidRDefault="004322B1">
      <w:pPr>
        <w:pStyle w:val="14Footnote"/>
      </w:pPr>
      <w:r w:rsidRPr="00AD2F44">
        <w:rPr>
          <w:vertAlign w:val="superscript"/>
        </w:rPr>
        <w:footnoteRef/>
      </w:r>
      <w:r w:rsidRPr="00AD2F44">
        <w:rPr>
          <w:i/>
          <w:iCs/>
        </w:rPr>
        <w:t>Morgan</w:t>
      </w:r>
      <w:r w:rsidRPr="00AD2F44">
        <w:t xml:space="preserve">, 551 F.3d at 1265; Nerland v. Caribou Coffee Co., 564 F. Supp. 2d 1010, 1026 (D. Minn. 2007); </w:t>
      </w:r>
      <w:r w:rsidRPr="00AD2F44">
        <w:rPr>
          <w:i/>
          <w:iCs/>
        </w:rPr>
        <w:t>see also</w:t>
      </w:r>
      <w:r w:rsidRPr="00AD2F44">
        <w:t xml:space="preserve"> Pendlebury v. Starbucks, 518 F. Supp. 2d 1345, 1362 (S.D. Fla. 2008) (explaining that, if the class must be similar in almost all respects, the statute’s intent would be frustrated “and the statute’s class provisions would be effectively emasculated”).</w:t>
      </w:r>
    </w:p>
  </w:footnote>
  <w:footnote w:id="527">
    <w:p w14:paraId="3E0C08F8" w14:textId="77777777" w:rsidR="004322B1" w:rsidRPr="00AD2F44" w:rsidRDefault="004322B1">
      <w:pPr>
        <w:pStyle w:val="14Footnote"/>
      </w:pPr>
      <w:r w:rsidRPr="00AD2F44">
        <w:rPr>
          <w:vertAlign w:val="superscript"/>
        </w:rPr>
        <w:footnoteRef/>
      </w:r>
      <w:r w:rsidRPr="00AD2F44">
        <w:t xml:space="preserve">Falcon v. Starbucks Corp., 580 F. Supp. 2d 528, 541 (S.D. Tex. 2008); </w:t>
      </w:r>
      <w:r w:rsidRPr="00AD2F44">
        <w:rPr>
          <w:i/>
          <w:iCs/>
        </w:rPr>
        <w:t>see also</w:t>
      </w:r>
      <w:r w:rsidRPr="00AD2F44">
        <w:t xml:space="preserve"> Chabrier v. Wilmington Fin. Inc., 2008 WL 938872, at *3 (E.D. Pa. Apr. 4, 2008) (explaining “class treatment is efficient and preferable to individual litigation” when plaintiffs are similarly situated).</w:t>
      </w:r>
    </w:p>
  </w:footnote>
  <w:footnote w:id="528">
    <w:p w14:paraId="6EC0DF31" w14:textId="77777777" w:rsidR="004322B1" w:rsidRPr="00AD2F44" w:rsidRDefault="004322B1">
      <w:pPr>
        <w:pStyle w:val="14Footnote"/>
      </w:pPr>
      <w:r w:rsidRPr="00AD2F44">
        <w:rPr>
          <w:vertAlign w:val="superscript"/>
        </w:rPr>
        <w:footnoteRef/>
      </w:r>
      <w:r w:rsidRPr="00AD2F44">
        <w:rPr>
          <w:i/>
          <w:iCs/>
        </w:rPr>
        <w:t>Nerland</w:t>
      </w:r>
      <w:r w:rsidRPr="00AD2F44">
        <w:t>, 564 F. Supp. 2d at 1025.</w:t>
      </w:r>
    </w:p>
  </w:footnote>
  <w:footnote w:id="529">
    <w:p w14:paraId="783F577A" w14:textId="77777777" w:rsidR="004322B1" w:rsidRPr="00AD2F44" w:rsidRDefault="004322B1">
      <w:pPr>
        <w:pStyle w:val="14Footnote"/>
        <w:rPr>
          <w:i/>
          <w:iCs/>
        </w:rPr>
      </w:pPr>
      <w:r w:rsidRPr="00AD2F44">
        <w:rPr>
          <w:vertAlign w:val="superscript"/>
        </w:rPr>
        <w:footnoteRef/>
      </w:r>
      <w:r w:rsidRPr="00AD2F44">
        <w:rPr>
          <w:i/>
          <w:iCs/>
        </w:rPr>
        <w:t>Id</w:t>
      </w:r>
      <w:r w:rsidRPr="00AD2F44">
        <w:t xml:space="preserve">. at 1026; </w:t>
      </w:r>
      <w:r w:rsidRPr="00AD2F44">
        <w:rPr>
          <w:i/>
          <w:iCs/>
        </w:rPr>
        <w:t>see also</w:t>
      </w:r>
    </w:p>
    <w:p w14:paraId="310BED1D" w14:textId="77777777" w:rsidR="004322B1" w:rsidRPr="00AD2F44" w:rsidRDefault="004322B1">
      <w:pPr>
        <w:pStyle w:val="14Footnote"/>
      </w:pPr>
      <w:r w:rsidRPr="00AD2F44">
        <w:rPr>
          <w:i/>
          <w:iCs/>
        </w:rPr>
        <w:t>Third Circuit:</w:t>
      </w:r>
      <w:r w:rsidRPr="00AD2F44">
        <w:t xml:space="preserve"> Rivet v. Office Depot, Inc., 207 F. Supp. 3d 417, 428 (D.N.J. 2016) (“Because in most cases the cost of litigation would greatly exceed the amount of any potential recovery, a majority of [assistant store managers] would not be able to pursue their claims.”).</w:t>
      </w:r>
    </w:p>
    <w:p w14:paraId="31944CE0" w14:textId="77777777" w:rsidR="004322B1" w:rsidRPr="00AD2F44" w:rsidRDefault="004322B1">
      <w:pPr>
        <w:pStyle w:val="14Footnote"/>
      </w:pPr>
      <w:r w:rsidRPr="00AD2F44">
        <w:rPr>
          <w:i/>
          <w:iCs/>
        </w:rPr>
        <w:t>Fourth Circuit:</w:t>
      </w:r>
      <w:r w:rsidRPr="00AD2F44">
        <w:t xml:space="preserve"> </w:t>
      </w:r>
      <w:r w:rsidRPr="00AD2F44">
        <w:rPr>
          <w:i/>
          <w:iCs/>
        </w:rPr>
        <w:t>Randolph</w:t>
      </w:r>
      <w:r w:rsidRPr="00AD2F44">
        <w:t xml:space="preserve">, 309 F.R.D. at 368 (finding that “[e]ach individual plaintiff would be unlikely to pursue his or her claim alone due to the costs involved relative to the damages sought”); </w:t>
      </w:r>
      <w:r w:rsidRPr="00AD2F44">
        <w:rPr>
          <w:i/>
          <w:iCs/>
        </w:rPr>
        <w:t>Butler</w:t>
      </w:r>
      <w:r w:rsidRPr="00AD2F44">
        <w:t xml:space="preserve">, 47 F. Supp. 3d at 314 (same); </w:t>
      </w:r>
      <w:r w:rsidRPr="00AD2F44">
        <w:rPr>
          <w:i/>
          <w:iCs/>
        </w:rPr>
        <w:t>LaFleur</w:t>
      </w:r>
      <w:r w:rsidRPr="00AD2F44">
        <w:t>, 30 F. Supp. 2d at 475 (same).</w:t>
      </w:r>
    </w:p>
    <w:p w14:paraId="2155F0F6" w14:textId="77777777" w:rsidR="004322B1" w:rsidRPr="00AD2F44" w:rsidRDefault="004322B1">
      <w:pPr>
        <w:pStyle w:val="14Footnote"/>
      </w:pPr>
      <w:r w:rsidRPr="00AD2F44">
        <w:rPr>
          <w:i/>
          <w:iCs/>
        </w:rPr>
        <w:t>Seventh Circuit:</w:t>
      </w:r>
      <w:r w:rsidRPr="00AD2F44">
        <w:t xml:space="preserve"> Bitner v. Wyndham Vacation Resorts, Inc., 2016 WL 7480428, at *15 (W.D. Wis. Dec. 29, 2017) (“[T]he court must at least factor in the possibility that some potential plaintiffs would not pursue individual claims because the promise of receiving damages is too small to justify the expenditure of time in individual lawsuits.”); Long v. Epic Sys. Corp., 2016 WL 4625497, at *8 (W.D. Wis. Sept. 6, 2016) (“Defendant’s rights ‘must be balanced with the rights of plaintiffs, many of whom likely would be unable to bear the costs of an individual trial, to have their day in court.’”) (citation omitted); Russell v. Illinois Bell Tel. Co., Inc., 721 F. Supp. 2d 804, 823 (N.D. Ill. 2010) (“Because of the modest amounts likely involved, many of the plaintiffs would be unable to afford the costs of pursuing their claims individually.”).</w:t>
      </w:r>
    </w:p>
    <w:p w14:paraId="7909E10F" w14:textId="77777777" w:rsidR="004322B1" w:rsidRPr="00AD2F44" w:rsidRDefault="004322B1">
      <w:pPr>
        <w:pStyle w:val="14Footnote"/>
      </w:pPr>
      <w:r w:rsidRPr="00AD2F44">
        <w:rPr>
          <w:i/>
          <w:iCs/>
        </w:rPr>
        <w:t>Eighth Circuit:</w:t>
      </w:r>
      <w:r w:rsidRPr="00AD2F44">
        <w:t xml:space="preserve"> Glass v. IDS Fin. Servs., Inc., 778 F. Supp. 1029, 1081 (D. Minn. 1991).</w:t>
      </w:r>
    </w:p>
    <w:p w14:paraId="0B0BF889" w14:textId="77777777" w:rsidR="004322B1" w:rsidRPr="00AD2F44" w:rsidRDefault="004322B1">
      <w:pPr>
        <w:pStyle w:val="14Footnote"/>
      </w:pPr>
      <w:r w:rsidRPr="00AD2F44">
        <w:rPr>
          <w:i/>
          <w:iCs/>
        </w:rPr>
        <w:t>Ninth Circuit:</w:t>
      </w:r>
      <w:r w:rsidRPr="00AD2F44">
        <w:t xml:space="preserve"> Khadera v. ABM Indus., Inc., 2011 WL 7064235, at *6 (W.D. Wash. Dec. 1, 2011) (citing need for plaintiffs to pool resources and efficiently resolve common issues, among other reasons, in denying motion for decertification, where court already concluded that plaintiffs were similarly situated).</w:t>
      </w:r>
    </w:p>
  </w:footnote>
  <w:footnote w:id="530">
    <w:p w14:paraId="654A4B73" w14:textId="77777777" w:rsidR="004322B1" w:rsidRPr="00AD2F44" w:rsidRDefault="004322B1">
      <w:pPr>
        <w:pStyle w:val="14Footnote"/>
      </w:pPr>
      <w:r w:rsidRPr="00AD2F44">
        <w:rPr>
          <w:vertAlign w:val="superscript"/>
        </w:rPr>
        <w:footnoteRef/>
      </w:r>
      <w:r w:rsidRPr="00AD2F44">
        <w:t>Johnson v. Big Lots Stores, Inc., 561 F. Supp. 2d 567, 587 (E.D. La. 2008)</w:t>
      </w:r>
      <w:r w:rsidRPr="00AD2F44">
        <w:rPr>
          <w:i/>
          <w:iCs/>
        </w:rPr>
        <w:t>. See, e.g</w:t>
      </w:r>
      <w:r w:rsidRPr="00AD2F44">
        <w:t>.,</w:t>
      </w:r>
    </w:p>
    <w:p w14:paraId="6E3D7702" w14:textId="77777777" w:rsidR="004322B1" w:rsidRPr="00AD2F44" w:rsidRDefault="004322B1">
      <w:pPr>
        <w:pStyle w:val="14Footnote"/>
      </w:pPr>
      <w:r w:rsidRPr="00AD2F44">
        <w:rPr>
          <w:i/>
          <w:iCs/>
        </w:rPr>
        <w:t>Fifth Circuit</w:t>
      </w:r>
      <w:r w:rsidRPr="00AD2F44">
        <w:t>: Clay v. New Tech Global Ventures, LLC, 2019 WL 1028532 (W.D. La. Mar. 4, 2019) (while acknowledging fairness and procedural considerations, the court nonetheless granted a decertification motion due to the small size of the collective—nine party plaintiffs—and because it would not be able to efficiently resolve common issues of law and fact that arose from the alleged activity); Sanders v. Latshaw Drilling Co., LLC 2019 WL 129769 (N.D. Tex. Mar. 14, 2018) (granting decertification motion where the collective was small (eight) and the party plaintiffs were not similarly situated); Johnson v. Big Lots Stores, Inc., 561 F. Supp. 2d 567, 587 (E.D. La. 2008) (granting defendant’s motion for decertification in part because “serious concerns about due process” would be raised by requiring the employer to use representative proof when the plaintiffs were not representative of each other and noting “[t]he collective action device does not effect its salutary purposes when it only puts the defendant between a rock and a hard place”).</w:t>
      </w:r>
    </w:p>
    <w:p w14:paraId="470B67B6" w14:textId="77777777" w:rsidR="004322B1" w:rsidRPr="00AD2F44" w:rsidRDefault="004322B1">
      <w:pPr>
        <w:pStyle w:val="14Footnote"/>
      </w:pPr>
      <w:r w:rsidRPr="00AD2F44">
        <w:rPr>
          <w:i/>
          <w:iCs/>
        </w:rPr>
        <w:t>Seventh Circuit</w:t>
      </w:r>
      <w:r w:rsidRPr="00AD2F44">
        <w:t>: Solsol v. Scrub, Inc., 2017 WL 2285822, at *8 (N.D. Ill. May 23, 2017) (“Considering the wide variance in the opt-in plaintiffs’ claims in the instant case, the court sees no way to establish the amount and extent all opt-in plaintiffs worked as a matter of just and reasonable inference through representative plaintiffs.”).</w:t>
      </w:r>
    </w:p>
  </w:footnote>
  <w:footnote w:id="531">
    <w:p w14:paraId="1B967ED2" w14:textId="77777777" w:rsidR="004322B1" w:rsidRPr="00AD2F44" w:rsidRDefault="004322B1">
      <w:pPr>
        <w:pStyle w:val="14Footnote"/>
      </w:pPr>
      <w:r w:rsidRPr="00AD2F44">
        <w:rPr>
          <w:vertAlign w:val="superscript"/>
        </w:rPr>
        <w:footnoteRef/>
      </w:r>
      <w:r w:rsidRPr="00AD2F44">
        <w:t xml:space="preserve">Duncan v. Phoenix Supported Living, Inc., 2007 WL 1033360, at *3 (W.D.N.C. Mar. 30, 2007). </w:t>
      </w:r>
      <w:r w:rsidRPr="00AD2F44">
        <w:rPr>
          <w:i/>
          <w:iCs/>
        </w:rPr>
        <w:t>See also</w:t>
      </w:r>
      <w:r w:rsidRPr="00AD2F44">
        <w:t xml:space="preserve"> Moody v. Associated Wholesale Grocers, Inc., 2019 WL 6036707, at *7 (E.D. La. Nov. 14, 2019) (granting decertification, noting prejudice against employer who “cannot be expected to come up with ‘representative’ proof [of exemption] when the plaintiffs cannot reasonably be said to be representative of each other”). </w:t>
      </w:r>
    </w:p>
  </w:footnote>
  <w:footnote w:id="532">
    <w:p w14:paraId="778BFFA0" w14:textId="77777777" w:rsidR="004322B1" w:rsidRPr="00AD2F44" w:rsidRDefault="004322B1">
      <w:pPr>
        <w:pStyle w:val="14Footnote"/>
      </w:pPr>
      <w:r w:rsidRPr="00AD2F44">
        <w:rPr>
          <w:vertAlign w:val="superscript"/>
        </w:rPr>
        <w:footnoteRef/>
      </w:r>
      <w:r w:rsidRPr="00AD2F44">
        <w:t>Rindfleisch v. Gentiva Servs., Inc., 22 F. Supp. 3d 1295, 1304 (N.D. Ga. 2014).</w:t>
      </w:r>
    </w:p>
  </w:footnote>
  <w:footnote w:id="533">
    <w:p w14:paraId="50DA85F3" w14:textId="77777777" w:rsidR="004322B1" w:rsidRPr="00AD2F44" w:rsidRDefault="004322B1">
      <w:pPr>
        <w:pStyle w:val="14Footnote"/>
      </w:pPr>
      <w:r w:rsidRPr="00AD2F44">
        <w:rPr>
          <w:vertAlign w:val="superscript"/>
        </w:rPr>
        <w:footnoteRef/>
      </w:r>
      <w:r w:rsidRPr="00AD2F44">
        <w:rPr>
          <w:i/>
          <w:iCs/>
        </w:rPr>
        <w:t>See, e.g</w:t>
      </w:r>
      <w:r w:rsidRPr="00AD2F44">
        <w:t>., Reyes v. Texas EZPawn, L.P., 2007 WL 101808, at *6 (S.D. Tex. Jan. 8, 2007) (court should consider whether collective litigation would be particularly burdensome on a jury).</w:t>
      </w:r>
    </w:p>
  </w:footnote>
  <w:footnote w:id="534">
    <w:p w14:paraId="6A51999C" w14:textId="77777777" w:rsidR="004322B1" w:rsidRPr="00AD2F44" w:rsidRDefault="004322B1">
      <w:pPr>
        <w:pStyle w:val="14Footnote"/>
      </w:pPr>
      <w:r w:rsidRPr="00AD2F44">
        <w:rPr>
          <w:vertAlign w:val="superscript"/>
        </w:rPr>
        <w:footnoteRef/>
      </w:r>
      <w:r w:rsidRPr="00AD2F44">
        <w:t xml:space="preserve">Blakes v. Illinois Bell Tel. Co., 2013 WL 6662831, at *16 (N.D. Ill. Dec. 17, 2013) (quoting Strait v. Belcan Eng’g Grp., Inc., 911 F. Supp. 2d 709, 731 (N.D. Ill. 2012)); </w:t>
      </w:r>
      <w:r w:rsidRPr="00AD2F44">
        <w:rPr>
          <w:i/>
          <w:iCs/>
        </w:rPr>
        <w:t>see also</w:t>
      </w:r>
      <w:r w:rsidRPr="00AD2F44">
        <w:t xml:space="preserve"> </w:t>
      </w:r>
      <w:r w:rsidRPr="00AD2F44">
        <w:rPr>
          <w:i/>
          <w:iCs/>
        </w:rPr>
        <w:t>Clay</w:t>
      </w:r>
      <w:r w:rsidRPr="00AD2F44">
        <w:t xml:space="preserve">, 2019 WL 1028532; </w:t>
      </w:r>
      <w:r w:rsidRPr="00AD2F44">
        <w:rPr>
          <w:i/>
          <w:iCs/>
        </w:rPr>
        <w:t>Sanders</w:t>
      </w:r>
      <w:r w:rsidRPr="00AD2F44">
        <w:t>, 2019 WL 129769.</w:t>
      </w:r>
    </w:p>
  </w:footnote>
  <w:footnote w:id="535">
    <w:p w14:paraId="577EE9CF" w14:textId="77777777" w:rsidR="004322B1" w:rsidRPr="00AD2F44" w:rsidRDefault="004322B1">
      <w:pPr>
        <w:pStyle w:val="14Footnote"/>
      </w:pPr>
      <w:r w:rsidRPr="00AD2F44">
        <w:rPr>
          <w:vertAlign w:val="superscript"/>
        </w:rPr>
        <w:footnoteRef/>
      </w:r>
      <w:r w:rsidRPr="00AD2F44">
        <w:rPr>
          <w:i/>
        </w:rPr>
        <w:t xml:space="preserve">See, e.g., </w:t>
      </w:r>
    </w:p>
    <w:p w14:paraId="3ADC98DE" w14:textId="77777777" w:rsidR="004322B1" w:rsidRPr="00AD2F44" w:rsidRDefault="004322B1">
      <w:pPr>
        <w:pStyle w:val="14Footnote"/>
      </w:pPr>
      <w:r w:rsidRPr="00AD2F44">
        <w:rPr>
          <w:i/>
          <w:iCs/>
        </w:rPr>
        <w:t>Second Circuit:</w:t>
      </w:r>
      <w:r w:rsidRPr="00AD2F44">
        <w:t xml:space="preserve"> Adami v. Cardo Windows, Inc., 2016 WL 1241798, at *11 (D.N.J. Mar. 30, 2016) (“Any minimal savings in time and resources that might be had adjudicating one collective action on Cardo’s practice of classifying window installers as independent contractors rather than employees instead of trying three smaller cases is erased when the Court considers the inevitability of three mini trials in any case.”); Zivali v. AT&amp;T Mobility, LLC, 784 F. Supp. 2d 456, 468–69 (S.D.N.Y. 2011) (reasoning that existence of “very few common issues of fact” precluded representative testimony from plaintiffs on behalf of the 4,100 opt-ins, making case unmanageable, as it would devolve into 4,100 mini-trials, which is “‘antithesis of collective action treatment’”) (citation omitted).</w:t>
      </w:r>
    </w:p>
    <w:p w14:paraId="3BE1615A" w14:textId="77777777" w:rsidR="004322B1" w:rsidRPr="00AD2F44" w:rsidRDefault="004322B1">
      <w:pPr>
        <w:pStyle w:val="14Footnote"/>
      </w:pPr>
      <w:r w:rsidRPr="00AD2F44">
        <w:rPr>
          <w:i/>
          <w:iCs/>
        </w:rPr>
        <w:t>Third Circuit:</w:t>
      </w:r>
      <w:r w:rsidRPr="00AD2F44">
        <w:t xml:space="preserve"> Prise v. Alderwoods Grp., Inc., 817 F. Supp. 2d 651, 681 (W.D. Pa. 2011) (granting decertification motion for nationwide collective action, given that individualized inquiries on liability would create hundreds of mini-trials); Morisky v. Public Serv. Elec. &amp; Gas Co., 111 F. Supp. 2d 493, 499 (D.N.J. 2000) (granting motion for decertification in part because litigating the case would be inefficient because “[t]he exempt or non-exempt status of potentially hundreds of employees would need to be determined on a job-by-job, or more likely, an employee-by-employee basis”).</w:t>
      </w:r>
    </w:p>
    <w:p w14:paraId="50609854" w14:textId="77777777" w:rsidR="004322B1" w:rsidRPr="00AD2F44" w:rsidRDefault="004322B1">
      <w:pPr>
        <w:pStyle w:val="14Footnote"/>
      </w:pPr>
      <w:r w:rsidRPr="00AD2F44">
        <w:rPr>
          <w:i/>
          <w:iCs/>
        </w:rPr>
        <w:t>Fifth Circuit:</w:t>
      </w:r>
      <w:r w:rsidRPr="00AD2F44">
        <w:t xml:space="preserve"> Johnson v. Big Lots Stores, Inc., 561 F. Supp. 2d 567, 588 (E.D. La. 2008) (explaining “the all or nothing posture of this case makes ruling on the merits fundamentally unfair to both sides”).</w:t>
      </w:r>
    </w:p>
    <w:p w14:paraId="24C0B82B" w14:textId="77777777" w:rsidR="004322B1" w:rsidRPr="00AD2F44" w:rsidRDefault="004322B1">
      <w:pPr>
        <w:pStyle w:val="14Footnote"/>
      </w:pPr>
      <w:r w:rsidRPr="00AD2F44">
        <w:rPr>
          <w:i/>
          <w:iCs/>
        </w:rPr>
        <w:t>Sixth Circuit:</w:t>
      </w:r>
      <w:r w:rsidRPr="00AD2F44">
        <w:t xml:space="preserve"> Creely v. HCR Manorcare, Inc., 920 F. Supp. 2d 846, 857 (N.D. Ohio 2013) (“Despite the fact that Defendant’s auto-deduct policy applied to all Plaintiffs, Plaintiffs’ right to compensation hinges on their individual experiences. It is unclear how proceeding collectively and using representative testimony would be fair or useful. For example, this Court does not find that representative testimony from licensed practical nurses in one location would necessarily be representative of individuals who held even the same position in another location. These individuals had different experiences and worked under different managers who may have implemented Defendant’s policy in different ways.”); Oetinger v. First Residential Mortg. Network, 2009 WL 2162963, at *4 (W.D. Ky. July 16, 2009) (reasoning that variations in duties, responsibilities, and amount of work for each class member “probably negate[d]” benefits to be obtained by collective treatment).</w:t>
      </w:r>
    </w:p>
    <w:p w14:paraId="10660172" w14:textId="77777777" w:rsidR="004322B1" w:rsidRPr="00AD2F44" w:rsidRDefault="004322B1">
      <w:pPr>
        <w:pStyle w:val="14Footnote"/>
      </w:pPr>
      <w:r w:rsidRPr="00AD2F44">
        <w:rPr>
          <w:i/>
          <w:iCs/>
        </w:rPr>
        <w:t>Seventh Circuit:</w:t>
      </w:r>
      <w:r w:rsidRPr="00AD2F44">
        <w:t xml:space="preserve"> Espenscheid v. DirectS</w:t>
      </w:r>
      <w:r w:rsidRPr="00AD2F44">
        <w:rPr>
          <w:caps/>
        </w:rPr>
        <w:t>at</w:t>
      </w:r>
      <w:r w:rsidRPr="00AD2F44">
        <w:t xml:space="preserve"> USA, LLC, 705 F.3d 770, 775–76 (7th Cir. 2013) (affirming decertification of collective action where some plaintiffs did not work overtime and there was a wide disparity of types and amounts of unpaid overtime hours claimed by those who claimed they did); </w:t>
      </w:r>
      <w:r w:rsidRPr="00AD2F44">
        <w:rPr>
          <w:i/>
          <w:iCs/>
        </w:rPr>
        <w:t>Blakes</w:t>
      </w:r>
      <w:r w:rsidRPr="00AD2F44">
        <w:t>, 2013 WL 6662831, at *17–21 (denying decertification as to policy of requiring post-shift working time off the clock, but granting decertification as to claims that plaintiffs worked during lunch to improve efficiency because whether such off-the-clock work occurred and the alleged reasons for performing off-the-clock work varied among class members).</w:t>
      </w:r>
    </w:p>
    <w:p w14:paraId="34523241" w14:textId="77777777" w:rsidR="004322B1" w:rsidRPr="00AD2F44" w:rsidRDefault="004322B1">
      <w:pPr>
        <w:pStyle w:val="14Footnote"/>
      </w:pPr>
      <w:r w:rsidRPr="00AD2F44">
        <w:rPr>
          <w:i/>
          <w:iCs/>
        </w:rPr>
        <w:t>Eighth Circuit:</w:t>
      </w:r>
      <w:r w:rsidRPr="00AD2F44">
        <w:t xml:space="preserve"> King v. West Corp., 2006 WL 118577, at *15 (D. Neb. Jan. 13, 2006) (granting motion for decertification where “[t]he exempt or non-exempt status of 177 opt-in plaintiffs would need to be determined on a job-by-job, or an employee-by-employee basis, resulting in essentially individual trials, even if a class were certified”).</w:t>
      </w:r>
    </w:p>
    <w:p w14:paraId="505EB829" w14:textId="77777777" w:rsidR="004322B1" w:rsidRPr="00AD2F44" w:rsidRDefault="004322B1">
      <w:pPr>
        <w:pStyle w:val="14Footnote"/>
      </w:pPr>
      <w:r w:rsidRPr="00AD2F44">
        <w:rPr>
          <w:i/>
          <w:iCs/>
        </w:rPr>
        <w:t>Ninth Circuit:</w:t>
      </w:r>
      <w:r w:rsidRPr="00AD2F44">
        <w:t xml:space="preserve"> Sargent v. HG Staffing, LLC, 171 F. Supp. 3d 1063, 1083–84 (D. Nev. 2016) (“[Use of representative testimony] would result in some Plaintiffs being prejudiced by underpayment on their claims as well as prejudice to Defendants, who would overpay some Plaintiffs on their claims. … Further, failing to decertify the conditionally-certified class will unfairly and prejudicially require Defendants to prepare for and present hundreds of different trials simultaneously.”); Hernandez v. United Auto Credit Corp., 2010 WL 1337702, at *5 (N.D. Cal. Apr. 2, 2010) (reasoning that collective action could not proceed “fairly and efficiently” given need to examine each plaintiff’s work situation individually; even if classwide ruling on liability could be obtained, court would still have to determine “individualized damages”); Smith v. T-Mobile USA, Inc., 2007 WL 2385131, at *8 (C.D. Cal. Aug. 15, 2007) (finding that proceeding collectively in off-the-clock case would be unmanageable because claims and defenses would have to be made individually as to each plaintiff).</w:t>
      </w:r>
    </w:p>
    <w:p w14:paraId="5CCBE0D9" w14:textId="77777777" w:rsidR="004322B1" w:rsidRPr="00AD2F44" w:rsidRDefault="004322B1">
      <w:pPr>
        <w:pStyle w:val="14Footnote"/>
      </w:pPr>
      <w:r w:rsidRPr="00AD2F44">
        <w:rPr>
          <w:i/>
          <w:iCs/>
        </w:rPr>
        <w:t>Eleventh Circuit:</w:t>
      </w:r>
      <w:r w:rsidRPr="00AD2F44">
        <w:t xml:space="preserve"> Mathis v. Darden Rests., 2014 WL 4428171, at *5 (S.D. Fla. Sept. 1, 2014) (finding that collective treatment of 20,000 plaintiffs’ claims would be unfair because “representative evidence or damage models would not account for material distinctions between Defendants’ liability to different Opt-In Plaintiffs. Defendants would face all-or-nothing liability for large groups of employees, despite those employees’ dissimilar working conditions. … and [individual opt-in plaintiffs would] receive either windfalls or insufficient recoveries.”); Rindfleisch v. Gentiva Servs., Inc., 22 F. Supp. 3d 1295, 1303 (N.D. Ga. 2014) (decertifying collective action where proceeding collectively could result in recovery by plaintiffs who did not work overtime).</w:t>
      </w:r>
    </w:p>
  </w:footnote>
  <w:footnote w:id="536">
    <w:p w14:paraId="147DCA83" w14:textId="77777777" w:rsidR="004322B1" w:rsidRPr="00AD2F44" w:rsidRDefault="004322B1">
      <w:pPr>
        <w:pStyle w:val="14Footnote"/>
      </w:pPr>
      <w:r w:rsidRPr="00AD2F44">
        <w:rPr>
          <w:vertAlign w:val="superscript"/>
        </w:rPr>
        <w:footnoteRef/>
      </w:r>
      <w:r w:rsidRPr="00AD2F44">
        <w:rPr>
          <w:i/>
          <w:iCs/>
        </w:rPr>
        <w:t>Second Circuit:</w:t>
      </w:r>
      <w:r w:rsidRPr="00AD2F44">
        <w:t xml:space="preserve"> Johnson v. Wave Comm GR LLC, 4 F. Supp. 3d 453, 461 (N.D.N.Y. 2014) (“If this action were to be decertified, adjudication of these claims would require hundreds of mini trials.”).</w:t>
      </w:r>
    </w:p>
    <w:p w14:paraId="38CEC9B9" w14:textId="77777777" w:rsidR="004322B1" w:rsidRPr="00AD2F44" w:rsidRDefault="004322B1">
      <w:pPr>
        <w:pStyle w:val="14Footnote"/>
      </w:pPr>
      <w:r w:rsidRPr="00AD2F44">
        <w:rPr>
          <w:i/>
          <w:iCs/>
        </w:rPr>
        <w:t>Third Circuit:</w:t>
      </w:r>
      <w:r w:rsidRPr="00AD2F44">
        <w:t xml:space="preserve"> Rivet v. Office Depot, Inc., 207 F. Supp. 3d 417, 428 (D.N.J. 2016) (“Moreover, even if many [assistant store managers] did individually sue, litigating hundreds of individual wage and hour claims arising out of the same corporate policy would place an onerous—and totally unnecessary––burden on this Court.”); Moss v. Crawford &amp; Co., 201 F.R.D. 398, 411 (W.D. Pa. 2000) (denying motion for decertification where it “would require the court to perform the statute of limitations analysis in over seventy separate lawsuits and would be an inefficient use of this court’s limited time”).</w:t>
      </w:r>
    </w:p>
    <w:p w14:paraId="701D98A5" w14:textId="77777777" w:rsidR="004322B1" w:rsidRPr="00AD2F44" w:rsidRDefault="004322B1">
      <w:pPr>
        <w:pStyle w:val="14Footnote"/>
      </w:pPr>
      <w:r w:rsidRPr="00AD2F44">
        <w:rPr>
          <w:i/>
          <w:iCs/>
        </w:rPr>
        <w:t xml:space="preserve">Fifth Circuit: </w:t>
      </w:r>
      <w:r w:rsidRPr="00AD2F44">
        <w:t>Escobedo v. Dynasty Insulation, Inc., 2009 WL 2382982, at *7–8 (W.D. Tex. July 31, 2009) (reasoning that “little benefit” would obtain from decertification where defendant’s argument was based on statute of limitations; issues of equitable tolling and estoppel on which plaintiffs were relying would be left to be litigated in another case, or several other cases, all relating to one defendant’s pay practices during “a single construction project”).</w:t>
      </w:r>
    </w:p>
    <w:p w14:paraId="3A75D4FF" w14:textId="77777777" w:rsidR="004322B1" w:rsidRPr="00AD2F44" w:rsidRDefault="004322B1">
      <w:pPr>
        <w:pStyle w:val="14Footnote"/>
      </w:pPr>
      <w:r w:rsidRPr="00AD2F44">
        <w:rPr>
          <w:i/>
          <w:iCs/>
        </w:rPr>
        <w:t>Sixth Circuit:</w:t>
      </w:r>
      <w:r w:rsidRPr="00AD2F44">
        <w:t xml:space="preserve"> Monroe v. FTS USA, LLC, 763 F. Supp. 2d 979 (W.D. Tenn. 2011) (denying decertification because it would result in 300 mini-trials that would run afoul of goals of collective actions in §216(b)); Crawford v. Lexington-Fayette Urban Cnty. Gov’t, 2008 WL 2885230, at *10 (E.D. Ky. July 22, 2008) (denying decertification motion in part because it “would require the same analysis of whether the plaintiff was required to record his time in over 300 separate lawsuits, which would be an inefficient way of resolving this issue”); Wilks v. Pep Boys, 2006 WL 2821700, at *8 (M.D. Tenn. Sept. 26, 2006) (denying decertification motion in part because requiring each plaintiff to provide his claims individually “would waste more judicial time and resources than trying their cases individually would preserve”).</w:t>
      </w:r>
    </w:p>
    <w:p w14:paraId="55791992" w14:textId="77777777" w:rsidR="004322B1" w:rsidRPr="00AD2F44" w:rsidRDefault="004322B1">
      <w:pPr>
        <w:pStyle w:val="14Footnote"/>
      </w:pPr>
      <w:r w:rsidRPr="00AD2F44">
        <w:rPr>
          <w:i/>
          <w:iCs/>
        </w:rPr>
        <w:t>Eighth Circuit:</w:t>
      </w:r>
      <w:r w:rsidRPr="00AD2F44">
        <w:t xml:space="preserve"> Brackett v. St. Louis Bd. of Police Com</w:t>
      </w:r>
      <w:r>
        <w:t>m</w:t>
      </w:r>
      <w:r w:rsidRPr="00AD2F44">
        <w:t>’rs, 2014 WL 1377460, at *3 (E.D. Mo. April 8, 2014) (noting that decertification would require 20 or more individual determinations of essentially the same legal issue); Nerland v. Caribou Coffee Co., 564 F. Supp. 2d 1010, 1025 (D. Minn. 2007) (denying motion for decertification in part because “a requirement that each plaintiff prove his or her claim of misclassification individually would waste more judicial time and resources than trying [approximately 300] plaintiffs’ cases individually would preserve”).</w:t>
      </w:r>
    </w:p>
    <w:p w14:paraId="21D6D533" w14:textId="77777777" w:rsidR="004322B1" w:rsidRPr="00AD2F44" w:rsidRDefault="004322B1">
      <w:pPr>
        <w:pStyle w:val="14Footnote"/>
      </w:pPr>
      <w:r w:rsidRPr="00AD2F44">
        <w:rPr>
          <w:i/>
          <w:iCs/>
        </w:rPr>
        <w:t xml:space="preserve">Tenth Circuit: </w:t>
      </w:r>
      <w:r w:rsidRPr="00AD2F44">
        <w:t>Jancich v. Stonegate Mortg. Corp., 2014 WL 1011480, at *4 (D. Kan. Mar. 17, 2014) (allowing plaintiffs to proceed in one action is more efficient than having 12 plaintiffs re-file actions and start all over again with substantially similar issues); Underwood v. NMC Mortg. Corp., 2009 WL 1322588, at *5 (D. Kan. May 11, 2009) (finding that it would be more efficient to have one lawsuit than 32, particularly where individualized fact determinations primarily related to damages, and one lawsuit permitted pooling of resources).</w:t>
      </w:r>
    </w:p>
    <w:p w14:paraId="49BDD33A" w14:textId="77777777" w:rsidR="004322B1" w:rsidRPr="00AD2F44" w:rsidRDefault="004322B1">
      <w:pPr>
        <w:pStyle w:val="14Footnote"/>
      </w:pPr>
      <w:r w:rsidRPr="00AD2F44">
        <w:rPr>
          <w:i/>
          <w:iCs/>
        </w:rPr>
        <w:t>Eleventh Circuit:</w:t>
      </w:r>
      <w:r w:rsidRPr="00AD2F44">
        <w:t xml:space="preserve"> Morgan v. Family Dollar Stores, Inc., 551 F.3d 1233, 1265 (11th Cir. 2008) (holding the interests of judicial economy would not be served if the court had to conduct 1,424 individual trials regarding substantially similar overtime claims).</w:t>
      </w:r>
    </w:p>
  </w:footnote>
  <w:footnote w:id="537">
    <w:p w14:paraId="125D3FC6" w14:textId="77777777" w:rsidR="004322B1" w:rsidRPr="00AD2F44" w:rsidRDefault="004322B1">
      <w:pPr>
        <w:pStyle w:val="14Footnote"/>
      </w:pPr>
      <w:r w:rsidRPr="00AD2F44">
        <w:rPr>
          <w:vertAlign w:val="superscript"/>
        </w:rPr>
        <w:footnoteRef/>
      </w:r>
      <w:r w:rsidRPr="00AD2F44">
        <w:rPr>
          <w:i/>
          <w:iCs/>
        </w:rPr>
        <w:t>See, e.g.,</w:t>
      </w:r>
    </w:p>
    <w:p w14:paraId="1E645165" w14:textId="77777777" w:rsidR="004322B1" w:rsidRPr="00AD2F44" w:rsidRDefault="004322B1">
      <w:pPr>
        <w:pStyle w:val="14Footnote"/>
      </w:pPr>
      <w:r w:rsidRPr="00AD2F44">
        <w:rPr>
          <w:i/>
          <w:iCs/>
        </w:rPr>
        <w:t>Second Circuit:</w:t>
      </w:r>
      <w:r w:rsidRPr="00AD2F44">
        <w:t xml:space="preserve"> Ayers v. SGS Control Serv., Inc., 2007 WL 646326, at *5 (S.D.N.Y. Feb. 27, 2007) (noting individual issues arising as a result of the plaintiffs’ fluctuating workweek claims could be resolved by the creation of subclasses by division, claim, or subclaim).</w:t>
      </w:r>
    </w:p>
    <w:p w14:paraId="09934797" w14:textId="77777777" w:rsidR="004322B1" w:rsidRPr="00AD2F44" w:rsidRDefault="004322B1">
      <w:pPr>
        <w:pStyle w:val="14Footnote"/>
      </w:pPr>
      <w:r w:rsidRPr="00AD2F44">
        <w:rPr>
          <w:i/>
          <w:iCs/>
        </w:rPr>
        <w:t>Fourth Circuit:</w:t>
      </w:r>
      <w:r w:rsidRPr="00AD2F44">
        <w:t xml:space="preserve"> Rawls v. Augustine Home Health Care, Inc., 244 F.R.D. 298, 302 (D. Md. 2007) (holding nationwide treatment was not appropriate in an exemption case but denying motion for decertification and instead dividing the collective into four separate subgroups, one for each facility).</w:t>
      </w:r>
    </w:p>
    <w:p w14:paraId="722E32A9" w14:textId="77777777" w:rsidR="004322B1" w:rsidRPr="00AD2F44" w:rsidRDefault="004322B1">
      <w:pPr>
        <w:pStyle w:val="14Footnote"/>
      </w:pPr>
      <w:r w:rsidRPr="00AD2F44">
        <w:rPr>
          <w:i/>
          <w:iCs/>
        </w:rPr>
        <w:t>Sixth Circuit:</w:t>
      </w:r>
      <w:r w:rsidRPr="00AD2F44">
        <w:t xml:space="preserve"> </w:t>
      </w:r>
      <w:r w:rsidRPr="00AD2F44">
        <w:rPr>
          <w:i/>
          <w:iCs/>
        </w:rPr>
        <w:t>Wilks</w:t>
      </w:r>
      <w:r w:rsidRPr="00AD2F44">
        <w:t>, 2006 WL 2821700, at *7 (noting “factually disparate plaintiffs are often divided into subclasses for the purposes of judicial efficiency at trial”); Jordan v. IBP, Inc., 542 F. Supp. 2d 790, 813 (M.D. Tenn. 2008) (denying defendant’s motion for decertification and concluding any factual distinctions between the plaintiffs could be addressed by dividing collective of meat processing employees into two subclasses: (1) employees who performed only non-production line work during their meal periods and (2) employees who performed both production line work and non-production line work during their meal periods).</w:t>
      </w:r>
    </w:p>
    <w:p w14:paraId="715A702F" w14:textId="77777777" w:rsidR="004322B1" w:rsidRPr="00AD2F44" w:rsidRDefault="004322B1">
      <w:pPr>
        <w:pStyle w:val="14Footnote"/>
      </w:pPr>
      <w:r w:rsidRPr="00AD2F44">
        <w:rPr>
          <w:i/>
          <w:iCs/>
        </w:rPr>
        <w:t>Seventh Circuit:</w:t>
      </w:r>
      <w:r w:rsidRPr="00AD2F44">
        <w:t xml:space="preserve"> Alvarez v. City of Chi., 605 F.3d 445, 448–50 (7th Cir. 2010) (recognizing that courts may consider use of subclaims in FLSA collective actions); Mielke v. Laidlaw Transit, Inc., 313 F. Supp. 2d 759 (N.D. Ill. 2004) (decertifying nationwide off-the-clock collective involving employees at 38 terminals in 20 states but allowing collective treatment of two terminals).</w:t>
      </w:r>
    </w:p>
  </w:footnote>
  <w:footnote w:id="538">
    <w:p w14:paraId="358E9F67" w14:textId="77777777" w:rsidR="004322B1" w:rsidRPr="00AD2F44" w:rsidRDefault="004322B1">
      <w:pPr>
        <w:pStyle w:val="14Footnote"/>
      </w:pPr>
      <w:r w:rsidRPr="00AD2F44">
        <w:rPr>
          <w:vertAlign w:val="superscript"/>
        </w:rPr>
        <w:footnoteRef/>
      </w:r>
      <w:r w:rsidRPr="00AD2F44">
        <w:t xml:space="preserve">O’Brien v. Ed Donnelly Enters., 575 F.3d 567, 586 (6th Cir. 2009); </w:t>
      </w:r>
      <w:r w:rsidRPr="00AD2F44">
        <w:rPr>
          <w:i/>
          <w:iCs/>
        </w:rPr>
        <w:t>cf</w:t>
      </w:r>
      <w:r w:rsidRPr="00AD2F44">
        <w:t>. Roussell v. Brinker Int’l, Inc., 2009 WL 3149612 (S.D. Tex. Apr. 29, 2009) (describing court’s successive grants of partial decertification, first of all opt-ins other than those who had been deposed or worked in named plaintiffs’ stores, and then of any who had not been deposed).</w:t>
      </w:r>
    </w:p>
  </w:footnote>
  <w:footnote w:id="539">
    <w:p w14:paraId="3B8614A6" w14:textId="77777777" w:rsidR="004322B1" w:rsidRPr="00AD2F44" w:rsidRDefault="004322B1">
      <w:pPr>
        <w:pStyle w:val="14Footnote"/>
      </w:pPr>
      <w:r w:rsidRPr="00AD2F44">
        <w:rPr>
          <w:vertAlign w:val="superscript"/>
        </w:rPr>
        <w:footnoteRef/>
      </w:r>
      <w:r w:rsidRPr="00AD2F44">
        <w:rPr>
          <w:i/>
          <w:iCs/>
        </w:rPr>
        <w:t>O’Brien</w:t>
      </w:r>
      <w:r w:rsidRPr="00AD2F44">
        <w:t xml:space="preserve">, 575 F.3d at 586. Although the Sixth Circuit criticized the district court, it affirmed the decertification order because many of the opt-in plaintiffs had claims that were either claim precluded or mooted by an offer of judgment. </w:t>
      </w:r>
      <w:r w:rsidRPr="00AD2F44">
        <w:rPr>
          <w:i/>
          <w:iCs/>
        </w:rPr>
        <w:t>Id</w:t>
      </w:r>
      <w:r w:rsidRPr="00AD2F44">
        <w:t xml:space="preserve">.; </w:t>
      </w:r>
      <w:r w:rsidRPr="00AD2F44">
        <w:rPr>
          <w:i/>
          <w:iCs/>
        </w:rPr>
        <w:t>see also</w:t>
      </w:r>
      <w:r w:rsidRPr="00AD2F44">
        <w:t xml:space="preserve"> Smith v. Family Video Movie Club, Inc., 2015 WL 1542649, at *8 (N.D. Ill. Mar. 31, 2015) (partially decertifying collective action; permitting continued certification for claims seeking overtime pay on commission pay and for time spent off the clock making bank deposits, but decertifying all other off-the-clock work claims); Blakes v. Illinois Bell Tel. Co., 2013 WL 6662831, at *17–21 (N.D. Ill. Dec. 17, 2013) (partially decertifying collective action).</w:t>
      </w:r>
    </w:p>
  </w:footnote>
  <w:footnote w:id="540">
    <w:p w14:paraId="21D3032B" w14:textId="77777777" w:rsidR="004322B1" w:rsidRPr="00AD2F44" w:rsidRDefault="004322B1">
      <w:pPr>
        <w:pStyle w:val="14Footnote"/>
      </w:pPr>
      <w:r w:rsidRPr="00AD2F44">
        <w:rPr>
          <w:vertAlign w:val="superscript"/>
        </w:rPr>
        <w:footnoteRef/>
      </w:r>
      <w:r w:rsidRPr="00AD2F44">
        <w:t>705 F.3d 770 (7th Cir. 2013).</w:t>
      </w:r>
    </w:p>
  </w:footnote>
  <w:footnote w:id="541">
    <w:p w14:paraId="372D3A73" w14:textId="77777777" w:rsidR="004322B1" w:rsidRPr="00AD2F44" w:rsidRDefault="004322B1">
      <w:pPr>
        <w:pStyle w:val="14Footnote"/>
      </w:pPr>
      <w:r w:rsidRPr="00AD2F44">
        <w:rPr>
          <w:vertAlign w:val="superscript"/>
        </w:rPr>
        <w:footnoteRef/>
      </w:r>
      <w:r w:rsidRPr="00AD2F44">
        <w:rPr>
          <w:i/>
          <w:iCs/>
        </w:rPr>
        <w:t>Id</w:t>
      </w:r>
      <w:r w:rsidRPr="00AD2F44">
        <w:t xml:space="preserve">. at 775; </w:t>
      </w:r>
      <w:r w:rsidRPr="00AD2F44">
        <w:rPr>
          <w:i/>
          <w:iCs/>
        </w:rPr>
        <w:t xml:space="preserve">see also </w:t>
      </w:r>
      <w:r w:rsidRPr="00AD2F44">
        <w:t xml:space="preserve">Arnold v. DirecTV, LLC, 2017 WL 1251033, at *8 (E.D. Mo. Mar. 31, 2017) (“The Court has considered Plaintiffs’ trial plan, and finds that proceeding collectively on the individualized claims of hundreds of technicians would most certainly result in jury confusion as well as prejudice to DirecTV. Based on the evidence presented, Plaintiffs’ claims are dependent upon factors such as site location, work state, supervisor, individual technicians’ practice with respect to recording productive and nonproductive time, and whether they had written agreements regarding their pay. While some evidence will likely overlap between Plaintiffs, ‘each Plaintiff’s claim is, at its core, an individualized one that will be dominated by individualized proof,’ requiring a jury to sort out all of that evidence—Plaintiff by Plaintiff—to make specific, fact-intensive findings.”); DeSilva v. North Shore-Long Island Jewish Health Sys., Inc., 27 F. Supp. 3d 313, 327 (E.D.N.Y. 2014) (“Plaintiffs needed to provide more than bare assurances regarding trial manageability; it was incumbent on them to account for the rampant factual differences discussed </w:t>
      </w:r>
      <w:r w:rsidRPr="00AD2F44">
        <w:rPr>
          <w:i/>
          <w:iCs/>
        </w:rPr>
        <w:t xml:space="preserve">supra </w:t>
      </w:r>
      <w:r w:rsidRPr="00AD2F44">
        <w:t>and to demonstrate how this case could be tried fairly, based on common proof. They have utterly failed to do so.”); Wilson v. Navika Capital Grp., LLC, 2014 WL 2534904, at *2, 5–7 (S.D. Tex. June 4, 2014) (decertifying collective action, despite reduction in class size from 330 plaintiffs to 42 plaintiffs because plaintiffs did not set forth workable trial plan); Camilotes v. Resurrection Health Care Corp., 286 F.R.D. 339, 354 (N.D. Ill. 2012) (decertifying collective action where plaintiffs “fail[ed] to propose any specific trial plan”).</w:t>
      </w:r>
    </w:p>
  </w:footnote>
  <w:footnote w:id="542">
    <w:p w14:paraId="5D281F99" w14:textId="77777777" w:rsidR="004322B1" w:rsidRPr="00AD2F44" w:rsidRDefault="004322B1">
      <w:pPr>
        <w:pStyle w:val="14Footnote"/>
      </w:pPr>
      <w:r w:rsidRPr="00AD2F44">
        <w:rPr>
          <w:vertAlign w:val="superscript"/>
        </w:rPr>
        <w:footnoteRef/>
      </w:r>
      <w:r w:rsidRPr="00AD2F44">
        <w:rPr>
          <w:i/>
          <w:iCs/>
        </w:rPr>
        <w:t>See, e.g.,</w:t>
      </w:r>
    </w:p>
    <w:p w14:paraId="675117E8" w14:textId="77777777" w:rsidR="004322B1" w:rsidRPr="00AD2F44" w:rsidRDefault="004322B1">
      <w:pPr>
        <w:pStyle w:val="14Footnote"/>
      </w:pPr>
      <w:r w:rsidRPr="00AD2F44">
        <w:rPr>
          <w:i/>
          <w:iCs/>
        </w:rPr>
        <w:t>Second Circuit:</w:t>
      </w:r>
      <w:r w:rsidRPr="00AD2F44">
        <w:t xml:space="preserve"> Griffith v. Fordham Fin. Mgmt., Inc., 2016 WL 354895, at *3 (S.D.N.Y. Jan. 28, 2016) (granting motion to decertify in independent contractor case, opining that “[d]etermining whether Plaintiffs were employees or independent contractors is not capable of resolution by classwide proof, and will instead require highly individualized inquiries” where plaintiffs worked over differing time periods, under various different schedules and varying contracts (or no contract at all), and were subject to different levels of control by company).</w:t>
      </w:r>
    </w:p>
    <w:p w14:paraId="2D0F0BA1" w14:textId="77777777" w:rsidR="004322B1" w:rsidRPr="00AD2F44" w:rsidRDefault="004322B1">
      <w:pPr>
        <w:pStyle w:val="14Footnote"/>
      </w:pPr>
      <w:r w:rsidRPr="00AD2F44">
        <w:rPr>
          <w:i/>
          <w:iCs/>
        </w:rPr>
        <w:t>Third Circuit:</w:t>
      </w:r>
      <w:r w:rsidRPr="00AD2F44">
        <w:t xml:space="preserve"> Adami v. Cardo Windows, Inc., 2016 WL 1241798, at *1 (D.N.J. Mar. 30, 2016) (independent contractor classification).</w:t>
      </w:r>
    </w:p>
    <w:p w14:paraId="353DEBFE" w14:textId="77777777" w:rsidR="004322B1" w:rsidRPr="00AD2F44" w:rsidRDefault="004322B1">
      <w:pPr>
        <w:pStyle w:val="14Footnote"/>
      </w:pPr>
      <w:r w:rsidRPr="00AD2F44">
        <w:rPr>
          <w:i/>
          <w:iCs/>
        </w:rPr>
        <w:t>Fourth Circuit:</w:t>
      </w:r>
      <w:r w:rsidRPr="00AD2F44">
        <w:t xml:space="preserve"> Randolph v. PowerComm Constr., Inc., 309 F.R.D. 349, 368 (D. Md. 2015) (independent contractor classification of traffic controllers); Rehberg v. Flowers Baking Co. of Jamestown, LLC, 2015 WL 1346125, at *15 (W.D.N.C. Mar. 24, 2015) (independent contractor classification).</w:t>
      </w:r>
    </w:p>
    <w:p w14:paraId="23933436" w14:textId="77777777" w:rsidR="004322B1" w:rsidRPr="00AD2F44" w:rsidRDefault="004322B1">
      <w:pPr>
        <w:pStyle w:val="14Footnote"/>
      </w:pPr>
      <w:r w:rsidRPr="00AD2F44">
        <w:rPr>
          <w:i/>
          <w:iCs/>
        </w:rPr>
        <w:t>Fifth Circuit:</w:t>
      </w:r>
      <w:r w:rsidRPr="00AD2F44">
        <w:t xml:space="preserve"> Radford v. Pevator Cos, Ltd., 2019 WL 7282110 (S.D. Tex. Dec. 27, 2019) (granting decertification motion, finding no common work routine among auto service managers on type and frequency of tasks). </w:t>
      </w:r>
    </w:p>
    <w:p w14:paraId="6146B34A" w14:textId="77777777" w:rsidR="004322B1" w:rsidRPr="00AD2F44" w:rsidRDefault="004322B1">
      <w:pPr>
        <w:pStyle w:val="14Footnote"/>
      </w:pPr>
      <w:r w:rsidRPr="00AD2F44">
        <w:rPr>
          <w:i/>
          <w:iCs/>
        </w:rPr>
        <w:t>Eighth Circuit:</w:t>
      </w:r>
      <w:r w:rsidRPr="00AD2F44">
        <w:t xml:space="preserve"> Olukayode v. UnitedHealth Grp., 2021 BL 290601, 2021 WL 3293648 (D. Minn. Aug. 2, 2021) (granting decertification motion, finding varying work experiences among clinicians made collective liability cumbersome and would result in unmanageable mini-trials for each plaintiff). </w:t>
      </w:r>
    </w:p>
    <w:p w14:paraId="7058F625" w14:textId="77777777" w:rsidR="004322B1" w:rsidRPr="00AD2F44" w:rsidRDefault="004322B1">
      <w:pPr>
        <w:pStyle w:val="14Footnote"/>
      </w:pPr>
      <w:r w:rsidRPr="00AD2F44">
        <w:rPr>
          <w:i/>
          <w:iCs/>
        </w:rPr>
        <w:t>Ninth Circuit:</w:t>
      </w:r>
      <w:r w:rsidRPr="00AD2F44">
        <w:t xml:space="preserve"> </w:t>
      </w:r>
      <w:r>
        <w:t xml:space="preserve">Ludlow v. Flower Foods, Inc., </w:t>
      </w:r>
      <w:r w:rsidRPr="001E073D">
        <w:t>2023 BL 85277</w:t>
      </w:r>
      <w:r>
        <w:t xml:space="preserve">, </w:t>
      </w:r>
      <w:r w:rsidRPr="002055B0">
        <w:t>2023 WL 2534618</w:t>
      </w:r>
      <w:r>
        <w:t>, at *4</w:t>
      </w:r>
      <w:r w:rsidRPr="002055B0">
        <w:t xml:space="preserve"> </w:t>
      </w:r>
      <w:r>
        <w:t xml:space="preserve">(S.D. Cal. Mar. 15, 2023) (denying motion for decertification finding distributors agreement, which all class members, signed provided common proof of many of the “economic realities” factors that determined whether an employment relationship existed); </w:t>
      </w:r>
      <w:r w:rsidRPr="00AD2F44">
        <w:t>Collinge v. IntelliQuick Delivery, Inc., 2015 WL 1292444, at *2–8 (D. Ariz. Mar. 23, 2015) (denying decertification motion in case involving the independent contractor classification of delivery drivers).</w:t>
      </w:r>
    </w:p>
    <w:p w14:paraId="1FE7E899" w14:textId="77777777" w:rsidR="004322B1" w:rsidRPr="00AD2F44" w:rsidRDefault="004322B1">
      <w:pPr>
        <w:pStyle w:val="14Footnote"/>
      </w:pPr>
      <w:r w:rsidRPr="00AD2F44">
        <w:rPr>
          <w:i/>
          <w:iCs/>
        </w:rPr>
        <w:t>Tenth Circuit</w:t>
      </w:r>
      <w:r w:rsidRPr="00AD2F44">
        <w:t xml:space="preserve">: Merrill v. Pathway Leasing LLC, 2019 WL 5078655 (D. Colo. Oct. 9, 2019) (in truck driver case, granting decertification after bench trial, finding variance and individualized evidence on facts and damages). </w:t>
      </w:r>
    </w:p>
    <w:p w14:paraId="1ED2F280" w14:textId="77777777" w:rsidR="004322B1" w:rsidRPr="00AD2F44" w:rsidRDefault="004322B1">
      <w:pPr>
        <w:pStyle w:val="14Footnote"/>
      </w:pPr>
      <w:r w:rsidRPr="00AD2F44">
        <w:rPr>
          <w:i/>
          <w:iCs/>
        </w:rPr>
        <w:t>Eleventh Circuit:</w:t>
      </w:r>
      <w:r w:rsidRPr="00AD2F44">
        <w:t xml:space="preserve"> Geter v. Galardi S. Enters., Inc., 2015 WL 2384068 (S.D. Fla. May 19, 2015) (denying motion to decertify collective of adult entertainers who were allegedly misclassified as independent contractors)</w:t>
      </w:r>
    </w:p>
  </w:footnote>
  <w:footnote w:id="543">
    <w:p w14:paraId="1DADE5D4" w14:textId="77777777" w:rsidR="004322B1" w:rsidRPr="00AD2F44" w:rsidRDefault="004322B1">
      <w:pPr>
        <w:pStyle w:val="14Footnote"/>
      </w:pPr>
      <w:r w:rsidRPr="00AD2F44">
        <w:rPr>
          <w:vertAlign w:val="superscript"/>
        </w:rPr>
        <w:footnoteRef/>
      </w:r>
      <w:r w:rsidRPr="00AD2F44">
        <w:rPr>
          <w:i/>
          <w:iCs/>
        </w:rPr>
        <w:t>See, e.g</w:t>
      </w:r>
      <w:r w:rsidRPr="00AD2F44">
        <w:t>., Rehberg v. Flowers Baking Co. of Jamestown, LLC, 2015 WL 1346125, at *15 (W.D.N.C. Mar. 24, 2015) (denying motion for decertification where all collective members were classified as independent contractors, all had signed essentially the same agreement, and all performed substantially the same duties).</w:t>
      </w:r>
    </w:p>
  </w:footnote>
  <w:footnote w:id="544">
    <w:p w14:paraId="3356BAE0" w14:textId="77777777" w:rsidR="004322B1" w:rsidRPr="00AD2F44" w:rsidRDefault="004322B1">
      <w:pPr>
        <w:pStyle w:val="14Footnote"/>
      </w:pPr>
      <w:r w:rsidRPr="00AD2F44">
        <w:rPr>
          <w:vertAlign w:val="superscript"/>
        </w:rPr>
        <w:footnoteRef/>
      </w:r>
      <w:r w:rsidRPr="00AD2F44">
        <w:rPr>
          <w:i/>
          <w:iCs/>
        </w:rPr>
        <w:t>Compare</w:t>
      </w:r>
      <w:r w:rsidRPr="00AD2F44">
        <w:t xml:space="preserve"> Moody v. Associated Wholesale Grocers, Inc., 2019 WL 6036707, at *5 (E.D. La. Nov. 14, 2019) (decertifying collective after finding significant differences in job duties, disagreeing with plaintiffs that differences were “mere ‘distinct semantic labels’”), Harris v. Express Courier Int’l, Inc.,</w:t>
      </w:r>
      <w:r w:rsidRPr="00AD2F44">
        <w:rPr>
          <w:b/>
          <w:bCs/>
        </w:rPr>
        <w:t xml:space="preserve"> </w:t>
      </w:r>
      <w:r w:rsidRPr="00AD2F44">
        <w:t xml:space="preserve">2017 WL 5606751, at *6 (W.D. Ark. Nov. 21, 2017) (decertifying collective where employment status “cannot be resolved on a classwide basis without significant individual inquiry” due to varying deposition testimony given by plaintiffs as to economic realities test factors), </w:t>
      </w:r>
      <w:r w:rsidRPr="00AD2F44">
        <w:rPr>
          <w:i/>
          <w:iCs/>
        </w:rPr>
        <w:t>and</w:t>
      </w:r>
      <w:r w:rsidRPr="00AD2F44">
        <w:t xml:space="preserve"> Adami v. Cardo Windows, Inc., 2016 WL 1241798, at *10 (D.N.J. Mar. 30, 2016) (holding that three window installers classified as independent contractors were not similarly situated at “final certification” stage because lead plaintiff’s “relationship with Cardo differed materially from nearly every other window installer”), </w:t>
      </w:r>
      <w:r w:rsidRPr="00AD2F44">
        <w:rPr>
          <w:i/>
          <w:iCs/>
        </w:rPr>
        <w:t xml:space="preserve">with </w:t>
      </w:r>
      <w:r w:rsidRPr="00AD2F44">
        <w:t xml:space="preserve">Geter v. Galardi S. Enters., Inc., 2015 WL 2384068 (S.D. Fla. May 19, 2015) (denying motion for decertification in an independent contractor misclassification case filed by exotic dancers where all plaintiffs worked in same location, performed similar job duties, and were supervised by individuals at one workplace, even though some had written agreements and others did not and earning potential among class members varied), </w:t>
      </w:r>
      <w:r w:rsidRPr="00AD2F44">
        <w:rPr>
          <w:i/>
          <w:iCs/>
        </w:rPr>
        <w:t>and</w:t>
      </w:r>
      <w:r w:rsidRPr="00AD2F44">
        <w:t xml:space="preserve"> Collinge v. IntelliQuick Delivery, Inc., 2015 WL 1292444, at *2–8 (D. Ariz. Mar. 23, 2015) (denying motion for decertification in delivery driver independent contractor misclassification case where class members were under same contract and subject to same policies and procedures).</w:t>
      </w:r>
    </w:p>
  </w:footnote>
  <w:footnote w:id="545">
    <w:p w14:paraId="214BFA72" w14:textId="77777777" w:rsidR="004322B1" w:rsidRPr="00AD2F44" w:rsidRDefault="004322B1">
      <w:pPr>
        <w:pStyle w:val="14Footnote"/>
      </w:pPr>
      <w:r w:rsidRPr="00AD2F44">
        <w:rPr>
          <w:vertAlign w:val="superscript"/>
        </w:rPr>
        <w:footnoteRef/>
      </w:r>
      <w:r w:rsidRPr="00AD2F44">
        <w:rPr>
          <w:i/>
          <w:iCs/>
        </w:rPr>
        <w:t>See, e.g.,</w:t>
      </w:r>
    </w:p>
    <w:p w14:paraId="7AD39D6F" w14:textId="77777777" w:rsidR="004322B1" w:rsidRPr="00AD2F44" w:rsidRDefault="004322B1">
      <w:pPr>
        <w:pStyle w:val="14Footnote"/>
      </w:pPr>
      <w:r w:rsidRPr="00AD2F44">
        <w:rPr>
          <w:i/>
          <w:iCs/>
        </w:rPr>
        <w:t>Fifth Circuit:</w:t>
      </w:r>
      <w:r w:rsidRPr="00AD2F44">
        <w:t xml:space="preserve"> Clark v. Centene Co. of Tex. LP, 44 F. Supp. 3d 674, 688–90 (W.D. Tex. 2014) (utilization review nurses); Johnson v. Big Lots Stores, Inc., 561 F. Supp. 2d 567, 579–86 (E.D. La. 2008) (decertifying collective action involving assistant store managers); Reyes v. Texas EZPawn, L.P., 2007 WL 101808, at *2–4 (S.D. Tex. Jan. 8, 2007) (granting decertification motion in case involving assistant store managers).</w:t>
      </w:r>
    </w:p>
    <w:p w14:paraId="234BAA1B" w14:textId="77777777" w:rsidR="004322B1" w:rsidRPr="00AD2F44" w:rsidRDefault="004322B1">
      <w:pPr>
        <w:pStyle w:val="14Footnote"/>
      </w:pPr>
      <w:r w:rsidRPr="00AD2F44">
        <w:rPr>
          <w:i/>
          <w:iCs/>
        </w:rPr>
        <w:t>Eighth Circuit:</w:t>
      </w:r>
      <w:r w:rsidRPr="00AD2F44">
        <w:t xml:space="preserve"> Nerland v. Caribou Coffee Co., 564 F. Supp. 2d 1010, 1018–24 (D. Minn. 2007) (denying decertification motion in collective action involving the classification of store managers); Smith v. Heartland Auto. Servs., 404 F. Supp. 2d 1144, 1150–54 (D. Minn. 2005) (decertifying collective of allegedly misclassified store managers); King v. West Corp., 2006 WL 118577, at *14–15 (D. Neb. Jan. 13, 2006) (in motion to certify collective after discovery, denying certification for voice service managers), </w:t>
      </w:r>
      <w:r w:rsidRPr="00AD2F44">
        <w:rPr>
          <w:i/>
          <w:iCs/>
        </w:rPr>
        <w:t>report and recommendation adopted</w:t>
      </w:r>
      <w:r w:rsidRPr="00AD2F44">
        <w:t>, 2006 WL 8458270 (D. Neb. Feb. 7, 2006).</w:t>
      </w:r>
    </w:p>
    <w:p w14:paraId="28C98E2C" w14:textId="77777777" w:rsidR="004322B1" w:rsidRPr="00AD2F44" w:rsidRDefault="004322B1">
      <w:pPr>
        <w:pStyle w:val="14Footnote"/>
      </w:pPr>
      <w:r w:rsidRPr="00AD2F44">
        <w:rPr>
          <w:i/>
          <w:iCs/>
        </w:rPr>
        <w:t>Ninth Circuit:</w:t>
      </w:r>
      <w:r w:rsidRPr="00AD2F44">
        <w:t xml:space="preserve"> Woods v. Vector Mktg. Corp., 2015 WL 5188682, at *6 (N.D. Cal. Sept. 4, 2015) (trainees); Hazelbaker v. Metropolitan Prop. &amp; Cas. Ins. Co., 2014 WL 5304911, at *2–4 (D. Ariz. Oct. 16, 2014) (decertifying a collective action involving certain claims specialists).</w:t>
      </w:r>
    </w:p>
    <w:p w14:paraId="576008F2" w14:textId="77777777" w:rsidR="004322B1" w:rsidRPr="00AD2F44" w:rsidRDefault="004322B1">
      <w:pPr>
        <w:pStyle w:val="14Footnote"/>
      </w:pPr>
      <w:r w:rsidRPr="00AD2F44">
        <w:rPr>
          <w:i/>
          <w:iCs/>
        </w:rPr>
        <w:t>Eleventh Circuit:</w:t>
      </w:r>
      <w:r w:rsidRPr="00AD2F44">
        <w:t xml:space="preserve"> Morgan v. Family Dollar Stores, Inc., 551 F.3d 1233, 1262–63 (11th Cir. 2008) (affirming lower court’s denial of decertification motion in a collective action involving store managers); Pendlebury v. Starbucks Coffee Co., 518 F. Supp. 2d 1345, 1350–62 (S.D. Fla. 2008) (denying decertification motion in a collective action challenging the exempt status of store managers); Bradford v. Bed Bath &amp; Beyond, Inc., 184 F. Supp. 2d 1342, 1346–51 (N.D. Ga. 2002) (denying decertification motion in collective action involving retail store department managers).</w:t>
      </w:r>
    </w:p>
  </w:footnote>
  <w:footnote w:id="546">
    <w:p w14:paraId="1A441963" w14:textId="77777777" w:rsidR="004322B1" w:rsidRPr="00AD2F44" w:rsidRDefault="004322B1">
      <w:pPr>
        <w:pStyle w:val="14Footnote"/>
      </w:pPr>
      <w:r w:rsidRPr="00AD2F44">
        <w:rPr>
          <w:vertAlign w:val="superscript"/>
        </w:rPr>
        <w:footnoteRef/>
      </w:r>
      <w:r w:rsidRPr="00AD2F44">
        <w:rPr>
          <w:i/>
          <w:iCs/>
        </w:rPr>
        <w:t>See, e.g.,</w:t>
      </w:r>
    </w:p>
    <w:p w14:paraId="418EACE7" w14:textId="77777777" w:rsidR="004322B1" w:rsidRPr="00AD2F44" w:rsidRDefault="004322B1">
      <w:pPr>
        <w:pStyle w:val="14Footnote"/>
      </w:pPr>
      <w:r w:rsidRPr="00AD2F44">
        <w:rPr>
          <w:i/>
          <w:iCs/>
        </w:rPr>
        <w:t>Second Circuit:</w:t>
      </w:r>
      <w:r w:rsidRPr="00AD2F44">
        <w:t xml:space="preserve"> Locurto v. AT&amp;T Mobility Servs. LLC, 2018 WL 4519201 (S.D.N.Y. Sept. 20, 2018) (granting final certification of a collective that included two different positions based on a finding that job duties, expectations, schedules, compensation structure, levels of discretion, and experience were substantially similar); Tracy v. NVR, Inc., 293 F.R.D. 395, 400 (W.D.N.Y. 2013) (decertifying FLSA collective action involving the outside sales exemption where plaintiffs with the same job titles and job descriptions had claims that “pertain[ed] to different [plaintiffs] in different locations, under different managers, who performed duties outside of their offices to varying degre</w:t>
      </w:r>
      <w:r>
        <w:t>e</w:t>
      </w:r>
      <w:r w:rsidRPr="00AD2F44">
        <w:t>s and in different ways”).</w:t>
      </w:r>
    </w:p>
    <w:p w14:paraId="198BEDC4" w14:textId="77777777" w:rsidR="004322B1" w:rsidRPr="00AD2F44" w:rsidRDefault="004322B1">
      <w:pPr>
        <w:pStyle w:val="14Footnote"/>
      </w:pPr>
      <w:r w:rsidRPr="00AD2F44">
        <w:rPr>
          <w:i/>
          <w:iCs/>
        </w:rPr>
        <w:t>Third Circuit:</w:t>
      </w:r>
      <w:r w:rsidRPr="00AD2F44">
        <w:t xml:space="preserve"> Morisky v. Public Serv. Elec. &amp; Gas Co., 111 F. Supp. 2d 493, 498 (D.N.J. 2000) (explaining “[e]ven employees who hold the same job title do not necessarily perform the same work”).</w:t>
      </w:r>
    </w:p>
    <w:p w14:paraId="282D357F" w14:textId="77777777" w:rsidR="004322B1" w:rsidRPr="00AD2F44" w:rsidRDefault="004322B1">
      <w:pPr>
        <w:pStyle w:val="14Footnote"/>
      </w:pPr>
      <w:r w:rsidRPr="00AD2F44">
        <w:rPr>
          <w:i/>
          <w:iCs/>
        </w:rPr>
        <w:t>Fifth Circuit:</w:t>
      </w:r>
      <w:r w:rsidRPr="00AD2F44">
        <w:t xml:space="preserve"> </w:t>
      </w:r>
      <w:r w:rsidRPr="00AD2F44">
        <w:rPr>
          <w:i/>
          <w:iCs/>
        </w:rPr>
        <w:t>Big Lots Stores</w:t>
      </w:r>
      <w:r w:rsidRPr="00AD2F44">
        <w:t xml:space="preserve">, 561 F. Supp. 2d at 578–79 (granting decertification despite uniform job description, corporate policies, and store supervision structure); </w:t>
      </w:r>
      <w:r w:rsidRPr="00AD2F44">
        <w:rPr>
          <w:i/>
          <w:iCs/>
        </w:rPr>
        <w:t>Reyes</w:t>
      </w:r>
      <w:r w:rsidRPr="00AD2F44">
        <w:t>, 2007 WL 101808, at *3–4 (finding numerous differences in duties performed despite uniform job description).</w:t>
      </w:r>
    </w:p>
    <w:p w14:paraId="696A12F0" w14:textId="77777777" w:rsidR="004322B1" w:rsidRPr="00AD2F44" w:rsidRDefault="004322B1">
      <w:pPr>
        <w:pStyle w:val="14Footnote"/>
      </w:pPr>
      <w:r w:rsidRPr="00AD2F44">
        <w:rPr>
          <w:i/>
          <w:iCs/>
        </w:rPr>
        <w:t>Eighth Circuit:</w:t>
      </w:r>
      <w:r w:rsidRPr="00AD2F44">
        <w:t xml:space="preserve"> Nerland v. Caribou Coffee Co., 564 F. Supp. 2d 1010, 1019–20 (D. Minn. 2007) (denying decertification motion and explaining that a detailed inquiry into the daily job duties of each plaintiff was not necessary because their detailed job description “comprehensively described” both the managerial and nonmanagerial tasks all plaintiffs were expected to perform); </w:t>
      </w:r>
      <w:r w:rsidRPr="00AD2F44">
        <w:rPr>
          <w:i/>
          <w:iCs/>
        </w:rPr>
        <w:t>Heartland Automotive Services</w:t>
      </w:r>
      <w:r w:rsidRPr="00AD2F44">
        <w:t xml:space="preserve">, 404 F. Supp. 2d at 1151, 1154 (granting decertification despite common job description); </w:t>
      </w:r>
      <w:r w:rsidRPr="00AD2F44">
        <w:rPr>
          <w:i/>
          <w:iCs/>
        </w:rPr>
        <w:t>King</w:t>
      </w:r>
      <w:r w:rsidRPr="00AD2F44">
        <w:t>, 2006 WL 118577, at *13 (explaining “[m]erely showing that the employer classified a group of employees as exempt is not sufficient to establish that these employees are similarly situated for the purposes of an FLSA collective action”).</w:t>
      </w:r>
    </w:p>
    <w:p w14:paraId="25657E2B" w14:textId="77777777" w:rsidR="004322B1" w:rsidRPr="00AD2F44" w:rsidRDefault="004322B1">
      <w:pPr>
        <w:pStyle w:val="14Footnote"/>
      </w:pPr>
      <w:r w:rsidRPr="00AD2F44">
        <w:rPr>
          <w:i/>
          <w:iCs/>
        </w:rPr>
        <w:t>Ninth Circuit:</w:t>
      </w:r>
      <w:r w:rsidRPr="00AD2F44">
        <w:t xml:space="preserve"> Hazelbaker v. Metropolitan Prop. &amp; Cas. Ins. Co., 2014 WL 5304911, at *2–4 (D. Ariz. Oct. 16, 2014) (decertifying collective action involving application of outside sales exemption where plaintiffs conceded that amount of hours each engaged in outside sales activities differed).</w:t>
      </w:r>
    </w:p>
    <w:p w14:paraId="41A61090" w14:textId="77777777" w:rsidR="004322B1" w:rsidRPr="00AD2F44" w:rsidRDefault="004322B1">
      <w:pPr>
        <w:pStyle w:val="14Footnote"/>
      </w:pPr>
      <w:r w:rsidRPr="00AD2F44">
        <w:rPr>
          <w:i/>
          <w:iCs/>
        </w:rPr>
        <w:t>Eleventh Circuit: Morgan</w:t>
      </w:r>
      <w:r w:rsidRPr="00AD2F44">
        <w:t>, 551 F.3d at 1263 (affirming denial of decertification and noting that the company “exempted all store managers from overtime pay requirements without regard to store size, volume, region, district, or hiring and firing authority”).</w:t>
      </w:r>
    </w:p>
  </w:footnote>
  <w:footnote w:id="547">
    <w:p w14:paraId="1AD62F18" w14:textId="77777777" w:rsidR="004322B1" w:rsidRPr="00AD2F44" w:rsidRDefault="004322B1">
      <w:pPr>
        <w:pStyle w:val="14Footnote"/>
      </w:pPr>
      <w:r w:rsidRPr="00AD2F44">
        <w:rPr>
          <w:vertAlign w:val="superscript"/>
        </w:rPr>
        <w:footnoteRef/>
      </w:r>
      <w:r w:rsidRPr="00AD2F44">
        <w:rPr>
          <w:i/>
        </w:rPr>
        <w:t xml:space="preserve">See, e.g., </w:t>
      </w:r>
    </w:p>
    <w:p w14:paraId="25D969D6" w14:textId="77777777" w:rsidR="004322B1" w:rsidRPr="00AD2F44" w:rsidRDefault="004322B1">
      <w:pPr>
        <w:pStyle w:val="14Footnote"/>
      </w:pPr>
      <w:r w:rsidRPr="00AD2F44">
        <w:rPr>
          <w:i/>
          <w:iCs/>
        </w:rPr>
        <w:t>Second Circuit:</w:t>
      </w:r>
      <w:r w:rsidRPr="00AD2F44">
        <w:t xml:space="preserve"> Harper v. Government Emps. Ins. Co., 2015 WL 9673810, at *6 (E.D.N.Y. Nov. 16, 2015) (noting that courts have held that “[a]lthough it can be evidence of similarity, it is well established that ‘blanket classification decisions do not automatically qualify the affected employees as similarly situated, or eliminate the need to make a factual determination as to whether class members are actually performing similar duties’”) (citation omitted); Hernandez v. Fresh Diet, Inc., 2014 WL 5039431, at *4 (S.D.N.Y. Sept. 29, 2014) (stating, in independent contractor misclassification case, that “‘[b]lanket misclassification’ arguments are insufficient [at the decertification stage]”) (citation omitted); Stevens v. HMS Host Corp., 2014 WL 4261410, at *5 (E.D.N.Y. Aug. 24, 2014) </w:t>
      </w:r>
      <w:r w:rsidRPr="00AD2F44">
        <w:br/>
        <w:t>(“[B]lanket classification decisions do not automatically qualify the affected employees as similarly situated, nor eliminate the need to make a factual determination as to whether class members are actually performing similar duties.”).</w:t>
      </w:r>
    </w:p>
    <w:p w14:paraId="20BE0079" w14:textId="77777777" w:rsidR="004322B1" w:rsidRPr="00AD2F44" w:rsidRDefault="004322B1">
      <w:pPr>
        <w:pStyle w:val="14Footnote"/>
      </w:pPr>
      <w:r w:rsidRPr="00AD2F44">
        <w:t> </w:t>
      </w:r>
      <w:r w:rsidRPr="00AD2F44">
        <w:rPr>
          <w:i/>
          <w:iCs/>
        </w:rPr>
        <w:t>Fifth Circuit:</w:t>
      </w:r>
      <w:r w:rsidRPr="00AD2F44">
        <w:t xml:space="preserve"> Kelly v. Healthcare Servs. Grp., Inc., 106 F. Supp. 3d 808, 813 (E.D. Tex. 2015) (“[T]he decision to uniformly classify all employees as exempt is not, by itself, a sufficient justification to proceed as a class action.”); Lipnicki v. Meritage Homes Corp., 2014 WL 5620603, at *3 (S.D. Tex. Nov. 4, 2014) (“Absent similarity in actual job performance, a uniform classification alone may be insufficient to meet the certification standard.”); </w:t>
      </w:r>
      <w:r w:rsidRPr="00AD2F44">
        <w:rPr>
          <w:i/>
          <w:iCs/>
        </w:rPr>
        <w:t>Reyes</w:t>
      </w:r>
      <w:r w:rsidRPr="00AD2F44">
        <w:t>, 2007 WL 101808 (granting decertification motion where employees with same job description and exempt classification had varying day-to-day job duties).</w:t>
      </w:r>
    </w:p>
    <w:p w14:paraId="3424F19B" w14:textId="77777777" w:rsidR="004322B1" w:rsidRPr="00AD2F44" w:rsidRDefault="004322B1">
      <w:pPr>
        <w:pStyle w:val="14Footnote"/>
      </w:pPr>
      <w:r w:rsidRPr="00AD2F44">
        <w:rPr>
          <w:i/>
          <w:iCs/>
        </w:rPr>
        <w:t>Sixth Circuit:</w:t>
      </w:r>
      <w:r w:rsidRPr="00AD2F44">
        <w:t xml:space="preserve"> Oetinger v. First Residential Mortg. Network, 2009 WL 2162963, at *3 (W.D. Ky. July 16, 2009) (granting decertification motion where class members’ work varied based on general manager and team with which they worked, and explaining that “the employer’s classification means little compared to the employee’s actual job duties and circumstances”).</w:t>
      </w:r>
    </w:p>
    <w:p w14:paraId="0855A460" w14:textId="77777777" w:rsidR="004322B1" w:rsidRPr="00AD2F44" w:rsidRDefault="004322B1">
      <w:pPr>
        <w:pStyle w:val="14Footnote"/>
      </w:pPr>
      <w:r w:rsidRPr="00AD2F44">
        <w:rPr>
          <w:i/>
          <w:iCs/>
        </w:rPr>
        <w:t>Eighth Circuit:</w:t>
      </w:r>
      <w:r w:rsidRPr="00AD2F44">
        <w:t xml:space="preserve"> Cruz v. Lawson Software, Inc., 764 F. Supp. 2d 1050, 1058 (D. Minn. 2011) (stating in an administrative exemption case that “[t]he classification process is not strong evidence when evaluating whether employees are similarly situated.”); </w:t>
      </w:r>
      <w:r w:rsidRPr="00AD2F44">
        <w:rPr>
          <w:i/>
          <w:iCs/>
        </w:rPr>
        <w:t>King</w:t>
      </w:r>
      <w:r w:rsidRPr="00AD2F44">
        <w:t>, 2006 WL 118577, at *14 (employees with uniform job titles and similar job descriptions are not similarly situated “if their day-to-day job duties vary substantially”).</w:t>
      </w:r>
    </w:p>
    <w:p w14:paraId="588F9AEA" w14:textId="77777777" w:rsidR="004322B1" w:rsidRPr="00AD2F44" w:rsidRDefault="004322B1">
      <w:pPr>
        <w:pStyle w:val="14Footnote"/>
      </w:pPr>
      <w:r w:rsidRPr="00AD2F44">
        <w:rPr>
          <w:i/>
          <w:iCs/>
        </w:rPr>
        <w:t>Ninth Circuit:</w:t>
      </w:r>
      <w:r w:rsidRPr="00AD2F44">
        <w:t xml:space="preserve"> Benedict v. Hewlett-Packard Co., 2016 WL 3742342, at *9 (N.D. Cal. July 13, 2016) (“The Court finds Plaintiffs’ reliance on the uniform exemption policy equally unpersuasive. ‘The fact that an employer classifies all or most of a particular class of employees as exempt does not eliminate the need to make a factual determination as to whether class members are actually performing similar duties.’”) (citation omitted); Deane v. Fastenal Co., 2013 WL 675462, at *2 (N.D. Cal. Feb. 25, 2013) (“Plaintiffs cannot simply rely on the fact that [the employer] categorized them all as exempt, but must show a ‘substantial level of commonality’ among the duties performed and time spent on them … , [T]he discrepancies between the tasks performed, as well as the proportion of time each of them spent on those tasks, makes collective treatment here impracticable.”); Hernandez v. United Auto Credit Corp., 2010 WL 1337702, at *4–5 (N.D. Cal. Apr. 2, 2010) (granting decertification despite same job descriptions for each branch, which were developed in corporate office, because evidence showed wide variety of managerial responsibilities, and adopting rationale of Ninth Circuit in a Rule 23 state law misclassification case that courts should avoid “placing too much weight on an internal policy of classifying all members of a particular class of employees as exempt”).</w:t>
      </w:r>
      <w:r w:rsidRPr="00AD2F44">
        <w:rPr>
          <w:i/>
          <w:iCs/>
        </w:rPr>
        <w:t xml:space="preserve"> Cf. In re </w:t>
      </w:r>
      <w:r w:rsidRPr="00AD2F44">
        <w:t>Wells Fargo Home Mortg. Overtime Pay Litig., 571 F.3d 953, 958 (9th Cir. 2009) (reversing grant of Rule 23 class certification, which was grounded in large part on fact that employer had uniformly classified putative class members; rejecting as improper the effective “presumption that class certification is proper when an employer’s internal policies are applied uniformly to the employees”).</w:t>
      </w:r>
    </w:p>
    <w:p w14:paraId="1836EB03" w14:textId="77777777" w:rsidR="004322B1" w:rsidRPr="00AD2F44" w:rsidRDefault="004322B1">
      <w:pPr>
        <w:pStyle w:val="14Footnote"/>
      </w:pPr>
      <w:r w:rsidRPr="00AD2F44">
        <w:rPr>
          <w:i/>
          <w:iCs/>
        </w:rPr>
        <w:t>Eleventh Circuit:</w:t>
      </w:r>
      <w:r w:rsidRPr="00AD2F44">
        <w:t xml:space="preserve"> Richter v. Dolgencorp, Inc., 2012 WL 5289511, at *2–9 (N.D. Ala. Oct. 22, 2012) (decertifying case challenging the companywide use of executive exemption for store managers because exemption determination required extensive fact-based inquiry as to each plaintiff’s job duties).</w:t>
      </w:r>
    </w:p>
  </w:footnote>
  <w:footnote w:id="548">
    <w:p w14:paraId="0DE28A11" w14:textId="77777777" w:rsidR="004322B1" w:rsidRPr="00AD2F44" w:rsidRDefault="004322B1">
      <w:pPr>
        <w:pStyle w:val="14Footnote"/>
      </w:pPr>
      <w:r w:rsidRPr="00AD2F44">
        <w:rPr>
          <w:vertAlign w:val="superscript"/>
        </w:rPr>
        <w:footnoteRef/>
      </w:r>
      <w:r w:rsidRPr="00AD2F44">
        <w:rPr>
          <w:i/>
          <w:iCs/>
        </w:rPr>
        <w:t>See, e.g.,</w:t>
      </w:r>
    </w:p>
    <w:p w14:paraId="46D75597" w14:textId="77777777" w:rsidR="004322B1" w:rsidRPr="00AD2F44" w:rsidRDefault="004322B1">
      <w:pPr>
        <w:pStyle w:val="14Footnote"/>
      </w:pPr>
      <w:r w:rsidRPr="00AD2F44">
        <w:rPr>
          <w:i/>
          <w:iCs/>
        </w:rPr>
        <w:t>Second Circuit:</w:t>
      </w:r>
      <w:r w:rsidRPr="00AD2F44">
        <w:t xml:space="preserve"> Jacob v. Duane Reade, Inc., 2016 WL 3221148, at *8 (S.D.N.Y. June 9, 2016) (denying decertification motion and noting that “[p]laintiffs have also made a ‘persuasive showing’ that the original and opt-in plaintiffs were subject to ‘a systematically-applied company policy or practice’ … . In particular, the opt-in plaintiffs were subject to a blanket classification as exempt, and their jobs were defined by comprehensive corporate procedures and policies including uniform training, uniform job descriptions, and uniform procedures.”) (citation omitted).</w:t>
      </w:r>
    </w:p>
    <w:p w14:paraId="4DFB4A29" w14:textId="77777777" w:rsidR="004322B1" w:rsidRPr="00AD2F44" w:rsidRDefault="004322B1">
      <w:pPr>
        <w:pStyle w:val="14Footnote"/>
      </w:pPr>
      <w:r w:rsidRPr="00AD2F44">
        <w:rPr>
          <w:i/>
          <w:iCs/>
        </w:rPr>
        <w:t xml:space="preserve">Fifth Circuit: </w:t>
      </w:r>
      <w:r w:rsidRPr="00AD2F44">
        <w:t>Clark v. Centene Co. of Tex. LP, 44 F. Supp. 3d 674, 689–90 (W.D. Tex. 2014) (denying decertification motion and noting that employer used third-party management company to make its classification decisions on positionwide basis and reached same conclusion for every case manager nurse).</w:t>
      </w:r>
    </w:p>
    <w:p w14:paraId="3C58EB99" w14:textId="77777777" w:rsidR="004322B1" w:rsidRPr="00AD2F44" w:rsidRDefault="004322B1">
      <w:pPr>
        <w:pStyle w:val="14Footnote"/>
      </w:pPr>
      <w:r w:rsidRPr="00AD2F44">
        <w:rPr>
          <w:i/>
          <w:iCs/>
        </w:rPr>
        <w:t>Eighth Circuit:</w:t>
      </w:r>
      <w:r w:rsidRPr="00AD2F44">
        <w:t xml:space="preserve"> Judkins v. SouthernCare, Inc., 74 F. Supp. 3d 1007, 1014–15 (S.D. Iowa 2015) (holding that fact that employer implemented blanket overtime exemption for all putative class members weighed against decertification). </w:t>
      </w:r>
    </w:p>
    <w:p w14:paraId="3A532B38" w14:textId="77777777" w:rsidR="004322B1" w:rsidRPr="00AD2F44" w:rsidRDefault="004322B1">
      <w:pPr>
        <w:pStyle w:val="14Footnote"/>
      </w:pPr>
      <w:r w:rsidRPr="00AD2F44">
        <w:rPr>
          <w:i/>
          <w:iCs/>
        </w:rPr>
        <w:t xml:space="preserve">Eleventh Circuit: </w:t>
      </w:r>
      <w:r w:rsidRPr="00AD2F44">
        <w:t>Morgan v. Family Dollar Stores, Inc., 551 F.3d 1233 (11th Cir. 2008)</w:t>
      </w:r>
      <w:r w:rsidRPr="00AD2F44">
        <w:rPr>
          <w:i/>
          <w:iCs/>
        </w:rPr>
        <w:t xml:space="preserve"> </w:t>
      </w:r>
      <w:r w:rsidRPr="00AD2F44">
        <w:t xml:space="preserve">(permitting collective litigation of exemption in part because of decision to classify all store managers as exempt); Miller v. FleetCor Techs. Operating Co., 118 F. Supp. 3d 1351, 1355 (N.D. Ga. 2015) (“The fact that Defendant classified them collectively as exempt and then again collectively as non-exempt shows that Defendant also views their jobs similarly. Clearly, the issue of whether Defendant improperly classified Plaintiffs’ positions as ‘exempt’ prior to June 2011 is capable of collective determination for the same reason as the court found a collective action proper in </w:t>
      </w:r>
      <w:r w:rsidRPr="00AD2F44">
        <w:rPr>
          <w:i/>
          <w:iCs/>
        </w:rPr>
        <w:t>Morgan</w:t>
      </w:r>
      <w:r w:rsidRPr="00AD2F44">
        <w:t xml:space="preserve">.”); Pendlebury v. Starbucks Coffee Co., 518 F. Supp. 2d 1345, 1353 (S.D. Fla. 2008) (finding that, although group classification as exempt is not sufficient to establish that group members are similarly situated, “practice of blanket classification does carry </w:t>
      </w:r>
      <w:r w:rsidRPr="00AD2F44">
        <w:rPr>
          <w:i/>
          <w:iCs/>
        </w:rPr>
        <w:t>some</w:t>
      </w:r>
      <w:r w:rsidRPr="00AD2F44">
        <w:t xml:space="preserve"> weight in the analysis”) (emphasis in original). </w:t>
      </w:r>
    </w:p>
  </w:footnote>
  <w:footnote w:id="549">
    <w:p w14:paraId="23ADC6A2" w14:textId="77777777" w:rsidR="004322B1" w:rsidRPr="00AD2F44" w:rsidRDefault="004322B1">
      <w:pPr>
        <w:pStyle w:val="14Footnote"/>
      </w:pPr>
      <w:r w:rsidRPr="00AD2F44">
        <w:rPr>
          <w:vertAlign w:val="superscript"/>
        </w:rPr>
        <w:footnoteRef/>
      </w:r>
      <w:r w:rsidRPr="00AD2F44">
        <w:rPr>
          <w:i/>
          <w:iCs/>
        </w:rPr>
        <w:t>See, e.g.,</w:t>
      </w:r>
    </w:p>
    <w:p w14:paraId="5CA9ECAC" w14:textId="77777777" w:rsidR="004322B1" w:rsidRPr="00AD2F44" w:rsidRDefault="004322B1">
      <w:pPr>
        <w:pStyle w:val="14Footnote"/>
      </w:pPr>
      <w:r w:rsidRPr="00AD2F44">
        <w:rPr>
          <w:i/>
          <w:iCs/>
        </w:rPr>
        <w:t>Second Circuit:</w:t>
      </w:r>
      <w:r w:rsidRPr="00AD2F44">
        <w:t xml:space="preserve"> </w:t>
      </w:r>
      <w:r w:rsidRPr="00AD2F44">
        <w:rPr>
          <w:i/>
          <w:iCs/>
        </w:rPr>
        <w:t>Harper</w:t>
      </w:r>
      <w:r w:rsidRPr="00AD2F44">
        <w:t xml:space="preserve">, 2015 WL 9673810, at *4 (finding that many discrepancies, including varying accounts of degree to which plaintiffs were supervised, degree to which their supervisors were involved in negotiations, and degree to which their supervisors controlled their interaction, raised questions as to whether plaintiffs were similarly situated regarding application of administrative exemption); </w:t>
      </w:r>
      <w:r w:rsidRPr="00AD2F44">
        <w:rPr>
          <w:i/>
          <w:iCs/>
        </w:rPr>
        <w:t>Stevens</w:t>
      </w:r>
      <w:r w:rsidRPr="00AD2F44">
        <w:t>, 2014 WL 4261410, at *5–8 (decertifying collective action including more than 275 assistant managers where testimony demonstrated differences among class members’ involvement in management duties, including scheduling, disciplining, firing, hiring, and evaluating employees).</w:t>
      </w:r>
    </w:p>
    <w:p w14:paraId="7DE968AF" w14:textId="77777777" w:rsidR="004322B1" w:rsidRPr="00AD2F44" w:rsidRDefault="004322B1">
      <w:pPr>
        <w:pStyle w:val="14Footnote"/>
      </w:pPr>
      <w:r w:rsidRPr="00AD2F44">
        <w:rPr>
          <w:i/>
          <w:iCs/>
        </w:rPr>
        <w:t>Fifth Circuit:</w:t>
      </w:r>
      <w:r w:rsidRPr="00AD2F44">
        <w:t xml:space="preserve"> </w:t>
      </w:r>
      <w:r w:rsidRPr="00AD2F44">
        <w:rPr>
          <w:i/>
          <w:iCs/>
        </w:rPr>
        <w:t>Reyes</w:t>
      </w:r>
      <w:r w:rsidRPr="00AD2F44">
        <w:t>, 2007 WL 101808, at *4 (noting a wide range of differences in the assistant store managers’ experiences depending on their perceptions of their role in the company, their managers’ individual management styles, and their stores’ geographic locations).</w:t>
      </w:r>
    </w:p>
    <w:p w14:paraId="7E61F87B" w14:textId="77777777" w:rsidR="004322B1" w:rsidRPr="00AD2F44" w:rsidRDefault="004322B1">
      <w:pPr>
        <w:pStyle w:val="14Footnote"/>
      </w:pPr>
      <w:r w:rsidRPr="00AD2F44">
        <w:rPr>
          <w:i/>
          <w:iCs/>
        </w:rPr>
        <w:t>Sixth Circuit:</w:t>
      </w:r>
      <w:r w:rsidRPr="00AD2F44">
        <w:t xml:space="preserve"> Lindsey v. Tire Discounters, Inc.,</w:t>
      </w:r>
      <w:r w:rsidRPr="00AD2F44">
        <w:rPr>
          <w:b/>
          <w:bCs/>
        </w:rPr>
        <w:t xml:space="preserve"> </w:t>
      </w:r>
      <w:r w:rsidRPr="00AD2F44">
        <w:t xml:space="preserve">2017 WL 5972104, at *12 (S.D. Ohio Dec. 1, 2017) (decertifying collective on finding that, despite common job description, service managers had “disparate and inconsistent” job duties across locations); </w:t>
      </w:r>
      <w:r w:rsidRPr="00AD2F44">
        <w:rPr>
          <w:i/>
          <w:iCs/>
        </w:rPr>
        <w:t>Oetinger</w:t>
      </w:r>
      <w:r w:rsidRPr="00AD2F44">
        <w:t>, 2009 WL 2162963, at *3 (granting decertification motion where class members’ work varied based on general manager and team with which they worked, and general managers had broad discretion in running those teams).</w:t>
      </w:r>
    </w:p>
    <w:p w14:paraId="0F869114" w14:textId="77777777" w:rsidR="004322B1" w:rsidRPr="00AD2F44" w:rsidRDefault="004322B1">
      <w:pPr>
        <w:pStyle w:val="14Footnote"/>
      </w:pPr>
      <w:r w:rsidRPr="00AD2F44">
        <w:rPr>
          <w:i/>
          <w:iCs/>
        </w:rPr>
        <w:t>Eighth Circuit:</w:t>
      </w:r>
      <w:r w:rsidRPr="00AD2F44">
        <w:t xml:space="preserve"> Harris v. Express Courier Int’l, Inc.,</w:t>
      </w:r>
      <w:r w:rsidRPr="00AD2F44">
        <w:rPr>
          <w:b/>
          <w:bCs/>
        </w:rPr>
        <w:t xml:space="preserve"> </w:t>
      </w:r>
      <w:r w:rsidRPr="00AD2F44">
        <w:t xml:space="preserve">2017 WL 5606751, at *6 (W.D. Ark. Nov. 21, 2017) (decertifying collective where employment status “cannot be resolved on a classwide basis without significant individual inquiry” due to varying deposition testimony given by plaintiffs as to economic realities test factors); Keef v. M.A. Mortenson Co., 2009 U.S. Dist. LEXIS 14358, at *7–8 (D. Minn. Feb. 24, 2009); </w:t>
      </w:r>
      <w:r w:rsidRPr="00AD2F44">
        <w:rPr>
          <w:i/>
          <w:iCs/>
        </w:rPr>
        <w:t>King</w:t>
      </w:r>
      <w:r w:rsidRPr="00AD2F44">
        <w:t>, 2006 WL 118577, at *15 (noting differences relating to supervisors, team policies, client interactions, and other factual distinctions will “overwhelmingly predominate over their similarities and will require individualized inquiry at trial”).</w:t>
      </w:r>
    </w:p>
    <w:p w14:paraId="387872A0" w14:textId="77777777" w:rsidR="004322B1" w:rsidRPr="00AD2F44" w:rsidRDefault="004322B1">
      <w:pPr>
        <w:pStyle w:val="14Footnote"/>
      </w:pPr>
      <w:r w:rsidRPr="00AD2F44">
        <w:rPr>
          <w:i/>
          <w:iCs/>
        </w:rPr>
        <w:t>Ninth Circuit:</w:t>
      </w:r>
      <w:r w:rsidRPr="00AD2F44">
        <w:t xml:space="preserve"> </w:t>
      </w:r>
      <w:r w:rsidRPr="00AD2F44">
        <w:rPr>
          <w:i/>
          <w:iCs/>
        </w:rPr>
        <w:t>Hernandez</w:t>
      </w:r>
      <w:r w:rsidRPr="00AD2F44">
        <w:t>, 2010 WL 1337702, at *4–5 (granting decertification despite same job descriptions for each branch, which were developed in the corporate office, because evidence showed wide variety of managerial responsibilities, and adopting the rationale of the Ninth Circuit in a Rule 23 state law misclassification case that courts should avoid “placing too much weight on an internal policy of classifying all members of a particular class of employees as exempt”).</w:t>
      </w:r>
    </w:p>
    <w:p w14:paraId="7FD22D1A" w14:textId="77777777" w:rsidR="004322B1" w:rsidRPr="00AD2F44" w:rsidRDefault="004322B1">
      <w:pPr>
        <w:pStyle w:val="14Footnote"/>
      </w:pPr>
      <w:r w:rsidRPr="00AD2F44">
        <w:rPr>
          <w:i/>
          <w:iCs/>
        </w:rPr>
        <w:t>Eleventh Circuit:</w:t>
      </w:r>
      <w:r w:rsidRPr="00AD2F44">
        <w:t xml:space="preserve"> Roberson v. Restaurant Delivery Developers, LLC, 320 F. Supp. 3d 1309 (M.D. Fla. 2018) (granting employer’s decertification because plaintiff’s evidence of similarly situated relied on four declarations all from the same location and failed to establish that a common policy applied nationwide, and because the policies provided did not speak to several aspects of plaintiffs’ work).</w:t>
      </w:r>
    </w:p>
  </w:footnote>
  <w:footnote w:id="550">
    <w:p w14:paraId="3D193B80" w14:textId="77777777" w:rsidR="004322B1" w:rsidRPr="00AD2F44" w:rsidRDefault="004322B1">
      <w:pPr>
        <w:pStyle w:val="14Footnote"/>
      </w:pPr>
      <w:r w:rsidRPr="00AD2F44">
        <w:rPr>
          <w:vertAlign w:val="superscript"/>
        </w:rPr>
        <w:footnoteRef/>
      </w:r>
      <w:r w:rsidRPr="00AD2F44">
        <w:rPr>
          <w:i/>
          <w:iCs/>
        </w:rPr>
        <w:t>See, e.g.,</w:t>
      </w:r>
    </w:p>
    <w:p w14:paraId="0C0C7D7D" w14:textId="77777777" w:rsidR="004322B1" w:rsidRPr="00AD2F44" w:rsidRDefault="004322B1">
      <w:pPr>
        <w:pStyle w:val="14Footnote"/>
      </w:pPr>
      <w:r w:rsidRPr="00AD2F44">
        <w:rPr>
          <w:i/>
          <w:iCs/>
        </w:rPr>
        <w:t>Second Circuit:</w:t>
      </w:r>
      <w:r w:rsidRPr="00AD2F44">
        <w:t xml:space="preserve"> </w:t>
      </w:r>
      <w:r w:rsidRPr="00AD2F44">
        <w:rPr>
          <w:i/>
          <w:iCs/>
        </w:rPr>
        <w:t>Jacob</w:t>
      </w:r>
      <w:r w:rsidRPr="00AD2F44">
        <w:t>, 2016 WL 3221148, at *8 (denying decertification motion where employer made blanket decision to classify assistant store managers as exempt).</w:t>
      </w:r>
    </w:p>
    <w:p w14:paraId="5636CBAC" w14:textId="77777777" w:rsidR="004322B1" w:rsidRPr="00AD2F44" w:rsidRDefault="004322B1">
      <w:pPr>
        <w:pStyle w:val="14Footnote"/>
      </w:pPr>
      <w:r w:rsidRPr="00AD2F44">
        <w:rPr>
          <w:i/>
          <w:iCs/>
        </w:rPr>
        <w:t>Fifth Circuit: Clark</w:t>
      </w:r>
      <w:r w:rsidRPr="00AD2F44">
        <w:t>, 44 F. Supp. 3d at 689–90 (denying decertification motion and noting that employer used third-party management company to make its classification decisions on position-wide basis and reached same conclusion for every case manager nurse);</w:t>
      </w:r>
      <w:r w:rsidRPr="00AD2F44">
        <w:rPr>
          <w:i/>
          <w:iCs/>
        </w:rPr>
        <w:t xml:space="preserve"> </w:t>
      </w:r>
      <w:r w:rsidRPr="00AD2F44">
        <w:t>Sanders v. Latshaw Drilling Co., LLC, 2019 WL 129769 (N.D. Tex. Mar. 14, 2018) (decertifying the collective based on a finding that class members’ jobs differed significantly, including that they worked in different positions and in different divisions, performed different tasks, and had different levels of discretion).</w:t>
      </w:r>
    </w:p>
    <w:p w14:paraId="0F306638" w14:textId="77777777" w:rsidR="004322B1" w:rsidRPr="00AD2F44" w:rsidRDefault="004322B1">
      <w:pPr>
        <w:pStyle w:val="14Footnote"/>
      </w:pPr>
      <w:r w:rsidRPr="00AD2F44">
        <w:rPr>
          <w:i/>
          <w:iCs/>
        </w:rPr>
        <w:t>Sixth Circuit:</w:t>
      </w:r>
      <w:r w:rsidRPr="00AD2F44">
        <w:t xml:space="preserve"> Fenley v. Wood Grp. Mustang, Inc., 325 F.R.D. 232 (S.D. Ohio 2018) (denying decertification motion, rejecting defendant’s assertion that individualized inquiries were necessary for administrative exemption determination where evidence showed inspectors performed manual work subject to specific guidelines, and argument for application of executive exemption affected less than 6% of total opt-in class). </w:t>
      </w:r>
    </w:p>
    <w:p w14:paraId="4ECE38ED" w14:textId="77777777" w:rsidR="004322B1" w:rsidRPr="00AD2F44" w:rsidRDefault="004322B1">
      <w:pPr>
        <w:pStyle w:val="14Footnote"/>
      </w:pPr>
      <w:r w:rsidRPr="00AD2F44">
        <w:rPr>
          <w:i/>
          <w:iCs/>
        </w:rPr>
        <w:t>Seventh Circuit</w:t>
      </w:r>
      <w:r w:rsidRPr="00AD2F44">
        <w:t xml:space="preserve">: O’Leary v. Humana Ins. Co., 2020 BL 464206, 2020 WL 7038820 (E.D. Wis. Nov. 30, 2020) (denying decertification motion, holding that for administrative and learned profession exemptions, defendant’s record evidence supported finding that exemption issues could be determined on collective basis). </w:t>
      </w:r>
      <w:r w:rsidRPr="00AD2F44">
        <w:rPr>
          <w:i/>
          <w:iCs/>
        </w:rPr>
        <w:t xml:space="preserve">Eighth Circuit: </w:t>
      </w:r>
      <w:r w:rsidRPr="00AD2F44">
        <w:t>Nerland v. Caribou Coffee Co., 564 F. Supp. 2d 1010, 1019–20 (D. Minn. 2007) (denying decertification where manager job descriptions were “comprehensive” and described all duties that plaintiffs were expected to perform).</w:t>
      </w:r>
    </w:p>
    <w:p w14:paraId="586AB9FB" w14:textId="77777777" w:rsidR="004322B1" w:rsidRPr="00AD2F44" w:rsidRDefault="004322B1">
      <w:pPr>
        <w:pStyle w:val="14Footnote"/>
      </w:pPr>
      <w:r w:rsidRPr="00AD2F44">
        <w:rPr>
          <w:i/>
          <w:iCs/>
        </w:rPr>
        <w:t>Eleventh Circuit: Morgan</w:t>
      </w:r>
      <w:r w:rsidRPr="00AD2F44">
        <w:t>, 551 F.3d at 1263 (“Family Dollar uniformly exempted all Store Managers from overtime pay requirements, and its exemption decision did not turn on any individualized factors. Not one. There is nothing unfair about litigating a single corporate decision in a single collective action.”).</w:t>
      </w:r>
    </w:p>
  </w:footnote>
  <w:footnote w:id="551">
    <w:p w14:paraId="116DC2E1" w14:textId="77777777" w:rsidR="004322B1" w:rsidRPr="00AD2F44" w:rsidRDefault="004322B1">
      <w:pPr>
        <w:pStyle w:val="14Footnote"/>
      </w:pPr>
      <w:r w:rsidRPr="00AD2F44">
        <w:rPr>
          <w:vertAlign w:val="superscript"/>
        </w:rPr>
        <w:footnoteRef/>
      </w:r>
      <w:r w:rsidRPr="00AD2F44">
        <w:rPr>
          <w:i/>
          <w:iCs/>
        </w:rPr>
        <w:t>See, e.g.,</w:t>
      </w:r>
    </w:p>
    <w:p w14:paraId="3AD9EC68" w14:textId="77777777" w:rsidR="004322B1" w:rsidRPr="00AD2F44" w:rsidRDefault="004322B1">
      <w:pPr>
        <w:pStyle w:val="14Footnote"/>
      </w:pPr>
      <w:r w:rsidRPr="00AD2F44">
        <w:rPr>
          <w:i/>
          <w:iCs/>
        </w:rPr>
        <w:t>Second Circuit</w:t>
      </w:r>
      <w:r w:rsidRPr="00AD2F44">
        <w:t>: Holick v. Cellular Sales of N.Y., LLC, 2019 WL 1877176, at *1 (N.D.N.Y. Apr. 26, 2018) (granting decertification motion in an independent contractor case because there were significant differences between how members of the collective classified themselves for tax purposes, the amounts that each of them invested into their equipment, their ability to work outside defendant’s stores, and the schedules they worked such that determining whether they were properly classified or not would require a “highly personalized” analysis).</w:t>
      </w:r>
    </w:p>
    <w:p w14:paraId="554F343C" w14:textId="77777777" w:rsidR="004322B1" w:rsidRPr="00AD2F44" w:rsidRDefault="004322B1">
      <w:pPr>
        <w:pStyle w:val="14Footnote"/>
      </w:pPr>
      <w:r w:rsidRPr="00AD2F44">
        <w:rPr>
          <w:i/>
          <w:iCs/>
        </w:rPr>
        <w:t>Third Circuit:</w:t>
      </w:r>
      <w:r w:rsidRPr="00AD2F44">
        <w:t xml:space="preserve"> Morisky v. Public Serv. Elec. &amp; Gas Co., 111 F. Supp. 2d 493, 498–99 (D.N.J. 2000).</w:t>
      </w:r>
    </w:p>
    <w:p w14:paraId="5A93D58F" w14:textId="77777777" w:rsidR="004322B1" w:rsidRPr="00AD2F44" w:rsidRDefault="004322B1">
      <w:pPr>
        <w:pStyle w:val="14Footnote"/>
      </w:pPr>
      <w:r w:rsidRPr="00AD2F44">
        <w:rPr>
          <w:i/>
          <w:iCs/>
        </w:rPr>
        <w:t>Fifth Circuit:</w:t>
      </w:r>
      <w:r w:rsidRPr="00AD2F44">
        <w:t xml:space="preserve"> </w:t>
      </w:r>
      <w:r w:rsidRPr="00045909">
        <w:t xml:space="preserve">Clarke v. Pei Wei Asian Dinner LLC, </w:t>
      </w:r>
      <w:r w:rsidRPr="00ED051D">
        <w:t>2023 BL 82559</w:t>
      </w:r>
      <w:r>
        <w:t xml:space="preserve">, </w:t>
      </w:r>
      <w:r w:rsidRPr="00045909">
        <w:t>2023 WL 2518805, at *4 (N.D. Tex. Mar. 13, 2023)</w:t>
      </w:r>
      <w:r>
        <w:t xml:space="preserve"> (granting motion to decertify because application of exemption defenses to plaintiffs, who were general managers at defendant’s restaurants, would “</w:t>
      </w:r>
      <w:r w:rsidRPr="00045909">
        <w:t>require individual inquiries into each Plaintiff</w:t>
      </w:r>
      <w:r>
        <w:t>’</w:t>
      </w:r>
      <w:r w:rsidRPr="00045909">
        <w:t>s daily tasks</w:t>
      </w:r>
      <w:r>
        <w:t xml:space="preserve">”); </w:t>
      </w:r>
      <w:r w:rsidRPr="00AD2F44">
        <w:t>Clay v. New Tech Global Ventures, LLC, 2019 WL 1028532 (W.D. La. Mar. 4, 2018) (granting defendant’s decertification motion based on defendant’s showing that individualized proof would be required for each plaintiff to determine whether they had been properly classified as independent contractors); Johnson v. Big Lots Stores, Inc., 561 F. Supp. 2d 567, 586 (E.D. La. 2008) (granting motion for decertification in part because requiring the employer “to pick the class apart, plaintiff by plaintiff, going into the day-to-day job duties of each of the plaintiffs to prove that these [assistant store managers] are properly classified as exempt … is tantamount to conducting multiple individual trials on the merits and is the antithesis of a collective action”).</w:t>
      </w:r>
    </w:p>
    <w:p w14:paraId="7474C123" w14:textId="77777777" w:rsidR="004322B1" w:rsidRPr="00AD2F44" w:rsidRDefault="004322B1">
      <w:pPr>
        <w:pStyle w:val="14Footnote"/>
      </w:pPr>
      <w:r w:rsidRPr="00AD2F44">
        <w:rPr>
          <w:i/>
          <w:iCs/>
        </w:rPr>
        <w:t>Seventh Circuit:</w:t>
      </w:r>
      <w:r w:rsidRPr="00AD2F44">
        <w:t xml:space="preserve"> Reich v. Homier Distrib. Co., Inc., 362 F. Supp. 2d 1009, 1015 (N.D. Ind. 2005) (denying certification at conditional stage where application of the loader exemption would require individualized discovery regarding each plaintiff’s specific duties).</w:t>
      </w:r>
    </w:p>
    <w:p w14:paraId="3E225506" w14:textId="77777777" w:rsidR="004322B1" w:rsidRPr="00AD2F44" w:rsidRDefault="004322B1">
      <w:pPr>
        <w:pStyle w:val="14Footnote"/>
      </w:pPr>
      <w:r w:rsidRPr="00AD2F44">
        <w:rPr>
          <w:i/>
          <w:iCs/>
        </w:rPr>
        <w:t>Eighth Circuit:</w:t>
      </w:r>
      <w:r w:rsidRPr="00AD2F44">
        <w:t xml:space="preserve"> King v. West Corp., 2006 WL 118577, at *14 (D. Neb. Jan. 13, 2006) (denying certification and explaining “[s]ince the ultimate issue to be determined in this case is whether [the employer] properly classified [the positions] as exempt, deciding whether members of this proposed class are ‘similarly situated’ requires analyzing the nature of the job duties performed by each putative plaintiff”).</w:t>
      </w:r>
    </w:p>
    <w:p w14:paraId="4624A404" w14:textId="77777777" w:rsidR="004322B1" w:rsidRDefault="004322B1">
      <w:pPr>
        <w:pStyle w:val="14Footnote"/>
      </w:pPr>
      <w:r w:rsidRPr="00AD2F44">
        <w:rPr>
          <w:i/>
          <w:iCs/>
        </w:rPr>
        <w:t>Ninth Circuit:</w:t>
      </w:r>
      <w:r w:rsidRPr="00AD2F44">
        <w:rPr>
          <w:b/>
          <w:bCs/>
          <w:i/>
          <w:iCs/>
        </w:rPr>
        <w:t xml:space="preserve"> </w:t>
      </w:r>
      <w:r w:rsidRPr="00AD2F44">
        <w:t>Santiago v. Amdocs, Inc., 2013 WL 5444324, at *5–8 (N.D. Cal. Sept. 30, 2013) (granting decertification where the FLSA class included employees classified as exempt “with numerous job titles, in three different Job Families and two different Bands, and whose job duties varied”); Wong v. HSBC Mortg. Corp. (USA), 2010 WL 3833952, at *2–4 (N.D. Cal. Sept. 29, 2010) (granting decertification in outside sales exemption misclassification case, given that there was no “centralized rule, policy or practice” that governed how plaintiffs spent their work time, and reasoning that court would have to evaluate “where the individual employees actually spent their time”).</w:t>
      </w:r>
    </w:p>
    <w:p w14:paraId="06B50952" w14:textId="77777777" w:rsidR="004322B1" w:rsidRPr="00D86A46" w:rsidRDefault="004322B1">
      <w:pPr>
        <w:pStyle w:val="14Footnote"/>
      </w:pPr>
      <w:r>
        <w:rPr>
          <w:i/>
          <w:iCs/>
        </w:rPr>
        <w:t xml:space="preserve">Tenth Circuit: </w:t>
      </w:r>
      <w:r w:rsidRPr="00277737">
        <w:t xml:space="preserve">Levine v. Vitamin Cottage Nat. Food Markets, Inc., </w:t>
      </w:r>
      <w:r w:rsidRPr="00ED051D">
        <w:t>2023 BL 180243</w:t>
      </w:r>
      <w:r>
        <w:t xml:space="preserve">, </w:t>
      </w:r>
      <w:r w:rsidRPr="00277737">
        <w:t>2023 WL 3648684, at *</w:t>
      </w:r>
      <w:r>
        <w:t>6–</w:t>
      </w:r>
      <w:r w:rsidRPr="00277737">
        <w:t>1</w:t>
      </w:r>
      <w:r>
        <w:t>1</w:t>
      </w:r>
      <w:r w:rsidRPr="00277737">
        <w:t xml:space="preserve"> (D. Colo. May 25, 2023)</w:t>
      </w:r>
      <w:r>
        <w:t xml:space="preserve"> (granting decertification in executive and administrative exemption case based on differences in assistant store managers’ day-to-day work experiences).</w:t>
      </w:r>
    </w:p>
  </w:footnote>
  <w:footnote w:id="552">
    <w:p w14:paraId="6A33366D" w14:textId="77777777" w:rsidR="004322B1" w:rsidRPr="00AD2F44" w:rsidRDefault="004322B1">
      <w:pPr>
        <w:pStyle w:val="14Footnote"/>
      </w:pPr>
      <w:r w:rsidRPr="00AD2F44">
        <w:rPr>
          <w:vertAlign w:val="superscript"/>
        </w:rPr>
        <w:footnoteRef/>
      </w:r>
      <w:r w:rsidRPr="00AD2F44">
        <w:rPr>
          <w:i/>
          <w:iCs/>
        </w:rPr>
        <w:t>See, e.g.,</w:t>
      </w:r>
      <w:r w:rsidRPr="00AD2F44">
        <w:t xml:space="preserve"> Morano v. Intercontinental Capital Grp., Inc., 2012 WL2952893, at *8 (S.D.N.Y. July 17, 2012) (decertifying challenge to outside sales exemption; “plaintiffs were paid in at least two different ways, creating another ‘disparate factual and employment setting of the individual plaintiff’”).</w:t>
      </w:r>
    </w:p>
  </w:footnote>
  <w:footnote w:id="553">
    <w:p w14:paraId="49BBD0CF" w14:textId="77777777" w:rsidR="004322B1" w:rsidRPr="00AD2F44" w:rsidRDefault="004322B1">
      <w:pPr>
        <w:pStyle w:val="14Footnote"/>
      </w:pPr>
      <w:r w:rsidRPr="00AD2F44">
        <w:rPr>
          <w:vertAlign w:val="superscript"/>
        </w:rPr>
        <w:footnoteRef/>
      </w:r>
      <w:r w:rsidRPr="00AD2F44">
        <w:rPr>
          <w:i/>
          <w:iCs/>
        </w:rPr>
        <w:t>Second Circuit:</w:t>
      </w:r>
      <w:r w:rsidRPr="00AD2F44">
        <w:t xml:space="preserve"> Perez v. Allstate Ins. Co., 2014 WL 4635745, at *9 (E.D.N.Y. Sept. 16, 2014) (denying decertification and finding that use of representative testimony is fair and efficient way to resolve plaintiffs’ claims); Scott v. Aetna Servs., Inc., 210 F.R.D. 261, 265 (D. Conn. 2002).</w:t>
      </w:r>
    </w:p>
    <w:p w14:paraId="45466D8A" w14:textId="77777777" w:rsidR="004322B1" w:rsidRPr="00AD2F44" w:rsidRDefault="004322B1">
      <w:pPr>
        <w:pStyle w:val="14Footnote"/>
      </w:pPr>
      <w:r w:rsidRPr="00AD2F44">
        <w:rPr>
          <w:i/>
          <w:iCs/>
        </w:rPr>
        <w:t>Third Circuit:</w:t>
      </w:r>
      <w:r w:rsidRPr="00AD2F44">
        <w:t xml:space="preserve"> Rivet v. Office Depot, Inc., 207 F. Supp. 3d 417, 422–28 (D.N.J. 2016) (final certification granted, and decertification motion denied, where employer asserted exemption defenses as to plaintiffs classified as nonexempt by employer and paid overtime according to fluctuating workweek method (referred to as “reverse misclassification defense”); court found that job duties of assistant store managers were sufficiently similar such that court could address employer’s exemption defense on collective basis); Ruffin v. Avis Budget Car Rental, LLC, 2014 WL 294675, at *3 (D.N.J. Jan. 27, 2014) (denying decertification motion as to shift managers, finding that disparities among job duties of class members were not material and “any such differences are outweighed by the similarities between those Plaintiffs”); Zanes v. Flagship Resort Dev., LLC, 2012 WL 589556, at *4, 18 WH Cases2d 1605 (D.N.J. Feb. 22, 2012) (denying decertification where job duties, responsibilities, and compensation structures of class members were similar and differences highlighted by defendant were not sufficient to overcome similarities); Moss v. Crawford &amp; Co., 201 F.R.D. 398, 410 (W.D. Pa. 2000) (denying decertification motion in an exemption case).</w:t>
      </w:r>
    </w:p>
    <w:p w14:paraId="39E526E4" w14:textId="77777777" w:rsidR="004322B1" w:rsidRPr="00AD2F44" w:rsidRDefault="004322B1">
      <w:pPr>
        <w:pStyle w:val="14Footnote"/>
      </w:pPr>
      <w:r w:rsidRPr="00AD2F44">
        <w:rPr>
          <w:i/>
          <w:iCs/>
        </w:rPr>
        <w:t>Fourth Circuit:</w:t>
      </w:r>
      <w:r w:rsidRPr="00AD2F44">
        <w:t xml:space="preserve"> Randolph v. PowerComm Constr., Inc., 309 F.R.D. 349, 368 (D. Md. 2015) (finding that traffic controllers who worked under different contractors, during different hours, and at different locations had similar employment settings because all had essentially same job and were subject to same policies and procedures).</w:t>
      </w:r>
    </w:p>
    <w:p w14:paraId="2711D7EA" w14:textId="77777777" w:rsidR="004322B1" w:rsidRPr="00AD2F44" w:rsidRDefault="004322B1">
      <w:pPr>
        <w:pStyle w:val="14Footnote"/>
      </w:pPr>
      <w:r w:rsidRPr="00AD2F44">
        <w:rPr>
          <w:i/>
          <w:iCs/>
        </w:rPr>
        <w:t>Fifth Circuit:</w:t>
      </w:r>
      <w:r w:rsidRPr="00AD2F44">
        <w:t xml:space="preserve"> Kelly v. Healthcare Servs. Grp., Inc., 106 F. Supp. 3d 808, 813–33 (E.D. Tex. 2015) (refusing to decertify collective action in which account managers challenged exempt classification because evidence demonstrated that managers at different location had uniform experience of spending 75–100% of their time performing manual labor).</w:t>
      </w:r>
    </w:p>
    <w:p w14:paraId="7294F2BD" w14:textId="77777777" w:rsidR="004322B1" w:rsidRPr="00AD2F44" w:rsidRDefault="004322B1">
      <w:pPr>
        <w:pStyle w:val="14Footnote"/>
      </w:pPr>
      <w:r w:rsidRPr="00AD2F44">
        <w:rPr>
          <w:i/>
          <w:iCs/>
        </w:rPr>
        <w:t>Seventh Circuit:</w:t>
      </w:r>
      <w:r w:rsidRPr="00AD2F44">
        <w:t xml:space="preserve"> Long v. Epic Sys. Corp., 2016 WL 4625497, at *5 (W.D. Wis. Sept. 6, 2016) (denying motion to decertify class of technical writers challenging exempt status because, “although there are individual variances among the opt-in plaintiffs with respect to employment experience, [the court] conclude[d] that common questions are predominant in the exemption issue at the heart of this case”).</w:t>
      </w:r>
    </w:p>
    <w:p w14:paraId="5731287B" w14:textId="77777777" w:rsidR="004322B1" w:rsidRPr="00AD2F44" w:rsidRDefault="004322B1">
      <w:pPr>
        <w:pStyle w:val="14Footnote"/>
      </w:pPr>
      <w:r w:rsidRPr="00AD2F44">
        <w:rPr>
          <w:i/>
          <w:iCs/>
        </w:rPr>
        <w:t>Eighth Circuit:</w:t>
      </w:r>
      <w:r w:rsidRPr="00AD2F44">
        <w:t xml:space="preserve"> Simmons v. Valspar Corp., 2013 WL2147862, at *2–6 (D. Minn. May 16, 2013) (denying decertification of case involving challenge to exempt status by territory managers where employment setting similarities were sufficient to determine exemption status collectively); </w:t>
      </w:r>
      <w:r w:rsidRPr="00AD2F44">
        <w:rPr>
          <w:i/>
          <w:iCs/>
        </w:rPr>
        <w:t>Nerland</w:t>
      </w:r>
      <w:r w:rsidRPr="00AD2F44">
        <w:t>, 564 F. Supp. 2d at 1018.</w:t>
      </w:r>
    </w:p>
    <w:p w14:paraId="13EADF36" w14:textId="77777777" w:rsidR="004322B1" w:rsidRPr="00AD2F44" w:rsidRDefault="004322B1">
      <w:pPr>
        <w:pStyle w:val="14Footnote"/>
      </w:pPr>
      <w:r w:rsidRPr="00AD2F44">
        <w:rPr>
          <w:i/>
          <w:iCs/>
        </w:rPr>
        <w:t>Ninth Circuit:</w:t>
      </w:r>
      <w:r w:rsidRPr="00AD2F44">
        <w:t xml:space="preserve"> Woods v. Vector Mktg. Corp., 2015 WL 5188682, at *6 (N.D. Cal. Sept. 4, 2015) (finding that application of </w:t>
      </w:r>
      <w:r w:rsidRPr="00AD2F44">
        <w:rPr>
          <w:i/>
          <w:iCs/>
        </w:rPr>
        <w:t>Walling v. Portland Terminal Co</w:t>
      </w:r>
      <w:r w:rsidRPr="00AD2F44">
        <w:t>., 330 U.S. 148 (1947), factors as to whether plaintiffs were employees or trainees could be adjudicated on classwide basis using uniform proof).</w:t>
      </w:r>
    </w:p>
    <w:p w14:paraId="3481DD01" w14:textId="77777777" w:rsidR="004322B1" w:rsidRPr="00AD2F44" w:rsidRDefault="004322B1">
      <w:pPr>
        <w:pStyle w:val="14Footnote"/>
      </w:pPr>
      <w:r w:rsidRPr="00AD2F44">
        <w:rPr>
          <w:i/>
          <w:iCs/>
        </w:rPr>
        <w:t>Eleventh Circuit:</w:t>
      </w:r>
      <w:r w:rsidRPr="00AD2F44">
        <w:t xml:space="preserve"> </w:t>
      </w:r>
      <w:r w:rsidRPr="00AD2F44">
        <w:rPr>
          <w:i/>
          <w:iCs/>
        </w:rPr>
        <w:t>Morgan</w:t>
      </w:r>
      <w:r w:rsidRPr="00AD2F44">
        <w:t xml:space="preserve">, 551 F.3d at 1263 (upholding collective treatment and noting “[j]ust because the inquiry is fact-intensive does not preclude a collective action where plaintiffs share common job traits”); </w:t>
      </w:r>
      <w:r>
        <w:t xml:space="preserve">Rosario v. Progressive Cas. Ins. Co., </w:t>
      </w:r>
      <w:r w:rsidRPr="00ED051D">
        <w:t>2022 BL 311227</w:t>
      </w:r>
      <w:r>
        <w:t xml:space="preserve">, </w:t>
      </w:r>
      <w:r w:rsidRPr="002055B0">
        <w:t xml:space="preserve">2022 WL 19479010 </w:t>
      </w:r>
      <w:r>
        <w:t xml:space="preserve">(M.D. Fla. Sept. 2, 2022) (denying motion to decertify, noting arguments defendant made in support of summary judgment on the administrative exemption undermined the argument the issues were too individualized, the DOL regulations’ reference to individualized analysis was about job titles alone not being a proxy and did not preclude collective analysis, and the evidence in the case distinguished this matter from exemption cases where the individual issues would have overwhelmed collective treatment); </w:t>
      </w:r>
      <w:r w:rsidRPr="00AD2F44">
        <w:t>Schumann v. Collier Anesthesia, P.A., 2017 WL 1361524, at *4 (M.D. Fla. Apr. 14, 2017) (denying decertification of case involving unpaid intern classification of 25 student nurse anesthetists, finding there were not “legally significant” factual differences in their employment settings: “The point is that while the twenty-five plaintiffs in this action had internship experiences that admittedly differed in some respects, few or none of those factual differences are ‘legally significant’ to the question of whether Defendants’ [student registered nurse anesthetist] internship program violated FLSA; they matter––if at all––only when determining who may recover and how much.”); Bradford v. Bed Bath &amp; Beyond, Inc., 184 F. Supp. 2d 1342, 1351 (N.D. Ga. 2002) (exemption defense does not present any difficulties related to the collective action because the court has already determined plaintiffs’ job duties were substantially similar).</w:t>
      </w:r>
    </w:p>
    <w:p w14:paraId="750846A7" w14:textId="77777777" w:rsidR="004322B1" w:rsidRPr="00AD2F44" w:rsidRDefault="004322B1">
      <w:pPr>
        <w:pStyle w:val="14Footnote"/>
      </w:pPr>
      <w:r w:rsidRPr="00AD2F44">
        <w:t>See the discussion of representative evidence in §VIII.A [Trial; Representative Testimony and Evidence] of this chapter.</w:t>
      </w:r>
    </w:p>
  </w:footnote>
  <w:footnote w:id="554">
    <w:p w14:paraId="598B65F5" w14:textId="77777777" w:rsidR="004322B1" w:rsidRPr="00AD2F44" w:rsidRDefault="004322B1">
      <w:pPr>
        <w:pStyle w:val="14Footnote"/>
      </w:pPr>
      <w:r w:rsidRPr="00AD2F44">
        <w:rPr>
          <w:vertAlign w:val="superscript"/>
        </w:rPr>
        <w:footnoteRef/>
      </w:r>
      <w:r w:rsidRPr="00AD2F44">
        <w:t xml:space="preserve">Morgan v. Family Dollar Stores, Inc., 551 F.3d 1233, 1263–64 (11th Cir. 2008); Pendlebury v. Starbucks, 518 F. Supp. 2d 1345, 1352–53 (S.D. Fla. 2008); </w:t>
      </w:r>
      <w:r w:rsidRPr="00AD2F44">
        <w:rPr>
          <w:i/>
          <w:iCs/>
        </w:rPr>
        <w:t>Nerland</w:t>
      </w:r>
      <w:r w:rsidRPr="00AD2F44">
        <w:t xml:space="preserve">, 564 F. Supp. 2d at 1022–24 (finding it is disingenuous for the company to collectively decide all store managers are exempt and then challenge the plaintiffs’ collective lawsuit). </w:t>
      </w:r>
      <w:r w:rsidRPr="00AD2F44">
        <w:rPr>
          <w:i/>
          <w:iCs/>
        </w:rPr>
        <w:t>But cf</w:t>
      </w:r>
      <w:r w:rsidRPr="00AD2F44">
        <w:t>. Holt v. Rite Aid Corp., 333 F. Supp. 2d 1265, 1271 (M.D. Ala. 2004) (rejecting argument, in conditional certification motion, that plaintiffs were similarly situated because defendant had classified them all as exempt where plaintiffs contended they did not perform the managerial tasks in the job description, but spent their time performing other, nonmanagerial tasks).</w:t>
      </w:r>
    </w:p>
  </w:footnote>
  <w:footnote w:id="555">
    <w:p w14:paraId="53D35A6B" w14:textId="77777777" w:rsidR="004322B1" w:rsidRPr="00AD2F44" w:rsidRDefault="004322B1">
      <w:pPr>
        <w:pStyle w:val="14Footnote"/>
      </w:pPr>
      <w:r w:rsidRPr="00AD2F44">
        <w:rPr>
          <w:vertAlign w:val="superscript"/>
        </w:rPr>
        <w:footnoteRef/>
      </w:r>
      <w:r w:rsidRPr="00AD2F44">
        <w:rPr>
          <w:i/>
        </w:rPr>
        <w:t xml:space="preserve">See, e.g., </w:t>
      </w:r>
    </w:p>
    <w:p w14:paraId="6E40A2B8" w14:textId="77777777" w:rsidR="004322B1" w:rsidRPr="00AD2F44" w:rsidRDefault="004322B1">
      <w:pPr>
        <w:pStyle w:val="14Footnote"/>
      </w:pPr>
      <w:r w:rsidRPr="00AD2F44">
        <w:rPr>
          <w:i/>
          <w:iCs/>
        </w:rPr>
        <w:t xml:space="preserve">Seventh Circuit: </w:t>
      </w:r>
      <w:r w:rsidRPr="00AD2F44">
        <w:t>Reich v. Homier Distribs. Co., Inc., 362 F. Supp. 2d 1009, 1013–14 (N.D. Ind. 2005) (collecting cases).</w:t>
      </w:r>
    </w:p>
    <w:p w14:paraId="40AF639B" w14:textId="77777777" w:rsidR="004322B1" w:rsidRPr="00AD2F44" w:rsidRDefault="004322B1">
      <w:pPr>
        <w:pStyle w:val="14Footnote"/>
      </w:pPr>
      <w:r w:rsidRPr="00AD2F44">
        <w:rPr>
          <w:i/>
          <w:iCs/>
        </w:rPr>
        <w:t xml:space="preserve">Ninth Circuit: </w:t>
      </w:r>
      <w:r w:rsidRPr="00AD2F44">
        <w:t xml:space="preserve">Hazelbaker v. Metropolitan Prop. &amp; Cas. Ins. Co., 2014 WL 5304911, at *5 (D. Ariz. Oct. 16, 2014) (“The Court fails to see how it could proceed through the liability stage without making a determination as to whether Plaintiffs actually worked in excess of forty hours a week. Deposition transcripts show that some Plaintiffs worked significantly longer hours than others.”). </w:t>
      </w:r>
    </w:p>
    <w:p w14:paraId="238D0767" w14:textId="77777777" w:rsidR="004322B1" w:rsidRPr="00AD2F44" w:rsidRDefault="004322B1">
      <w:pPr>
        <w:pStyle w:val="14Footnote"/>
      </w:pPr>
      <w:r w:rsidRPr="00AD2F44">
        <w:rPr>
          <w:i/>
          <w:iCs/>
        </w:rPr>
        <w:t xml:space="preserve">Eleventh Circuit: </w:t>
      </w:r>
      <w:r w:rsidRPr="00AD2F44">
        <w:t xml:space="preserve">Rindfleisch v. Gentiva Health Servs., Inc., 22 F. Supp. 3d 1295, 1303–05 (N.D. Ga. 2014); </w:t>
      </w:r>
      <w:r w:rsidRPr="00AD2F44">
        <w:rPr>
          <w:i/>
          <w:iCs/>
        </w:rPr>
        <w:t>accord</w:t>
      </w:r>
      <w:r w:rsidRPr="00AD2F44">
        <w:t xml:space="preserve"> Willoughby v. Youth Vills., Inc., 113 F. Supp. 3d 1265, 1275 (N.D. Ga. 2015) (following </w:t>
      </w:r>
      <w:r w:rsidRPr="00AD2F44">
        <w:rPr>
          <w:i/>
          <w:iCs/>
        </w:rPr>
        <w:t>Rindfleisch</w:t>
      </w:r>
      <w:r w:rsidRPr="00AD2F44">
        <w:t>: “‘[E]very plaintiff has to actually be owed compensation in a collective action solely seeking overtime damages.’ … A ‘collective action is improper when actual liability cannot be established on a class-wide basis.’”).</w:t>
      </w:r>
    </w:p>
  </w:footnote>
  <w:footnote w:id="556">
    <w:p w14:paraId="7461C8F1" w14:textId="77777777" w:rsidR="004322B1" w:rsidRPr="00AD2F44" w:rsidRDefault="004322B1">
      <w:pPr>
        <w:pStyle w:val="14Footnote"/>
      </w:pPr>
      <w:r w:rsidRPr="00AD2F44">
        <w:rPr>
          <w:vertAlign w:val="superscript"/>
        </w:rPr>
        <w:footnoteRef/>
      </w:r>
      <w:r w:rsidRPr="00AD2F44">
        <w:t>22 F. Supp. 3d 1295 (N.D. Ga. 2014).</w:t>
      </w:r>
    </w:p>
  </w:footnote>
  <w:footnote w:id="557">
    <w:p w14:paraId="6666AD2D" w14:textId="77777777" w:rsidR="004322B1" w:rsidRPr="00AD2F44" w:rsidRDefault="004322B1">
      <w:pPr>
        <w:pStyle w:val="14Footnote"/>
      </w:pPr>
      <w:r w:rsidRPr="00AD2F44">
        <w:rPr>
          <w:vertAlign w:val="superscript"/>
        </w:rPr>
        <w:footnoteRef/>
      </w:r>
      <w:r w:rsidRPr="00AD2F44">
        <w:rPr>
          <w:i/>
          <w:iCs/>
        </w:rPr>
        <w:t>Id.</w:t>
      </w:r>
      <w:r w:rsidRPr="00AD2F44">
        <w:t xml:space="preserve"> at 1303; </w:t>
      </w:r>
      <w:r w:rsidRPr="00AD2F44">
        <w:rPr>
          <w:i/>
          <w:iCs/>
        </w:rPr>
        <w:t>see also</w:t>
      </w:r>
      <w:r w:rsidRPr="00AD2F44">
        <w:t xml:space="preserve"> </w:t>
      </w:r>
      <w:r w:rsidRPr="00AD2F44">
        <w:rPr>
          <w:i/>
          <w:iCs/>
        </w:rPr>
        <w:t>Hazelbaker</w:t>
      </w:r>
      <w:r w:rsidRPr="00AD2F44">
        <w:t>, 2014 WL 5304911, at *5 (“[T]he Court would need to rely on individual testimony and other means of reconstructing each Plaintiffs’ hours worked in order to determine whether and how often they exceeded 40 hours a week during the relevant period. In other words, the Court would need to conduct additional mini-trials.”).</w:t>
      </w:r>
    </w:p>
  </w:footnote>
  <w:footnote w:id="558">
    <w:p w14:paraId="0C0E7948" w14:textId="77777777" w:rsidR="004322B1" w:rsidRPr="00AD2F44" w:rsidRDefault="004322B1">
      <w:pPr>
        <w:pStyle w:val="14Footnote"/>
      </w:pPr>
      <w:r w:rsidRPr="00AD2F44">
        <w:rPr>
          <w:vertAlign w:val="superscript"/>
        </w:rPr>
        <w:footnoteRef/>
      </w:r>
      <w:r w:rsidRPr="00AD2F44">
        <w:rPr>
          <w:i/>
          <w:iCs/>
        </w:rPr>
        <w:t>See, e.g.,</w:t>
      </w:r>
    </w:p>
    <w:p w14:paraId="224F8225" w14:textId="77777777" w:rsidR="004322B1" w:rsidRPr="00AD2F44" w:rsidRDefault="004322B1">
      <w:pPr>
        <w:pStyle w:val="14Footnote"/>
      </w:pPr>
      <w:r w:rsidRPr="00AD2F44">
        <w:rPr>
          <w:i/>
          <w:iCs/>
        </w:rPr>
        <w:t>Third Circuit:</w:t>
      </w:r>
      <w:r w:rsidRPr="00AD2F44">
        <w:t xml:space="preserve"> Prise v. Alderwoods Grp., Inc., 817 F. Supp. 2d 651, 681 (W.D. Pa. 2011) (granting decertification of nationwide class of over 720 plaintiffs, reasoning that evidence of unpaid work outside regular work hours, on-call time, non-pre-approved overtime, training time, and working meal breaks showed that implementation of policies varied depending on location, supervisory practices, and individual circumstances, such that there was no single corporate policy or plan that “similarly affected plaintiffs”); Chabrier v. Wilmington Fin. Inc, 2008 WL 938872, at *3 (E.D. Pa. Apr. 4, 2008) (denying motion for decertifications in case where the employer allegedly imposed hard-to-meet quotas that led to a policy of instructing or permitting loan officers to work off the clock).</w:t>
      </w:r>
    </w:p>
    <w:p w14:paraId="5F4087C0" w14:textId="77777777" w:rsidR="004322B1" w:rsidRPr="00AD2F44" w:rsidRDefault="004322B1">
      <w:pPr>
        <w:pStyle w:val="14Footnote"/>
      </w:pPr>
      <w:r w:rsidRPr="00AD2F44">
        <w:rPr>
          <w:i/>
          <w:iCs/>
        </w:rPr>
        <w:t>Fifth Circuit:</w:t>
      </w:r>
      <w:r w:rsidRPr="00AD2F44">
        <w:t xml:space="preserve">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 Johnson v. TGF Precision Haircutters, Inc., 2005 WL 1994286, at *2–5 (S.D. Tex. Aug. 17, 2005) (granting decertification motion because the “conglomerate of diverse evidence indicates that some Plaintiffs may have prima facie claims for FLSA violations at different times, in different places, in different ways, and to differing degrees, but the evidence of varied particular violations is insufficient to show that Defendants implemented a uniform, systematically applied policy of wrongfully denying overtime pay to Plaintiffs”).</w:t>
      </w:r>
    </w:p>
    <w:p w14:paraId="49A4C770" w14:textId="77777777" w:rsidR="004322B1" w:rsidRPr="00AD2F44" w:rsidRDefault="004322B1">
      <w:pPr>
        <w:pStyle w:val="14Footnote"/>
      </w:pPr>
      <w:r w:rsidRPr="00AD2F44">
        <w:rPr>
          <w:i/>
          <w:iCs/>
        </w:rPr>
        <w:t>Sixth Circuit:</w:t>
      </w:r>
      <w:r w:rsidRPr="00AD2F44">
        <w:t xml:space="preserve"> Monroe v. FTS USA, LLC, 860 F.3d 389 (6th Cir. 2017) (affirming district court’s denial of decertification motion, recognizing that record revealed all plaintiffs worked in same position and performed same job duties regardless of work location and were subject to same timekeeping system and compensation plan, and that record contained ample evidence of companywide policy that originated with defendant’s executives requiring underreporting of hours worked); Jones-Turner v. Yellow Enter. Sys., LLC, 2011 WL 4861882, at *3 (W.D. Ky. Oct. 13, 2011) (decertifying class of ambulance drivers claiming they were forced to work through unpaid meal breaks because evidence, and plaintiffs’ briefing, showed that “multitude of factors” implicated whether plaintiffs were properly paid). </w:t>
      </w:r>
    </w:p>
    <w:p w14:paraId="5183E2BC" w14:textId="77777777" w:rsidR="004322B1" w:rsidRPr="00AD2F44" w:rsidRDefault="004322B1">
      <w:pPr>
        <w:pStyle w:val="14Footnote"/>
      </w:pPr>
      <w:r w:rsidRPr="00AD2F44">
        <w:rPr>
          <w:i/>
          <w:iCs/>
        </w:rPr>
        <w:t xml:space="preserve">Seventh Circuit: </w:t>
      </w:r>
      <w:r w:rsidRPr="00AD2F44">
        <w:t>Russell v. Illinois Bell Tel. Co., 721 F. Supp. 2d 804, 815–16 (N.D. Ill. 2010) (granting in part and denying in part decertification motion for off-the-clock claims at call center; decertified claims were highly individualized, such as for time spent blowing up balloons; claims that retained certification were based on common policies (1) of being “open and available” resulting in pre-shift work, (2) regarding average call-handling time that did not allow for dealing with customer service issues and led to working during lunch, and (3) regarding rounding and log-out procedures that caused post-shift work).</w:t>
      </w:r>
    </w:p>
    <w:p w14:paraId="4B9E3856" w14:textId="77777777" w:rsidR="004322B1" w:rsidRPr="00AD2F44" w:rsidRDefault="004322B1">
      <w:pPr>
        <w:pStyle w:val="14Footnote"/>
      </w:pPr>
      <w:r w:rsidRPr="00AD2F44">
        <w:rPr>
          <w:i/>
          <w:iCs/>
        </w:rPr>
        <w:t>Eighth Circuit:</w:t>
      </w:r>
      <w:r w:rsidRPr="00AD2F44">
        <w:t xml:space="preserve"> Kautsch v. Premier Commc’ns, 2008 WL 294271, at *2–3 (W.D. Mo. Jan. 31, 2008).</w:t>
      </w:r>
    </w:p>
    <w:p w14:paraId="0FE4269E" w14:textId="77777777" w:rsidR="004322B1" w:rsidRPr="00AD2F44" w:rsidRDefault="004322B1">
      <w:pPr>
        <w:pStyle w:val="14Footnote"/>
      </w:pPr>
      <w:r w:rsidRPr="00AD2F44">
        <w:rPr>
          <w:i/>
          <w:iCs/>
        </w:rPr>
        <w:t>Ninth Circuit:</w:t>
      </w:r>
      <w:r w:rsidRPr="00AD2F44">
        <w:t xml:space="preserve"> Smith v. Micron Elec., Inc., 2005 WL 5336571, at *2 (D. Idaho Feb. 4, 2005) (denying motion for “final certification” where plaintiff had submitted insufficient evidence that a majority of supervisors had instructed plaintiffs to work off the clock, many plaintiffs had admitted that they worked off the clock without the knowledge of their supervisors, and the employer had a policy prohibiting off-the-clock work).</w:t>
      </w:r>
    </w:p>
    <w:p w14:paraId="3EAA3A0A" w14:textId="77777777" w:rsidR="004322B1" w:rsidRPr="00AD2F44" w:rsidRDefault="004322B1">
      <w:pPr>
        <w:pStyle w:val="14Footnote"/>
      </w:pPr>
      <w:r w:rsidRPr="00AD2F44">
        <w:rPr>
          <w:i/>
          <w:iCs/>
        </w:rPr>
        <w:t>Eleventh Circuit:</w:t>
      </w:r>
      <w:r w:rsidRPr="00AD2F44">
        <w:t xml:space="preserve"> Hill v. Muscogee Cnty. Sch. Dist., 2005 WL 3526669, at *2–4 (M.D. Ga. Dec. 20, 2005) (denying decertification motion in case involving teacher’s aides where there was evidence that teachers had told plaintiffs not to work overtime “with a wink and a nod” and then assigned them more work than a teacher’s aide could reasonably complete in 40 hours). </w:t>
      </w:r>
    </w:p>
  </w:footnote>
  <w:footnote w:id="559">
    <w:p w14:paraId="238165C8" w14:textId="77777777" w:rsidR="004322B1" w:rsidRPr="00AD2F44" w:rsidRDefault="004322B1">
      <w:pPr>
        <w:pStyle w:val="14Footnote"/>
      </w:pPr>
      <w:r w:rsidRPr="00AD2F44">
        <w:rPr>
          <w:vertAlign w:val="superscript"/>
        </w:rPr>
        <w:footnoteRef/>
      </w:r>
      <w:r w:rsidRPr="00AD2F44">
        <w:rPr>
          <w:i/>
          <w:iCs/>
        </w:rPr>
        <w:t>See, e.g.,</w:t>
      </w:r>
    </w:p>
    <w:p w14:paraId="362A5C75" w14:textId="77777777" w:rsidR="004322B1" w:rsidRPr="00AD2F44" w:rsidRDefault="004322B1">
      <w:pPr>
        <w:pStyle w:val="14Footnote"/>
      </w:pPr>
      <w:r w:rsidRPr="00AD2F44">
        <w:rPr>
          <w:i/>
          <w:iCs/>
        </w:rPr>
        <w:t>First Circuit:</w:t>
      </w:r>
      <w:r w:rsidRPr="00AD2F44">
        <w:t xml:space="preserve"> Norceide v. Cambridge Health Alliance, 2014 WL 775453, at *3 (D. Mass. Feb. 24, 2014) (decertifying class where class members worked in three different hospitals under many different supervisors and were subject to different collective bargaining agreements, and the official company policy was to pay employees time worked).</w:t>
      </w:r>
    </w:p>
    <w:p w14:paraId="1229D431" w14:textId="77777777" w:rsidR="004322B1" w:rsidRPr="00AD2F44" w:rsidRDefault="004322B1">
      <w:pPr>
        <w:pStyle w:val="14Footnote"/>
      </w:pPr>
      <w:r w:rsidRPr="00AD2F44">
        <w:rPr>
          <w:i/>
          <w:iCs/>
        </w:rPr>
        <w:t>Second Circuit:</w:t>
      </w:r>
      <w:r w:rsidRPr="00AD2F44">
        <w:t xml:space="preserve"> DeSilva v. North Shore-Long Island Jewish Health Sys., Inc., 27 F. Supp. 3d 313, 320 (E.D.N.Y. 2014) (decertifying collective action in automatic meal deduction case where alleged violations arose from “a hodgepodge of procedures implemented in varying ways by different managers across numerous departments and locations”).</w:t>
      </w:r>
    </w:p>
    <w:p w14:paraId="69BE0D8D" w14:textId="77777777" w:rsidR="004322B1" w:rsidRPr="00AD2F44" w:rsidRDefault="004322B1">
      <w:pPr>
        <w:pStyle w:val="14Footnote"/>
      </w:pPr>
      <w:r w:rsidRPr="00AD2F44">
        <w:rPr>
          <w:i/>
          <w:iCs/>
        </w:rPr>
        <w:t>Third Circuit:</w:t>
      </w:r>
      <w:r w:rsidRPr="00AD2F44">
        <w:t xml:space="preserve"> Bell v. Reading Hosp. &amp; Med. Ctr., 2016 WL 3902938, at *11 (E.D. Pa. July 19, 2016) (“The many factual differences with respect to each plaintiff demonstrate that plaintiffs ‘were not uniformly affected by [Reading’s] department-by-department approach to meal deduction cancellations. … The decentralized nature of the application of the manner to cancel an automatic deduction and the independent way that each supervisor implemented the same is contrary to the purposes of collective treatment under the FLSA.’”) (citation omitted).</w:t>
      </w:r>
    </w:p>
    <w:p w14:paraId="3B1ACB71" w14:textId="77777777" w:rsidR="004322B1" w:rsidRPr="00AD2F44" w:rsidRDefault="004322B1">
      <w:pPr>
        <w:pStyle w:val="14Footnote"/>
      </w:pPr>
      <w:r w:rsidRPr="00AD2F44">
        <w:rPr>
          <w:i/>
          <w:iCs/>
        </w:rPr>
        <w:t>Fifth Circuit:</w:t>
      </w:r>
      <w:r w:rsidRPr="00AD2F44">
        <w:t xml:space="preserve"> </w:t>
      </w:r>
      <w:r w:rsidRPr="00AD2F44">
        <w:rPr>
          <w:i/>
          <w:iCs/>
        </w:rPr>
        <w:t>TGF Precision Haircutters</w:t>
      </w:r>
      <w:r w:rsidRPr="00AD2F44">
        <w:t>, 2005 WL 1994286, at *4 (granting decertification motion because the “conglomerate of diverse evidence indicates that some Plaintiffs may have prima facie claims for FLSA violations at different times, in different places, in different ways, and to differing degrees, but the evidence of varied particular violations is insufficient to show that Defendants implemented a uniform, systematically applied policy of wrongfully denying overtime pay to Plaintiffs”).</w:t>
      </w:r>
    </w:p>
    <w:p w14:paraId="0DFB7323" w14:textId="77777777" w:rsidR="004322B1" w:rsidRPr="00AD2F44" w:rsidRDefault="004322B1">
      <w:pPr>
        <w:pStyle w:val="14Footnote"/>
      </w:pPr>
      <w:r w:rsidRPr="00AD2F44">
        <w:rPr>
          <w:i/>
          <w:iCs/>
        </w:rPr>
        <w:t>Sixth Circuit:</w:t>
      </w:r>
      <w:r w:rsidRPr="00AD2F44">
        <w:t xml:space="preserve"> Cornell v. World Wide Bus. Servs. Corp., 2015 WL 6662919, at *5, 2015 WH Cases2d 360710 (S.D. Ohio Nov. 2, 2015) (“Plaintiffs have failed to produce substantial evidence that they were compelled to perform off-the-clock work pursuant to a common policy, plan, or scheme. Rather, the evidence shows that Defendants’ policy was to pay its employees for all hours worked. Although Plaintiffs offer substantial evidence that some workers did perform at least occasional off-the-clock work, the evidence indicates that the decision of individual workers and supervisors, not company-wide policy, were the causal factor.”).</w:t>
      </w:r>
    </w:p>
    <w:p w14:paraId="027CCB54" w14:textId="77777777" w:rsidR="004322B1" w:rsidRPr="00AD2F44" w:rsidRDefault="004322B1">
      <w:pPr>
        <w:pStyle w:val="14Footnote"/>
      </w:pPr>
      <w:r w:rsidRPr="00AD2F44">
        <w:rPr>
          <w:i/>
          <w:iCs/>
        </w:rPr>
        <w:t>Eighth Circuit:</w:t>
      </w:r>
      <w:r w:rsidRPr="00AD2F44">
        <w:t xml:space="preserve"> Davenport v. Charter Commc’ns, LLC,</w:t>
      </w:r>
      <w:r w:rsidRPr="00AD2F44">
        <w:rPr>
          <w:i/>
          <w:iCs/>
        </w:rPr>
        <w:t xml:space="preserve"> </w:t>
      </w:r>
      <w:r w:rsidRPr="00AD2F44">
        <w:t>2017 WL 878029, at *8 (E.D. Mo. Mar. 6, 2017) (“After more than two years of discovery, the Court concludes that Plaintiffs have failed to demonstrate that they suffered from a single, FLSA-violating policy that operated to common effect. The only uniform policy established in this case is Charter’s facially compliant written policies to pay agents for all time worked, including for time spent loading and closing tools.”).</w:t>
      </w:r>
    </w:p>
    <w:p w14:paraId="0890FF2E" w14:textId="77777777" w:rsidR="004322B1" w:rsidRPr="00AD2F44" w:rsidRDefault="004322B1">
      <w:pPr>
        <w:pStyle w:val="14Footnote"/>
      </w:pPr>
      <w:r w:rsidRPr="00AD2F44">
        <w:rPr>
          <w:i/>
          <w:iCs/>
        </w:rPr>
        <w:t>Ninth Circuit:</w:t>
      </w:r>
      <w:r w:rsidRPr="00AD2F44">
        <w:t xml:space="preserve"> Brewer v. General Nutrition Corp., 2014 WL 5877695, at *15 (N.D. Cal. Nov. 12, 2014) (granting decertification motion and noting that “[t]he evidence also suggests that whether an employee was subjected to off-the-clock work depended on a variety of individualized factors, paramount among them the identity of the manager under whom they worked”); Smith v. T-Mobile USA, Inc., 2007 WL 2385131, at *5 (C.D. Cal. Aug. 15, 2007); </w:t>
      </w:r>
      <w:r w:rsidRPr="00AD2F44">
        <w:rPr>
          <w:i/>
          <w:iCs/>
        </w:rPr>
        <w:t>Micron Electronics</w:t>
      </w:r>
      <w:r w:rsidRPr="00AD2F44">
        <w:t>, 2005 WL 5336571, at *2 (granting decertification where plaintiffs offered only anecdotal evidence of an off-the-clock requirement).</w:t>
      </w:r>
    </w:p>
    <w:p w14:paraId="3D9A3AE4" w14:textId="77777777" w:rsidR="004322B1" w:rsidRPr="00AD2F44" w:rsidRDefault="004322B1">
      <w:pPr>
        <w:pStyle w:val="14Footnote"/>
      </w:pPr>
      <w:r w:rsidRPr="00AD2F44">
        <w:rPr>
          <w:i/>
          <w:iCs/>
        </w:rPr>
        <w:t>Eleventh Circuit:</w:t>
      </w:r>
      <w:r w:rsidRPr="00AD2F44">
        <w:t xml:space="preserve"> Epps v. Oak St. Mortg. LLC, 2006 WL 1460273 (M.D. Fla. May 22, 2006) (granting motion for decertification for hourly employee subclass but denying motion for decertification for salaried exempt employee subclass).</w:t>
      </w:r>
    </w:p>
  </w:footnote>
  <w:footnote w:id="560">
    <w:p w14:paraId="60D2099E" w14:textId="77777777" w:rsidR="004322B1" w:rsidRPr="00AD2F44" w:rsidRDefault="004322B1">
      <w:pPr>
        <w:pStyle w:val="14Footnote"/>
      </w:pPr>
      <w:r w:rsidRPr="00AD2F44">
        <w:rPr>
          <w:vertAlign w:val="superscript"/>
        </w:rPr>
        <w:footnoteRef/>
      </w:r>
      <w:r w:rsidRPr="00AD2F44">
        <w:rPr>
          <w:i/>
          <w:iCs/>
        </w:rPr>
        <w:t>See, e.g.,</w:t>
      </w:r>
    </w:p>
    <w:p w14:paraId="74C7EA48" w14:textId="77777777" w:rsidR="004322B1" w:rsidRPr="00AD2F44" w:rsidRDefault="004322B1">
      <w:pPr>
        <w:pStyle w:val="14Footnote"/>
      </w:pPr>
      <w:r w:rsidRPr="00AD2F44">
        <w:rPr>
          <w:i/>
          <w:iCs/>
        </w:rPr>
        <w:t>Second Circuit:</w:t>
      </w:r>
      <w:r w:rsidRPr="00AD2F44">
        <w:t xml:space="preserve"> Mendez v. U.S. Nonwovens Corp., 2016 WL 1306551, at *4–6 (E.D.N.Y. Mar. 31, 2016) (decertifying collective action, finding that plaintiffs did not offer any evidence of generalized policy or practice depriving them of overtime wages where each plaintiff offered individualized evidence to establish his or her claim: some never complained to supervisor about not being paid for all hours worked; some complained sometimes, but not at other times; some claimed they would be paid for their overtime when they did complain; some testified they would be paid sometimes and not other times; some testified they did not even know if they had worked any overtime hours; and plaintiffs’ testimony differed as to length of pre-shift period worked, who told them to arrive early, what they were told, and if they actually performed any work); Ruiz v. Citibank, N.A., 93 F. Supp. 3d 279, 299–301 (S.D.N.Y. 2015) (decertifying collective action including 436 personal bankers where liability for alleged off-the-clock work claims depended on individual actions of managers at numerous branch locations, not on common policy that operated to common effect).</w:t>
      </w:r>
    </w:p>
    <w:p w14:paraId="3473BDF9" w14:textId="77777777" w:rsidR="004322B1" w:rsidRPr="00AD2F44" w:rsidRDefault="004322B1">
      <w:pPr>
        <w:pStyle w:val="14Footnote"/>
      </w:pPr>
      <w:r w:rsidRPr="00AD2F44">
        <w:rPr>
          <w:i/>
          <w:iCs/>
        </w:rPr>
        <w:t>Fifth Circuit:</w:t>
      </w:r>
      <w:r w:rsidRPr="00AD2F44">
        <w:t xml:space="preserve">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w:t>
      </w:r>
    </w:p>
    <w:p w14:paraId="574BD000" w14:textId="77777777" w:rsidR="004322B1" w:rsidRPr="00AD2F44" w:rsidRDefault="004322B1">
      <w:pPr>
        <w:pStyle w:val="14Footnote"/>
      </w:pPr>
      <w:r w:rsidRPr="00AD2F44">
        <w:rPr>
          <w:i/>
          <w:iCs/>
        </w:rPr>
        <w:t>Sixth Circuit:</w:t>
      </w:r>
      <w:r w:rsidRPr="00AD2F44">
        <w:t xml:space="preserve"> Frye v. Baptist Mem. Hosp., Inc., 495 F. App’x 669, 673 (6th Cir. 2012) (affirming decertification of collective action where district court found auto deduction policy did not violate the FLSA and that the unpaid overtime claims depend on the “employees’ unique experiences”).</w:t>
      </w:r>
    </w:p>
    <w:p w14:paraId="127761FA" w14:textId="77777777" w:rsidR="004322B1" w:rsidRPr="00AD2F44" w:rsidRDefault="004322B1">
      <w:pPr>
        <w:pStyle w:val="14Footnote"/>
      </w:pPr>
      <w:r w:rsidRPr="00AD2F44">
        <w:rPr>
          <w:i/>
          <w:iCs/>
        </w:rPr>
        <w:t>Seventh Circuit:</w:t>
      </w:r>
      <w:r w:rsidRPr="00AD2F44">
        <w:t xml:space="preserve"> Miller v. ThedaCare, Inc., 2018 WL 472818, at *11 (E.D. Wis. Jan. 18, 2018) (granting decertification, determining that significant differences existed where plaintiffs worked in 33 departments at two different hospitals, reporting to 38 managers and 55 supervisors); Elder v. Comcast Corp., 2015 WL 3475968, at *5, 10 (N.D. Ill. June 1, 2015) (decertifying collective action; “Plaintiffs proffer multiple different explanations as to why they did not report their alleged off-the-clock work, ranging from workload, desire to be a team player, to ‘personal choice.’ Other technicians gave no explanation for failing to report off-the-clock work. Although a few technicians claimed that their supervisors directed them to work off the clock, the majority swore they were never directed to work off the clock or not to record work time outside of their scheduled shift. ‘These differences between the technicians’ experiences and supervisor discretion make it impossible to generate common answers on a classwide basis.’”) (citation omitted).</w:t>
      </w:r>
    </w:p>
    <w:p w14:paraId="08F65C5C" w14:textId="77777777" w:rsidR="004322B1" w:rsidRPr="00AD2F44" w:rsidRDefault="004322B1">
      <w:pPr>
        <w:pStyle w:val="14Footnote"/>
      </w:pPr>
      <w:r w:rsidRPr="00AD2F44">
        <w:rPr>
          <w:i/>
          <w:iCs/>
        </w:rPr>
        <w:t>Eighth Circuit:</w:t>
      </w:r>
      <w:r w:rsidRPr="00AD2F44">
        <w:t xml:space="preserve"> Lindsay v. Clear Wireless, LLC, 2016 WL 916365, at *5 (D. Minn. Mar. 10, 2016) (decertifying class of 127 retail sales representatives who worked at mall kiosks because record did not demonstrate any evidence of uniform policy that dictated uncompensated work; instead, court found that plaintiffs failed to demonstrate consistency regarding kinds of off-the-clock work performed, circumstances requiring such work, amount of such work performed, and whether they were compensated for such work).</w:t>
      </w:r>
    </w:p>
    <w:p w14:paraId="6E41F329" w14:textId="77777777" w:rsidR="004322B1" w:rsidRPr="00AD2F44" w:rsidRDefault="004322B1">
      <w:pPr>
        <w:pStyle w:val="14Footnote"/>
      </w:pPr>
      <w:r w:rsidRPr="00AD2F44">
        <w:rPr>
          <w:i/>
          <w:iCs/>
        </w:rPr>
        <w:t>Ninth Circuit:</w:t>
      </w:r>
      <w:r w:rsidRPr="00AD2F44">
        <w:t xml:space="preserve"> </w:t>
      </w:r>
      <w:r w:rsidRPr="00AD2F44">
        <w:rPr>
          <w:i/>
          <w:iCs/>
        </w:rPr>
        <w:t>Brewer</w:t>
      </w:r>
      <w:r w:rsidRPr="00AD2F44">
        <w:t>, 2014 WL 5877695, at *15 (finding certification not appropriate in part because many plaintiffs worked “far short [of 40 hours per week], working, for instance, 20 or 30 hours per week”); Smith v. T-Mobile USA, Inc., 2007 WL 2385131, at *5 (C.D. Cal. Aug. 15, 2007) (granting decertification motion in off-the-clock case where plaintiffs had submitted 33 declarations in support of their claims based on a sampling of 1,500 collective members, which did not demonstrate a common policy or practice).</w:t>
      </w:r>
    </w:p>
    <w:p w14:paraId="731A5F82" w14:textId="77777777" w:rsidR="004322B1" w:rsidRPr="00AD2F44" w:rsidRDefault="004322B1">
      <w:pPr>
        <w:pStyle w:val="14Footnote"/>
      </w:pPr>
      <w:r w:rsidRPr="00AD2F44">
        <w:rPr>
          <w:i/>
          <w:iCs/>
        </w:rPr>
        <w:t>Eleventh Circuit:</w:t>
      </w:r>
      <w:r w:rsidRPr="00AD2F44">
        <w:t xml:space="preserve"> Tanner v. TPUSA, Inc., 2015 WL 6940118, at *5–6 (M.D. Ga. Nov. 9, 2015) (decertifying collective action including 478 call center customer service representatives, finding that determination as to liability to plaintiffs required individualized inquiries); Mathis v. Darden Rests., 2014 WL 4428171, at *4 (S.D. Fla. Sept. 1, 2014) (finding disparate factual and employment settings between bartenders and servers where they worked across 1,995 restaurants spread across 50 states and relevant policies differed by job title, state, brand, specific restaurant, and managers).</w:t>
      </w:r>
    </w:p>
  </w:footnote>
  <w:footnote w:id="561">
    <w:p w14:paraId="55CEE28E" w14:textId="77777777" w:rsidR="004322B1" w:rsidRPr="00AD2F44" w:rsidRDefault="004322B1">
      <w:pPr>
        <w:pStyle w:val="14Footnote"/>
      </w:pPr>
      <w:r w:rsidRPr="00AD2F44">
        <w:rPr>
          <w:vertAlign w:val="superscript"/>
        </w:rPr>
        <w:footnoteRef/>
      </w:r>
      <w:r w:rsidRPr="00AD2F44">
        <w:t xml:space="preserve">Laughlin v. Jim Fischer, Inc., 2019 WL 1440406 (E.D. Wis. Mar. 31, 2019) (decertifying class of employees who were allegedly not paid for travel time based on a showing by the company that it had a policy prohibiting off-the-clock work and that it was unaware of the travel time being claimed); Proctor v. Allsups Convenience Stores, Inc., 250 F.R.D. 278, 282–83 (N.D. Tex. 2008) (decertifying collective action where employer had policy prohibiting off-the-clock work and many plaintiffs testified that they had not worked off the clock and their claims “var[ied] from store to store and manager to manager”). </w:t>
      </w:r>
    </w:p>
  </w:footnote>
  <w:footnote w:id="562">
    <w:p w14:paraId="7CD643D0" w14:textId="77777777" w:rsidR="004322B1" w:rsidRPr="00AD2F44" w:rsidRDefault="004322B1">
      <w:pPr>
        <w:pStyle w:val="14Footnote"/>
      </w:pPr>
      <w:r w:rsidRPr="00AD2F44">
        <w:rPr>
          <w:vertAlign w:val="superscript"/>
        </w:rPr>
        <w:footnoteRef/>
      </w:r>
      <w:r w:rsidRPr="00AD2F44">
        <w:rPr>
          <w:i/>
          <w:iCs/>
        </w:rPr>
        <w:t>Compare</w:t>
      </w:r>
      <w:r w:rsidRPr="00AD2F44">
        <w:t xml:space="preserve"> Sargent v. HG Staffing, LLC, 171 F. Supp. 3d 1063, 1080 (D. Nev. 2016) (noting that evidence that all but two of sample plaintiffs were paid overtime “indicates that, if the company had a policy with respect to overtime, the policy was to pay for it”), and </w:t>
      </w:r>
      <w:r w:rsidRPr="00AD2F44">
        <w:rPr>
          <w:i/>
          <w:iCs/>
        </w:rPr>
        <w:t>DeSilva</w:t>
      </w:r>
      <w:r w:rsidRPr="00AD2F44">
        <w:t xml:space="preserve">, 27 F. Supp. 3d at 325 (decertification motion granted where evidence showed employer paid $551 million in overtime compensation over six-year period), </w:t>
      </w:r>
      <w:r w:rsidRPr="00AD2F44">
        <w:rPr>
          <w:i/>
          <w:iCs/>
        </w:rPr>
        <w:t>with</w:t>
      </w:r>
      <w:r w:rsidRPr="00AD2F44">
        <w:t xml:space="preserve"> Chabrier v. Wilmington Fin. Inc, 2008 WL 938872, at *3 (E.D. Pa. Apr. 4, 2008) (holding plaintiffs who had admitted working off the clock against the directions of their supervisors should be excluded from the case “but their exclusion does not stand in the way of certification”).</w:t>
      </w:r>
    </w:p>
  </w:footnote>
  <w:footnote w:id="563">
    <w:p w14:paraId="42F487C9" w14:textId="77777777" w:rsidR="004322B1" w:rsidRPr="00AD2F44" w:rsidRDefault="004322B1">
      <w:pPr>
        <w:pStyle w:val="14Footnote"/>
      </w:pPr>
      <w:r w:rsidRPr="00AD2F44">
        <w:rPr>
          <w:vertAlign w:val="superscript"/>
        </w:rPr>
        <w:footnoteRef/>
      </w:r>
      <w:r w:rsidRPr="00AD2F44">
        <w:rPr>
          <w:i/>
        </w:rPr>
        <w:t xml:space="preserve">See, e.g., </w:t>
      </w:r>
    </w:p>
    <w:p w14:paraId="3A0A025C" w14:textId="77777777" w:rsidR="004322B1" w:rsidRPr="00AD2F44" w:rsidRDefault="004322B1">
      <w:pPr>
        <w:pStyle w:val="14Footnote"/>
      </w:pPr>
      <w:r w:rsidRPr="00AD2F44">
        <w:rPr>
          <w:i/>
          <w:iCs/>
        </w:rPr>
        <w:t>Second Circuit:</w:t>
      </w:r>
      <w:r w:rsidRPr="00AD2F44">
        <w:t xml:space="preserve"> Campbell v. City of N.Y., 2020 WL 2792978, at *5 (S.D.N.Y. May 29, 2020) (denying decertification motion in peace officer case, finding job distinctions unrelated to liability theory that defendant had “custom or practice” of not paying for all work performed); Adams v. City of N.Y., 2019 WL 5722054 (S.D.N.Y. Aug. 29, 2019) (denying decertification motion, agreeing with plaintiff city fraud investigators that individualized issues were not dispositive where employer subjected plaintiffs to common policy of not paying preapproved overtime even when employer was aware of unpaid work). </w:t>
      </w:r>
    </w:p>
    <w:p w14:paraId="2D09632F" w14:textId="77777777" w:rsidR="004322B1" w:rsidRPr="00AD2F44" w:rsidRDefault="004322B1">
      <w:pPr>
        <w:pStyle w:val="14Footnote"/>
      </w:pPr>
      <w:r w:rsidRPr="00AD2F44">
        <w:rPr>
          <w:i/>
          <w:iCs/>
        </w:rPr>
        <w:t xml:space="preserve">Eighth Circuit: </w:t>
      </w:r>
      <w:r w:rsidRPr="00AD2F44">
        <w:t xml:space="preserve">Cruz v. TMI Hospitality, Inc., 2015 WL 6671334, at *16–17 (D. Minn. Oct. 30, 2015) (denying decertification motion where evidence showed that all plaintiff housekeepers worked at same location and all were subject to same policy of having to work off the clock before and after their shifts); Petrone v. Werner Enters., Inc., 2015 WL 4772830, at *2 (D. Neb. Aug. 12, 2015) (certifying Rule 23 class and denying motion for decertification of FLSA collective action because defendants’ policy of not compensating certain student drivers for certain activities (breaks fewer than 20 minutes and sleeping periods in excess of eight hours) was common to all class members and common issues predominated over individual issues); Frank v. Gold’n Plump Poultry, Inc., 2007 U.S. Dist. LEXIS 71179 (D. Minn. Sept. 24, 2007) (refusing to decertify class where court found that variance in pay practices resulted from company having policy of delegating decision to pay for donning and doffing to local supervisors). </w:t>
      </w:r>
    </w:p>
    <w:p w14:paraId="5C2EBACB" w14:textId="77777777" w:rsidR="004322B1" w:rsidRPr="00AD2F44" w:rsidRDefault="004322B1">
      <w:pPr>
        <w:pStyle w:val="14Footnote"/>
      </w:pPr>
      <w:r w:rsidRPr="00AD2F44">
        <w:rPr>
          <w:i/>
          <w:iCs/>
        </w:rPr>
        <w:t xml:space="preserve">Ninth Circuit: </w:t>
      </w:r>
      <w:r w:rsidRPr="00AD2F44">
        <w:t>Wren v. RGIS Inventory Specialists, 256 F.R.D. 180, 212–13 (N.D. Cal. 2009) (decertification denied where evidence revealed a “variety of experiences” that was the result of a company policy “not to require” that all employees be paid for donning and waiting time).</w:t>
      </w:r>
    </w:p>
    <w:p w14:paraId="07C0EAD8" w14:textId="77777777" w:rsidR="004322B1" w:rsidRPr="00AD2F44" w:rsidRDefault="004322B1">
      <w:pPr>
        <w:pStyle w:val="14Footnote"/>
      </w:pPr>
      <w:r w:rsidRPr="00AD2F44">
        <w:rPr>
          <w:i/>
          <w:iCs/>
        </w:rPr>
        <w:t xml:space="preserve">Eleventh Circuit: </w:t>
      </w:r>
      <w:r w:rsidRPr="00AD2F44">
        <w:t>Miller v. FleetCor Techs. Operating Co., LLC, 118 F. Supp. 3d 1351, 1355–60 (N.D. Ga. 2015) (denying decertification motion because plaintiffs, inside sales representatives, had similar job duties and compensation, worked on same sales floor, and reported to managers who all reported to same Vice President of Sales, and plaintiffs’ evidence regarding similar conduct and statements by managers rebutted employer’s evidence showing that different managers followed varying policies and practices).</w:t>
      </w:r>
    </w:p>
  </w:footnote>
  <w:footnote w:id="564">
    <w:p w14:paraId="0EFE25EE" w14:textId="77777777" w:rsidR="004322B1" w:rsidRPr="00AD2F44" w:rsidRDefault="004322B1">
      <w:pPr>
        <w:pStyle w:val="14Footnote"/>
      </w:pPr>
      <w:r w:rsidRPr="00AD2F44">
        <w:rPr>
          <w:vertAlign w:val="superscript"/>
        </w:rPr>
        <w:footnoteRef/>
      </w:r>
      <w:r w:rsidRPr="00AD2F44">
        <w:rPr>
          <w:i/>
          <w:iCs/>
        </w:rPr>
        <w:t>See, e.g.,</w:t>
      </w:r>
    </w:p>
    <w:p w14:paraId="4701DD8C" w14:textId="77777777" w:rsidR="004322B1" w:rsidRPr="00AD2F44" w:rsidRDefault="004322B1">
      <w:pPr>
        <w:pStyle w:val="14Footnote"/>
      </w:pPr>
      <w:r w:rsidRPr="00AD2F44">
        <w:rPr>
          <w:i/>
          <w:iCs/>
        </w:rPr>
        <w:t>Second Circuit:</w:t>
      </w:r>
      <w:r w:rsidRPr="00AD2F44">
        <w:t xml:space="preserve"> Pino v. Harris Water Main &amp; Sewer Contractors Inc., 2020 BL 364493, 2020 WL 5708889 (E.D.N.Y. Sept. 23, 2020) (denying decertification motion upon crew member/field plaintiffs’ deposition testimony that employer maintained unwritten policy of off-the-clock work); Perez v. Isabella Geriatric Ctr., Inc., 2016 WL 5719802, at *2–5 (S.D.N.Y. Sept. 30, 2016) (denying decertification motion and finding that common issues predominated where class of nurse assistants claimed that employer’s policies of paying employees for scheduled work time (instead of actual work time) and its practice of automatically deducting 30 minutes for meal periods––along with its alleged “standard policy” of assigning nurse assistants more work than could be performed within their shifts––had effect of causing class to perform uncompensated work); Briceno v. USI Servs. Grp., Inc., 2015 WL 5719727, at *9 (E.D.N.Y. Sept. 29, 2015) (denying motion for decertification; finding that plaintiffs presented sufficient evidence of centralized common and defective timekeeping system and ineffective complaint procedure utilized by defendants; plaintiffs’ evidence established that employees from multiple locations “routinely encountered problems attempting to record their time” and that because of these problems, defendants “did not record all hours employees worked”).</w:t>
      </w:r>
    </w:p>
    <w:p w14:paraId="2D9D25A4" w14:textId="77777777" w:rsidR="004322B1" w:rsidRPr="00AD2F44" w:rsidRDefault="004322B1">
      <w:pPr>
        <w:pStyle w:val="14Footnote"/>
      </w:pPr>
      <w:r w:rsidRPr="00AD2F44">
        <w:rPr>
          <w:i/>
          <w:iCs/>
        </w:rPr>
        <w:t>Fourth Circuit:</w:t>
      </w:r>
      <w:r w:rsidRPr="00AD2F44">
        <w:t xml:space="preserve"> Devine v. City of Hampton, 2015 WL 10765154, at *3 (E.D. Va. Oct. 13, 2015) (denying motion to decertify class of 214 police officers in different ranks who claimed various forms of off-the-clock overtime work performed at different locations and under different supervisors where “broad-based practices … required or permitted unpaid or under-compensated off-the-clock work”; reasoning that it “must determine whether there exists ‘a uniform and pervasive practice or culture’ that affects plaintiffs in a similar manner,” and that “[d]ifferences in application do not obscure a common policy mandating that budgets be met and a uniform practice of using off the clock work to do so”) (citation omitted).</w:t>
      </w:r>
    </w:p>
    <w:p w14:paraId="00B9DFFF" w14:textId="77777777" w:rsidR="004322B1" w:rsidRPr="00AD2F44" w:rsidRDefault="004322B1">
      <w:pPr>
        <w:pStyle w:val="14Footnote"/>
      </w:pPr>
      <w:r w:rsidRPr="00AD2F44">
        <w:rPr>
          <w:i/>
          <w:iCs/>
        </w:rPr>
        <w:t>Fifth Circuit:</w:t>
      </w:r>
      <w:r w:rsidRPr="00AD2F44">
        <w:t xml:space="preserve"> Falcon v. Starbucks, 580 F. Supp. 2d 528, 536 (S.D. Tex. 2008) (holding collective treatment was appropriate where retail assistant store managers all held the same job title, worked under the same job description and supervision hierarchy, either worked off the clock or had their time shaved by their managers, and worked in an environment that discouraged overtime and encouraged off-the-clock work).</w:t>
      </w:r>
    </w:p>
    <w:p w14:paraId="75D2DDD3" w14:textId="77777777" w:rsidR="004322B1" w:rsidRPr="00AD2F44" w:rsidRDefault="004322B1">
      <w:pPr>
        <w:pStyle w:val="14Footnote"/>
      </w:pPr>
      <w:r w:rsidRPr="00AD2F44">
        <w:rPr>
          <w:i/>
          <w:iCs/>
        </w:rPr>
        <w:t>Sixth Circuit:</w:t>
      </w:r>
      <w:r w:rsidRPr="00AD2F44">
        <w:t xml:space="preserve"> Pierce v. Wyndham Vacation Resorts, Inc., 2017 WL 4398656 (E.D. Tenn. Oct. 3, 2017) (denying decertification, holding that plaintiffs’ factual and employment settings continued to support certification because, even though plaintiffs held different job titles and worked at different locations, they all were employed to “make sales,” worked under same management hierarchy, and were subject to same pay method (commissions)); Thompson v. Bruister &amp; Assocs., 967 F. Supp. 2d 1204, 1219 (M.D. Tenn. 2008) (denying decertification motion, finding that plaintiffs were not required to “prove each hour of overtime with unerring accuracy or certainty”). </w:t>
      </w:r>
    </w:p>
    <w:p w14:paraId="3594DD97" w14:textId="77777777" w:rsidR="004322B1" w:rsidRPr="00AD2F44" w:rsidRDefault="004322B1">
      <w:pPr>
        <w:pStyle w:val="14Footnote"/>
      </w:pPr>
      <w:r w:rsidRPr="00AD2F44">
        <w:rPr>
          <w:i/>
          <w:iCs/>
        </w:rPr>
        <w:t>Seventh Circuit:</w:t>
      </w:r>
      <w:r w:rsidRPr="00AD2F44">
        <w:t xml:space="preserve"> Bitner v. Wyndham Vacation Resorts, Inc., 2016 WL 7480428, at *14 (W.D. Wis. Dec. 29, 2017) (denying decertification motion where sales representatives shared same job title and general job responsibilities and alleged that employer had unofficial policy requiring off-the-clock work; common questions predominated over individualized issues); Allen v. City of Chi., 2014 WL 5461856, at *6–7 (N.D. Ill. Oct. 22, 2014) (denying decertification motion where evidence showed that city had “unwritten” common policy of permitting police officers to work off the clock on Blackberry devices; fact that officers worked at different locations, on different teams, and under different supervisors and had different job duties was not “significant” where there was common policy that stretched across different divisions and job duties), </w:t>
      </w:r>
      <w:r w:rsidRPr="00AD2F44">
        <w:rPr>
          <w:i/>
          <w:iCs/>
        </w:rPr>
        <w:t>aff’d</w:t>
      </w:r>
      <w:r w:rsidRPr="00AD2F44">
        <w:t>, 865 F.3d 936 (7th Cir. 2017).</w:t>
      </w:r>
    </w:p>
    <w:p w14:paraId="2B05CB7D" w14:textId="77777777" w:rsidR="004322B1" w:rsidRPr="00AD2F44" w:rsidRDefault="004322B1">
      <w:pPr>
        <w:pStyle w:val="14Footnote"/>
      </w:pPr>
      <w:r w:rsidRPr="00AD2F44">
        <w:rPr>
          <w:i/>
          <w:iCs/>
        </w:rPr>
        <w:t>Eighth Circuit:</w:t>
      </w:r>
      <w:r w:rsidRPr="00AD2F44">
        <w:t xml:space="preserve"> Harris v. Chipotle Mexican Grill, Inc., 2017 WL 2537228 (D. Minn. June 12, 2017) (denying decertification, holding that individual differences did not overwhelm common questions where all plaintiffs worked at same restaurant location, performed same job duties, and alleged they were not paid for attending meetings off the clock after restaurant closed); Kautsch v. Premier Commc’ns, 2008 WL 294271, at *3 (W.D. Mo. Jan. 31, 2008) (evidence of improper alteration of time sheets and that numerous employees were instructed not to report time created inference of policy).</w:t>
      </w:r>
    </w:p>
    <w:p w14:paraId="185C47E4" w14:textId="77777777" w:rsidR="004322B1" w:rsidRPr="00AD2F44" w:rsidRDefault="004322B1">
      <w:pPr>
        <w:pStyle w:val="14Footnote"/>
      </w:pPr>
      <w:r w:rsidRPr="00AD2F44">
        <w:rPr>
          <w:i/>
          <w:iCs/>
        </w:rPr>
        <w:t>Ninth Circuit:</w:t>
      </w:r>
      <w:r w:rsidRPr="00AD2F44">
        <w:t xml:space="preserve"> Lillehagen v. Alorica, Inc., 2014 WL 6989230, at *28 (C.D. Cal. Dec. 10, 2014) (finding that “similar factual and employment settings” element weighed against decertification where plaintiffs’ claims seeking compensation for off-the-clock time during individual computer log-out episodes and unauthorized breaks did not rely on different theories of FLSA violations).</w:t>
      </w:r>
    </w:p>
    <w:p w14:paraId="273EA243" w14:textId="77777777" w:rsidR="004322B1" w:rsidRPr="00AD2F44" w:rsidRDefault="004322B1">
      <w:pPr>
        <w:pStyle w:val="14Footnote"/>
      </w:pPr>
      <w:r w:rsidRPr="00AD2F44">
        <w:rPr>
          <w:i/>
          <w:iCs/>
        </w:rPr>
        <w:t>Eleventh Circuit:</w:t>
      </w:r>
      <w:r w:rsidRPr="00AD2F44">
        <w:t xml:space="preserve"> Hill v. Muscogee Cnty. Sch. Dist., 2005 WL 3526669, at *3–4 (M.D. Ga. Dec. 20, 2005) (substantial evidence of “same practice” of being assigned work that could not be completed within scheduled hours but being paid only for scheduled hours).</w:t>
      </w:r>
    </w:p>
  </w:footnote>
  <w:footnote w:id="565">
    <w:p w14:paraId="28E3B32B" w14:textId="77777777" w:rsidR="004322B1" w:rsidRPr="00AD2F44" w:rsidRDefault="004322B1">
      <w:pPr>
        <w:pStyle w:val="14Footnote"/>
      </w:pPr>
      <w:r w:rsidRPr="00AD2F44">
        <w:rPr>
          <w:vertAlign w:val="superscript"/>
        </w:rPr>
        <w:footnoteRef/>
      </w:r>
      <w:r w:rsidRPr="00AD2F44">
        <w:t xml:space="preserve">O’Brien v. Ed Donnelly Enters., 575 F.3d 567, 585 (6th Cir. 2009). The Sixth Circuit criticized the district court’s reasoning but affirmed the decision to decertify the collective action in any event because many of the opt-in plaintiffs had claims that were either claim-precluded or mooted by an offer of judgment. </w:t>
      </w:r>
      <w:r w:rsidRPr="00AD2F44">
        <w:rPr>
          <w:i/>
          <w:iCs/>
        </w:rPr>
        <w:t>Id</w:t>
      </w:r>
      <w:r w:rsidRPr="00AD2F44">
        <w:t>. at 586.</w:t>
      </w:r>
    </w:p>
  </w:footnote>
  <w:footnote w:id="566">
    <w:p w14:paraId="425D2F65" w14:textId="77777777" w:rsidR="004322B1" w:rsidRPr="00AD2F44" w:rsidRDefault="004322B1">
      <w:pPr>
        <w:pStyle w:val="14Footnote"/>
      </w:pPr>
      <w:r w:rsidRPr="00AD2F44">
        <w:rPr>
          <w:vertAlign w:val="superscript"/>
        </w:rPr>
        <w:footnoteRef/>
      </w:r>
      <w:r w:rsidRPr="00AD2F44">
        <w:rPr>
          <w:i/>
          <w:iCs/>
        </w:rPr>
        <w:t>Falcon</w:t>
      </w:r>
      <w:r w:rsidRPr="00AD2F44">
        <w:t xml:space="preserve">, 580 F. Supp. 2d at 536; </w:t>
      </w:r>
      <w:r w:rsidRPr="00AD2F44">
        <w:rPr>
          <w:i/>
          <w:iCs/>
        </w:rPr>
        <w:t>accord</w:t>
      </w:r>
      <w:r w:rsidRPr="00AD2F44">
        <w:t xml:space="preserve"> </w:t>
      </w:r>
      <w:r w:rsidRPr="00AD2F44">
        <w:rPr>
          <w:i/>
          <w:iCs/>
        </w:rPr>
        <w:t>Kautsch</w:t>
      </w:r>
      <w:r w:rsidRPr="00AD2F44">
        <w:t>, 2008 WL 294271, at *3 (denying decertification and noting “a fact-finder could conclude that Premier maintained a policy that technicians were not to claim overtime or travel time, even if not every one of 743 technicians was personally instructed by a manager not to claim overtime”).</w:t>
      </w:r>
    </w:p>
  </w:footnote>
  <w:footnote w:id="567">
    <w:p w14:paraId="0BF00711" w14:textId="77777777" w:rsidR="004322B1" w:rsidRPr="00AD2F44" w:rsidRDefault="004322B1">
      <w:pPr>
        <w:pStyle w:val="14Footnote"/>
      </w:pPr>
      <w:r w:rsidRPr="00AD2F44">
        <w:rPr>
          <w:vertAlign w:val="superscript"/>
        </w:rPr>
        <w:footnoteRef/>
      </w:r>
      <w:r w:rsidRPr="00AD2F44">
        <w:rPr>
          <w:i/>
          <w:iCs/>
        </w:rPr>
        <w:t>See, e.g</w:t>
      </w:r>
      <w:r w:rsidRPr="00AD2F44">
        <w:t xml:space="preserve">., Johnson v. Wave Comm GR LLC, 4 F. Supp. 3d 453, 458 (N.D.N.Y. 2014) (denying decertification motion where evidence showed that defendants engaged in a policy of instructing plaintiffs to record a lunch break regardless of whether they had taken one and to perform work filling out billing sheets at home without compensation); </w:t>
      </w:r>
      <w:r w:rsidRPr="00AD2F44">
        <w:rPr>
          <w:i/>
          <w:iCs/>
        </w:rPr>
        <w:t>Falcon</w:t>
      </w:r>
      <w:r w:rsidRPr="00AD2F44">
        <w:t xml:space="preserve">, 580 F. Supp. 2d at 536; </w:t>
      </w:r>
      <w:r w:rsidRPr="00AD2F44">
        <w:rPr>
          <w:i/>
          <w:iCs/>
        </w:rPr>
        <w:t>cf.</w:t>
      </w:r>
      <w:r w:rsidRPr="00AD2F44">
        <w:t xml:space="preserve"> Blakes v. Illinois Bell Tel. Co., 2013 WL 6662831, at *17–21 (N.D. Ill. Dec. 17, 2013) (denying decertification as to policy of requiring post-shift working time off the clock but granting decertification as to claims that plaintiffs worked during lunch to improve efficiency because whether such off-the-clock work occurred and the alleged reasons for performing off-the-clock work varied among class members). </w:t>
      </w:r>
      <w:r w:rsidRPr="00AD2F44">
        <w:rPr>
          <w:i/>
          <w:iCs/>
        </w:rPr>
        <w:t>But see</w:t>
      </w:r>
      <w:r w:rsidRPr="00AD2F44">
        <w:t xml:space="preserve"> Lindsay v. Clear Wireless, LLC, 2016 WL 916365, at *4 (D. Minn. Mar. 10, 2016) (“[A] policy designed to maximize employee performance within budgeted labor hours does not violate the FLSA. And although it would violate the FLSA to require overtime without overtime compensation, the so-called ‘labor efficiency policy’ does not dictate uncompensated overtime.”).</w:t>
      </w:r>
    </w:p>
  </w:footnote>
  <w:footnote w:id="568">
    <w:p w14:paraId="124BD4B2" w14:textId="77777777" w:rsidR="004322B1" w:rsidRPr="00AD2F44" w:rsidRDefault="004322B1">
      <w:pPr>
        <w:pStyle w:val="14Footnote"/>
      </w:pPr>
      <w:r w:rsidRPr="00AD2F44">
        <w:rPr>
          <w:vertAlign w:val="superscript"/>
        </w:rPr>
        <w:footnoteRef/>
      </w:r>
      <w:r w:rsidRPr="00AD2F44">
        <w:rPr>
          <w:i/>
          <w:iCs/>
        </w:rPr>
        <w:t>See, e.g</w:t>
      </w:r>
      <w:r w:rsidRPr="00AD2F44">
        <w:t>., Mahoney v. Farmers Ins. Exch., 2011 WL 4458513, at *9 (S.D. Tex. Sept. 23, 2011) (denying decertification where despite prohibition on off-the-clock work, there was evidence of “policy-to-violate-the-policy” sufficient to amount to violations “stemming from a common impetus”); Wilks v. Pep Boys, 2006 WL 2821700, at *4–5 (M.D. Tenn. Sept. 26, 2006) (denying decertification motion where the defenses, including evidence of lawful employment policies and practices, can be raised collectively).</w:t>
      </w:r>
    </w:p>
  </w:footnote>
  <w:footnote w:id="569">
    <w:p w14:paraId="022B6904" w14:textId="77777777" w:rsidR="004322B1" w:rsidRPr="00AD2F44" w:rsidRDefault="004322B1">
      <w:pPr>
        <w:pStyle w:val="14Footnote"/>
      </w:pPr>
      <w:r w:rsidRPr="00AD2F44">
        <w:rPr>
          <w:vertAlign w:val="superscript"/>
        </w:rPr>
        <w:footnoteRef/>
      </w:r>
      <w:r w:rsidRPr="00AD2F44">
        <w:rPr>
          <w:i/>
          <w:iCs/>
        </w:rPr>
        <w:t>See, e.g</w:t>
      </w:r>
      <w:r w:rsidRPr="00AD2F44">
        <w:t>., Epps v. Oak St. Mortg. LLC, 2006 WL 1460273, at *7 (M.D. Fla. May 22, 2006) (granting decertification as to off-the-clock claims because whether plaintiff loan officers were instructed to record no more than 40 hours of work each week had to be determined on an individual, branch-by-branch basis); Basco v. Wal-Mart Stores, Inc., 2004 WL 1497709, at *7 (E.D. La. July 2, 2004) (denying motion for certification where testimony that employees were required to work off the clock did not “overwhelm” the court, commenting that the evidence appeared “to be extremely anecdotal—one manager requiring it as opposed to all”).</w:t>
      </w:r>
    </w:p>
  </w:footnote>
  <w:footnote w:id="570">
    <w:p w14:paraId="56686258" w14:textId="77777777" w:rsidR="004322B1" w:rsidRPr="00AD2F44" w:rsidRDefault="004322B1">
      <w:pPr>
        <w:pStyle w:val="14Footnote"/>
      </w:pPr>
      <w:r w:rsidRPr="00AD2F44">
        <w:rPr>
          <w:vertAlign w:val="superscript"/>
        </w:rPr>
        <w:footnoteRef/>
      </w:r>
      <w:r w:rsidRPr="00AD2F44">
        <w:rPr>
          <w:i/>
          <w:iCs/>
        </w:rPr>
        <w:t>See</w:t>
      </w:r>
      <w:r w:rsidRPr="00AD2F44">
        <w:t xml:space="preserve"> Campbell v. City of L.A., 903 F.3d 1090 (9th Cir. 2018) (affirming decertification order in case where plaintiffs claimed there was an unwritten policy discouraging seeking compensation for certain types of work and submitted over 280 declarations in support of their claims, where City had provided evidence that it had paid over 330,000 overtime claims seeking compensation for less than one hour each, including 64,000 such claims submitted by party plaintiffs).</w:t>
      </w:r>
    </w:p>
  </w:footnote>
  <w:footnote w:id="571">
    <w:p w14:paraId="7D91A408" w14:textId="77777777" w:rsidR="004322B1" w:rsidRPr="00AD2F44" w:rsidRDefault="004322B1">
      <w:pPr>
        <w:pStyle w:val="14Footnote"/>
      </w:pPr>
      <w:r w:rsidRPr="00AD2F44">
        <w:rPr>
          <w:vertAlign w:val="superscript"/>
        </w:rPr>
        <w:footnoteRef/>
      </w:r>
      <w:r w:rsidRPr="00AD2F44">
        <w:rPr>
          <w:i/>
          <w:iCs/>
        </w:rPr>
        <w:t>Compare</w:t>
      </w:r>
      <w:r w:rsidRPr="00AD2F44">
        <w:t xml:space="preserve"> Creal v. Group O, Inc., 155 F. Supp. 3d 831 (N.D. Ill. 2016) (decertifying a collective action after determining that the factual inquiry required to determine whether employees had not been compensated for pre- and post-shift work would be too individualized), Mendez v. U.S. Nonwovens Corp., 2016 WL 1306551, at *4–6 (E.D.N.Y. Mar. 31, 2016) (decertifying collective action where plaintiffs’ testimony differed as to length of pre-shift period worked, who told them to arrive early, what they were told, and if they actually performed any work), </w:t>
      </w:r>
      <w:r w:rsidRPr="00AD2F44">
        <w:rPr>
          <w:i/>
          <w:iCs/>
        </w:rPr>
        <w:t>and</w:t>
      </w:r>
      <w:r w:rsidRPr="00AD2F44">
        <w:t xml:space="preserve"> Stiller v. Costco Wholesale Corp., 298 F.R.D. 611, 631–32 (S.D. Cal. 2014) (granting decertification where policy of detaining employees during closing procedures without pay did not “always result in employees being detained without pay”), </w:t>
      </w:r>
      <w:r w:rsidRPr="00AD2F44">
        <w:rPr>
          <w:i/>
          <w:iCs/>
        </w:rPr>
        <w:t>with</w:t>
      </w:r>
      <w:r w:rsidRPr="00AD2F44">
        <w:t xml:space="preserve"> Blakes v. Illinois Bell Telephone Co., 2013 WL 6662831, at *17–21 (N.D. Ill. Dec. 17, 2013) (denying decertification as to policy of requiring post-shift working times off the clock), </w:t>
      </w:r>
      <w:r w:rsidRPr="00AD2F44">
        <w:rPr>
          <w:i/>
          <w:iCs/>
        </w:rPr>
        <w:t>and</w:t>
      </w:r>
      <w:r w:rsidRPr="00AD2F44">
        <w:t xml:space="preserve"> Russell v. Illinois Bell Tel. Co., 721 F. Supp. 2d 804, 815–16 (N.D. Ill. 2010) (denying decertification motion for off-the-clock claims at call center that were based on common policies of being “open and available” resulting in pre-shift work).</w:t>
      </w:r>
    </w:p>
  </w:footnote>
  <w:footnote w:id="572">
    <w:p w14:paraId="574EC47C" w14:textId="77777777" w:rsidR="004322B1" w:rsidRPr="00AD2F44" w:rsidRDefault="004322B1" w:rsidP="009A6FD1">
      <w:pPr>
        <w:pStyle w:val="14Footnote"/>
      </w:pPr>
      <w:r w:rsidRPr="00AD2F44">
        <w:rPr>
          <w:vertAlign w:val="superscript"/>
        </w:rPr>
        <w:footnoteRef/>
      </w:r>
      <w:r w:rsidRPr="00AD2F44">
        <w:rPr>
          <w:i/>
          <w:iCs/>
        </w:rPr>
        <w:t>See, e.g.,</w:t>
      </w:r>
      <w:r w:rsidRPr="00AD2F44">
        <w:t xml:space="preserve"> </w:t>
      </w:r>
      <w:r>
        <w:t xml:space="preserve">Dollery v. Post Acute Med., LLC, </w:t>
      </w:r>
      <w:r w:rsidRPr="00874E49">
        <w:t>2023 BL 62153</w:t>
      </w:r>
      <w:r>
        <w:t xml:space="preserve">, 2023 WL 2249157, at *5 (S.D. Tex. Feb. 24, 2023) (denying decertification where defendant had a common policy of automatically deducting for breaks, common policies prohibiting overtime or working through breaks, and common ethical obligations led to plaintiffs working through breaks); </w:t>
      </w:r>
      <w:r w:rsidRPr="00AD2F44">
        <w:t xml:space="preserve">Johnson v. Wave Comm GR LLC, 4 F. Supp. 3d 453, 458 (N.D.N.Y. 2014) (denying decertification motion where evidence showed that defendants engaged in a policy of instructing plaintiffs to record a lunch break regardless of whether they had taken one and to perform work filling out billing sheets at home without compensation); Russell v. Illinois Bell Tel. Co., 721 F. Supp. 2d 804 (N.D. Ill. 2010) (denying decertification motion for off-the-clock claim at call center that average call-handling time did not allow for dealing with customer service issues and led to working during lunch). </w:t>
      </w:r>
    </w:p>
  </w:footnote>
  <w:footnote w:id="573">
    <w:p w14:paraId="03D4B360" w14:textId="77777777" w:rsidR="004322B1" w:rsidRPr="00AD2F44" w:rsidRDefault="004322B1">
      <w:pPr>
        <w:pStyle w:val="14Footnote"/>
      </w:pPr>
      <w:r w:rsidRPr="00AD2F44">
        <w:rPr>
          <w:vertAlign w:val="superscript"/>
        </w:rPr>
        <w:footnoteRef/>
      </w:r>
      <w:r w:rsidRPr="00AD2F44">
        <w:rPr>
          <w:i/>
          <w:iCs/>
        </w:rPr>
        <w:t>See, e.g.,</w:t>
      </w:r>
    </w:p>
    <w:p w14:paraId="11F213B0" w14:textId="77777777" w:rsidR="004322B1" w:rsidRPr="00AD2F44" w:rsidRDefault="004322B1">
      <w:pPr>
        <w:pStyle w:val="14Footnote"/>
      </w:pPr>
      <w:r w:rsidRPr="00AD2F44">
        <w:rPr>
          <w:i/>
          <w:iCs/>
        </w:rPr>
        <w:t>Second Circuit:</w:t>
      </w:r>
      <w:r w:rsidRPr="00AD2F44">
        <w:t xml:space="preserve"> DeSilva v. North Shore-Long Island Jewish Health Sys., Inc., 27 F. Supp. 3d 313, 320 (E.D.N.Y. 2014) (decertifying collective action in automatic meal deduction case where alleged violations arose from “a hodgepodge of procedures implemented in varying ways by different managers across numerous departments and locations”). </w:t>
      </w:r>
    </w:p>
    <w:p w14:paraId="0EEA080E" w14:textId="77777777" w:rsidR="004322B1" w:rsidRPr="00AD2F44" w:rsidRDefault="004322B1">
      <w:pPr>
        <w:pStyle w:val="14Footnote"/>
      </w:pPr>
      <w:r w:rsidRPr="00AD2F44">
        <w:rPr>
          <w:i/>
          <w:iCs/>
        </w:rPr>
        <w:t>Third Circuit:</w:t>
      </w:r>
      <w:r w:rsidRPr="00AD2F44">
        <w:t xml:space="preserve"> Bell v. Reading Hosp. &amp; Med. Ctr., 2016 WL 3902938, at *11 (E.D. Pa. July 19, 2016) (“The many factual differences with respect to each plaintiff demonstrate that plaintiffs ‘were not uniformly affected by [Reading’s] department-by-department approach to meal deduction cancellations. … The decentralized nature of the application of the manner to cancel an automatic deduction and the independent way that each supervisor implemented the same is contrary to the purposes of collective treatment under the FLSA.’”) (citation omitted); Prise v. Alderwoods Grp., Inc., 817 F. Supp. 2d 651, 681 (W.D. Pa. 2011) (granting decertification of nationwide class of over 720 plaintiffs, reasoning that evidence of working meal breaks showed that implementation of policies varied depending on location, supervisory practices, and individual circumstances, such that there was no single corporate policy or plan that “similarly affected plaintiffs”).</w:t>
      </w:r>
    </w:p>
    <w:p w14:paraId="4343AEA4" w14:textId="77777777" w:rsidR="004322B1" w:rsidRPr="00AD2F44" w:rsidRDefault="004322B1">
      <w:pPr>
        <w:pStyle w:val="14Footnote"/>
      </w:pPr>
      <w:r w:rsidRPr="00AD2F44">
        <w:rPr>
          <w:i/>
          <w:iCs/>
        </w:rPr>
        <w:t>Sixth Circuit:</w:t>
      </w:r>
      <w:r w:rsidRPr="00AD2F44">
        <w:t xml:space="preserve"> Frye v. Baptist Mem. Hosp., Inc., 495 F. App’x 669, 673 (6th Cir. 2012) (affirming decertification of collective action where district court found auto deduction policy did not violate the FLSA and that the unpaid overtime claims depend on the “employees’ unique experiences”); Lockhart v. D&amp;S Residential Servs. LP, 2020 WL 4717910 (W.D. Tenn. Aug. 13, 2020) (granting decertification where program supervisors plaintiffs’ evidence suggested disparate violations and not common policy of violations of meal break and post-shift uncompensated work); Jones-Turner v. Yellow Enter. Sys., LLC, 2011 WL 4861882, at *3 (W.D. Ky. Oct. 13, 2011) (decertifying class of ambulance drivers claiming they were forced to work through unpaid meal breaks because evidence, and plaintiffs’ briefing, showed that “multitude of factors” implicated whether plaintiffs were properly paid).</w:t>
      </w:r>
    </w:p>
    <w:p w14:paraId="168FB434" w14:textId="77777777" w:rsidR="004322B1" w:rsidRPr="00AD2F44" w:rsidRDefault="004322B1">
      <w:pPr>
        <w:pStyle w:val="14Footnote"/>
      </w:pPr>
      <w:r w:rsidRPr="00AD2F44">
        <w:rPr>
          <w:i/>
          <w:iCs/>
        </w:rPr>
        <w:t>Seventh Circuit</w:t>
      </w:r>
      <w:r w:rsidRPr="00AD2F44">
        <w:t>: Blakes v. Illinois Bell Tel. Co., 2013 WL 6662831, at *17–21 (N.D. Ill. Dec. 17, 2013) (granting decertification as to claims that plaintiffs worked during lunch to improve efficiency because resolution of such claims required individualized inquiries).</w:t>
      </w:r>
    </w:p>
    <w:p w14:paraId="2200F493" w14:textId="77777777" w:rsidR="004322B1" w:rsidRPr="00AD2F44" w:rsidRDefault="004322B1">
      <w:pPr>
        <w:pStyle w:val="14Footnote"/>
      </w:pPr>
      <w:r w:rsidRPr="00AD2F44">
        <w:rPr>
          <w:i/>
          <w:iCs/>
        </w:rPr>
        <w:t>Eighth Circuit</w:t>
      </w:r>
      <w:r w:rsidRPr="00AD2F44">
        <w:t>: Hamilton v. Diversicare Leasing Corp., 2014 WL 4955799, at *3–5 (W.D. Ark. Oct. 1, 2014) (decertifying automatic deduction meal period case where employer had lawful policy prohibiting off-the-clock work, and plaintiffs failed to show that there was uniform unlawful policy or “policy-to-violate-the-policy”); Watson v. Surf-Frac Wellhead Equip. Co., 2013 WL 5524122, at *6 (E.D. Ark. Oct. 3, 2013) (decertifying collective action where plaintiffs must prove that the application of the automatic meal period deduction policy to the individual plaintiffs, not the policies themselves, was unlawful).</w:t>
      </w:r>
    </w:p>
    <w:p w14:paraId="19B38266" w14:textId="77777777" w:rsidR="004322B1" w:rsidRPr="00AD2F44" w:rsidRDefault="004322B1">
      <w:pPr>
        <w:pStyle w:val="14Footnote"/>
      </w:pPr>
      <w:r w:rsidRPr="00AD2F44">
        <w:rPr>
          <w:i/>
          <w:iCs/>
        </w:rPr>
        <w:t>Eleventh Circuit</w:t>
      </w:r>
      <w:r w:rsidRPr="00AD2F44">
        <w:t>: Willoughby v. Youth Vills., Inc., 113 F. Supp. 3d 1265, 1276 (N.D. Ga. 2015) (decertifying collective action where individualized inquiries were required to determine whether due to automatically deducted breaks plaintiff ever worked more than 40 hours in one week without proper overtime compensation with employer’s knowledge that plaintiff worked such unpaid overtime hours).</w:t>
      </w:r>
    </w:p>
  </w:footnote>
  <w:footnote w:id="574">
    <w:p w14:paraId="169E321D" w14:textId="77777777" w:rsidR="004322B1" w:rsidRPr="00AD2F44" w:rsidRDefault="004322B1">
      <w:pPr>
        <w:pStyle w:val="14Footnote"/>
      </w:pPr>
      <w:r w:rsidRPr="00AD2F44">
        <w:rPr>
          <w:vertAlign w:val="superscript"/>
        </w:rPr>
        <w:footnoteRef/>
      </w:r>
      <w:r w:rsidRPr="00AD2F44">
        <w:rPr>
          <w:i/>
          <w:iCs/>
        </w:rPr>
        <w:t>Compare</w:t>
      </w:r>
      <w:r w:rsidRPr="00AD2F44">
        <w:t xml:space="preserve"> Creal v. Group O, Inc., 155 F. Supp. 3d 831, 838 (N.D. Ill. 2016) (decertifying collective action and commenting that a rounding policy—even if it is applied to all employees—is insufficient to retain certification), </w:t>
      </w:r>
      <w:r w:rsidRPr="00AD2F44">
        <w:rPr>
          <w:i/>
          <w:iCs/>
        </w:rPr>
        <w:t>with</w:t>
      </w:r>
      <w:r w:rsidRPr="00AD2F44">
        <w:t xml:space="preserve"> Russell v. Illinois Bell Tel. Co., 721 F. Supp. 2d 804 (N.D. Ill. 2010) (denying decertification motion regarding rounding procedures that, according to plaintiffs, often caused them to work unpaid overtime in increments of under eight minutes).</w:t>
      </w:r>
    </w:p>
  </w:footnote>
  <w:footnote w:id="575">
    <w:p w14:paraId="4DF538B5" w14:textId="77777777" w:rsidR="004322B1" w:rsidRPr="00AD2F44" w:rsidRDefault="004322B1">
      <w:pPr>
        <w:pStyle w:val="14Footnote"/>
      </w:pPr>
      <w:r w:rsidRPr="00AD2F44">
        <w:rPr>
          <w:vertAlign w:val="superscript"/>
        </w:rPr>
        <w:footnoteRef/>
      </w:r>
      <w:r w:rsidRPr="00AD2F44">
        <w:rPr>
          <w:i/>
          <w:iCs/>
        </w:rPr>
        <w:t>See, e.g</w:t>
      </w:r>
      <w:r w:rsidRPr="00AD2F44">
        <w:t>., Falcon v. Starbucks, 580 F. Supp. 2d 528, 536 (S.D. Tex. 2008) (holding collective treatment was appropriate where retail assistant store managers all held the same job title, worked under the same job description and supervision hierarchy, and either worked off the clock or had their time shaved by their managers); Wilks v. Pep Boys, 2006 WL 2821700, at *3–6 (M.D. Tenn. Sept. 26, 2006) (denying decertification motion in light of evidence from multiple plaintiffs that their managers had instructed them to shave their time or otherwise work off the clock because of labor hour budget restrictions).</w:t>
      </w:r>
    </w:p>
  </w:footnote>
  <w:footnote w:id="576">
    <w:p w14:paraId="538D5E1B" w14:textId="77777777" w:rsidR="004322B1" w:rsidRPr="00AD2F44" w:rsidRDefault="004322B1">
      <w:pPr>
        <w:pStyle w:val="14Footnote"/>
        <w:rPr>
          <w:i/>
          <w:iCs/>
        </w:rPr>
      </w:pPr>
      <w:r w:rsidRPr="00AD2F44">
        <w:rPr>
          <w:vertAlign w:val="superscript"/>
        </w:rPr>
        <w:footnoteRef/>
      </w:r>
      <w:r w:rsidRPr="00AD2F44">
        <w:rPr>
          <w:i/>
          <w:iCs/>
        </w:rPr>
        <w:t>See</w:t>
      </w:r>
    </w:p>
    <w:p w14:paraId="7160104A" w14:textId="77777777" w:rsidR="004322B1" w:rsidRPr="00AD2F44" w:rsidRDefault="004322B1">
      <w:pPr>
        <w:pStyle w:val="14Footnote"/>
      </w:pPr>
      <w:r w:rsidRPr="00AD2F44">
        <w:rPr>
          <w:i/>
          <w:iCs/>
        </w:rPr>
        <w:t>Fifth Circuit:</w:t>
      </w:r>
      <w:r w:rsidRPr="00AD2F44">
        <w:t xml:space="preserve"> Segovia v. Fuelco Energy LLC, 2021 BL 200228, 2021 WL 2187956 (W.D. Tex. May 28, 2021) (denying decertification of driver/technician collective claims, recognizing that variations of particular workday facts go to effect of common decision on individual employees rather than undermining finding of common plan or policy).</w:t>
      </w:r>
    </w:p>
    <w:p w14:paraId="0D5DE8F6" w14:textId="77777777" w:rsidR="004322B1" w:rsidRPr="00AD2F44" w:rsidRDefault="004322B1">
      <w:pPr>
        <w:pStyle w:val="14Footnote"/>
      </w:pPr>
      <w:r w:rsidRPr="00AD2F44">
        <w:rPr>
          <w:i/>
          <w:iCs/>
        </w:rPr>
        <w:t>Eighth Circuit:</w:t>
      </w:r>
      <w:r w:rsidRPr="00AD2F44">
        <w:t xml:space="preserve"> Kautsch v. Premier Commc’ns, 2008 WL 294271, at *3 (W.D. Mo. Jan. 31, 2008) (denying decertification and noting “a fact-finder could conclude that Premier maintained a policy that technicians were not to claim overtime or travel time, even if not every one of 743 technicians was personally instructed by a manager not to claim overtime”).</w:t>
      </w:r>
    </w:p>
    <w:p w14:paraId="66BEE56E" w14:textId="77777777" w:rsidR="004322B1" w:rsidRPr="00DC6B10" w:rsidRDefault="004322B1" w:rsidP="00893AD9">
      <w:pPr>
        <w:pStyle w:val="14Footnote"/>
      </w:pPr>
      <w:r w:rsidRPr="00AD2F44">
        <w:rPr>
          <w:i/>
          <w:iCs/>
        </w:rPr>
        <w:t xml:space="preserve">Ninth Circuit: </w:t>
      </w:r>
      <w:r w:rsidRPr="00AD2F44">
        <w:t>Gilmer v. Alameda-Contra Costa Transit Dist., 2011 WL 5242977, at *5–8 (N.D. Cal. Nov. 2, 2011) (denying decertification based on claim that some drivers did not work 40 hours, because court had previously found employer’s travel time policy unlawful).</w:t>
      </w:r>
    </w:p>
  </w:footnote>
  <w:footnote w:id="577">
    <w:p w14:paraId="4474926A" w14:textId="77777777" w:rsidR="004322B1" w:rsidRPr="00AD2F44" w:rsidRDefault="004322B1">
      <w:pPr>
        <w:pStyle w:val="14Footnote"/>
      </w:pPr>
      <w:r w:rsidRPr="00AD2F44">
        <w:rPr>
          <w:vertAlign w:val="superscript"/>
        </w:rPr>
        <w:footnoteRef/>
      </w:r>
      <w:r w:rsidRPr="00AD2F44">
        <w:t>Laughlin v. Jim Fischer, Inc., 2019 WL 1440406 (E.D. Wis. Mar. 31, 2019) (decertifying class of employees who were allegedly not paid for travel time based on a showing by the company that it had a policy prohibiting off-the-clock work and that it was unaware of the travel time being claimed).</w:t>
      </w:r>
    </w:p>
  </w:footnote>
  <w:footnote w:id="578">
    <w:p w14:paraId="4721C419" w14:textId="77777777" w:rsidR="004322B1" w:rsidRPr="00AD2F44" w:rsidRDefault="004322B1">
      <w:pPr>
        <w:pStyle w:val="14Footnote"/>
      </w:pPr>
      <w:r w:rsidRPr="00AD2F44">
        <w:rPr>
          <w:vertAlign w:val="superscript"/>
        </w:rPr>
        <w:footnoteRef/>
      </w:r>
      <w:r w:rsidRPr="00AD2F44">
        <w:rPr>
          <w:i/>
          <w:iCs/>
        </w:rPr>
        <w:t>See</w:t>
      </w:r>
    </w:p>
    <w:p w14:paraId="756CD9E1" w14:textId="77777777" w:rsidR="004322B1" w:rsidRPr="00AD2F44" w:rsidRDefault="004322B1">
      <w:pPr>
        <w:pStyle w:val="14Footnote"/>
      </w:pPr>
      <w:r w:rsidRPr="00AD2F44">
        <w:rPr>
          <w:i/>
          <w:iCs/>
        </w:rPr>
        <w:t xml:space="preserve">Third Circuit: </w:t>
      </w:r>
      <w:r w:rsidRPr="00AD2F44">
        <w:t>Verma v. 3001 Castor, Inc</w:t>
      </w:r>
      <w:r w:rsidRPr="00AD2F44">
        <w:rPr>
          <w:i/>
          <w:iCs/>
        </w:rPr>
        <w:t>.</w:t>
      </w:r>
      <w:r w:rsidRPr="00AD2F44">
        <w:t>, 2016 U.S. Dist. LEXIS 164026, at *20 (E.D. Pa. Nov. 29, 2016) (refusing to decertify a class of exotic dancers as they were similarly situated because the employer was not eligible for a tip credit based on its failure to pay the dancers any wages, and failure to show that it notified the dancers of the FLSA tip credit provision).</w:t>
      </w:r>
    </w:p>
    <w:p w14:paraId="6BEF9508" w14:textId="77777777" w:rsidR="004322B1" w:rsidRPr="00AD2F44" w:rsidRDefault="004322B1">
      <w:pPr>
        <w:pStyle w:val="14Footnote"/>
      </w:pPr>
      <w:r w:rsidRPr="00AD2F44">
        <w:rPr>
          <w:i/>
          <w:iCs/>
        </w:rPr>
        <w:t xml:space="preserve">Fourth Circuit: </w:t>
      </w:r>
      <w:r w:rsidRPr="00AD2F44">
        <w:t>Dorsey v. TGT Consulting, LLC,</w:t>
      </w:r>
      <w:r w:rsidRPr="00AD2F44">
        <w:rPr>
          <w:i/>
          <w:iCs/>
        </w:rPr>
        <w:t xml:space="preserve"> </w:t>
      </w:r>
      <w:r w:rsidRPr="00AD2F44">
        <w:t>888 F. Supp. 2d 670, 688–89 (D. Md. August 20, 2012)</w:t>
      </w:r>
      <w:r w:rsidRPr="00AD2F44">
        <w:rPr>
          <w:i/>
          <w:iCs/>
        </w:rPr>
        <w:t xml:space="preserve"> </w:t>
      </w:r>
      <w:r w:rsidRPr="00AD2F44">
        <w:t xml:space="preserve">(holding that decertification was not appropriate when plaintiff’s tip credit claim was premised on whether a companywide policy existed that required managers to advise employees of the tip credit; “Plaintiffs’ differing levels of awareness of the industry standard does not, therefore suggest the existence of individualized defenses as to each plaintiff”). </w:t>
      </w:r>
    </w:p>
    <w:p w14:paraId="61353D54" w14:textId="77777777" w:rsidR="004322B1" w:rsidRPr="00AD2F44" w:rsidRDefault="004322B1">
      <w:pPr>
        <w:pStyle w:val="14Footnote"/>
      </w:pPr>
      <w:r w:rsidRPr="00AD2F44">
        <w:rPr>
          <w:i/>
          <w:iCs/>
        </w:rPr>
        <w:t xml:space="preserve">Eighth Circuit: </w:t>
      </w:r>
      <w:r w:rsidRPr="00AD2F44">
        <w:t>Cope v. Let’s Eat Out, Inc</w:t>
      </w:r>
      <w:r w:rsidRPr="00AD2F44">
        <w:rPr>
          <w:i/>
          <w:iCs/>
        </w:rPr>
        <w:t>.</w:t>
      </w:r>
      <w:r w:rsidRPr="00AD2F44">
        <w:t>, 354 F. Supp. 3d 976, 982 (W.D. Mo. 2019) (refusing to decertify because defendant’s defense hinged on similar conduct as it related to informing employees of tip credit provisions of the FLSA, with the court specifically noting that defendant had failed to put “forth any individualized defenses, which cuts in favor of class treatment.”)</w:t>
      </w:r>
    </w:p>
  </w:footnote>
  <w:footnote w:id="579">
    <w:p w14:paraId="527EAF3C" w14:textId="77777777" w:rsidR="004322B1" w:rsidRPr="00AD2F44" w:rsidRDefault="004322B1">
      <w:pPr>
        <w:pStyle w:val="14Footnote"/>
      </w:pPr>
      <w:r w:rsidRPr="00AD2F44">
        <w:rPr>
          <w:vertAlign w:val="superscript"/>
        </w:rPr>
        <w:footnoteRef/>
      </w:r>
      <w:r w:rsidRPr="00AD2F44">
        <w:t xml:space="preserve">Gomez v. Mi Cocina Ltd., 2017 BL 273057, 2017 WL 3334106, at *4 (N.D. Tex. Aug. 4, 2017) (granting decertification upon finding that “tip-credit” claims were not susceptible to collective treatment because servers did not have shared experiences). </w:t>
      </w:r>
    </w:p>
  </w:footnote>
  <w:footnote w:id="580">
    <w:p w14:paraId="611563F7" w14:textId="77777777" w:rsidR="004322B1" w:rsidRPr="00AD2F44" w:rsidRDefault="004322B1">
      <w:pPr>
        <w:pStyle w:val="14Footnote"/>
      </w:pPr>
      <w:r w:rsidRPr="00AD2F44">
        <w:rPr>
          <w:vertAlign w:val="superscript"/>
        </w:rPr>
        <w:footnoteRef/>
      </w:r>
      <w:r w:rsidRPr="00AD2F44">
        <w:rPr>
          <w:i/>
          <w:iCs/>
        </w:rPr>
        <w:t>See, e.g</w:t>
      </w:r>
      <w:r w:rsidRPr="00AD2F44">
        <w:t>., Tomeo v. W&amp;E Commc’ns, Inc</w:t>
      </w:r>
      <w:r w:rsidRPr="00AD2F44">
        <w:rPr>
          <w:i/>
          <w:iCs/>
        </w:rPr>
        <w:t>.</w:t>
      </w:r>
      <w:r w:rsidRPr="00AD2F44">
        <w:t xml:space="preserve">, 2016 U.S. Dist. LEXIS 136689, at *56 (N.D. Ill. Sep. 30, 2016) (rejecting defendant’s decertification argument that damages could not be proven on a classwide basis where argument was based on, </w:t>
      </w:r>
      <w:r w:rsidRPr="00AD2F44">
        <w:rPr>
          <w:i/>
          <w:iCs/>
        </w:rPr>
        <w:t>inter alia</w:t>
      </w:r>
      <w:r w:rsidRPr="00AD2F44">
        <w:t>, the calculation of regular rate of pay).</w:t>
      </w:r>
    </w:p>
  </w:footnote>
  <w:footnote w:id="581">
    <w:p w14:paraId="0CA8EC66" w14:textId="77777777" w:rsidR="004322B1" w:rsidRPr="00AD2F44" w:rsidRDefault="004322B1" w:rsidP="00397917">
      <w:pPr>
        <w:pStyle w:val="14Footnote"/>
      </w:pPr>
      <w:r w:rsidRPr="00AD2F44">
        <w:rPr>
          <w:rStyle w:val="FootnoteReference"/>
        </w:rPr>
        <w:footnoteRef/>
      </w:r>
      <w:r w:rsidRPr="00AD2F44">
        <w:rPr>
          <w:i/>
          <w:iCs/>
        </w:rPr>
        <w:t xml:space="preserve">See </w:t>
      </w:r>
      <w:r w:rsidRPr="00AD2F44">
        <w:t xml:space="preserve">Zivali v. AT&amp;T Mobility, LLC, 784 F. Supp. 2d 456, 460 (S.D.N.Y. 2011); Owens v. City of Malden, 568 F. Supp. 3d 77, 111 (D. Mass. 2021); Lee v. ABC Carpet &amp; Home, 236 F.R.D. 193, 197 (S.D.N.Y. 2006). </w:t>
      </w:r>
    </w:p>
  </w:footnote>
  <w:footnote w:id="582">
    <w:p w14:paraId="4781CD96" w14:textId="77777777" w:rsidR="004322B1" w:rsidRPr="00AD2F44" w:rsidRDefault="004322B1" w:rsidP="00397917">
      <w:pPr>
        <w:pStyle w:val="14Footnote"/>
      </w:pPr>
      <w:r w:rsidRPr="00AD2F44">
        <w:rPr>
          <w:rStyle w:val="FootnoteReference"/>
        </w:rPr>
        <w:footnoteRef/>
      </w:r>
      <w:r w:rsidRPr="00AD2F44">
        <w:t xml:space="preserve">Espenscheid v. DirectSat USA, LLC, 688 F.3d 872, 877 (7th Cir. 2012) (internal quotations omitted) (quoting Alvarez v. City of Chi., 605 F.3d 445, 450 (7th Cir. 2010)); </w:t>
      </w:r>
      <w:r w:rsidRPr="00AD2F44">
        <w:rPr>
          <w:i/>
          <w:iCs/>
        </w:rPr>
        <w:t>see also</w:t>
      </w:r>
      <w:r w:rsidRPr="00AD2F44">
        <w:t xml:space="preserve"> Roberson v. Restaurant Delivery Devs., LLC, 320 F. Supp. 3d 1309, 1322 (M.D. Fla. 2018) (dismissing all opt-in plaintiffs’ claims without prejudice and proceeding with named plaintiff's individual claims).</w:t>
      </w:r>
    </w:p>
  </w:footnote>
  <w:footnote w:id="583">
    <w:p w14:paraId="59B8C6BC" w14:textId="77777777" w:rsidR="004322B1" w:rsidRPr="00AD2F44" w:rsidRDefault="004322B1" w:rsidP="003E61AD">
      <w:pPr>
        <w:pStyle w:val="14Footnote"/>
      </w:pPr>
      <w:r w:rsidRPr="00AD2F44">
        <w:rPr>
          <w:vertAlign w:val="superscript"/>
        </w:rPr>
        <w:footnoteRef/>
      </w:r>
      <w:r w:rsidRPr="00AD2F44">
        <w:rPr>
          <w:i/>
          <w:iCs/>
        </w:rPr>
        <w:t>See, e.g.,</w:t>
      </w:r>
    </w:p>
    <w:p w14:paraId="20AD12EF" w14:textId="77777777" w:rsidR="004322B1" w:rsidRPr="00AD2F44" w:rsidRDefault="004322B1" w:rsidP="003E61AD">
      <w:pPr>
        <w:pStyle w:val="14Footnote"/>
      </w:pPr>
      <w:r w:rsidRPr="00AD2F44">
        <w:rPr>
          <w:i/>
          <w:iCs/>
        </w:rPr>
        <w:t>Fifth Circuit:</w:t>
      </w:r>
      <w:r w:rsidRPr="00AD2F44">
        <w:t xml:space="preserve"> England v. New Century Fin. Corp., 370 F. Supp. 2d 504, 511–12 (M.D. La. 2005) (withholding entry of decertification order for 30 days to give former opt-in plaintiffs time to file suit); Proctor v. Allsups Convenience Stores, Inc., 250 F.R.D. 278, 284 (N.D. Tex. 2008); (court invoked “equity powers” to toll statute of limitations for 30 days after entry of decertification order); Johnson v. TGF Precision Haircutters, Inc., 2005 BL 77168, 2005 WL 1994286 (S.D. Tex. Aug. 17, 2005) (same). </w:t>
      </w:r>
    </w:p>
    <w:p w14:paraId="2ABC1F3C" w14:textId="77777777" w:rsidR="004322B1" w:rsidRPr="00AD2F44" w:rsidRDefault="004322B1" w:rsidP="003E61AD">
      <w:pPr>
        <w:pStyle w:val="14Footnote"/>
      </w:pPr>
      <w:r w:rsidRPr="00AD2F44">
        <w:rPr>
          <w:i/>
          <w:iCs/>
        </w:rPr>
        <w:t>Eighth Circuit:</w:t>
      </w:r>
      <w:r w:rsidRPr="00AD2F44">
        <w:t xml:space="preserve"> Davenport v. Charter Commc’ns, LLC, 2017 BL 68631, 2017 WL 878029, at *8 (E.D. Mo. Mar. 6, 2017) (tolling statute of limitations for dismissed opt-ins for 60 days following decertification order); Smith v. Heartland Auto. Servs., 404 F. Supp. 2d 1144, 1155 (D. Minn. 2005) (staying decertification order for 60 days to give individual plaintiffs time to refile individual claims).</w:t>
      </w:r>
    </w:p>
    <w:p w14:paraId="0E07146C" w14:textId="77777777" w:rsidR="004322B1" w:rsidRPr="00AD2F44" w:rsidRDefault="004322B1" w:rsidP="003E61AD">
      <w:pPr>
        <w:pStyle w:val="14Footnote"/>
      </w:pPr>
      <w:r w:rsidRPr="00AD2F44">
        <w:rPr>
          <w:i/>
          <w:iCs/>
        </w:rPr>
        <w:t>Eleventh Circuit:</w:t>
      </w:r>
      <w:r w:rsidRPr="00AD2F44">
        <w:t xml:space="preserve"> Epps v. Oak St. Mortg. LLC, 2006 BL 61882, 2006 WL 1460273, at *10 (M.D. Fla. May 22, 2006) (withholding entry of order for 30 days to provide each opt-in plaintiff time to file suit).</w:t>
      </w:r>
    </w:p>
  </w:footnote>
  <w:footnote w:id="584">
    <w:p w14:paraId="40A71B9F" w14:textId="77777777" w:rsidR="004322B1" w:rsidRPr="00AD2F44" w:rsidRDefault="004322B1">
      <w:pPr>
        <w:pStyle w:val="14Footnote"/>
      </w:pPr>
      <w:r w:rsidRPr="00AD2F44">
        <w:rPr>
          <w:vertAlign w:val="superscript"/>
        </w:rPr>
        <w:footnoteRef/>
      </w:r>
      <w:r w:rsidRPr="00AD2F44">
        <w:t xml:space="preserve">Stone v. First Union Corp., 371 F.3d 1305 (11th Cir. 2004). Rule 24(a)(2) of the Federal Rules of Civil Procedure permits intervention as a matter of right. The Eleventh Circuit “has interpreted this rule to require a party seeking intervention of right to demonstrate that: ‘(1) his application to intervene is timely; (2) he has an interest relating to the property or transaction which is the subject of the action; (3) he is so situated that disposition of the action, as a practical matter, may impede or impair his ability to protect that interest; and (4) his interest is represented inadequately by the existing parties to the suit.’” </w:t>
      </w:r>
      <w:r w:rsidRPr="00AD2F44">
        <w:rPr>
          <w:i/>
          <w:iCs/>
        </w:rPr>
        <w:t>Id.</w:t>
      </w:r>
      <w:r w:rsidRPr="00AD2F44">
        <w:t xml:space="preserve"> at 1308–09 (quoting Worlds v. Department of Health and Rehab. Servs., 929 F.2d 591, 593 (11th Cir. 1991)).</w:t>
      </w:r>
    </w:p>
  </w:footnote>
  <w:footnote w:id="585">
    <w:p w14:paraId="65DB78ED" w14:textId="77777777" w:rsidR="004322B1" w:rsidRPr="00AD2F44" w:rsidRDefault="004322B1">
      <w:pPr>
        <w:pStyle w:val="14Footnote"/>
      </w:pPr>
      <w:r w:rsidRPr="00AD2F44">
        <w:rPr>
          <w:vertAlign w:val="superscript"/>
        </w:rPr>
        <w:footnoteRef/>
      </w:r>
      <w:r w:rsidRPr="00AD2F44">
        <w:t>Randall v. Rolls-Royce Corp., 637 F.3d 818, 826 (7th Cir. 2011) (affirming denial of motion to intervene as untimely because it was filed nearly four years into the case and after denial of class certification, due to, “as should have been obvious from the start, patently inappropriate class representatives”).</w:t>
      </w:r>
    </w:p>
  </w:footnote>
  <w:footnote w:id="586">
    <w:p w14:paraId="2FBB17F5" w14:textId="77777777" w:rsidR="004322B1" w:rsidRPr="00AD2F44" w:rsidRDefault="004322B1">
      <w:pPr>
        <w:pStyle w:val="14Footnote"/>
      </w:pPr>
      <w:r w:rsidRPr="00AD2F44">
        <w:rPr>
          <w:vertAlign w:val="superscript"/>
        </w:rPr>
        <w:footnoteRef/>
      </w:r>
      <w:r w:rsidRPr="00AD2F44">
        <w:rPr>
          <w:i/>
          <w:iCs/>
        </w:rPr>
        <w:t>Stone</w:t>
      </w:r>
      <w:r w:rsidRPr="00AD2F44">
        <w:t>, 371 F.3d at 1309–12; Fox v. Tyson Foods, Inc., 519 F.3d 1298, 1303–04 (11th Cir. 2008).</w:t>
      </w:r>
    </w:p>
  </w:footnote>
  <w:footnote w:id="587">
    <w:p w14:paraId="3792CF25" w14:textId="77777777" w:rsidR="004322B1" w:rsidRPr="00AD2F44" w:rsidRDefault="004322B1">
      <w:pPr>
        <w:pStyle w:val="14Footnote"/>
      </w:pPr>
      <w:r w:rsidRPr="00AD2F44">
        <w:rPr>
          <w:vertAlign w:val="superscript"/>
        </w:rPr>
        <w:footnoteRef/>
      </w:r>
      <w:r w:rsidRPr="00AD2F44">
        <w:t>371 F.3d 1305.</w:t>
      </w:r>
    </w:p>
  </w:footnote>
  <w:footnote w:id="588">
    <w:p w14:paraId="1621A0AD" w14:textId="77777777" w:rsidR="004322B1" w:rsidRPr="00AD2F44" w:rsidRDefault="004322B1">
      <w:pPr>
        <w:pStyle w:val="14Footnote"/>
      </w:pPr>
      <w:r w:rsidRPr="00AD2F44">
        <w:rPr>
          <w:vertAlign w:val="superscript"/>
        </w:rPr>
        <w:footnoteRef/>
      </w:r>
      <w:r w:rsidRPr="00AD2F44">
        <w:rPr>
          <w:i/>
          <w:iCs/>
        </w:rPr>
        <w:t>Id</w:t>
      </w:r>
      <w:r w:rsidRPr="00AD2F44">
        <w:t>. at 1310.</w:t>
      </w:r>
    </w:p>
  </w:footnote>
  <w:footnote w:id="589">
    <w:p w14:paraId="231DC558"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590">
    <w:p w14:paraId="48289929" w14:textId="77777777" w:rsidR="004322B1" w:rsidRPr="00AD2F44" w:rsidRDefault="004322B1">
      <w:pPr>
        <w:pStyle w:val="14Footnote"/>
      </w:pPr>
      <w:r w:rsidRPr="00AD2F44">
        <w:rPr>
          <w:vertAlign w:val="superscript"/>
        </w:rPr>
        <w:footnoteRef/>
      </w:r>
      <w:r w:rsidRPr="00AD2F44">
        <w:t>519 F.3d 1298 (11th Cir. 2008).</w:t>
      </w:r>
    </w:p>
  </w:footnote>
  <w:footnote w:id="591">
    <w:p w14:paraId="58888BB7" w14:textId="77777777" w:rsidR="004322B1" w:rsidRPr="00AD2F44" w:rsidRDefault="004322B1">
      <w:pPr>
        <w:pStyle w:val="14Footnote"/>
      </w:pPr>
      <w:r w:rsidRPr="00AD2F44">
        <w:rPr>
          <w:vertAlign w:val="superscript"/>
        </w:rPr>
        <w:footnoteRef/>
      </w:r>
      <w:r w:rsidRPr="00AD2F44">
        <w:rPr>
          <w:i/>
          <w:iCs/>
        </w:rPr>
        <w:t xml:space="preserve">Id. </w:t>
      </w:r>
      <w:r w:rsidRPr="00AD2F44">
        <w:t>at 1304.</w:t>
      </w:r>
    </w:p>
  </w:footnote>
  <w:footnote w:id="592">
    <w:p w14:paraId="0964D2CF" w14:textId="77777777" w:rsidR="004322B1" w:rsidRPr="00AD2F44" w:rsidRDefault="004322B1">
      <w:pPr>
        <w:pStyle w:val="14Footnote"/>
      </w:pPr>
      <w:r w:rsidRPr="00AD2F44">
        <w:rPr>
          <w:vertAlign w:val="superscript"/>
        </w:rPr>
        <w:footnoteRef/>
      </w:r>
      <w:r w:rsidRPr="00AD2F44">
        <w:rPr>
          <w:i/>
          <w:iCs/>
        </w:rPr>
        <w:t>Id</w:t>
      </w:r>
      <w:r w:rsidRPr="00AD2F44">
        <w:t xml:space="preserve">.; </w:t>
      </w:r>
      <w:r w:rsidRPr="00AD2F44">
        <w:rPr>
          <w:i/>
          <w:iCs/>
        </w:rPr>
        <w:t>see also</w:t>
      </w:r>
      <w:r w:rsidRPr="00AD2F44">
        <w:t xml:space="preserve"> Stokes v. Westinghouse Savannah River Co., 206 F.3d 420 (4th Cir. 2000) (denying both class certification and intervention in ADEA action challenging layoff payment structure because of important differences between circumstances of named plaintiff and proposed class members and plaintiff’s failure to demonstrate sufficient impairment under Rule 24(a)(2) to require intervention).</w:t>
      </w:r>
    </w:p>
  </w:footnote>
  <w:footnote w:id="593">
    <w:p w14:paraId="7BF8152E" w14:textId="77777777" w:rsidR="004322B1" w:rsidRPr="00AD2F44" w:rsidRDefault="004322B1">
      <w:pPr>
        <w:pStyle w:val="14Footnote"/>
      </w:pPr>
      <w:r w:rsidRPr="00AD2F44">
        <w:rPr>
          <w:vertAlign w:val="superscript"/>
        </w:rPr>
        <w:footnoteRef/>
      </w:r>
      <w:r w:rsidRPr="00AD2F44">
        <w:t xml:space="preserve">Stone v. First Union Corp., 371 F.3d 1305, 1311 (11th Cir. 2004). “There is a presumption of adequate representation where an existing party seeks the same objectives as the interveners.” </w:t>
      </w:r>
      <w:r w:rsidRPr="00AD2F44">
        <w:rPr>
          <w:i/>
          <w:iCs/>
        </w:rPr>
        <w:t>Id</w:t>
      </w:r>
      <w:r w:rsidRPr="00AD2F44">
        <w:t xml:space="preserve">. But this presumption is weak, and “[i]nterveners need only show that the current plaintiff’s representation may be inadequate, however, and the burden for making such a showing is minimal.” </w:t>
      </w:r>
      <w:r w:rsidRPr="00AD2F44">
        <w:rPr>
          <w:i/>
          <w:iCs/>
        </w:rPr>
        <w:t>Id</w:t>
      </w:r>
      <w:r w:rsidRPr="00AD2F44">
        <w:t>. (internal quotation marks omitted).</w:t>
      </w:r>
    </w:p>
  </w:footnote>
  <w:footnote w:id="594">
    <w:p w14:paraId="77517893"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1312. </w:t>
      </w:r>
    </w:p>
  </w:footnote>
  <w:footnote w:id="595">
    <w:p w14:paraId="0B8B8AC7"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596">
    <w:p w14:paraId="0357B303" w14:textId="77777777" w:rsidR="004322B1" w:rsidRPr="00AD2F44" w:rsidRDefault="004322B1">
      <w:pPr>
        <w:pStyle w:val="14Footnote"/>
      </w:pPr>
      <w:r w:rsidRPr="00AD2F44">
        <w:rPr>
          <w:vertAlign w:val="superscript"/>
        </w:rPr>
        <w:footnoteRef/>
      </w:r>
      <w:r w:rsidRPr="00AD2F44">
        <w:t>Pullen v. McDonald’s Corp., 2015 WL 10529679, at *1</w:t>
      </w:r>
      <w:r w:rsidRPr="00AD2F44">
        <w:rPr>
          <w:b/>
          <w:bCs/>
        </w:rPr>
        <w:t xml:space="preserve"> </w:t>
      </w:r>
      <w:r w:rsidRPr="00AD2F44">
        <w:t>(E.D. Mich. Aug. 17, 2015) (denying intervention under Rule 24(a) but granting permissive intervention because intervenors “filed in a timely fashion; and their claims are sufficiently similar” to the other plaintiffs); Lipnicki v. Meritage Homes Corp., 2014 WL 5620603, at *7 (S.D. Tex. Nov. 4, 2014); Roussell v. Brinker Int’l, Inc., 2009 WL 6496504, at *6 (S.D. Tex. Jan. 26, 2009).</w:t>
      </w:r>
    </w:p>
  </w:footnote>
  <w:footnote w:id="597">
    <w:p w14:paraId="567B2ED7" w14:textId="77777777" w:rsidR="004322B1" w:rsidRPr="00AD2F44" w:rsidRDefault="004322B1">
      <w:pPr>
        <w:pStyle w:val="14Footnote"/>
      </w:pPr>
      <w:r w:rsidRPr="00AD2F44">
        <w:rPr>
          <w:vertAlign w:val="superscript"/>
        </w:rPr>
        <w:footnoteRef/>
      </w:r>
      <w:r w:rsidRPr="00AD2F44">
        <w:rPr>
          <w:smallCaps/>
        </w:rPr>
        <w:t>Fed. R. Civ. P</w:t>
      </w:r>
      <w:r w:rsidRPr="00AD2F44">
        <w:t>. 24(b)(1)(B).</w:t>
      </w:r>
    </w:p>
  </w:footnote>
  <w:footnote w:id="598">
    <w:p w14:paraId="4EC0C326" w14:textId="77777777" w:rsidR="004322B1" w:rsidRPr="00AD2F44" w:rsidRDefault="004322B1">
      <w:pPr>
        <w:pStyle w:val="14Footnote"/>
      </w:pPr>
      <w:r w:rsidRPr="00AD2F44">
        <w:rPr>
          <w:vertAlign w:val="superscript"/>
        </w:rPr>
        <w:footnoteRef/>
      </w:r>
      <w:r w:rsidRPr="00AD2F44">
        <w:rPr>
          <w:i/>
          <w:iCs/>
        </w:rPr>
        <w:t>Id</w:t>
      </w:r>
      <w:r w:rsidRPr="00AD2F44">
        <w:t>. R. 24(b)(3).</w:t>
      </w:r>
    </w:p>
  </w:footnote>
  <w:footnote w:id="599">
    <w:p w14:paraId="540B68DD" w14:textId="77777777" w:rsidR="004322B1" w:rsidRPr="00AD2F44" w:rsidRDefault="004322B1">
      <w:pPr>
        <w:pStyle w:val="14Footnote"/>
      </w:pPr>
      <w:r w:rsidRPr="00AD2F44">
        <w:rPr>
          <w:vertAlign w:val="superscript"/>
        </w:rPr>
        <w:footnoteRef/>
      </w:r>
      <w:r w:rsidRPr="00AD2F44">
        <w:t>2009 WL 6496504.</w:t>
      </w:r>
    </w:p>
  </w:footnote>
  <w:footnote w:id="600">
    <w:p w14:paraId="54C2BAE1" w14:textId="77777777" w:rsidR="004322B1" w:rsidRPr="00AD2F44" w:rsidRDefault="004322B1">
      <w:pPr>
        <w:pStyle w:val="14Footnote"/>
      </w:pPr>
      <w:r w:rsidRPr="00AD2F44">
        <w:rPr>
          <w:vertAlign w:val="superscript"/>
        </w:rPr>
        <w:footnoteRef/>
      </w:r>
      <w:r w:rsidRPr="00AD2F44">
        <w:rPr>
          <w:i/>
          <w:iCs/>
        </w:rPr>
        <w:t>Id</w:t>
      </w:r>
      <w:r w:rsidRPr="00AD2F44">
        <w:t xml:space="preserve">. at *12 (citations omitted). </w:t>
      </w:r>
      <w:r w:rsidRPr="00AD2F44">
        <w:rPr>
          <w:i/>
          <w:iCs/>
        </w:rPr>
        <w:t xml:space="preserve">Cf. </w:t>
      </w:r>
      <w:r w:rsidRPr="00AD2F44">
        <w:t xml:space="preserve">Dixon v. Scott Fetzer Co., 2016 WL 10514834 (D. Conn. May 31, 2016) (granting timely motion for permissive intervention, noting that the intervenors were approximately one-third as many as in </w:t>
      </w:r>
      <w:r w:rsidRPr="00AD2F44">
        <w:rPr>
          <w:i/>
          <w:iCs/>
        </w:rPr>
        <w:t xml:space="preserve">Roussell </w:t>
      </w:r>
      <w:r w:rsidRPr="00AD2F44">
        <w:t>and common issues of fact included defendant’s joint employer status, plaintiffs’ independent contractor status, and the application of the outside sales exemption).</w:t>
      </w:r>
    </w:p>
  </w:footnote>
  <w:footnote w:id="601">
    <w:p w14:paraId="4D882659" w14:textId="77777777" w:rsidR="004322B1" w:rsidRPr="00AD2F44" w:rsidRDefault="004322B1">
      <w:pPr>
        <w:pStyle w:val="14Footnote"/>
      </w:pPr>
      <w:r w:rsidRPr="00AD2F44">
        <w:rPr>
          <w:vertAlign w:val="superscript"/>
        </w:rPr>
        <w:footnoteRef/>
      </w:r>
      <w:r w:rsidRPr="00AD2F44">
        <w:t>2014 WL 5620603 (S.D. Tex. Nov. 4, 2014).</w:t>
      </w:r>
    </w:p>
  </w:footnote>
  <w:footnote w:id="602">
    <w:p w14:paraId="7B3411A6" w14:textId="77777777" w:rsidR="004322B1" w:rsidRPr="00AD2F44" w:rsidRDefault="004322B1">
      <w:pPr>
        <w:pStyle w:val="14Footnote"/>
      </w:pPr>
      <w:r w:rsidRPr="00AD2F44">
        <w:rPr>
          <w:vertAlign w:val="superscript"/>
        </w:rPr>
        <w:footnoteRef/>
      </w:r>
      <w:r w:rsidRPr="00AD2F44">
        <w:rPr>
          <w:i/>
          <w:iCs/>
        </w:rPr>
        <w:t>Id</w:t>
      </w:r>
      <w:r w:rsidRPr="00AD2F44">
        <w:t>. at *7.</w:t>
      </w:r>
    </w:p>
  </w:footnote>
  <w:footnote w:id="603">
    <w:p w14:paraId="17960E09" w14:textId="77777777" w:rsidR="004322B1" w:rsidRPr="00AD2F44" w:rsidRDefault="004322B1">
      <w:pPr>
        <w:pStyle w:val="14Footnote"/>
      </w:pPr>
      <w:r w:rsidRPr="00AD2F44">
        <w:rPr>
          <w:vertAlign w:val="superscript"/>
        </w:rPr>
        <w:footnoteRef/>
      </w:r>
      <w:r w:rsidRPr="00AD2F44">
        <w:rPr>
          <w:i/>
        </w:rPr>
        <w:t>Id.</w:t>
      </w:r>
    </w:p>
  </w:footnote>
  <w:footnote w:id="604">
    <w:p w14:paraId="72A52524" w14:textId="77777777" w:rsidR="004322B1" w:rsidRPr="00AD2F44" w:rsidRDefault="004322B1">
      <w:pPr>
        <w:pStyle w:val="14Footnote"/>
      </w:pPr>
      <w:r w:rsidRPr="00AD2F44">
        <w:rPr>
          <w:vertAlign w:val="superscript"/>
        </w:rPr>
        <w:footnoteRef/>
      </w:r>
      <w:r w:rsidRPr="00AD2F44">
        <w:rPr>
          <w:i/>
        </w:rPr>
        <w:t>Id.</w:t>
      </w:r>
    </w:p>
  </w:footnote>
  <w:footnote w:id="605">
    <w:p w14:paraId="448EC6EC"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The court reserved ruling on the defendant’s venue objection with respect to intervenors who were from outside the Houston area, finding that “[a] venue determination is not incorporated directly into the Rule 24 analysis.” </w:t>
      </w:r>
      <w:r w:rsidRPr="00AD2F44">
        <w:rPr>
          <w:i/>
          <w:iCs/>
        </w:rPr>
        <w:t xml:space="preserve">Id. </w:t>
      </w:r>
      <w:r w:rsidRPr="00AD2F44">
        <w:t>at *8.</w:t>
      </w:r>
    </w:p>
  </w:footnote>
  <w:footnote w:id="606">
    <w:p w14:paraId="3472147E" w14:textId="77777777" w:rsidR="004322B1" w:rsidRPr="00AD2F44" w:rsidRDefault="004322B1">
      <w:pPr>
        <w:pStyle w:val="14Footnote"/>
      </w:pPr>
      <w:r w:rsidRPr="00AD2F44">
        <w:rPr>
          <w:vertAlign w:val="superscript"/>
        </w:rPr>
        <w:footnoteRef/>
      </w:r>
      <w:r w:rsidRPr="00AD2F44">
        <w:t xml:space="preserve">2017 WL 897338 (N.D. Cal. Mar. 7, 2017), </w:t>
      </w:r>
      <w:r w:rsidRPr="00AD2F44">
        <w:rPr>
          <w:i/>
          <w:iCs/>
        </w:rPr>
        <w:t>aff’d in part, reversed in part on other grounds</w:t>
      </w:r>
      <w:r w:rsidRPr="00AD2F44">
        <w:t>, 934 F.3d 918 (9th Cir. 2019).</w:t>
      </w:r>
    </w:p>
  </w:footnote>
  <w:footnote w:id="607">
    <w:p w14:paraId="1788E790" w14:textId="77777777" w:rsidR="004322B1" w:rsidRPr="00AD2F44" w:rsidRDefault="004322B1">
      <w:pPr>
        <w:pStyle w:val="14Footnote"/>
      </w:pPr>
      <w:r w:rsidRPr="00AD2F44">
        <w:rPr>
          <w:vertAlign w:val="superscript"/>
        </w:rPr>
        <w:footnoteRef/>
      </w:r>
      <w:r w:rsidRPr="00AD2F44">
        <w:rPr>
          <w:i/>
          <w:iCs/>
        </w:rPr>
        <w:t>Id</w:t>
      </w:r>
      <w:r w:rsidRPr="00AD2F44">
        <w:t xml:space="preserve">. at *21–22. </w:t>
      </w:r>
    </w:p>
  </w:footnote>
  <w:footnote w:id="608">
    <w:p w14:paraId="7A284538" w14:textId="77777777" w:rsidR="004322B1" w:rsidRPr="00AD2F44" w:rsidRDefault="004322B1">
      <w:pPr>
        <w:pStyle w:val="14Footnote"/>
      </w:pPr>
      <w:r w:rsidRPr="00AD2F44">
        <w:rPr>
          <w:vertAlign w:val="superscript"/>
        </w:rPr>
        <w:footnoteRef/>
      </w:r>
      <w:r w:rsidRPr="00AD2F44">
        <w:rPr>
          <w:i/>
          <w:iCs/>
        </w:rPr>
        <w:t>Id</w:t>
      </w:r>
      <w:r w:rsidRPr="00AD2F44">
        <w:t xml:space="preserve">. </w:t>
      </w:r>
    </w:p>
  </w:footnote>
  <w:footnote w:id="609">
    <w:p w14:paraId="75F4613D" w14:textId="77777777" w:rsidR="004322B1" w:rsidRPr="00AD2F44" w:rsidRDefault="004322B1">
      <w:pPr>
        <w:pStyle w:val="14Footnote"/>
      </w:pPr>
      <w:r w:rsidRPr="00AD2F44">
        <w:rPr>
          <w:vertAlign w:val="superscript"/>
        </w:rPr>
        <w:footnoteRef/>
      </w:r>
      <w:r w:rsidRPr="00AD2F44">
        <w:rPr>
          <w:i/>
          <w:iCs/>
        </w:rPr>
        <w:t>Id</w:t>
      </w:r>
      <w:r w:rsidRPr="00AD2F44">
        <w:t xml:space="preserve">. at *22. </w:t>
      </w:r>
    </w:p>
  </w:footnote>
  <w:footnote w:id="610">
    <w:p w14:paraId="3B435094" w14:textId="77777777" w:rsidR="004322B1" w:rsidRPr="00AD2F44" w:rsidRDefault="004322B1">
      <w:pPr>
        <w:pStyle w:val="14Footnote"/>
      </w:pPr>
      <w:r w:rsidRPr="00AD2F44">
        <w:rPr>
          <w:vertAlign w:val="superscript"/>
        </w:rPr>
        <w:footnoteRef/>
      </w:r>
      <w:r w:rsidRPr="00AD2F44">
        <w:rPr>
          <w:smallCaps/>
        </w:rPr>
        <w:t>Fed. R. Civ. P.</w:t>
      </w:r>
      <w:r w:rsidRPr="00AD2F44">
        <w:t xml:space="preserve"> 20(a)(1).</w:t>
      </w:r>
    </w:p>
  </w:footnote>
  <w:footnote w:id="611">
    <w:p w14:paraId="20771B81" w14:textId="77777777" w:rsidR="004322B1" w:rsidRPr="00AD2F44" w:rsidRDefault="004322B1">
      <w:pPr>
        <w:pStyle w:val="14Footnote"/>
      </w:pPr>
      <w:r w:rsidRPr="00AD2F44">
        <w:rPr>
          <w:vertAlign w:val="superscript"/>
        </w:rPr>
        <w:footnoteRef/>
      </w:r>
      <w:r w:rsidRPr="00AD2F44">
        <w:rPr>
          <w:i/>
          <w:iCs/>
        </w:rPr>
        <w:t xml:space="preserve">Id. </w:t>
      </w:r>
      <w:r w:rsidRPr="00AD2F44">
        <w:t>R. 21.</w:t>
      </w:r>
    </w:p>
  </w:footnote>
  <w:footnote w:id="612">
    <w:p w14:paraId="1466E042" w14:textId="77777777" w:rsidR="004322B1" w:rsidRPr="00AD2F44" w:rsidRDefault="004322B1">
      <w:pPr>
        <w:pStyle w:val="14Footnote"/>
      </w:pPr>
      <w:r w:rsidRPr="00AD2F44">
        <w:rPr>
          <w:vertAlign w:val="superscript"/>
        </w:rPr>
        <w:footnoteRef/>
      </w:r>
      <w:r w:rsidRPr="00AD2F44">
        <w:rPr>
          <w:i/>
          <w:iCs/>
        </w:rPr>
        <w:t xml:space="preserve">Id. </w:t>
      </w:r>
      <w:r w:rsidRPr="00AD2F44">
        <w:t>R. 42(b).</w:t>
      </w:r>
    </w:p>
  </w:footnote>
  <w:footnote w:id="613">
    <w:p w14:paraId="49B606E3" w14:textId="77777777" w:rsidR="004322B1" w:rsidRPr="00AD2F44" w:rsidRDefault="004322B1">
      <w:pPr>
        <w:pStyle w:val="14Footnote"/>
      </w:pPr>
      <w:r w:rsidRPr="00AD2F44">
        <w:rPr>
          <w:vertAlign w:val="superscript"/>
        </w:rPr>
        <w:footnoteRef/>
      </w:r>
      <w:r w:rsidRPr="00AD2F44">
        <w:t xml:space="preserve">Gregory v. FedEx Ground Package Sys., 2012 U.S. Dist. LEXIS 87798, at *31 (E.D. Va. May 9, 2012) (collecting cases); </w:t>
      </w:r>
      <w:r w:rsidRPr="00AD2F44">
        <w:rPr>
          <w:i/>
          <w:iCs/>
        </w:rPr>
        <w:t>see also</w:t>
      </w:r>
      <w:r w:rsidRPr="00AD2F44">
        <w:t xml:space="preserve"> Acevedo v. Allsup’s Convenience Stores, Inc., 600 F.3d 516, 521 (5th Cir. 2010) (noting that courts possess discretion to refuse joinder “in the interest of avoiding prejudice and delay, ensuring judicial economy, or safeguarding principles of fundamental fairness”) (citations omitted).</w:t>
      </w:r>
    </w:p>
  </w:footnote>
  <w:footnote w:id="614">
    <w:p w14:paraId="6733142B" w14:textId="77777777" w:rsidR="004322B1" w:rsidRPr="00AD2F44" w:rsidRDefault="004322B1">
      <w:pPr>
        <w:pStyle w:val="14Footnote"/>
      </w:pPr>
      <w:r w:rsidRPr="00AD2F44">
        <w:rPr>
          <w:vertAlign w:val="superscript"/>
        </w:rPr>
        <w:footnoteRef/>
      </w:r>
      <w:r w:rsidRPr="00AD2F44">
        <w:rPr>
          <w:i/>
          <w:iCs/>
        </w:rPr>
        <w:t>See, e.g.,</w:t>
      </w:r>
    </w:p>
    <w:p w14:paraId="2D99B06E" w14:textId="77777777" w:rsidR="004322B1" w:rsidRPr="00AD2F44" w:rsidRDefault="004322B1">
      <w:pPr>
        <w:pStyle w:val="14Footnote"/>
      </w:pPr>
      <w:r w:rsidRPr="00AD2F44">
        <w:rPr>
          <w:i/>
          <w:iCs/>
        </w:rPr>
        <w:t>Second Circuit:</w:t>
      </w:r>
      <w:r w:rsidRPr="00AD2F44">
        <w:t xml:space="preserve"> Costello v. Home Depot U.S.A., Inc., 888 F. Supp. 2d 258, 264 (D. Conn. 2012) (finding misjoinder and severing the claims of the 39 plaintiffs into seven separate cases, where plaintiffs were employed at different stores, under different circumstances, and performing different tasks, despite the fact that the plaintiffs were all allegedly misclassified, all held the same job title, and all worked under the same job descriptions). </w:t>
      </w:r>
    </w:p>
    <w:p w14:paraId="7C123AA2" w14:textId="77777777" w:rsidR="004322B1" w:rsidRPr="00AD2F44" w:rsidRDefault="004322B1">
      <w:pPr>
        <w:pStyle w:val="14Footnote"/>
      </w:pPr>
      <w:r w:rsidRPr="00AD2F44">
        <w:rPr>
          <w:i/>
          <w:iCs/>
        </w:rPr>
        <w:t>Fourth Circuit:</w:t>
      </w:r>
      <w:r w:rsidRPr="00AD2F44">
        <w:t xml:space="preserve"> Meth v. Natus Med. Inc., 2014 U.S. Dist. LEXIS 97355, at *10 (E.D. Va. July 17, 2014) (denying joinder where the plaintiffs—allegedly misclassified as exempt from the FLSA by defendant—held differing job responsibilities and experience that precluded a finding that Rule 20’s requirements were met, noting also that joinder would cause undue delay and risk confusing the jury because of the factual variations between the claims); Gregory v. FedEx Ground Package Sys., 2012 WL 2396873, 2012 U.S. Dist. LEXIS 87798, at *31 (E.D. Va. May 9, 2012) (granting misjoinder where plaintiffs’ claims required individualized proof because, among other things, they worked at different job sites, with different managers, despite signing identical “Operating Agreements” with their employer and allegedly subject to “nationally centralized practices and procedures” including failure to log work hours).</w:t>
      </w:r>
    </w:p>
    <w:p w14:paraId="62604E6A" w14:textId="77777777" w:rsidR="004322B1" w:rsidRPr="00AD2F44" w:rsidRDefault="004322B1">
      <w:pPr>
        <w:pStyle w:val="14Footnote"/>
      </w:pPr>
      <w:r w:rsidRPr="00AD2F44">
        <w:rPr>
          <w:i/>
          <w:iCs/>
        </w:rPr>
        <w:t>Fifth Circuit:</w:t>
      </w:r>
      <w:r w:rsidRPr="00AD2F44">
        <w:t xml:space="preserve"> Acevedo v. Allsup’s Convenience Stores, Inc., 600 F.3d 516, 521 (5th Cir. 2010) (affirming misjoinder order where plaintiff failed “to cite any cases in which a group of plaintiffs even remotely as numerous as 800 were able to join their claims” under Rule 20 and plaintiffs worked across a network of over 300 stores, each with its own manager, only some of whom asked plaintiffs to work off the clock); Bocage v. M-I, LLC, 2019 U.S. Dist. LEXIS 133437, at *7 (E.D. La. Aug. 8, 2019) (denying motion to sever under rules for misjoinder where 16 plaintiffs had the same title, the same job responsibilities, and had worked more than 40 hours per week but were not paid overtime, noting also a lack of prejudice to defendant and a benefit to judicial economy).</w:t>
      </w:r>
    </w:p>
    <w:p w14:paraId="23AD1233" w14:textId="77777777" w:rsidR="004322B1" w:rsidRPr="00AD2F44" w:rsidRDefault="004322B1">
      <w:pPr>
        <w:pStyle w:val="14Footnote"/>
      </w:pPr>
      <w:r w:rsidRPr="00AD2F44">
        <w:rPr>
          <w:i/>
          <w:iCs/>
        </w:rPr>
        <w:t xml:space="preserve">Sixth Circuit: </w:t>
      </w:r>
      <w:r w:rsidRPr="00AD2F44">
        <w:t>Adams v. Diversicare Leasing Corp., 2015 U.S. Dist. LEXIS 89732, at *9 (W.D. Tenn. July 10, 2015) (rejecting misjoinder argument where 47 plaintiffs filed suit following decertification of a lawsuit including 1,592 opt-in plaintiffs across eight states, because the plaintiffs alleged their claims arose from work at Tennessee facilities and the application of “uniform workplace policies” and claimed parallel FLSA violations, noting a lack of prejudice to defendants).</w:t>
      </w:r>
    </w:p>
    <w:p w14:paraId="419FF243" w14:textId="77777777" w:rsidR="004322B1" w:rsidRPr="00AD2F44" w:rsidRDefault="004322B1">
      <w:pPr>
        <w:pStyle w:val="14Footnote"/>
      </w:pPr>
      <w:r w:rsidRPr="00AD2F44">
        <w:rPr>
          <w:i/>
          <w:iCs/>
        </w:rPr>
        <w:t>Eighth Circuit:</w:t>
      </w:r>
      <w:r w:rsidRPr="00AD2F44">
        <w:t xml:space="preserve"> Reznik v. HMSHost Corp., 2016 U.S. Dist. LEXIS 6407, at *8–9 (E.D. Mo. Jan. 20, 2016) (rejecting defendant’s misjoinder arguments because plaintiffs’ claims were based on companywide policies allegedly misclassifying them under the FLSA, even though plaintiffs worked at different locations, under different managers, and had non-identical—though similar—job duties) (citing Mosley v. General Motors Corp., 497 F.2d 1330, 1332 (8th Cir. 1974) (finding joinder appropriate under similar circumstances for employment discrimination claims)).</w:t>
      </w:r>
    </w:p>
    <w:p w14:paraId="301DD5F9" w14:textId="77777777" w:rsidR="004322B1" w:rsidRPr="00AD2F44" w:rsidRDefault="004322B1">
      <w:pPr>
        <w:pStyle w:val="14Footnote"/>
      </w:pPr>
      <w:r w:rsidRPr="00AD2F44">
        <w:rPr>
          <w:i/>
          <w:iCs/>
        </w:rPr>
        <w:t xml:space="preserve">Ninth Circuit: </w:t>
      </w:r>
      <w:r w:rsidRPr="00AD2F44">
        <w:t>Alvarado v. City of L.A., 720 F. App’x 889, 903–04 (9th Cir. 2018) (unpublished) (finding that claims based on separate City employees violating the FLSA “at various times, and in various different divisions and bureaus” were “too factually disparate” to meet the Rule 20 requirement that the claims arise out of the same transaction or occurrence).</w:t>
      </w:r>
    </w:p>
    <w:p w14:paraId="03A67EF0" w14:textId="77777777" w:rsidR="004322B1" w:rsidRPr="00AD2F44" w:rsidRDefault="004322B1">
      <w:pPr>
        <w:pStyle w:val="14Footnote"/>
      </w:pPr>
      <w:r w:rsidRPr="00AD2F44">
        <w:rPr>
          <w:i/>
          <w:iCs/>
        </w:rPr>
        <w:t xml:space="preserve">Eleventh Circuit: </w:t>
      </w:r>
      <w:r w:rsidRPr="00AD2F44">
        <w:t>Blake v. Batmasian, 2016 U.S. Dist. LEXIS 195668, at *11 (S.D. Fla. Sep. 14, 2016) (denying joinder of plaintiffs in amended complaint following decertification where plaintiffs held different job titles, had dissimilar job requirements, and were not subject to the pay policies).</w:t>
      </w:r>
    </w:p>
  </w:footnote>
  <w:footnote w:id="615">
    <w:p w14:paraId="2560699F"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AD2F44">
        <w:rPr>
          <w:i/>
          <w:iCs/>
        </w:rPr>
        <w:t>Acevedo</w:t>
      </w:r>
      <w:r w:rsidRPr="00AD2F44">
        <w:t xml:space="preserve">, 600 F.3d at 522 (noting in rejecting joinder that, although the court had “previously allowed twenty-two security guards who worked at the same petroleum refinery to join their FLSA claims under Rule 20 … Acevedo fails to cite any cases in which a group of plaintiffs even remotely as numerous as 800 were able to join their claims”) (citing Allen v. Atlantic Richfield Co., 724 F.2d 1131, 1132–33, 1135 (5th Cir. 1984)) (internal citation omitted). </w:t>
      </w:r>
    </w:p>
  </w:footnote>
  <w:footnote w:id="616">
    <w:p w14:paraId="7EC0C795" w14:textId="77777777" w:rsidR="004322B1" w:rsidRPr="00AD2F44" w:rsidRDefault="004322B1">
      <w:pPr>
        <w:pStyle w:val="14Footnote"/>
      </w:pPr>
      <w:r w:rsidRPr="00AD2F44">
        <w:rPr>
          <w:vertAlign w:val="superscript"/>
        </w:rPr>
        <w:footnoteRef/>
      </w:r>
      <w:r w:rsidRPr="00AD2F44">
        <w:rPr>
          <w:i/>
          <w:iCs/>
        </w:rPr>
        <w:t>See, e.g</w:t>
      </w:r>
      <w:r w:rsidRPr="00AD2F44">
        <w:t>., Botero v. Commonwealth Limousine Serv., 302 F.R.D. 285, 287 (D. Mass. 2014) (finding joinder improper under Rule 20 for “substantially the same reasons” that conditional certification was denied, because the “would-be class members ‘have sufficiently particularized experiences’ that require a ‘fact-intensive inquiry’ to be considered on a ‘case-by-case basis’”) (citations omitted); Longlois v. Stratasys, Inc., 2014 U.S. Dist. LEXIS 83690, at *5 (D. Minn. June 18, 2014) (affirming magistrate judge’s order severing the claims of two plaintiffs, who had refiled their claims following decertification, even though the magistrate judge did not analyze the Rule 20 factors and instead reasoned that “‘it would be improper for [them] to proceed in this action together’ for the reasons of judicial economy and efficiency discussed in the [prior case’s] decertification order”).</w:t>
      </w:r>
    </w:p>
  </w:footnote>
  <w:footnote w:id="617">
    <w:p w14:paraId="44B5A2A1" w14:textId="77777777" w:rsidR="004322B1" w:rsidRPr="00AD2F44" w:rsidRDefault="004322B1">
      <w:pPr>
        <w:pStyle w:val="14Footnote"/>
      </w:pPr>
      <w:r w:rsidRPr="00AD2F44">
        <w:rPr>
          <w:vertAlign w:val="superscript"/>
        </w:rPr>
        <w:footnoteRef/>
      </w:r>
      <w:r w:rsidRPr="00AD2F44">
        <w:rPr>
          <w:i/>
          <w:iCs/>
        </w:rPr>
        <w:t>See, e.g.,</w:t>
      </w:r>
      <w:r w:rsidRPr="00AD2F44">
        <w:t xml:space="preserve"> Stone v. First Union Corp., 216 F.R.D. 540, 549 (S.D. Fla. 2003) </w:t>
      </w:r>
      <w:r w:rsidRPr="00AD2F44">
        <w:br/>
        <w:t xml:space="preserve">(“[I]f Plaintiffs cannot meet the applicable standard under §216(b) for class certification, Plaintiffs will necessarily not be able to meet the more stringent standards for joinder under Fed. R. Civ. P. 20 or class action certification under Fed. R. Civ. P. 23.”), </w:t>
      </w:r>
      <w:r w:rsidRPr="00AD2F44">
        <w:rPr>
          <w:i/>
          <w:iCs/>
        </w:rPr>
        <w:t>rev’d on other grounds</w:t>
      </w:r>
      <w:r w:rsidRPr="00AD2F44">
        <w:t xml:space="preserve">, 371 F.3d 1305 (11th Cir. 2004). </w:t>
      </w:r>
      <w:r w:rsidRPr="00AD2F44">
        <w:rPr>
          <w:i/>
          <w:iCs/>
        </w:rPr>
        <w:t>But see</w:t>
      </w:r>
      <w:r w:rsidRPr="00AD2F44">
        <w:t xml:space="preserve"> Reznik v. HMSHost Corp., 2016 U.S. Dist. LEXIS 6407, at *10 (E.D. Mo. Jan. 20, 2016) (rejecting defendant’s reliance on prior decertification decision because the §216(b) analysis rests on whether the “claims and the employer’s defenses were ‘amenable to generalized or representative proof,’” which was not at issue in a Rule 20 analysis).</w:t>
      </w:r>
    </w:p>
  </w:footnote>
  <w:footnote w:id="618">
    <w:p w14:paraId="072CCBF0" w14:textId="77777777" w:rsidR="004322B1" w:rsidRPr="00AD2F44" w:rsidRDefault="004322B1">
      <w:pPr>
        <w:pStyle w:val="14Footnote"/>
      </w:pPr>
      <w:r w:rsidRPr="00AD2F44">
        <w:rPr>
          <w:vertAlign w:val="superscript"/>
        </w:rPr>
        <w:footnoteRef/>
      </w:r>
      <w:r w:rsidRPr="00AD2F44">
        <w:t>See §III.A [The Two-Stage Process Used to Determine if a Collective Action May Proceed to Trial; Overview] of this chapter.</w:t>
      </w:r>
    </w:p>
  </w:footnote>
  <w:footnote w:id="619">
    <w:p w14:paraId="5C987AAC" w14:textId="77777777" w:rsidR="004322B1" w:rsidRPr="00AD2F44" w:rsidRDefault="004322B1">
      <w:pPr>
        <w:pStyle w:val="14Footnote"/>
      </w:pPr>
      <w:r w:rsidRPr="00AD2F44">
        <w:rPr>
          <w:vertAlign w:val="superscript"/>
        </w:rPr>
        <w:footnoteRef/>
      </w:r>
      <w:r w:rsidRPr="00AD2F44">
        <w:t xml:space="preserve">Mooney v. Aramco Servs., Inc., 54 F.3d 1207, 1214 (5th Cir. 1995) </w:t>
      </w:r>
      <w:r w:rsidRPr="00AD2F44">
        <w:rPr>
          <w:b/>
        </w:rPr>
        <w:t xml:space="preserve">[Caution: </w:t>
      </w:r>
      <w:r w:rsidRPr="00AD2F44">
        <w:t xml:space="preserve">The Fifth Circuit rejected the two-stage process, in </w:t>
      </w:r>
      <w:r w:rsidRPr="00AD2F44">
        <w:rPr>
          <w:i/>
        </w:rPr>
        <w:t xml:space="preserve">Swales v. KLLM Transport Services, LLC, </w:t>
      </w:r>
      <w:r w:rsidRPr="00AD2F44">
        <w:t xml:space="preserve">985 F.3d 430 (5th Cir. 2021), in favor of a requirement to “rigorously scrutinize” whether potential opt-ins are similarly situated “from the outset of the case.” </w:t>
      </w:r>
      <w:r w:rsidRPr="00AD2F44">
        <w:rPr>
          <w:i/>
        </w:rPr>
        <w:t>Id.</w:t>
      </w:r>
      <w:r w:rsidRPr="00AD2F44">
        <w:t xml:space="preserve"> at 434.</w:t>
      </w:r>
      <w:r w:rsidRPr="00AD2F44">
        <w:rPr>
          <w:b/>
          <w:bCs/>
        </w:rPr>
        <w:t>]</w:t>
      </w:r>
      <w:r w:rsidRPr="00AD2F44">
        <w:t>.</w:t>
      </w:r>
    </w:p>
  </w:footnote>
  <w:footnote w:id="620">
    <w:p w14:paraId="60A6F312" w14:textId="77777777" w:rsidR="004322B1" w:rsidRPr="00AD2F44" w:rsidRDefault="004322B1">
      <w:pPr>
        <w:pStyle w:val="14Footnote"/>
      </w:pPr>
      <w:r w:rsidRPr="00AD2F44">
        <w:rPr>
          <w:vertAlign w:val="superscript"/>
        </w:rPr>
        <w:footnoteRef/>
      </w:r>
      <w:r w:rsidRPr="00AD2F44">
        <w:rPr>
          <w:i/>
          <w:iCs/>
        </w:rPr>
        <w:t>See, e.g</w:t>
      </w:r>
      <w:r w:rsidRPr="00AD2F44">
        <w:t xml:space="preserve">., Epps v. Oak St. Mortg., LLC, 2006 WL 1460273, at *3 n.5 (M.D. Fla. 2006) (after granting motion to issue notice, magistrate judge adopted a two-phase discovery plan to occur over a seven-month period, with the first phase focused on collective action discovery and the second phase focused on merits discovery); </w:t>
      </w:r>
      <w:r w:rsidRPr="00AD2F44">
        <w:rPr>
          <w:i/>
          <w:iCs/>
        </w:rPr>
        <w:t>see also</w:t>
      </w:r>
      <w:r w:rsidRPr="00AD2F44">
        <w:t xml:space="preserve"> Krueger v. New York Tel. Co., 163 F.R.D. 446, 451–52 (S.D.N.Y. 1995) (in ADEA case, citing the fact that defendants needed to evaluate merits of claims among reasons that it allowed discovery of all opt-ins from whom defendants sought discovery; plaintiffs did not dispute type of discovery, but extent); Rosen v. Reckitt &amp; Colman, Inc., 1994 U.S. Dist. LEXIS 16511, at *6–7 (S.D.N.Y. Nov. 17, 1994) (same).</w:t>
      </w:r>
    </w:p>
  </w:footnote>
  <w:footnote w:id="621">
    <w:p w14:paraId="7FC7EA87" w14:textId="77777777" w:rsidR="004322B1" w:rsidRPr="00AD2F44" w:rsidRDefault="004322B1">
      <w:pPr>
        <w:pStyle w:val="14Footnote"/>
      </w:pPr>
      <w:r w:rsidRPr="00AD2F44">
        <w:rPr>
          <w:vertAlign w:val="superscript"/>
        </w:rPr>
        <w:footnoteRef/>
      </w:r>
      <w:r w:rsidRPr="00AD2F44">
        <w:rPr>
          <w:i/>
          <w:iCs/>
        </w:rPr>
        <w:t xml:space="preserve">See </w:t>
      </w:r>
      <w:r w:rsidRPr="00AD2F44">
        <w:t>Fennell v. First Step Designs, Ltd., 83 F.3d 526, 532 (1st Cir. 1996) (“Discovery matters are for the informed discretion of the district court, and the breadth of that discretion in managing pre-trial mechanics and discovery is very great.”) (citing Fusco v. General Motors Corp., 11 F.3d 259, 267 (1st Cir. 1993)); English v. Texas Farm Bureau Bus. Corp., 2020 U.S. Dist. LEXIS 94805, at *9 (W.D. Tex. May 27, 2020) (noting the variances that exist among district courts on the scope of discovery in collective actions, but concluding that the district court “is afforded wide discretion when determining a discovery plan best suited to meet the needs of the case”).</w:t>
      </w:r>
    </w:p>
  </w:footnote>
  <w:footnote w:id="622">
    <w:p w14:paraId="337D39F3" w14:textId="77777777" w:rsidR="004322B1" w:rsidRPr="00AD2F44" w:rsidRDefault="004322B1">
      <w:pPr>
        <w:pStyle w:val="14Footnote"/>
      </w:pPr>
      <w:r w:rsidRPr="00AD2F44">
        <w:rPr>
          <w:vertAlign w:val="superscript"/>
        </w:rPr>
        <w:footnoteRef/>
      </w:r>
      <w:r w:rsidRPr="00AD2F44">
        <w:t>O’Toole v. Sears Roebuck &amp; Co., 2014 WL 138860, at *3 (N.D. Ill. April 10, 2014).</w:t>
      </w:r>
    </w:p>
  </w:footnote>
  <w:footnote w:id="623">
    <w:p w14:paraId="6624F152" w14:textId="77777777" w:rsidR="004322B1" w:rsidRPr="00AD2F44" w:rsidRDefault="004322B1">
      <w:pPr>
        <w:pStyle w:val="14Footnote"/>
      </w:pPr>
      <w:r w:rsidRPr="00AD2F44">
        <w:rPr>
          <w:vertAlign w:val="superscript"/>
        </w:rPr>
        <w:footnoteRef/>
      </w:r>
      <w:r w:rsidRPr="00AD2F44">
        <w:rPr>
          <w:i/>
          <w:iCs/>
        </w:rPr>
        <w:t>See</w:t>
      </w:r>
    </w:p>
    <w:p w14:paraId="324AD305" w14:textId="77777777" w:rsidR="004322B1" w:rsidRPr="00AD2F44" w:rsidRDefault="004322B1">
      <w:pPr>
        <w:pStyle w:val="14Footnote"/>
      </w:pPr>
      <w:r w:rsidRPr="00AD2F44">
        <w:rPr>
          <w:i/>
          <w:iCs/>
        </w:rPr>
        <w:t>First Circuit:</w:t>
      </w:r>
      <w:r w:rsidRPr="00AD2F44">
        <w:t xml:space="preserve"> Roy v. FedEx Ground Package Sys., 2019 U.S. Dist. LEXIS 222312, at *5 (D. Mass. Dec. 30, 2019) (denying written discovery for all opt-ins and finding “that fifty opt-in plaintiffs, or about 10% of the total number, is an adequate representative sample”).</w:t>
      </w:r>
    </w:p>
    <w:p w14:paraId="7B8E46CC" w14:textId="77777777" w:rsidR="004322B1" w:rsidRPr="00AD2F44" w:rsidRDefault="004322B1">
      <w:pPr>
        <w:pStyle w:val="14Footnote"/>
      </w:pPr>
      <w:r w:rsidRPr="00AD2F44">
        <w:rPr>
          <w:i/>
          <w:iCs/>
        </w:rPr>
        <w:t>Second Circuit:</w:t>
      </w:r>
      <w:r w:rsidRPr="00AD2F44">
        <w:t xml:space="preserve"> Scott v. Chipotle Mexican Grill, Inc., 300 F.R.D. 188 (S.D.N.Y. 2014) (limiting discovery to 10% of class); Barrus v. Dick’s Sporting Goods, Inc., 465 F. Supp. 2d 224, 231–32 (W.D.N.Y. 2006) (limiting discovery to representative sample).</w:t>
      </w:r>
    </w:p>
    <w:p w14:paraId="1C3EF41A" w14:textId="77777777" w:rsidR="004322B1" w:rsidRPr="00AD2F44" w:rsidRDefault="004322B1">
      <w:pPr>
        <w:pStyle w:val="14Footnote"/>
      </w:pPr>
      <w:r w:rsidRPr="00AD2F44">
        <w:rPr>
          <w:i/>
          <w:iCs/>
        </w:rPr>
        <w:t>Third Circuit:</w:t>
      </w:r>
      <w:r w:rsidRPr="00AD2F44">
        <w:t xml:space="preserve"> McGrath v. City of Phila., 1994 WL 45162, at *2–3 (E.D. Pa. Feb. 10, 1994) (finding discovery directed at all FLSA opt-in plaintiffs to be unduly burdensome); Lusardi v. Xerox Corp., 118 F.R.D. 351, 354 (D.N.J. 1987) (parties used 51-person sample of class of more than 1,300 plaintiffs).</w:t>
      </w:r>
    </w:p>
    <w:p w14:paraId="362743D1" w14:textId="77777777" w:rsidR="004322B1" w:rsidRPr="00AD2F44" w:rsidRDefault="004322B1">
      <w:pPr>
        <w:pStyle w:val="14Footnote"/>
      </w:pPr>
      <w:r w:rsidRPr="00AD2F44">
        <w:rPr>
          <w:i/>
          <w:iCs/>
        </w:rPr>
        <w:t>Fifth Circuit:</w:t>
      </w:r>
      <w:r w:rsidRPr="00AD2F44">
        <w:t xml:space="preserve"> </w:t>
      </w:r>
      <w:r w:rsidRPr="00AD2F44">
        <w:rPr>
          <w:i/>
          <w:iCs/>
        </w:rPr>
        <w:t>English</w:t>
      </w:r>
      <w:r w:rsidRPr="00AD2F44">
        <w:t>, 2020 U.S. Dist. LEXIS 94805, at *11–12 (allowing discovery on 30 out of 140 opt-in plaintiffs and noting “the risk that the 20% is unrepresentative of the opt-in Plaintiffs is low”); Nelson v. American Standard, Inc., 2009 WL 4730166, at *3 (E.D. Tex. Dec. 4, 2009) (limiting written discovery to same sample of 91 opt-in plaintiffs and named plaintiffs out of 1,328 class members parties had agreed on for oral discovery, reasoning that agreed-upon sample was “statistically acceptable representative sample” for defendants to use for purposes of decertification or summary judgment, but leaving open option for defendants to expand discovery if they could show that it was “appropriate and necessary”); Castellanos-Contreras v. Decatur Hotels, LLC, No. 06-4340EEF-SS, slip op. at 18 (E.D. La. Oct. 22, 2007) (protective order on classwide discovery is appropriate because “[i]ndividualized deposition discovery is not required to develop the information relevant to the parties’ claims and defenses”).</w:t>
      </w:r>
    </w:p>
    <w:p w14:paraId="1B616F83" w14:textId="77777777" w:rsidR="004322B1" w:rsidRPr="00AD2F44" w:rsidRDefault="004322B1">
      <w:pPr>
        <w:pStyle w:val="14Footnote"/>
      </w:pPr>
      <w:r w:rsidRPr="00AD2F44">
        <w:rPr>
          <w:i/>
          <w:iCs/>
        </w:rPr>
        <w:t>Sixth Circuit:</w:t>
      </w:r>
      <w:r w:rsidRPr="00AD2F44">
        <w:t xml:space="preserve"> Johnson v. International Steel &amp; Counterweights LLC, 2021 BL 440424, 2021 WL 5359198 (N.D. Ohio Nov. 17, 2021) (allowing written discovery of 34 opt-in plaintiffs, randomly selected, from group of 53 opt-in plaintiffs, and 10 depositions); Sutton v. Diversity at Work Grp. Inc., 2021 BL 212520, 2021 WL 2334488 (S.D. Ohio June 8, 2021) (agreeing with defendant’s argument that discovery of 17 opt-ins from collective of 20 opt-in plaintiffs was necessary for statistically-significant sample and holding that sample should be randomly selected); Kutzback v. LMS Intellibound, Ltd. Liab. Co., 2020 U.S. Dist. LEXIS 50364, at *19 (W.D. Tenn. Mar. 17, 2020) (denying a defendant’s due process objection to representative discovery on damages and observing that “courts in the Sixth Circuit, and courts in other circuits, have repeatedly held that representative discovery does not violate a defendant’s due process rights”); Rosenbohm v. Cellco P’ships, 2019 WL 2141901, at *1–2 (S.D. Ohio. May 16, 2019) (ordering random sampling in a class of 3,875 opt-ins); Wilson v. Guardian Angel Nursing, Inc., 2009 WL 790107, at *5–7 (M.D. Tenn. Mar. 24, 2009) (rejecting defendants’ request for additional discovery to support its decertification motion because court had already determined—based on undisputed facts using representative evidence involving 31 opt-ins—that summary judgment for plaintiffs was appropriate, and so defendants could not take discovery regarding 266 post-summary judgment opt-ins; court noted its sequencing of summary judgment before notice was “unconventional,” but also that defendant did not take discovery of any of 30 opt-ins when discovery was open, only named plaintiff, and defendants’ strategy was geared toward addressing all of plaintiffs uniformly); Smith v. Lowes Home Ctrs., 236 F.R.D. 354, 356 (S.D. Ohio 2006) (denying defendant’s request for individualized discovery of more than 1,500 opt-ins and instead ordering a representative sample); Belcher v. Shoney’s, Inc., 30 F. Supp. 2d 1010, 1024 (M.D. Tenn. 1998) (limiting discovery to a representative sample of opt-in plaintiffs is permissible).</w:t>
      </w:r>
    </w:p>
    <w:p w14:paraId="03FFAC1E" w14:textId="77777777" w:rsidR="004322B1" w:rsidRPr="00AD2F44" w:rsidRDefault="004322B1">
      <w:pPr>
        <w:pStyle w:val="14Footnote"/>
      </w:pPr>
      <w:r w:rsidRPr="00AD2F44">
        <w:rPr>
          <w:i/>
          <w:iCs/>
        </w:rPr>
        <w:t>Seventh Circuit:</w:t>
      </w:r>
      <w:r w:rsidRPr="00AD2F44">
        <w:t xml:space="preserve"> O’Toole v. Sears Roebuck &amp; Co., 2014 U.S. Dist. LEXIS 49408, at *11 (N.D. Ill. Apr. 10, 2014) (limiting written discovery to 33% of 700 opt-ins); Adkins v. Mid-America Growers, 141 F.R.D. 466, 467, 468–69 (N.D. Ill. 1992) (individualized discovery of all opt-in plaintiffs is inappropriate in an FLSA collective action, but representative testimony is permissible).</w:t>
      </w:r>
    </w:p>
    <w:p w14:paraId="027A9EDE" w14:textId="77777777" w:rsidR="004322B1" w:rsidRPr="00AD2F44" w:rsidRDefault="004322B1">
      <w:pPr>
        <w:pStyle w:val="14Footnote"/>
      </w:pPr>
      <w:r w:rsidRPr="00AD2F44">
        <w:rPr>
          <w:i/>
          <w:iCs/>
        </w:rPr>
        <w:t>Eighth Circuit:</w:t>
      </w:r>
      <w:r w:rsidRPr="00AD2F44">
        <w:t xml:space="preserve"> Morales v. Farmland Foods, Inc., 2010 WL 3447513, at *2–3 (D. Neb. Aug. 27, 2010) (limiting discovery to random sampling of 15% of opt-in class members, because, although relevant, discovery of all 281 class members was undue burden that outweighed benefit; prohibiting class members who did not respond to discovery from testifying at trial).</w:t>
      </w:r>
    </w:p>
    <w:p w14:paraId="352D6551" w14:textId="77777777" w:rsidR="004322B1" w:rsidRPr="00AD2F44" w:rsidRDefault="004322B1">
      <w:pPr>
        <w:pStyle w:val="14Footnote"/>
      </w:pPr>
      <w:r w:rsidRPr="00AD2F44">
        <w:rPr>
          <w:i/>
          <w:iCs/>
        </w:rPr>
        <w:t>Ninth Circuit:</w:t>
      </w:r>
      <w:r w:rsidRPr="00AD2F44">
        <w:t xml:space="preserve"> Prentice v. Fund for Pub. Interest Rsch., Inc., 2007 WL 2729187, at *5 (N.D. Cal. Sept. 18, 2007) (“Individualized discovery is rarely appropriate in FLSA collective actions.”); Wren v. RGIS Inventory Specialists, No. 3:06-cv-05778 -JCS, Minute Order re Discovery Disputes (N.D. Cal. Mar. 31, 2008) (allowing discovery on 390 out of 5,684 class members, or 6.86%, in a case involving 270,000 potential opt-ins); Cranney v. Carriage Servs., Inc., 2008 WL 2457912, at *3, 5 (D. Nev. June 16, 2008) (limiting individualized discovery to 10% of a relevant combination of workers and worksites).</w:t>
      </w:r>
    </w:p>
    <w:p w14:paraId="2994B6E3" w14:textId="77777777" w:rsidR="004322B1" w:rsidRPr="00AD2F44" w:rsidRDefault="004322B1">
      <w:pPr>
        <w:pStyle w:val="14Footnote"/>
      </w:pPr>
      <w:r w:rsidRPr="00AD2F44">
        <w:rPr>
          <w:i/>
          <w:iCs/>
        </w:rPr>
        <w:t>Tenth Circuit:</w:t>
      </w:r>
      <w:r w:rsidRPr="00AD2F44">
        <w:t xml:space="preserve"> Geer v. Challenge Fin. Inv’rs Corp., 2007 U.S. Dist. LEXIS 33499, at *13–15 (D. Kan. May 4, 2007) (refusing to allow defendant to take depositions from all 272 opt-in plaintiffs).</w:t>
      </w:r>
    </w:p>
    <w:p w14:paraId="4938E081" w14:textId="77777777" w:rsidR="004322B1" w:rsidRPr="00AD2F44" w:rsidRDefault="004322B1">
      <w:pPr>
        <w:pStyle w:val="14Footnote"/>
      </w:pPr>
      <w:r w:rsidRPr="00AD2F44">
        <w:rPr>
          <w:i/>
          <w:iCs/>
        </w:rPr>
        <w:t>Eleventh Circuit:</w:t>
      </w:r>
      <w:r w:rsidRPr="00AD2F44">
        <w:t xml:space="preserve"> Bradford v. Bed Bath &amp; Beyond, 184 F. Supp. 2d 1342, 1344 (N.D. Ga. 2002) (discovery from 25 of 300 plaintiffs).</w:t>
      </w:r>
    </w:p>
  </w:footnote>
  <w:footnote w:id="624">
    <w:p w14:paraId="26099DFD" w14:textId="77777777" w:rsidR="004322B1" w:rsidRPr="00AD2F44" w:rsidRDefault="004322B1">
      <w:pPr>
        <w:pStyle w:val="14Footnote"/>
      </w:pPr>
      <w:r w:rsidRPr="00AD2F44">
        <w:rPr>
          <w:vertAlign w:val="superscript"/>
        </w:rPr>
        <w:footnoteRef/>
      </w:r>
      <w:r w:rsidRPr="00AD2F44">
        <w:rPr>
          <w:i/>
          <w:iCs/>
        </w:rPr>
        <w:t>See</w:t>
      </w:r>
    </w:p>
    <w:p w14:paraId="59FEC6AE" w14:textId="77777777" w:rsidR="004322B1" w:rsidRPr="00AD2F44" w:rsidRDefault="004322B1">
      <w:pPr>
        <w:pStyle w:val="14Footnote"/>
      </w:pPr>
      <w:r w:rsidRPr="00AD2F44">
        <w:rPr>
          <w:i/>
          <w:iCs/>
        </w:rPr>
        <w:t>Second Circuit:</w:t>
      </w:r>
      <w:r w:rsidRPr="00AD2F44">
        <w:t xml:space="preserve"> Frisbie v. Feast Am. Diners, LLC, 2020 U.S. Dist. LEXIS 81451, at *9 (W.D.N.Y. May 7, 2020) (allowing individualized discovery for 20 opt-in plaintiffs “given the small size of the collective,” but limiting depositions to 16, which represents one for each worksite); Forauer v. Vermont Country Store, Inc., 2014 WL 2612044, at *2–5 (D. Vt. June 11, 2014) (permitting depositions of all 24 opt-in plaintiffs to determine whether plaintiffs seeking pay for preliminary and postliminary tasks were similarly situated).</w:t>
      </w:r>
    </w:p>
    <w:p w14:paraId="1E18DDE6" w14:textId="77777777" w:rsidR="004322B1" w:rsidRPr="00AD2F44" w:rsidRDefault="004322B1">
      <w:pPr>
        <w:pStyle w:val="14Footnote"/>
      </w:pPr>
      <w:r w:rsidRPr="00AD2F44">
        <w:rPr>
          <w:i/>
          <w:iCs/>
        </w:rPr>
        <w:t>Fourth Circuit:</w:t>
      </w:r>
      <w:r w:rsidRPr="00AD2F44">
        <w:t xml:space="preserve"> Brooks v. Farm Fresh, Inc., 759 F. Supp. 1185, 1187–88 (E.D. Va. 1991) (in putative collective action alleging off-the-clock violations, court refused to issue notice and held that defendant was “entitled” to take depositions of all 127 opt-in plaintiffs so that it could determine whether plaintiffs’ claims were “similarly situated,” but discovery could end earlier if either party thought record was sufficient to evaluate whether claims were similarly situated), </w:t>
      </w:r>
      <w:r w:rsidRPr="00AD2F44">
        <w:rPr>
          <w:i/>
          <w:iCs/>
        </w:rPr>
        <w:t>rev’d on other grounds sub nom</w:t>
      </w:r>
      <w:r w:rsidRPr="00AD2F44">
        <w:t>. Shaffer v. Farm Fresh, Inc., 966 F.2d 142 (4th Cir. 1992).</w:t>
      </w:r>
    </w:p>
    <w:p w14:paraId="3B058E7B" w14:textId="77777777" w:rsidR="004322B1" w:rsidRPr="00AD2F44" w:rsidRDefault="004322B1">
      <w:pPr>
        <w:pStyle w:val="14Footnote"/>
      </w:pPr>
      <w:r w:rsidRPr="00AD2F44">
        <w:rPr>
          <w:i/>
          <w:iCs/>
        </w:rPr>
        <w:t>Sixth Circuit:</w:t>
      </w:r>
      <w:r w:rsidRPr="00AD2F44">
        <w:t xml:space="preserve"> Westley v. CCK Pizza Co., LLC, 2019 U.S. Dist. LEXIS 136177, at *11 (E.D. Mich. Aug. 13, 2019) (denying representative sampling where only 13 individuals comprised collective); Lee v. GAB Telecom, Inc., 2013 WL 4041875, at *2–3 (E.D. Mich. Aug. 8, 2013) (denying plaintiffs’ request to limit representative discovery to 20% of the class because less than 50 plaintiffs opted in to the litigation and individualized discovery would not unnecessarily increase cost of litigation; court agreed to revisit the issue of representative discovery after the opt-in period closed).</w:t>
      </w:r>
    </w:p>
    <w:p w14:paraId="5F37DAED" w14:textId="77777777" w:rsidR="004322B1" w:rsidRPr="00AD2F44" w:rsidRDefault="004322B1">
      <w:pPr>
        <w:pStyle w:val="14Footnote"/>
      </w:pPr>
      <w:r w:rsidRPr="00AD2F44">
        <w:rPr>
          <w:i/>
          <w:iCs/>
        </w:rPr>
        <w:t>Ninth Circuit:</w:t>
      </w:r>
      <w:r w:rsidRPr="00AD2F44">
        <w:t xml:space="preserve"> Slack v. Parball Newco, LLC, </w:t>
      </w:r>
      <w:r w:rsidRPr="000E7FEF">
        <w:t>2018 BL 102783</w:t>
      </w:r>
      <w:r>
        <w:t xml:space="preserve">, </w:t>
      </w:r>
      <w:r w:rsidRPr="002055B0">
        <w:t>2018 WL 1472574</w:t>
      </w:r>
      <w:r w:rsidRPr="00AD2F44">
        <w:t>, at *</w:t>
      </w:r>
      <w:r>
        <w:t>2</w:t>
      </w:r>
      <w:r w:rsidRPr="00AD2F44">
        <w:t xml:space="preserve"> (D. Nev. Mar. 26, 2018) (permitting individualized discovery of 3 named plaintiffs and 80 opt-in plaintiffs); Ingersoll v. Royal &amp; Sunalliance USA, Inc., 2006 U.S. Dist. LEXIS 50912, at *3, 7–9 (W.D. Wash. July 25, 2006) (permitting discovery of all 34 opt-in plaintiffs, and 2 named plaintiffs, because (1) employer needed depositions to prepare its motion to decertify, and (2) class size was not large).</w:t>
      </w:r>
    </w:p>
    <w:p w14:paraId="7CD6928E" w14:textId="77777777" w:rsidR="004322B1" w:rsidRPr="00AD2F44" w:rsidRDefault="004322B1">
      <w:pPr>
        <w:pStyle w:val="14Footnote"/>
      </w:pPr>
      <w:r w:rsidRPr="00AD2F44">
        <w:rPr>
          <w:i/>
          <w:iCs/>
        </w:rPr>
        <w:t>Tenth Circuit:</w:t>
      </w:r>
      <w:r w:rsidRPr="00AD2F44">
        <w:t xml:space="preserve"> Renfro v. Spartan Comput. Servs., Inc., 2008 U.S. Dist. LEXIS 24269, at *4, 9–12 (D. Kan. Mar. 26, 2008) (permitting individual written discovery to each of 136 opt-in plaintiffs, and 27 depositions (all that were noticed)).</w:t>
      </w:r>
    </w:p>
    <w:p w14:paraId="4EC15755" w14:textId="77777777" w:rsidR="004322B1" w:rsidRPr="00AD2F44" w:rsidRDefault="004322B1">
      <w:pPr>
        <w:pStyle w:val="14Footnote"/>
      </w:pPr>
      <w:r w:rsidRPr="00AD2F44">
        <w:rPr>
          <w:i/>
          <w:iCs/>
        </w:rPr>
        <w:t>Eleventh Circuit:</w:t>
      </w:r>
      <w:r w:rsidRPr="00AD2F44">
        <w:t xml:space="preserve"> Rodriguez v. Niagara Cleaning Servs., Inc., 2010 WL 2573974, at *2 (S.D. Fla. June 24, 2010) (granting discovery of all 35 opt-in plaintiffs, because it was not unduly burdensome, and individual discovery of locations worked, hours worked, and involvement in other FLSA litigation met relevance standards).</w:t>
      </w:r>
    </w:p>
  </w:footnote>
  <w:footnote w:id="625">
    <w:p w14:paraId="6A403A8F" w14:textId="77777777" w:rsidR="004322B1" w:rsidRDefault="004322B1">
      <w:pPr>
        <w:pStyle w:val="14Footnote"/>
      </w:pPr>
      <w:r w:rsidRPr="00AD2F44">
        <w:rPr>
          <w:vertAlign w:val="superscript"/>
        </w:rPr>
        <w:footnoteRef/>
      </w:r>
      <w:r w:rsidRPr="00AD2F44">
        <w:rPr>
          <w:i/>
          <w:iCs/>
        </w:rPr>
        <w:t>See</w:t>
      </w:r>
    </w:p>
    <w:p w14:paraId="3D136241" w14:textId="77777777" w:rsidR="004322B1" w:rsidRDefault="004322B1">
      <w:pPr>
        <w:pStyle w:val="14Footnote"/>
      </w:pPr>
      <w:r>
        <w:rPr>
          <w:i/>
          <w:iCs/>
        </w:rPr>
        <w:t>Second Circuit</w:t>
      </w:r>
      <w:r>
        <w:t>:</w:t>
      </w:r>
      <w:r w:rsidRPr="00AD2F44">
        <w:t xml:space="preserve"> </w:t>
      </w:r>
      <w:r w:rsidRPr="00AD2F44">
        <w:rPr>
          <w:i/>
          <w:iCs/>
        </w:rPr>
        <w:t>Frisbie</w:t>
      </w:r>
      <w:r w:rsidRPr="00AD2F44">
        <w:t xml:space="preserve">, 2020 U.S. Dist. LEXIS 81451, at *9 (allowing individualized discovery for 20 opt-in plaintiffs but limiting depositions to 16, which represents one for each worksite); </w:t>
      </w:r>
    </w:p>
    <w:p w14:paraId="2BAD3D71" w14:textId="77777777" w:rsidR="004322B1" w:rsidRPr="002F69CA" w:rsidRDefault="004322B1" w:rsidP="00002C79">
      <w:pPr>
        <w:pStyle w:val="14Footnote"/>
      </w:pPr>
      <w:r>
        <w:rPr>
          <w:i/>
          <w:iCs/>
        </w:rPr>
        <w:t>Sixth Circuit</w:t>
      </w:r>
      <w:r>
        <w:t xml:space="preserve">: </w:t>
      </w:r>
      <w:r w:rsidRPr="00002C79">
        <w:t>Brewer v. All</w:t>
      </w:r>
      <w:r>
        <w:t>iance</w:t>
      </w:r>
      <w:r w:rsidRPr="00002C79">
        <w:t xml:space="preserve"> Coal, LLC</w:t>
      </w:r>
      <w:r>
        <w:t xml:space="preserve">, </w:t>
      </w:r>
      <w:r w:rsidRPr="000E7FEF">
        <w:t>2022 BL 357031</w:t>
      </w:r>
      <w:r>
        <w:t xml:space="preserve">, </w:t>
      </w:r>
      <w:r w:rsidRPr="005427EA">
        <w:t xml:space="preserve">2022 WL 5199868 </w:t>
      </w:r>
      <w:r w:rsidRPr="00002C79">
        <w:t>(E.D. Ky. Oct. 5, 2022)</w:t>
      </w:r>
      <w:r>
        <w:t xml:space="preserve"> (allowing individualized discovery of 31 opt-in plaintiffs as to a portion of requested interrogatories and requests for production of documents and </w:t>
      </w:r>
      <w:r w:rsidRPr="00002C79">
        <w:t>authoriz</w:t>
      </w:r>
      <w:r>
        <w:t>ing</w:t>
      </w:r>
      <w:r w:rsidRPr="00002C79">
        <w:t xml:space="preserve"> 10 depositions limited to three hours</w:t>
      </w:r>
      <w:r>
        <w:t xml:space="preserve"> each). </w:t>
      </w:r>
    </w:p>
    <w:p w14:paraId="301AEC1F" w14:textId="77777777" w:rsidR="004322B1" w:rsidRDefault="004322B1" w:rsidP="00002C79">
      <w:pPr>
        <w:pStyle w:val="14Footnote"/>
        <w:rPr>
          <w:i/>
          <w:iCs/>
        </w:rPr>
      </w:pPr>
      <w:r>
        <w:rPr>
          <w:i/>
          <w:iCs/>
        </w:rPr>
        <w:t>Eighth Circuit</w:t>
      </w:r>
      <w:r>
        <w:t xml:space="preserve">: </w:t>
      </w:r>
      <w:r w:rsidRPr="00AD2F44">
        <w:t>Perrin v. Papa John’s Int’l, Inc., 2014 WL 4749547, at *3–5 (E.D. Mo. Sept. 24, 2014) (finding that to obtain individualized discovery, defendant must show that discovery (1) was not being sought to reduce class; (2) was simple enough not to require assistance of counsel; (3) complied with Rule 26; and (4) was not otherwise available).</w:t>
      </w:r>
      <w:r w:rsidRPr="00002C79">
        <w:rPr>
          <w:i/>
          <w:iCs/>
        </w:rPr>
        <w:t xml:space="preserve"> </w:t>
      </w:r>
    </w:p>
    <w:p w14:paraId="13E13376" w14:textId="77777777" w:rsidR="004322B1" w:rsidRDefault="004322B1" w:rsidP="00002C79">
      <w:pPr>
        <w:pStyle w:val="14Footnote"/>
      </w:pPr>
      <w:r>
        <w:rPr>
          <w:i/>
          <w:iCs/>
        </w:rPr>
        <w:t xml:space="preserve">Ninth Circuit: </w:t>
      </w:r>
      <w:r w:rsidRPr="00AD2F44">
        <w:rPr>
          <w:i/>
          <w:iCs/>
        </w:rPr>
        <w:t>Slack</w:t>
      </w:r>
      <w:r w:rsidRPr="00AD2F44">
        <w:t xml:space="preserve">, </w:t>
      </w:r>
      <w:r w:rsidRPr="000E7FEF">
        <w:t>2018 BL 102783</w:t>
      </w:r>
      <w:r>
        <w:t xml:space="preserve">, </w:t>
      </w:r>
      <w:r w:rsidRPr="002055B0">
        <w:t>2018 WL 1472574</w:t>
      </w:r>
      <w:r w:rsidRPr="00AD2F44">
        <w:t>, at *</w:t>
      </w:r>
      <w:r>
        <w:t>2</w:t>
      </w:r>
      <w:r w:rsidRPr="00AD2F44">
        <w:t xml:space="preserve"> (“While the decisions on individualized discovery are highly fact-specific, common considerations are the number of opt-in plaintiffs and the type of discovery being requested, with individualized discovery being permitted more frequently in cases with relatively few plaintiffs and targeted written discovery.”) (collecting cases)</w:t>
      </w:r>
      <w:r>
        <w:t>.</w:t>
      </w:r>
    </w:p>
    <w:p w14:paraId="417FF34F" w14:textId="77777777" w:rsidR="004322B1" w:rsidRPr="00AD2F44" w:rsidRDefault="004322B1">
      <w:pPr>
        <w:pStyle w:val="14Footnote"/>
      </w:pPr>
    </w:p>
  </w:footnote>
  <w:footnote w:id="626">
    <w:p w14:paraId="64A5F570" w14:textId="77777777" w:rsidR="004322B1" w:rsidRPr="00AD2F44" w:rsidRDefault="004322B1">
      <w:pPr>
        <w:pStyle w:val="14Footnote"/>
      </w:pPr>
      <w:r w:rsidRPr="00AD2F44">
        <w:rPr>
          <w:vertAlign w:val="superscript"/>
        </w:rPr>
        <w:footnoteRef/>
      </w:r>
      <w:r w:rsidRPr="00AD2F44">
        <w:rPr>
          <w:i/>
          <w:iCs/>
        </w:rPr>
        <w:t>Second Circuit:</w:t>
      </w:r>
      <w:r w:rsidRPr="00AD2F44">
        <w:t xml:space="preserve"> Lloyd v. JP Morgan Chase &amp; Co., 2015 U.S. Dist. LEXIS 35161, at *15–16 (S.D.N.Y. Mar. 20, 2015) (permitting individual written discovery from all 100 opt-in plaintiffs and depositions of 20 opt-in plaintiffs); </w:t>
      </w:r>
      <w:r w:rsidRPr="00AD2F44">
        <w:rPr>
          <w:i/>
          <w:iCs/>
        </w:rPr>
        <w:t>Forauer</w:t>
      </w:r>
      <w:r w:rsidRPr="00AD2F44">
        <w:t>, 2014 WL 2612044, at *1–5 (24 opt-ins); Krueger v. New York Tel. Co., 163 F.R.D. 446, 452 (S.D.N.Y. 1995) (162 opt-in plaintiffs).</w:t>
      </w:r>
    </w:p>
    <w:p w14:paraId="4DC5BE6D" w14:textId="77777777" w:rsidR="004322B1" w:rsidRPr="00AD2F44" w:rsidRDefault="004322B1">
      <w:pPr>
        <w:pStyle w:val="14Footnote"/>
      </w:pPr>
      <w:r w:rsidRPr="00AD2F44">
        <w:rPr>
          <w:i/>
          <w:iCs/>
        </w:rPr>
        <w:t>Fourth Circuit:</w:t>
      </w:r>
      <w:r w:rsidRPr="00AD2F44">
        <w:t xml:space="preserve"> </w:t>
      </w:r>
      <w:r w:rsidRPr="00AD2F44">
        <w:rPr>
          <w:i/>
          <w:iCs/>
        </w:rPr>
        <w:t>Brooks</w:t>
      </w:r>
      <w:r w:rsidRPr="00AD2F44">
        <w:t>, 759 F. Supp. at 1187–88 (127 opt-in plaintiffs).</w:t>
      </w:r>
    </w:p>
    <w:p w14:paraId="3627354A" w14:textId="77777777" w:rsidR="004322B1" w:rsidRPr="00AD2F44" w:rsidRDefault="004322B1">
      <w:pPr>
        <w:pStyle w:val="14Footnote"/>
      </w:pPr>
      <w:r w:rsidRPr="00AD2F44">
        <w:rPr>
          <w:i/>
          <w:iCs/>
        </w:rPr>
        <w:t>Sixth Circuit: Lee</w:t>
      </w:r>
      <w:r w:rsidRPr="00AD2F44">
        <w:t>, 2013 WL 4041875, at *2–3 (less than 50 opt-in plaintiffs); O’Brien v. Ed Donnelly Enters., 2006 U.S. Dist. LEXIS 86895, at *4 (S.D. Ohio Nov. 30, 2006) (eight opt-in plaintiffs).</w:t>
      </w:r>
    </w:p>
    <w:p w14:paraId="19341B9F" w14:textId="77777777" w:rsidR="004322B1" w:rsidRPr="00AD2F44" w:rsidRDefault="004322B1">
      <w:pPr>
        <w:pStyle w:val="14Footnote"/>
      </w:pPr>
      <w:r w:rsidRPr="00AD2F44">
        <w:rPr>
          <w:i/>
          <w:iCs/>
        </w:rPr>
        <w:t>Ninth Circuit:</w:t>
      </w:r>
      <w:r w:rsidRPr="00AD2F44">
        <w:t xml:space="preserve"> </w:t>
      </w:r>
      <w:r w:rsidRPr="00AD2F44">
        <w:rPr>
          <w:i/>
          <w:iCs/>
        </w:rPr>
        <w:t>Slack</w:t>
      </w:r>
      <w:r w:rsidRPr="00AD2F44">
        <w:t xml:space="preserve">, 2018 U.S. Dist. LEXIS 49050, at *8 (80 opt-in plaintiffs); </w:t>
      </w:r>
      <w:r w:rsidRPr="00AD2F44">
        <w:rPr>
          <w:i/>
          <w:iCs/>
        </w:rPr>
        <w:t>Ingersoll</w:t>
      </w:r>
      <w:r w:rsidRPr="00AD2F44">
        <w:t>, 2006 U.S. Dist. LEXIS 50912, at *3 (34 opt-in plaintiffs); Coldiron v. Pizza Hut, Inc. (Coldiron I), 2004 U.S. Dist. LEXIS 23610, at *6 (C.D. Cal. Oct. 25, 2004) (306 opt-in plaintiffs).</w:t>
      </w:r>
    </w:p>
    <w:p w14:paraId="7F145E07" w14:textId="77777777" w:rsidR="004322B1" w:rsidRPr="00AD2F44" w:rsidRDefault="004322B1">
      <w:pPr>
        <w:pStyle w:val="14Footnote"/>
      </w:pPr>
      <w:r w:rsidRPr="00AD2F44">
        <w:rPr>
          <w:i/>
          <w:iCs/>
        </w:rPr>
        <w:t>Tenth Circuit:</w:t>
      </w:r>
      <w:r w:rsidRPr="00AD2F44">
        <w:t xml:space="preserve"> </w:t>
      </w:r>
      <w:r w:rsidRPr="00AD2F44">
        <w:rPr>
          <w:i/>
          <w:iCs/>
        </w:rPr>
        <w:t>Renfro</w:t>
      </w:r>
      <w:r w:rsidRPr="00AD2F44">
        <w:t>, 2008 U.S. Dist. LEXIS 24269, at *4, 9–12 (136 opt-in plaintiffs).</w:t>
      </w:r>
    </w:p>
    <w:p w14:paraId="4B682662" w14:textId="77777777" w:rsidR="004322B1" w:rsidRPr="00AD2F44" w:rsidRDefault="004322B1">
      <w:pPr>
        <w:pStyle w:val="14Footnote"/>
      </w:pPr>
      <w:r w:rsidRPr="00AD2F44">
        <w:rPr>
          <w:i/>
          <w:iCs/>
        </w:rPr>
        <w:t>Eleventh Circuit:</w:t>
      </w:r>
      <w:r w:rsidRPr="00AD2F44">
        <w:t xml:space="preserve"> </w:t>
      </w:r>
      <w:r w:rsidRPr="00AD2F44">
        <w:rPr>
          <w:i/>
          <w:iCs/>
        </w:rPr>
        <w:t>Rodriguez</w:t>
      </w:r>
      <w:r w:rsidRPr="00AD2F44">
        <w:t>, 2010 WL 2573974, at *2 (35 opt-in plaintiffs); Kaas v. Pratt &amp; Whitney, 1991 WL 158943 (S.D. Fla. 1991) (100 opt-in plaintiffs).</w:t>
      </w:r>
    </w:p>
    <w:p w14:paraId="7595508B" w14:textId="77777777" w:rsidR="004322B1" w:rsidRPr="00AD2F44" w:rsidRDefault="004322B1">
      <w:pPr>
        <w:pStyle w:val="14Footnote"/>
      </w:pPr>
      <w:r w:rsidRPr="00AD2F44">
        <w:rPr>
          <w:i/>
          <w:iCs/>
        </w:rPr>
        <w:t>But cf</w:t>
      </w:r>
      <w:r w:rsidRPr="00AD2F44">
        <w:t xml:space="preserve">. </w:t>
      </w:r>
      <w:r w:rsidRPr="00AD2F44">
        <w:rPr>
          <w:i/>
          <w:iCs/>
        </w:rPr>
        <w:t>Geer</w:t>
      </w:r>
      <w:r w:rsidRPr="00AD2F44">
        <w:t>, 2007 WL 1341774, at *11–15 (rejecting depositions for 250 opt-in plaintiffs based on Rule 30 of the Federal Rules of Civil Procedure and court’s orders limiting depositions, where defendant had not made an adequate showing of why it needed to take depositions of all opt-in plaintiffs; however, court left open option if defendant could make required showing).</w:t>
      </w:r>
    </w:p>
  </w:footnote>
  <w:footnote w:id="627">
    <w:p w14:paraId="7C3FE79E" w14:textId="77777777" w:rsidR="004322B1" w:rsidRPr="00AD2F44" w:rsidRDefault="004322B1">
      <w:pPr>
        <w:pStyle w:val="14Footnote"/>
      </w:pPr>
      <w:r w:rsidRPr="00AD2F44">
        <w:rPr>
          <w:vertAlign w:val="superscript"/>
        </w:rPr>
        <w:footnoteRef/>
      </w:r>
      <w:r w:rsidRPr="00AD2F44">
        <w:rPr>
          <w:i/>
          <w:iCs/>
        </w:rPr>
        <w:t>Second Circuit:</w:t>
      </w:r>
      <w:r w:rsidRPr="00AD2F44">
        <w:t xml:space="preserve"> Barrus v. Dick’s Sporting Goods, Inc., 465 F. Supp. 2d 224, 231–32 (W.D.N.Y. 2006) (ordering that post-notice discovery be limited to a “reasonable sampling of defendants’ stores or to a limited number of regions”).</w:t>
      </w:r>
    </w:p>
    <w:p w14:paraId="3AA593CE" w14:textId="77777777" w:rsidR="004322B1" w:rsidRPr="00AD2F44" w:rsidRDefault="004322B1">
      <w:pPr>
        <w:pStyle w:val="14Footnote"/>
      </w:pPr>
      <w:r w:rsidRPr="00AD2F44">
        <w:rPr>
          <w:i/>
          <w:iCs/>
        </w:rPr>
        <w:t>Third Circuit:</w:t>
      </w:r>
      <w:r w:rsidRPr="00AD2F44">
        <w:t xml:space="preserve"> McGrath v. City of Phila., 1994 U.S. Dist. LEXIS 1495, at *2, 7, 1 WH Cases2d 1500 (E.D. Pa. Feb. 14, 1994) (denying motion to compel response to interrogatory directed to all 4,100 opt-in plaintiffs).</w:t>
      </w:r>
    </w:p>
    <w:p w14:paraId="7D2425F7" w14:textId="77777777" w:rsidR="004322B1" w:rsidRPr="00AD2F44" w:rsidRDefault="004322B1">
      <w:pPr>
        <w:pStyle w:val="14Footnote"/>
      </w:pPr>
      <w:r w:rsidRPr="00AD2F44">
        <w:rPr>
          <w:i/>
          <w:iCs/>
        </w:rPr>
        <w:t>Sixth Circuit:</w:t>
      </w:r>
      <w:r w:rsidRPr="00AD2F44">
        <w:t xml:space="preserve"> </w:t>
      </w:r>
      <w:r w:rsidRPr="00AD2F44">
        <w:rPr>
          <w:i/>
          <w:iCs/>
        </w:rPr>
        <w:t>Rosenbohm</w:t>
      </w:r>
      <w:r w:rsidRPr="00AD2F44">
        <w:t>, 2019 WL 2141901 at *1–2 (ordering random sampling in a class of 3,875 opt-ins); Smith v. Lowe’s Home Ctrs., Inc., 236 F.R.D. 354, 357–58 (S.D. Ohio 2006) (limiting discovery to a statistically significant representative sample of 1,500 opt-in plaintiffs).</w:t>
      </w:r>
    </w:p>
    <w:p w14:paraId="6ED176A7" w14:textId="77777777" w:rsidR="004322B1" w:rsidRPr="00AD2F44" w:rsidRDefault="004322B1">
      <w:pPr>
        <w:pStyle w:val="14Footnote"/>
      </w:pPr>
      <w:r w:rsidRPr="00AD2F44">
        <w:rPr>
          <w:i/>
          <w:iCs/>
        </w:rPr>
        <w:t>Seventh Circuit:</w:t>
      </w:r>
      <w:r w:rsidRPr="00AD2F44">
        <w:t xml:space="preserve"> </w:t>
      </w:r>
      <w:r w:rsidRPr="00AD2F44">
        <w:rPr>
          <w:i/>
          <w:iCs/>
        </w:rPr>
        <w:t>O’Toole</w:t>
      </w:r>
      <w:r w:rsidRPr="00AD2F44">
        <w:t>, 2014 U.S. Dist. LEXIS 49408, at *11 (limiting written discovery to 33% of 700 opt-ins).</w:t>
      </w:r>
    </w:p>
    <w:p w14:paraId="74C1E3AB" w14:textId="77777777" w:rsidR="004322B1" w:rsidRPr="00AD2F44" w:rsidRDefault="004322B1">
      <w:pPr>
        <w:pStyle w:val="14Footnote"/>
      </w:pPr>
      <w:r w:rsidRPr="00AD2F44">
        <w:rPr>
          <w:i/>
          <w:iCs/>
        </w:rPr>
        <w:t>Eighth Circuit:</w:t>
      </w:r>
      <w:r w:rsidRPr="00AD2F44">
        <w:t xml:space="preserve"> </w:t>
      </w:r>
      <w:r w:rsidRPr="00AD2F44">
        <w:rPr>
          <w:i/>
          <w:iCs/>
        </w:rPr>
        <w:t>Perrin</w:t>
      </w:r>
      <w:r w:rsidRPr="00AD2F44">
        <w:t>, 2014 WL 4749547, at *3–5 (finding that defendant’s receipt of discovery responses from 20% of class of 3,840 opt-in plaintiffs would likely serve defendant’s articulated purposes for discovery and that discovery from every opt-in would be “unduly burdensome, unnecessary, and likely to undermine efficiency interests”).</w:t>
      </w:r>
    </w:p>
    <w:p w14:paraId="4D4812D4" w14:textId="77777777" w:rsidR="004322B1" w:rsidRPr="00AD2F44" w:rsidRDefault="004322B1">
      <w:pPr>
        <w:pStyle w:val="14Footnote"/>
      </w:pPr>
      <w:r w:rsidRPr="00AD2F44">
        <w:rPr>
          <w:i/>
          <w:iCs/>
        </w:rPr>
        <w:t xml:space="preserve">Eleventh Circuit: </w:t>
      </w:r>
      <w:r w:rsidRPr="00AD2F44">
        <w:t xml:space="preserve">Martins v. Flowers Foods, Inc., 2020 BL 553826, 2020 WL 11423022 (M.D. Fla. Aug. 1, 2020) (limiting written discovery in collective of approximately 300 distributors of baked goods, recognizing that individualized discovery is generally unduly burdensome where number of opt-in plaintiffs approaches 200). </w:t>
      </w:r>
    </w:p>
    <w:p w14:paraId="610724A8" w14:textId="77777777" w:rsidR="004322B1" w:rsidRPr="00AD2F44" w:rsidRDefault="004322B1">
      <w:pPr>
        <w:pStyle w:val="14Footnote"/>
      </w:pPr>
      <w:r w:rsidRPr="00AD2F44">
        <w:rPr>
          <w:i/>
        </w:rPr>
        <w:t>See also</w:t>
      </w:r>
    </w:p>
    <w:p w14:paraId="6A163278" w14:textId="77777777" w:rsidR="004322B1" w:rsidRPr="00AD2F44" w:rsidRDefault="004322B1">
      <w:pPr>
        <w:pStyle w:val="14Footnote"/>
      </w:pPr>
      <w:r w:rsidRPr="00AD2F44">
        <w:rPr>
          <w:i/>
          <w:iCs/>
        </w:rPr>
        <w:t>Third Circuit:</w:t>
      </w:r>
      <w:r w:rsidRPr="00AD2F44">
        <w:t xml:space="preserve"> Lusardi v. Xerox Corp., 118 F.R.D. 351, 354 (D.N.J. 1987) (involving parties who used 51-person sample of class of over 1,300 opt-in plaintiffs).</w:t>
      </w:r>
    </w:p>
    <w:p w14:paraId="709B25F1" w14:textId="77777777" w:rsidR="004322B1" w:rsidRPr="00AD2F44" w:rsidRDefault="004322B1">
      <w:pPr>
        <w:pStyle w:val="14Footnote"/>
      </w:pPr>
      <w:r w:rsidRPr="00AD2F44">
        <w:rPr>
          <w:i/>
          <w:iCs/>
        </w:rPr>
        <w:t>Fifth Circuit:</w:t>
      </w:r>
      <w:r w:rsidRPr="00AD2F44">
        <w:t xml:space="preserve"> Johnson v. Big Lots Stores, Inc., 561 F. Supp. 2d 567, 569–70 (E.D. La. 2008) (permitting representative discovery on 80 of 936-member opt-in class, or 4.3%).</w:t>
      </w:r>
    </w:p>
    <w:p w14:paraId="0B0B9487" w14:textId="77777777" w:rsidR="004322B1" w:rsidRPr="00AD2F44" w:rsidRDefault="004322B1">
      <w:pPr>
        <w:pStyle w:val="14Footnote"/>
      </w:pPr>
      <w:r w:rsidRPr="00AD2F44">
        <w:rPr>
          <w:i/>
          <w:iCs/>
        </w:rPr>
        <w:t>Eleventh Circuit:</w:t>
      </w:r>
      <w:r w:rsidRPr="00AD2F44">
        <w:t xml:space="preserve"> </w:t>
      </w:r>
      <w:r w:rsidRPr="00AD2F44">
        <w:rPr>
          <w:i/>
          <w:iCs/>
        </w:rPr>
        <w:t>Bradford</w:t>
      </w:r>
      <w:r w:rsidRPr="00AD2F44">
        <w:t>, 184 F. Supp. 2d at 1344 (“[T]he parties were allowed to conduct discovery from 25 of the [more than 300] opt-in plaintiffs, including the named plaintiffs and six other opt-in plaintiffs chosen by defendant.”).</w:t>
      </w:r>
    </w:p>
  </w:footnote>
  <w:footnote w:id="628">
    <w:p w14:paraId="564DA9D3" w14:textId="77777777" w:rsidR="004322B1" w:rsidRPr="00AD2F44" w:rsidRDefault="004322B1">
      <w:pPr>
        <w:pStyle w:val="14Footnote"/>
      </w:pPr>
      <w:r w:rsidRPr="00AD2F44">
        <w:rPr>
          <w:vertAlign w:val="superscript"/>
        </w:rPr>
        <w:footnoteRef/>
      </w:r>
      <w:r w:rsidRPr="00AD2F44">
        <w:t xml:space="preserve">1994 U.S. Dist. LEXIS 1495 (E.D. Pa. 1994). </w:t>
      </w:r>
    </w:p>
  </w:footnote>
  <w:footnote w:id="629">
    <w:p w14:paraId="7C78F8FD" w14:textId="77777777" w:rsidR="004322B1" w:rsidRPr="00940A4B" w:rsidRDefault="004322B1">
      <w:pPr>
        <w:pStyle w:val="14Footnote"/>
      </w:pPr>
      <w:r w:rsidRPr="00AD2F44">
        <w:rPr>
          <w:vertAlign w:val="superscript"/>
        </w:rPr>
        <w:footnoteRef/>
      </w:r>
      <w:r w:rsidRPr="00AD2F44">
        <w:rPr>
          <w:i/>
          <w:iCs/>
        </w:rPr>
        <w:t>Id.</w:t>
      </w:r>
      <w:r w:rsidRPr="00AD2F44">
        <w:t xml:space="preserve"> at *8; </w:t>
      </w:r>
      <w:r w:rsidRPr="00AD2F44">
        <w:rPr>
          <w:i/>
          <w:iCs/>
        </w:rPr>
        <w:t>see also</w:t>
      </w:r>
      <w:r w:rsidRPr="00AD2F44">
        <w:t xml:space="preserve"> Prentice v. Fund for Pub. Interest Rsch., 2007 WL 2729187, at *5 (N.D. Cal. Sept. 18, 2007) (“[I]individualized discovery is rarely appropriate in FLSA collective actions.”).</w:t>
      </w:r>
      <w:r>
        <w:t xml:space="preserve"> </w:t>
      </w:r>
    </w:p>
  </w:footnote>
  <w:footnote w:id="630">
    <w:p w14:paraId="47F4ECFC" w14:textId="77777777" w:rsidR="004322B1" w:rsidRPr="00AD2F44" w:rsidRDefault="004322B1">
      <w:pPr>
        <w:pStyle w:val="14Footnote"/>
      </w:pPr>
      <w:r w:rsidRPr="00AD2F44">
        <w:rPr>
          <w:vertAlign w:val="superscript"/>
        </w:rPr>
        <w:footnoteRef/>
      </w:r>
      <w:r w:rsidRPr="00AD2F44">
        <w:rPr>
          <w:i/>
        </w:rPr>
        <w:t>See</w:t>
      </w:r>
    </w:p>
    <w:p w14:paraId="1A3448C1" w14:textId="77777777" w:rsidR="004322B1" w:rsidRPr="00AD2F44" w:rsidRDefault="004322B1">
      <w:pPr>
        <w:pStyle w:val="14Footnote"/>
      </w:pPr>
      <w:r w:rsidRPr="00AD2F44">
        <w:rPr>
          <w:i/>
          <w:iCs/>
        </w:rPr>
        <w:t xml:space="preserve">Fourth Circuit: </w:t>
      </w:r>
      <w:r w:rsidRPr="00AD2F44">
        <w:t>Jones v. Hoffberger Moving Servs. LLC, 2014 U.S. Dist. LEXIS 23788, at *7 (D. Md. Feb. 24, 2014) (allowing for representative discovery despite small collective size because, in part, one of the primary objectives of §216(b) is to allow plaintiffs to lower costs by pooling resources).</w:t>
      </w:r>
    </w:p>
    <w:p w14:paraId="62D7D958" w14:textId="77777777" w:rsidR="004322B1" w:rsidRPr="00AD2F44" w:rsidRDefault="004322B1">
      <w:pPr>
        <w:pStyle w:val="14Footnote"/>
      </w:pPr>
      <w:r w:rsidRPr="00AD2F44">
        <w:rPr>
          <w:i/>
          <w:iCs/>
        </w:rPr>
        <w:t>Fifth Circuit:</w:t>
      </w:r>
      <w:r w:rsidRPr="00AD2F44">
        <w:t xml:space="preserve"> Nelson v. American Standard, Inc., 2009 WL 4730166, at *3 (E.D. Tex. Dec. 4, 2009) (explaining that, in limiting written discovery to same sample of 91 opt-in plaintiffs and named plaintiffs out of 1,328 class members parties had agreed on for oral discovery, court would “minimize[] the burden imposed on the plaintiffs”).</w:t>
      </w:r>
    </w:p>
    <w:p w14:paraId="0DB9FEE1" w14:textId="77777777" w:rsidR="004322B1" w:rsidRPr="00AD2F44" w:rsidRDefault="004322B1">
      <w:pPr>
        <w:pStyle w:val="14Footnote"/>
      </w:pPr>
      <w:r w:rsidRPr="00AD2F44">
        <w:rPr>
          <w:i/>
          <w:iCs/>
        </w:rPr>
        <w:t>Eighth Circuit:</w:t>
      </w:r>
      <w:r w:rsidRPr="00AD2F44">
        <w:t xml:space="preserve"> </w:t>
      </w:r>
      <w:r w:rsidRPr="00AD2F44">
        <w:rPr>
          <w:i/>
          <w:iCs/>
        </w:rPr>
        <w:t>Perrin</w:t>
      </w:r>
      <w:r w:rsidRPr="00AD2F44">
        <w:t>, 2014 WL 4749547, at *3–5 (stating that discovery from every opt-in would be “unduly burdensome, unnecessary, and likely to undermine efficiency interests”).</w:t>
      </w:r>
    </w:p>
    <w:p w14:paraId="3373C585" w14:textId="77777777" w:rsidR="004322B1" w:rsidRPr="00AD2F44" w:rsidRDefault="004322B1">
      <w:pPr>
        <w:pStyle w:val="14Footnote"/>
      </w:pPr>
      <w:r w:rsidRPr="00AD2F44">
        <w:rPr>
          <w:i/>
          <w:iCs/>
        </w:rPr>
        <w:t>Ninth Circuit:</w:t>
      </w:r>
      <w:r w:rsidRPr="00AD2F44">
        <w:t xml:space="preserve"> Cranney v. Carriage Servs., Inc., 2008 WL 2457912, at *15 (D. Nev. June 16, 2008) (“Permitting the full scope of discovery authorized by the Federal Rules of Civil Procedure would undermine the purpose of conditionally certifying a collective action and would be unreasonably burdensome and wasteful of the parties’ and the court’s resources.”).</w:t>
      </w:r>
    </w:p>
    <w:p w14:paraId="7B6D599A" w14:textId="77777777" w:rsidR="004322B1" w:rsidRPr="00AD2F44" w:rsidRDefault="004322B1">
      <w:pPr>
        <w:pStyle w:val="14Footnote"/>
      </w:pPr>
      <w:r w:rsidRPr="00AD2F44">
        <w:rPr>
          <w:i/>
          <w:iCs/>
        </w:rPr>
        <w:t>Tenth Circuit:</w:t>
      </w:r>
      <w:r w:rsidRPr="00AD2F44">
        <w:t xml:space="preserve"> Geer v. Challenge Fin. Investors Corp., 2007 WL 1341774, at *13 (D. Kan. May 4, 2007) (“[T]he Court finds that the burden and expense the requested discovery (depositions of [all 272] opt-in plaintiff[s]) would impose on Plaintiffs clearly outweighs the likely benefit of such discovery.”); </w:t>
      </w:r>
      <w:r w:rsidRPr="00AD2F44">
        <w:rPr>
          <w:i/>
          <w:iCs/>
        </w:rPr>
        <w:t>In re</w:t>
      </w:r>
      <w:r w:rsidRPr="00AD2F44">
        <w:t xml:space="preserve"> American Family Mut. Ins. Co. Overtime Pay Litig., 2009 WL 1120293, at *4 (D. Colo. Apr. 27, 2009) (holding that defendant was “not entitled to individualized discovery from each and every opt-in [p]laintiff, but rather discovery from a certain number of [p]laintiffs”).</w:t>
      </w:r>
    </w:p>
    <w:p w14:paraId="2D13646E" w14:textId="77777777" w:rsidR="004322B1" w:rsidRPr="00AD2F44" w:rsidRDefault="004322B1">
      <w:pPr>
        <w:pStyle w:val="14Footnote"/>
      </w:pPr>
      <w:r w:rsidRPr="00AD2F44">
        <w:rPr>
          <w:i/>
          <w:iCs/>
        </w:rPr>
        <w:t xml:space="preserve">But see </w:t>
      </w:r>
      <w:r w:rsidRPr="00AD2F44">
        <w:t>Renfro v. Spartan Comput. Servs., Inc., 2008 U.S. Dist. LEXIS 24269, at *4 (D. Kan. Mar. 26, 2008) (explaining that burden on each individual opt-in plaintiff is not significant).</w:t>
      </w:r>
    </w:p>
  </w:footnote>
  <w:footnote w:id="631">
    <w:p w14:paraId="5C00909F" w14:textId="77777777" w:rsidR="004322B1" w:rsidRPr="00AD2F44" w:rsidRDefault="004322B1">
      <w:pPr>
        <w:pStyle w:val="14Footnote"/>
      </w:pPr>
      <w:r w:rsidRPr="00AD2F44">
        <w:rPr>
          <w:vertAlign w:val="superscript"/>
        </w:rPr>
        <w:footnoteRef/>
      </w:r>
      <w:r w:rsidRPr="00AD2F44">
        <w:rPr>
          <w:i/>
          <w:iCs/>
        </w:rPr>
        <w:t>See</w:t>
      </w:r>
      <w:r w:rsidRPr="00AD2F44">
        <w:t xml:space="preserve"> Dernovish v. AT&amp;T Operations, Inc., 720 F. Supp. 2d 1085, 1087–88 (W.D. Mo. 2010) (allowing limited interrogatories to all class members in greater-than-1,000 member class, but, analogizing to Rule 23, finding that full discovery was inconsistent with “efficiencies” of “collective/class action,” and that much of information—relating to defendant’s policies on logging in and time spent doing so—could be found in defendant’s policies and records, not plaintiffs’ memories); Adkins v. Mid-America Growers, Inc., 141 F.R.D. 466, 468 (N.D. Ill. 1992) (holding that individual discovery should not have been allowed in a certified collective action of agricultural workers seeking overtime, relying on Rule 23 reasoning that such discovery undermines the class action device, “whether prior to class certification or after”). In a later decision in the same case, the court acknowledged that differences exist between Rule 23 and FLSA §216(b) actions, but nonetheless rejected individualized discovery of opt-in plaintiffs, and held that representative depositions and written discovery were more appropriate. </w:t>
      </w:r>
      <w:r w:rsidRPr="00AD2F44">
        <w:rPr>
          <w:i/>
          <w:iCs/>
        </w:rPr>
        <w:t>See</w:t>
      </w:r>
      <w:r w:rsidRPr="00AD2F44">
        <w:t xml:space="preserve"> Adkins v. Mid-America Growers, Inc., 143 F.R.D. 171, 174 (N.D. Ill. 1992) (</w:t>
      </w:r>
      <w:r w:rsidRPr="00AD2F44">
        <w:rPr>
          <w:i/>
          <w:iCs/>
        </w:rPr>
        <w:t>Adkins II</w:t>
      </w:r>
      <w:r w:rsidRPr="00AD2F44">
        <w:t>).</w:t>
      </w:r>
    </w:p>
  </w:footnote>
  <w:footnote w:id="632">
    <w:p w14:paraId="1CB91A9A" w14:textId="77777777" w:rsidR="004322B1" w:rsidRPr="00AD2F44" w:rsidRDefault="004322B1">
      <w:pPr>
        <w:pStyle w:val="14Footnote"/>
      </w:pPr>
      <w:r w:rsidRPr="00AD2F44">
        <w:rPr>
          <w:vertAlign w:val="superscript"/>
        </w:rPr>
        <w:footnoteRef/>
      </w:r>
      <w:r w:rsidRPr="00AD2F44">
        <w:rPr>
          <w:i/>
          <w:iCs/>
        </w:rPr>
        <w:t xml:space="preserve">Third Circuit: </w:t>
      </w:r>
      <w:r w:rsidRPr="00AD2F44">
        <w:t>Goodman v. Burlington Coat Factory Warehouse Corp., 292 F.R.D. 230, 231–34 (D.N.J. 2013) (in 567-person collective action, ordering that defendant could depose four lead plaintiffs, an additional 30 opt-ins, and any plaintiff who would testify at trial, and that defendant could serve interrogatories on all plaintiffs it sought to depose plus an additional 25 plaintiffs; parties directed to meet and confer about remaining written discovery).</w:t>
      </w:r>
    </w:p>
    <w:p w14:paraId="043E3C92" w14:textId="77777777" w:rsidR="004322B1" w:rsidRPr="00AD2F44" w:rsidRDefault="004322B1">
      <w:pPr>
        <w:pStyle w:val="14Footnote"/>
      </w:pPr>
      <w:r w:rsidRPr="00AD2F44">
        <w:rPr>
          <w:i/>
          <w:iCs/>
        </w:rPr>
        <w:t>Fifth Circuit:</w:t>
      </w:r>
      <w:r w:rsidRPr="00AD2F44">
        <w:t xml:space="preserve"> </w:t>
      </w:r>
      <w:r w:rsidRPr="00AD2F44">
        <w:rPr>
          <w:i/>
          <w:iCs/>
        </w:rPr>
        <w:t>Nelson</w:t>
      </w:r>
      <w:r w:rsidRPr="00AD2F44">
        <w:t>, 2009 WL 4730166, at *3 (holding that representative sample would give defendants “reasonable opportunity” to develop evidence for their defenses) (quoting Smith v. Lowe’s Home Ctrs., 236 F.R.D. 354, 357–58 (S.D. Ohio 2006)).</w:t>
      </w:r>
    </w:p>
    <w:p w14:paraId="62A67079" w14:textId="77777777" w:rsidR="004322B1" w:rsidRPr="00AD2F44" w:rsidRDefault="004322B1">
      <w:pPr>
        <w:pStyle w:val="14Footnote"/>
      </w:pPr>
      <w:r w:rsidRPr="00AD2F44">
        <w:rPr>
          <w:i/>
          <w:iCs/>
        </w:rPr>
        <w:t>Sixth Circuit:</w:t>
      </w:r>
      <w:r w:rsidRPr="00AD2F44">
        <w:t xml:space="preserve"> </w:t>
      </w:r>
      <w:r w:rsidRPr="00AD2F44">
        <w:rPr>
          <w:i/>
          <w:iCs/>
        </w:rPr>
        <w:t>Smith</w:t>
      </w:r>
      <w:r w:rsidRPr="00AD2F44">
        <w:t>, 236 F.R.D. at 357–58.</w:t>
      </w:r>
    </w:p>
    <w:p w14:paraId="2635BE15" w14:textId="77777777" w:rsidR="004322B1" w:rsidRPr="00AD2F44" w:rsidRDefault="004322B1">
      <w:pPr>
        <w:pStyle w:val="14Footnote"/>
      </w:pPr>
      <w:r w:rsidRPr="00AD2F44">
        <w:rPr>
          <w:i/>
          <w:iCs/>
        </w:rPr>
        <w:t>Seventh Circuit:</w:t>
      </w:r>
      <w:r w:rsidRPr="00AD2F44">
        <w:t xml:space="preserve"> O’Toole v. Sears Roebuck &amp; Co., 2014 U.S. Dist. LEXIS 49408, at *13–14 (N.D. Ill. Apr. 10, 2014) (in 700-plaintiff collective action, ordering that defendant may serve written discovery on 33% of the class and take depositions of 10% of the class, and that defendant may select those in the representative groups subject to discovery).</w:t>
      </w:r>
    </w:p>
  </w:footnote>
  <w:footnote w:id="633">
    <w:p w14:paraId="76C9E339" w14:textId="77777777" w:rsidR="004322B1" w:rsidRPr="00AD2F44" w:rsidRDefault="004322B1">
      <w:pPr>
        <w:pStyle w:val="14Footnote"/>
      </w:pPr>
      <w:r w:rsidRPr="00AD2F44">
        <w:rPr>
          <w:vertAlign w:val="superscript"/>
        </w:rPr>
        <w:footnoteRef/>
      </w:r>
      <w:r w:rsidRPr="00AD2F44">
        <w:rPr>
          <w:i/>
          <w:iCs/>
        </w:rPr>
        <w:t>Fifth Circuit:</w:t>
      </w:r>
      <w:r w:rsidRPr="00AD2F44">
        <w:t xml:space="preserve"> </w:t>
      </w:r>
      <w:r w:rsidRPr="00AD2F44">
        <w:rPr>
          <w:i/>
          <w:iCs/>
        </w:rPr>
        <w:t>Nelson</w:t>
      </w:r>
      <w:r w:rsidRPr="00AD2F44">
        <w:t>, 2009 WL 4730166, at *3 (limiting written discovery to same sample of 91 opt-in plaintiffs and named plaintiffs out of 1,328 class members parties had agreed on for oral discovery, but allowing defendants to later move to expand discovery upon showing it was “appropriate and necessary”).</w:t>
      </w:r>
    </w:p>
    <w:p w14:paraId="3A1EF95E" w14:textId="77777777" w:rsidR="004322B1" w:rsidRPr="00AD2F44" w:rsidRDefault="004322B1">
      <w:pPr>
        <w:pStyle w:val="14Footnote"/>
      </w:pPr>
      <w:r w:rsidRPr="00AD2F44">
        <w:rPr>
          <w:i/>
          <w:iCs/>
        </w:rPr>
        <w:t>Sixth Circuit:</w:t>
      </w:r>
      <w:r w:rsidRPr="00AD2F44">
        <w:t xml:space="preserve"> </w:t>
      </w:r>
      <w:r w:rsidRPr="002F69CA">
        <w:t>Branson v. All</w:t>
      </w:r>
      <w:r>
        <w:t>iance</w:t>
      </w:r>
      <w:r w:rsidRPr="002F69CA">
        <w:t xml:space="preserve"> Coal, LLC</w:t>
      </w:r>
      <w:r w:rsidRPr="000B3E9D">
        <w:t xml:space="preserve">, </w:t>
      </w:r>
      <w:r w:rsidRPr="000E7FEF">
        <w:t>2022 BL 242650</w:t>
      </w:r>
      <w:r>
        <w:t xml:space="preserve">, </w:t>
      </w:r>
      <w:r w:rsidRPr="000B3E9D">
        <w:t>2022 WL 2717625, at *9 (W.D. Ky. July 13, 2022)</w:t>
      </w:r>
      <w:r>
        <w:t xml:space="preserve"> (limiting both parties to representative discovery, but permitting either party to seek broader discovery by motion if circumstances warrant); </w:t>
      </w:r>
      <w:r w:rsidRPr="00AD2F44">
        <w:rPr>
          <w:i/>
          <w:iCs/>
        </w:rPr>
        <w:t>Smith</w:t>
      </w:r>
      <w:r w:rsidRPr="00AD2F44">
        <w:t>, 236 F.R.D. at 357–58.</w:t>
      </w:r>
    </w:p>
    <w:p w14:paraId="51516822" w14:textId="77777777" w:rsidR="004322B1" w:rsidRPr="00AD2F44" w:rsidRDefault="004322B1">
      <w:pPr>
        <w:pStyle w:val="14Footnote"/>
      </w:pPr>
      <w:r w:rsidRPr="00AD2F44">
        <w:rPr>
          <w:i/>
          <w:iCs/>
        </w:rPr>
        <w:t>Seventh Circuit: Adkins II,</w:t>
      </w:r>
      <w:r w:rsidRPr="00AD2F44">
        <w:t xml:space="preserve"> 143 F.R.D. at 175.</w:t>
      </w:r>
    </w:p>
    <w:p w14:paraId="3B14CA27" w14:textId="77777777" w:rsidR="004322B1" w:rsidRPr="00AD2F44" w:rsidRDefault="004322B1">
      <w:pPr>
        <w:pStyle w:val="14Footnote"/>
      </w:pPr>
      <w:r w:rsidRPr="00AD2F44">
        <w:rPr>
          <w:i/>
          <w:iCs/>
        </w:rPr>
        <w:t>Tenth Circuit:</w:t>
      </w:r>
      <w:r w:rsidRPr="00AD2F44">
        <w:t xml:space="preserve"> </w:t>
      </w:r>
      <w:r w:rsidRPr="00AD2F44">
        <w:rPr>
          <w:i/>
          <w:iCs/>
        </w:rPr>
        <w:t>Geer</w:t>
      </w:r>
      <w:r w:rsidRPr="00AD2F44">
        <w:t>, 2007 WL 1341774, at *2.</w:t>
      </w:r>
    </w:p>
  </w:footnote>
  <w:footnote w:id="634">
    <w:p w14:paraId="279BFFEE" w14:textId="77777777" w:rsidR="004322B1" w:rsidRPr="00AD2F44" w:rsidRDefault="004322B1">
      <w:pPr>
        <w:pStyle w:val="14Footnote"/>
      </w:pPr>
      <w:r w:rsidRPr="00AD2F44">
        <w:rPr>
          <w:vertAlign w:val="superscript"/>
        </w:rPr>
        <w:footnoteRef/>
      </w:r>
      <w:r w:rsidRPr="00AD2F44">
        <w:rPr>
          <w:i/>
          <w:iCs/>
        </w:rPr>
        <w:t>Geer</w:t>
      </w:r>
      <w:r w:rsidRPr="00AD2F44">
        <w:t xml:space="preserve">, 2007 WL 1341774, at *2; </w:t>
      </w:r>
      <w:r w:rsidRPr="00AD2F44">
        <w:rPr>
          <w:i/>
          <w:iCs/>
        </w:rPr>
        <w:t>Smith</w:t>
      </w:r>
      <w:r w:rsidRPr="00AD2F44">
        <w:t xml:space="preserve">, 236 F.R.D. at 357–58; </w:t>
      </w:r>
      <w:r w:rsidRPr="00AD2F44">
        <w:rPr>
          <w:i/>
          <w:iCs/>
        </w:rPr>
        <w:t>cf</w:t>
      </w:r>
      <w:r w:rsidRPr="00AD2F44">
        <w:t>. Falcon v. Starbucks Corp., 580 F. Supp. 2d 528 (S.D. Tex. 2008) (parties agreed to conduct sample discovery of 18 opt-in plaintiffs).</w:t>
      </w:r>
    </w:p>
  </w:footnote>
  <w:footnote w:id="635">
    <w:p w14:paraId="26B6050F" w14:textId="77777777" w:rsidR="004322B1" w:rsidRPr="00AD2F44" w:rsidRDefault="004322B1">
      <w:pPr>
        <w:pStyle w:val="14Footnote"/>
      </w:pPr>
      <w:r w:rsidRPr="00AD2F44">
        <w:rPr>
          <w:vertAlign w:val="superscript"/>
        </w:rPr>
        <w:footnoteRef/>
      </w:r>
      <w:r w:rsidRPr="00AD2F44">
        <w:rPr>
          <w:i/>
        </w:rPr>
        <w:t>See</w:t>
      </w:r>
    </w:p>
    <w:p w14:paraId="2FECE1BF" w14:textId="77777777" w:rsidR="004322B1" w:rsidRPr="00AD2F44" w:rsidRDefault="004322B1">
      <w:pPr>
        <w:pStyle w:val="14Footnote"/>
      </w:pPr>
      <w:r w:rsidRPr="00AD2F44">
        <w:rPr>
          <w:i/>
          <w:iCs/>
        </w:rPr>
        <w:t>Sixth Circuit:</w:t>
      </w:r>
      <w:r w:rsidRPr="00AD2F44">
        <w:t xml:space="preserve"> </w:t>
      </w:r>
      <w:r w:rsidRPr="00AD2F44">
        <w:rPr>
          <w:i/>
          <w:iCs/>
        </w:rPr>
        <w:t>Smith</w:t>
      </w:r>
      <w:r w:rsidRPr="00AD2F44">
        <w:t>, 236 F.R.D. at 356 (citing Rule 26 in setting forth “standard” for deciding motion for protective order limiting discovery to representative sample of opt-ins).</w:t>
      </w:r>
    </w:p>
    <w:p w14:paraId="2D9D394D" w14:textId="77777777" w:rsidR="004322B1" w:rsidRPr="00AD2F44" w:rsidRDefault="004322B1">
      <w:pPr>
        <w:pStyle w:val="14Footnote"/>
      </w:pPr>
      <w:r w:rsidRPr="00AD2F44">
        <w:rPr>
          <w:i/>
          <w:iCs/>
        </w:rPr>
        <w:t>Seventh Circuit:</w:t>
      </w:r>
      <w:r w:rsidRPr="00AD2F44">
        <w:t xml:space="preserve"> Russell v. Illinois Bell Tel. Co., 2009 WL 1209025, at *3 (N.D. Ill. Apr. 30, 2009).</w:t>
      </w:r>
    </w:p>
    <w:p w14:paraId="03ABFB72" w14:textId="77777777" w:rsidR="004322B1" w:rsidRPr="00AD2F44" w:rsidRDefault="004322B1">
      <w:pPr>
        <w:pStyle w:val="14Footnote"/>
      </w:pPr>
      <w:r w:rsidRPr="00AD2F44">
        <w:rPr>
          <w:i/>
          <w:iCs/>
        </w:rPr>
        <w:t>Eighth Circuit:</w:t>
      </w:r>
      <w:r w:rsidRPr="00AD2F44">
        <w:t xml:space="preserve"> Fast v. Applebee’s Int’l, Inc., 2008 WL 5432288, at *1–2 (W.D. Mo. Dec. 31, 2008) (denying motion to compel discovery responses of unduly burdensome interrogatories where, among other reasons, “the detailed information requested [was] impossible for any normal person to answer, much less the average hourly employee”); Casas v. Conseco Fin. Corp., 2002 U.S. Dist. LEXIS 3097, at *5–8 (D. Minn. Feb. 15, 2002).</w:t>
      </w:r>
    </w:p>
    <w:p w14:paraId="77D9E7ED" w14:textId="77777777" w:rsidR="004322B1" w:rsidRPr="00AD2F44" w:rsidRDefault="004322B1">
      <w:pPr>
        <w:pStyle w:val="14Footnote"/>
      </w:pPr>
      <w:r w:rsidRPr="00AD2F44">
        <w:rPr>
          <w:i/>
          <w:iCs/>
        </w:rPr>
        <w:t>Ninth Circuit:</w:t>
      </w:r>
      <w:r w:rsidRPr="00AD2F44">
        <w:t xml:space="preserve"> Cranney v. Carriage Servs., Inc., 2008 WL 2457912, at *3 (D. Nev. June 16, 2008).</w:t>
      </w:r>
    </w:p>
    <w:p w14:paraId="7DA3730B" w14:textId="77777777" w:rsidR="004322B1" w:rsidRPr="00AD2F44" w:rsidRDefault="004322B1">
      <w:pPr>
        <w:pStyle w:val="14Footnote"/>
      </w:pPr>
      <w:r w:rsidRPr="00AD2F44">
        <w:rPr>
          <w:i/>
          <w:iCs/>
        </w:rPr>
        <w:t>Tenth Circuit:</w:t>
      </w:r>
      <w:r w:rsidRPr="00AD2F44">
        <w:t xml:space="preserve"> </w:t>
      </w:r>
      <w:r w:rsidRPr="00AD2F44">
        <w:rPr>
          <w:i/>
          <w:iCs/>
        </w:rPr>
        <w:t>Geer</w:t>
      </w:r>
      <w:r w:rsidRPr="00AD2F44">
        <w:t>, 2007 WL 1341774, at *3–5.</w:t>
      </w:r>
    </w:p>
  </w:footnote>
  <w:footnote w:id="636">
    <w:p w14:paraId="02816842" w14:textId="77777777" w:rsidR="004322B1" w:rsidRPr="00AD2F44" w:rsidRDefault="004322B1">
      <w:pPr>
        <w:pStyle w:val="14Footnote"/>
      </w:pPr>
      <w:r w:rsidRPr="00AD2F44">
        <w:rPr>
          <w:vertAlign w:val="superscript"/>
        </w:rPr>
        <w:footnoteRef/>
      </w:r>
      <w:r w:rsidRPr="00AD2F44">
        <w:t>2007 WL 1341774 (D. Kan. May 4, 2007).</w:t>
      </w:r>
    </w:p>
  </w:footnote>
  <w:footnote w:id="637">
    <w:p w14:paraId="398957CF" w14:textId="77777777" w:rsidR="004322B1" w:rsidRPr="00AD2F44" w:rsidRDefault="004322B1">
      <w:pPr>
        <w:pStyle w:val="14Footnote"/>
      </w:pPr>
      <w:r w:rsidRPr="00AD2F44">
        <w:rPr>
          <w:vertAlign w:val="superscript"/>
        </w:rPr>
        <w:footnoteRef/>
      </w:r>
      <w:r w:rsidRPr="00AD2F44">
        <w:rPr>
          <w:i/>
          <w:iCs/>
        </w:rPr>
        <w:t xml:space="preserve">Id. </w:t>
      </w:r>
      <w:r w:rsidRPr="00AD2F44">
        <w:t>at *2.</w:t>
      </w:r>
    </w:p>
  </w:footnote>
  <w:footnote w:id="638">
    <w:p w14:paraId="64FA8401" w14:textId="77777777" w:rsidR="004322B1" w:rsidRPr="00AD2F44" w:rsidRDefault="004322B1">
      <w:pPr>
        <w:pStyle w:val="14Footnote"/>
      </w:pPr>
      <w:r w:rsidRPr="00AD2F44">
        <w:rPr>
          <w:vertAlign w:val="superscript"/>
        </w:rPr>
        <w:footnoteRef/>
      </w:r>
      <w:r w:rsidRPr="00AD2F44">
        <w:rPr>
          <w:i/>
        </w:rPr>
        <w:t>Id.</w:t>
      </w:r>
    </w:p>
  </w:footnote>
  <w:footnote w:id="639">
    <w:p w14:paraId="79A7091B" w14:textId="77777777" w:rsidR="004322B1" w:rsidRPr="00AD2F44" w:rsidRDefault="004322B1">
      <w:pPr>
        <w:pStyle w:val="14Footnote"/>
      </w:pPr>
      <w:r w:rsidRPr="00AD2F44">
        <w:rPr>
          <w:vertAlign w:val="superscript"/>
        </w:rPr>
        <w:footnoteRef/>
      </w:r>
      <w:r w:rsidRPr="00AD2F44">
        <w:t>2006 WL 1867471 (D. Kan. June 30, 2006).</w:t>
      </w:r>
    </w:p>
  </w:footnote>
  <w:footnote w:id="640">
    <w:p w14:paraId="18153C7C" w14:textId="77777777" w:rsidR="004322B1" w:rsidRPr="00AD2F44" w:rsidRDefault="004322B1">
      <w:pPr>
        <w:pStyle w:val="14Footnote"/>
      </w:pPr>
      <w:r w:rsidRPr="00AD2F44">
        <w:rPr>
          <w:vertAlign w:val="superscript"/>
        </w:rPr>
        <w:footnoteRef/>
      </w:r>
      <w:r w:rsidRPr="00AD2F44">
        <w:rPr>
          <w:i/>
          <w:iCs/>
        </w:rPr>
        <w:t>Geer</w:t>
      </w:r>
      <w:r w:rsidRPr="00AD2F44">
        <w:t xml:space="preserve">, 2007 WL 1341774, at *2 (citing </w:t>
      </w:r>
      <w:r w:rsidRPr="00AD2F44">
        <w:rPr>
          <w:i/>
          <w:iCs/>
        </w:rPr>
        <w:t>Williams</w:t>
      </w:r>
      <w:r w:rsidRPr="00AD2F44">
        <w:t>, 2006 WL 1867471).</w:t>
      </w:r>
    </w:p>
  </w:footnote>
  <w:footnote w:id="641">
    <w:p w14:paraId="01BE1547"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(citing </w:t>
      </w:r>
      <w:r w:rsidRPr="00AD2F44">
        <w:rPr>
          <w:smallCaps/>
        </w:rPr>
        <w:t>Federal Judicial Center, Manual for Complex Litigation, §11.45</w:t>
      </w:r>
      <w:r w:rsidRPr="00AD2F44">
        <w:t xml:space="preserve"> (4th ed. 2004) (“The judge should manage the litigation so as to avoid unnecessary depositions, limit the number and length of those that are taken, and ensure that the process of taking depositions is as fair and efficient as possible.”)).</w:t>
      </w:r>
    </w:p>
  </w:footnote>
  <w:footnote w:id="642">
    <w:p w14:paraId="7442E90E" w14:textId="77777777" w:rsidR="004322B1" w:rsidRPr="00AD2F44" w:rsidRDefault="004322B1">
      <w:pPr>
        <w:pStyle w:val="14Footnote"/>
      </w:pPr>
      <w:r w:rsidRPr="00AD2F44">
        <w:rPr>
          <w:vertAlign w:val="superscript"/>
        </w:rPr>
        <w:footnoteRef/>
      </w:r>
      <w:r w:rsidRPr="00AD2F44">
        <w:t xml:space="preserve">2008 U.S. Dist. LEXIS 24269 (D. Kan. Mar. 26, 2008). </w:t>
      </w:r>
    </w:p>
  </w:footnote>
  <w:footnote w:id="643">
    <w:p w14:paraId="45F3BAFE" w14:textId="77777777" w:rsidR="004322B1" w:rsidRPr="00AD2F44" w:rsidRDefault="004322B1">
      <w:pPr>
        <w:pStyle w:val="14Footnote"/>
      </w:pPr>
      <w:r w:rsidRPr="00AD2F44">
        <w:rPr>
          <w:vertAlign w:val="superscript"/>
        </w:rPr>
        <w:footnoteRef/>
      </w:r>
      <w:r w:rsidRPr="00AD2F44">
        <w:rPr>
          <w:i/>
          <w:iCs/>
        </w:rPr>
        <w:t>Id.</w:t>
      </w:r>
      <w:r w:rsidRPr="00AD2F44">
        <w:t xml:space="preserve"> at *8 (denying plaintiffs’ request for a “blanket rule against individualized discovery” and noting that plaintiffs had provided no authority for the proposition “that conditional certification of a collective action mandates representative discovery”).</w:t>
      </w:r>
    </w:p>
  </w:footnote>
  <w:footnote w:id="644">
    <w:p w14:paraId="32598B40" w14:textId="77777777" w:rsidR="004322B1" w:rsidRPr="00AD2F44" w:rsidRDefault="004322B1">
      <w:pPr>
        <w:pStyle w:val="14Footnote"/>
      </w:pPr>
      <w:r w:rsidRPr="00AD2F44">
        <w:rPr>
          <w:vertAlign w:val="superscript"/>
        </w:rPr>
        <w:footnoteRef/>
      </w:r>
      <w:r w:rsidRPr="00AD2F44">
        <w:t xml:space="preserve">1994 WL 45162 (E.D. Pa. Feb. 10, 1994). </w:t>
      </w:r>
    </w:p>
  </w:footnote>
  <w:footnote w:id="645">
    <w:p w14:paraId="303FDC16" w14:textId="77777777" w:rsidR="004322B1" w:rsidRPr="00AD2F44" w:rsidRDefault="004322B1">
      <w:pPr>
        <w:pStyle w:val="14Footnote"/>
      </w:pPr>
      <w:r w:rsidRPr="00AD2F44">
        <w:rPr>
          <w:vertAlign w:val="superscript"/>
        </w:rPr>
        <w:footnoteRef/>
      </w:r>
      <w:r w:rsidRPr="00AD2F44">
        <w:rPr>
          <w:i/>
          <w:iCs/>
        </w:rPr>
        <w:t>Renfro</w:t>
      </w:r>
      <w:r w:rsidRPr="00AD2F44">
        <w:t xml:space="preserve">, 2008 U.S. Dist. LEXIS 24269, at *11–12. The </w:t>
      </w:r>
      <w:r w:rsidRPr="00AD2F44">
        <w:rPr>
          <w:i/>
          <w:iCs/>
        </w:rPr>
        <w:t>Renfro</w:t>
      </w:r>
      <w:r w:rsidRPr="00AD2F44">
        <w:t xml:space="preserve"> court also distinguished </w:t>
      </w:r>
      <w:r w:rsidRPr="00AD2F44">
        <w:rPr>
          <w:i/>
          <w:iCs/>
        </w:rPr>
        <w:t>Geer</w:t>
      </w:r>
      <w:r w:rsidRPr="00AD2F44">
        <w:t xml:space="preserve">, 2007 WL 1341774, citing the much larger number of depositions at issue in </w:t>
      </w:r>
      <w:r w:rsidRPr="00AD2F44">
        <w:rPr>
          <w:i/>
          <w:iCs/>
        </w:rPr>
        <w:t>Geer</w:t>
      </w:r>
      <w:r w:rsidRPr="00AD2F44">
        <w:t xml:space="preserve"> (270 versus 27), the lack of any argument by plaintiffs that the 27 depositions would create efficiency problems, and the fact that </w:t>
      </w:r>
      <w:r w:rsidRPr="00AD2F44">
        <w:rPr>
          <w:i/>
          <w:iCs/>
        </w:rPr>
        <w:t>Geer</w:t>
      </w:r>
      <w:r w:rsidRPr="00AD2F44">
        <w:t xml:space="preserve"> dealt only with depositions and not written discovery, which did not present the same management problems as depositions. </w:t>
      </w:r>
      <w:r w:rsidRPr="00AD2F44">
        <w:rPr>
          <w:i/>
          <w:iCs/>
        </w:rPr>
        <w:t>Id</w:t>
      </w:r>
      <w:r w:rsidRPr="00AD2F44">
        <w:t>. at 10–11.</w:t>
      </w:r>
    </w:p>
  </w:footnote>
  <w:footnote w:id="646">
    <w:p w14:paraId="1CEAF68F" w14:textId="77777777" w:rsidR="004322B1" w:rsidRPr="00AD2F44" w:rsidRDefault="004322B1">
      <w:pPr>
        <w:pStyle w:val="14Footnote"/>
      </w:pPr>
      <w:r w:rsidRPr="00AD2F44">
        <w:rPr>
          <w:vertAlign w:val="superscript"/>
        </w:rPr>
        <w:footnoteRef/>
      </w:r>
      <w:r w:rsidRPr="00AD2F44">
        <w:rPr>
          <w:i/>
          <w:iCs/>
        </w:rPr>
        <w:t>Coldiron I</w:t>
      </w:r>
      <w:r w:rsidRPr="00AD2F44">
        <w:t>, 2004 U.S. Dist. LEXIS 23610 (C.D. Cal. Oct. 25, 2004).</w:t>
      </w:r>
    </w:p>
  </w:footnote>
  <w:footnote w:id="647">
    <w:p w14:paraId="7D01991F" w14:textId="77777777" w:rsidR="004322B1" w:rsidRPr="00AD2F44" w:rsidRDefault="004322B1">
      <w:pPr>
        <w:pStyle w:val="14Footnote"/>
      </w:pPr>
      <w:r w:rsidRPr="00AD2F44">
        <w:rPr>
          <w:vertAlign w:val="superscript"/>
        </w:rPr>
        <w:footnoteRef/>
      </w:r>
      <w:r w:rsidRPr="00AD2F44">
        <w:rPr>
          <w:i/>
          <w:iCs/>
        </w:rPr>
        <w:t>Id</w:t>
      </w:r>
      <w:r w:rsidRPr="00AD2F44">
        <w:t>. at *5–6 (collecting cases).</w:t>
      </w:r>
    </w:p>
  </w:footnote>
  <w:footnote w:id="648">
    <w:p w14:paraId="415C3DE9" w14:textId="77777777" w:rsidR="004322B1" w:rsidRPr="00AD2F44" w:rsidRDefault="004322B1">
      <w:pPr>
        <w:pStyle w:val="14Footnote"/>
      </w:pPr>
      <w:r w:rsidRPr="00AD2F44">
        <w:rPr>
          <w:vertAlign w:val="superscript"/>
        </w:rPr>
        <w:footnoteRef/>
      </w:r>
      <w:r w:rsidRPr="00AD2F44">
        <w:t>1991 WL 158943, at *3 (S.D. Fla. 1991) (ADEA collective action).</w:t>
      </w:r>
    </w:p>
  </w:footnote>
  <w:footnote w:id="649">
    <w:p w14:paraId="0ABFF308"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650">
    <w:p w14:paraId="00DB3627" w14:textId="77777777" w:rsidR="004322B1" w:rsidRPr="00AD2F44" w:rsidRDefault="004322B1">
      <w:pPr>
        <w:pStyle w:val="14Footnote"/>
      </w:pPr>
      <w:r w:rsidRPr="00AD2F44">
        <w:rPr>
          <w:vertAlign w:val="superscript"/>
        </w:rPr>
        <w:footnoteRef/>
      </w:r>
      <w:r w:rsidRPr="00AD2F44">
        <w:t>Coldiron v. Pizza Hut, Inc. (</w:t>
      </w:r>
      <w:r w:rsidRPr="00AD2F44">
        <w:rPr>
          <w:i/>
          <w:iCs/>
        </w:rPr>
        <w:t>Coldiron II</w:t>
      </w:r>
      <w:r w:rsidRPr="00AD2F44">
        <w:t>), 2004 U.S. Dist. LEXIS 23607, at *2 (C.D. Cal. Oct. 25, 2004).</w:t>
      </w:r>
    </w:p>
  </w:footnote>
  <w:footnote w:id="651">
    <w:p w14:paraId="74B92B24" w14:textId="77777777" w:rsidR="004322B1" w:rsidRPr="00AD2F44" w:rsidRDefault="004322B1">
      <w:pPr>
        <w:pStyle w:val="14Footnote"/>
      </w:pPr>
      <w:r w:rsidRPr="00AD2F44">
        <w:rPr>
          <w:vertAlign w:val="superscript"/>
        </w:rPr>
        <w:footnoteRef/>
      </w:r>
      <w:r w:rsidRPr="00AD2F44">
        <w:rPr>
          <w:i/>
          <w:iCs/>
        </w:rPr>
        <w:t>Id.</w:t>
      </w:r>
      <w:r w:rsidRPr="00AD2F44">
        <w:t xml:space="preserve"> at *2–3.</w:t>
      </w:r>
    </w:p>
  </w:footnote>
  <w:footnote w:id="652">
    <w:p w14:paraId="7EB8EE06" w14:textId="77777777" w:rsidR="004322B1" w:rsidRPr="00AD2F44" w:rsidRDefault="004322B1">
      <w:pPr>
        <w:pStyle w:val="14Footnote"/>
      </w:pPr>
      <w:r w:rsidRPr="00AD2F44">
        <w:rPr>
          <w:vertAlign w:val="superscript"/>
        </w:rPr>
        <w:footnoteRef/>
      </w:r>
      <w:r w:rsidRPr="00AD2F44">
        <w:t xml:space="preserve">163 F.R.D. 446 (S.D.N.Y. 1995). </w:t>
      </w:r>
    </w:p>
  </w:footnote>
  <w:footnote w:id="653">
    <w:p w14:paraId="179061C8" w14:textId="77777777" w:rsidR="004322B1" w:rsidRPr="00AD2F44" w:rsidRDefault="004322B1">
      <w:pPr>
        <w:pStyle w:val="14Footnote"/>
      </w:pPr>
      <w:r w:rsidRPr="00AD2F44">
        <w:rPr>
          <w:vertAlign w:val="superscript"/>
        </w:rPr>
        <w:footnoteRef/>
      </w:r>
      <w:r w:rsidRPr="00AD2F44">
        <w:rPr>
          <w:i/>
          <w:iCs/>
        </w:rPr>
        <w:t xml:space="preserve">Id. </w:t>
      </w:r>
      <w:r w:rsidRPr="00AD2F44">
        <w:t>at 452.</w:t>
      </w:r>
    </w:p>
  </w:footnote>
  <w:footnote w:id="654">
    <w:p w14:paraId="1903E40A" w14:textId="77777777" w:rsidR="004322B1" w:rsidRPr="00AD2F44" w:rsidRDefault="004322B1">
      <w:pPr>
        <w:pStyle w:val="14Footnote"/>
      </w:pPr>
      <w:r w:rsidRPr="00AD2F44">
        <w:rPr>
          <w:vertAlign w:val="superscript"/>
        </w:rPr>
        <w:footnoteRef/>
      </w:r>
      <w:r w:rsidRPr="00AD2F44">
        <w:rPr>
          <w:i/>
        </w:rPr>
        <w:t>Id.</w:t>
      </w:r>
    </w:p>
  </w:footnote>
  <w:footnote w:id="655">
    <w:p w14:paraId="455017D1" w14:textId="77777777" w:rsidR="004322B1" w:rsidRPr="00AD2F44" w:rsidRDefault="004322B1">
      <w:pPr>
        <w:pStyle w:val="14Footnote"/>
      </w:pPr>
      <w:r w:rsidRPr="00AD2F44">
        <w:rPr>
          <w:vertAlign w:val="superscript"/>
        </w:rPr>
        <w:footnoteRef/>
      </w:r>
      <w:r w:rsidRPr="00AD2F44">
        <w:t>2019 U.S. Dist. LEXIS 222312 (D. Mass. Dec. 30, 2019).</w:t>
      </w:r>
    </w:p>
  </w:footnote>
  <w:footnote w:id="656">
    <w:p w14:paraId="2CAE9201" w14:textId="77777777" w:rsidR="004322B1" w:rsidRPr="00AD2F44" w:rsidRDefault="004322B1">
      <w:pPr>
        <w:pStyle w:val="14Footnote"/>
      </w:pPr>
      <w:r w:rsidRPr="00AD2F44">
        <w:rPr>
          <w:vertAlign w:val="superscript"/>
        </w:rPr>
        <w:footnoteRef/>
      </w:r>
      <w:r w:rsidRPr="00AD2F44">
        <w:rPr>
          <w:i/>
          <w:iCs/>
        </w:rPr>
        <w:t xml:space="preserve">Id. </w:t>
      </w:r>
      <w:r w:rsidRPr="00AD2F44">
        <w:t>at *4–5.</w:t>
      </w:r>
    </w:p>
  </w:footnote>
  <w:footnote w:id="657">
    <w:p w14:paraId="40240B7A" w14:textId="77777777" w:rsidR="004322B1" w:rsidRPr="000B3E9D" w:rsidRDefault="004322B1" w:rsidP="000B3E9D">
      <w:pPr>
        <w:pStyle w:val="14Footnote"/>
        <w:rPr>
          <w:iCs/>
        </w:rPr>
      </w:pPr>
      <w:r w:rsidRPr="00AD2F44">
        <w:rPr>
          <w:vertAlign w:val="superscript"/>
        </w:rPr>
        <w:footnoteRef/>
      </w:r>
      <w:r w:rsidRPr="00AD2F44">
        <w:rPr>
          <w:i/>
        </w:rPr>
        <w:t>Id.</w:t>
      </w:r>
      <w:r>
        <w:rPr>
          <w:iCs/>
        </w:rPr>
        <w:t xml:space="preserve">; </w:t>
      </w:r>
      <w:r>
        <w:rPr>
          <w:i/>
        </w:rPr>
        <w:t xml:space="preserve">see also </w:t>
      </w:r>
      <w:r w:rsidRPr="002F69CA">
        <w:rPr>
          <w:iCs/>
        </w:rPr>
        <w:t>Branson v. All</w:t>
      </w:r>
      <w:r>
        <w:rPr>
          <w:iCs/>
        </w:rPr>
        <w:t>iance</w:t>
      </w:r>
      <w:r w:rsidRPr="002F69CA">
        <w:rPr>
          <w:iCs/>
        </w:rPr>
        <w:t xml:space="preserve"> Coal, LLC,</w:t>
      </w:r>
      <w:r w:rsidRPr="000E7FEF">
        <w:t xml:space="preserve"> 2022 BL 242650</w:t>
      </w:r>
      <w:r>
        <w:t xml:space="preserve">, </w:t>
      </w:r>
      <w:r w:rsidRPr="002F69CA">
        <w:rPr>
          <w:iCs/>
        </w:rPr>
        <w:t>2022 WL 2717625, at *10 (W.D. Ky. July 13, 2022)</w:t>
      </w:r>
      <w:r>
        <w:rPr>
          <w:iCs/>
        </w:rPr>
        <w:t xml:space="preserve"> (determining defendant’s proposed questionnaire was too detailed, and ordering the parties to meet and confer regarding a simpler questionnaire that could be answered with little or no assistance from counsel).</w:t>
      </w:r>
    </w:p>
  </w:footnote>
  <w:footnote w:id="658">
    <w:p w14:paraId="41D91C5D" w14:textId="77777777" w:rsidR="004322B1" w:rsidRPr="00AD2F44" w:rsidRDefault="004322B1">
      <w:pPr>
        <w:pStyle w:val="14Footnote"/>
      </w:pPr>
      <w:r w:rsidRPr="00AD2F44">
        <w:rPr>
          <w:vertAlign w:val="superscript"/>
        </w:rPr>
        <w:footnoteRef/>
      </w:r>
      <w:r w:rsidRPr="00AD2F44">
        <w:t>2014 WL 37662 (E.D. Va. Jan. 3, 2014).</w:t>
      </w:r>
    </w:p>
  </w:footnote>
  <w:footnote w:id="659">
    <w:p w14:paraId="4121FBD8"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*9–12. </w:t>
      </w:r>
    </w:p>
  </w:footnote>
  <w:footnote w:id="660">
    <w:p w14:paraId="4FC76210" w14:textId="77777777" w:rsidR="004322B1" w:rsidRPr="00AD2F44" w:rsidRDefault="004322B1">
      <w:pPr>
        <w:pStyle w:val="14Footnote"/>
      </w:pPr>
      <w:r w:rsidRPr="00AD2F44">
        <w:rPr>
          <w:vertAlign w:val="superscript"/>
        </w:rPr>
        <w:footnoteRef/>
      </w:r>
      <w:r w:rsidRPr="00AD2F44">
        <w:rPr>
          <w:i/>
          <w:iCs/>
        </w:rPr>
        <w:t>Id.</w:t>
      </w:r>
      <w:r w:rsidRPr="00AD2F44">
        <w:t xml:space="preserve"> at *10–12; </w:t>
      </w:r>
      <w:r w:rsidRPr="00AD2F44">
        <w:rPr>
          <w:i/>
          <w:iCs/>
        </w:rPr>
        <w:t>see</w:t>
      </w:r>
      <w:r w:rsidRPr="00AD2F44">
        <w:t xml:space="preserve"> Colella v. New York City Transit Auth., 2014 WL 7967835, at *4–5 (S.D.N.Y. Dec. 2, 2014) (dismissing claims of opt-ins who were unresponsive to discovery requests and previously admonished by court that failure to respond could result in dismissal).</w:t>
      </w:r>
    </w:p>
  </w:footnote>
  <w:footnote w:id="661">
    <w:p w14:paraId="2F09DC6D" w14:textId="77777777" w:rsidR="004322B1" w:rsidRPr="00AD2F44" w:rsidRDefault="004322B1">
      <w:pPr>
        <w:pStyle w:val="14Footnote"/>
      </w:pPr>
      <w:r w:rsidRPr="00AD2F44">
        <w:rPr>
          <w:vertAlign w:val="superscript"/>
        </w:rPr>
        <w:footnoteRef/>
      </w:r>
      <w:r w:rsidRPr="00AD2F44">
        <w:rPr>
          <w:i/>
          <w:iCs/>
        </w:rPr>
        <w:t>Second Circuit:</w:t>
      </w:r>
      <w:r w:rsidRPr="00AD2F44">
        <w:t xml:space="preserve"> Roach v. T.L. Cannon Corp., 2017 U.S. Dist. LEXIS 229549, at *26 (N.D.N.Y. Sep. 27, 2017); Reich v. New York City Transit Auth., 839 F. Supp. 171, 173, 1 WH Cases2d 1297 (E.D.N.Y. Dec. 13, 1993).</w:t>
      </w:r>
    </w:p>
    <w:p w14:paraId="285A088E" w14:textId="77777777" w:rsidR="004322B1" w:rsidRPr="00AD2F44" w:rsidRDefault="004322B1">
      <w:pPr>
        <w:pStyle w:val="14Footnote"/>
      </w:pPr>
      <w:r w:rsidRPr="00AD2F44">
        <w:rPr>
          <w:i/>
          <w:iCs/>
        </w:rPr>
        <w:t>Third Circuit:</w:t>
      </w:r>
      <w:r w:rsidRPr="00AD2F44">
        <w:t xml:space="preserve"> Maldonado v. Lucca, 629 F. Supp. 483, 485, 27 WH Cases 997 (D.N.J. 1986).</w:t>
      </w:r>
    </w:p>
    <w:p w14:paraId="210709F4" w14:textId="77777777" w:rsidR="004322B1" w:rsidRPr="00AD2F44" w:rsidRDefault="004322B1">
      <w:pPr>
        <w:pStyle w:val="14Footnote"/>
      </w:pPr>
      <w:r w:rsidRPr="00AD2F44">
        <w:rPr>
          <w:i/>
          <w:iCs/>
        </w:rPr>
        <w:t>Fourth Circuit:</w:t>
      </w:r>
      <w:r w:rsidRPr="00AD2F44">
        <w:t xml:space="preserve"> Perez v. Mountaire Farms, Inc., 2009 WL 1119671, at *23 (D. Md. Apr. 17, 2009); Masters v. City of Huntington, 800 F. Supp. 355, 357 (S.D. W. Va. 1992); International Ass’n of Fire Fighters v. City of Alexandria, 720 F. Supp. 1230, 1231 n.1, 29 WH Cases 782 (E.D. Va. 1989).</w:t>
      </w:r>
    </w:p>
    <w:p w14:paraId="26158B5E" w14:textId="77777777" w:rsidR="004322B1" w:rsidRPr="00AD2F44" w:rsidRDefault="004322B1">
      <w:pPr>
        <w:pStyle w:val="14Footnote"/>
      </w:pPr>
      <w:r w:rsidRPr="00AD2F44">
        <w:rPr>
          <w:i/>
          <w:iCs/>
        </w:rPr>
        <w:t>Fifth Circuit:</w:t>
      </w:r>
      <w:r w:rsidRPr="00AD2F44">
        <w:t xml:space="preserve"> Barfield v. Madison Cnty., 212 F.3d 269, 271, 6 WH Cases2d 1 (5th Cir. 2000); Murillo v. Coryell Cnty. Tradesmen, LLC, 2017 U.S. Dist. LEXIS 98067, at *14–15 (E.D. La. June 26, 2017) (“With regard to Plaintiffs’ FLSA claims, bifurcating trial into liability and damages phases would expedite and economize the trial by allowing the jury to first consider the parties’ evidence on the liability portion of Plaintiffs’ collective FLSA action against the eight Defendants and, if the jury determines that any or all Defendants are liable to Plaintiffs under FLSA, only then consider the individual evidence of damages for each Plaintiff as to those Defendants found liable.”); Alexander v. Wackenhut Corp., 2008 WL 2697163, at *7 (E.D. La. July 1, 2008); Bryson v. City of DeRidder, 707 F. Supp. 245, 246, 29 WH Cases 44 (W.D. La. 1987). </w:t>
      </w:r>
    </w:p>
    <w:p w14:paraId="239051B1" w14:textId="77777777" w:rsidR="004322B1" w:rsidRPr="00AD2F44" w:rsidRDefault="004322B1">
      <w:pPr>
        <w:pStyle w:val="14Footnote"/>
      </w:pPr>
      <w:r w:rsidRPr="00AD2F44">
        <w:rPr>
          <w:i/>
          <w:iCs/>
        </w:rPr>
        <w:t>Sixth Circuit:</w:t>
      </w:r>
      <w:r w:rsidRPr="00AD2F44">
        <w:t xml:space="preserve"> Beck v. City of Cleveland, 542 F. Supp. 2d 739, 741 (N.D. Ohio 2008).</w:t>
      </w:r>
    </w:p>
    <w:p w14:paraId="729AC425" w14:textId="77777777" w:rsidR="004322B1" w:rsidRPr="00AD2F44" w:rsidRDefault="004322B1">
      <w:pPr>
        <w:pStyle w:val="14Footnote"/>
      </w:pPr>
      <w:r w:rsidRPr="00AD2F44">
        <w:rPr>
          <w:i/>
          <w:iCs/>
        </w:rPr>
        <w:t>Seventh Circuit:</w:t>
      </w:r>
      <w:r w:rsidRPr="00AD2F44">
        <w:t xml:space="preserve"> </w:t>
      </w:r>
      <w:r w:rsidRPr="00AD2F44">
        <w:rPr>
          <w:i/>
          <w:iCs/>
        </w:rPr>
        <w:t>In re</w:t>
      </w:r>
      <w:r w:rsidRPr="00AD2F44">
        <w:t xml:space="preserve"> FedEx Ground Package Sys., Inc., 2006 WL 3755311, at *2 (N.D. Ind. Dec. 14, 2006).</w:t>
      </w:r>
    </w:p>
    <w:p w14:paraId="3663BF45" w14:textId="77777777" w:rsidR="004322B1" w:rsidRPr="00AD2F44" w:rsidRDefault="004322B1">
      <w:pPr>
        <w:pStyle w:val="14Footnote"/>
      </w:pPr>
      <w:r w:rsidRPr="00AD2F44">
        <w:rPr>
          <w:i/>
          <w:iCs/>
        </w:rPr>
        <w:t>Ninth Circuit:</w:t>
      </w:r>
      <w:r w:rsidRPr="00AD2F44">
        <w:t xml:space="preserve"> Ingersoll v. Royal &amp; Sunalliance USA, Inc., 2006 WL 2091097, at *2 (W.D. Wash. July 25, 2006); Thiebes v. Wal-Mart Stores, Inc., 2004 WL 1688544, at *1 (D. Or. July 26, 2004) (bifurcated by court over defendant’s objection); Stewart v. City &amp; Cnty. of S.F., 834 F. Supp. 1233, 1234, 1 WH Cases2d 1110 (N.D. Cal. 1993). </w:t>
      </w:r>
    </w:p>
    <w:p w14:paraId="2BAD8F69" w14:textId="77777777" w:rsidR="004322B1" w:rsidRPr="00AD2F44" w:rsidRDefault="004322B1">
      <w:pPr>
        <w:pStyle w:val="14Footnote"/>
      </w:pPr>
      <w:r w:rsidRPr="00AD2F44">
        <w:rPr>
          <w:i/>
          <w:iCs/>
        </w:rPr>
        <w:t>Tenth Circuit:</w:t>
      </w:r>
      <w:r w:rsidRPr="00AD2F44">
        <w:t xml:space="preserve"> Metzler v. IBP, Inc., 127 F.3d 959, 961–62, 4 WH Cases2d 229 (10th Cir. 1997); Reich v. IBP, Inc., 1996 WL 137817, at *1, 3 WH Cases 2 (D. Kan. May 16, 1996); Nixon v. City of Junction City, 707 F. Supp. 473, 480, 2 WH Cases2d 1763 (D. Kan. 1988).</w:t>
      </w:r>
    </w:p>
    <w:p w14:paraId="3C6384B7" w14:textId="77777777" w:rsidR="004322B1" w:rsidRPr="00AD2F44" w:rsidRDefault="004322B1">
      <w:pPr>
        <w:pStyle w:val="14Footnote"/>
      </w:pPr>
      <w:r w:rsidRPr="00AD2F44">
        <w:rPr>
          <w:i/>
          <w:iCs/>
        </w:rPr>
        <w:t>Eleventh Circuit:</w:t>
      </w:r>
      <w:r w:rsidRPr="00AD2F44">
        <w:t xml:space="preserve"> Reich v. Department of Conservation and Nat’l Res., 28 F.3d 1076, 1078, 2 WH Cases2d 385 (11th Cir. 1994); Wales v. Jack M. Berry, Inc., 192 F. Supp. 2d 1269, 1272 (M.D. Fla. 1999).</w:t>
      </w:r>
    </w:p>
    <w:p w14:paraId="50E72497" w14:textId="77777777" w:rsidR="004322B1" w:rsidRPr="00AD2F44" w:rsidRDefault="004322B1">
      <w:pPr>
        <w:pStyle w:val="14Footnote"/>
      </w:pPr>
      <w:r w:rsidRPr="00AD2F44">
        <w:rPr>
          <w:i/>
          <w:iCs/>
        </w:rPr>
        <w:t>Federal Circuit:</w:t>
      </w:r>
      <w:r w:rsidRPr="00AD2F44">
        <w:t xml:space="preserve"> Federal Air Marshals v. United States, 84 Fed. Cl. 585, 588, 14 WH Cases2d 442 (2008).</w:t>
      </w:r>
    </w:p>
  </w:footnote>
  <w:footnote w:id="662">
    <w:p w14:paraId="4E7392F7" w14:textId="77777777" w:rsidR="004322B1" w:rsidRPr="00AD2F44" w:rsidRDefault="004322B1">
      <w:pPr>
        <w:pStyle w:val="14Footnote"/>
      </w:pPr>
      <w:r w:rsidRPr="00AD2F44">
        <w:rPr>
          <w:vertAlign w:val="superscript"/>
        </w:rPr>
        <w:footnoteRef/>
      </w:r>
      <w:r w:rsidRPr="00AD2F44">
        <w:rPr>
          <w:smallCaps/>
        </w:rPr>
        <w:t>Fed. R. Civ. P.</w:t>
      </w:r>
      <w:r w:rsidRPr="00AD2F44">
        <w:t xml:space="preserve"> 42(b).</w:t>
      </w:r>
    </w:p>
  </w:footnote>
  <w:footnote w:id="663">
    <w:p w14:paraId="42D9ECF7" w14:textId="77777777" w:rsidR="004322B1" w:rsidRPr="00AD2F44" w:rsidRDefault="004322B1">
      <w:pPr>
        <w:pStyle w:val="14Footnote"/>
      </w:pPr>
      <w:r w:rsidRPr="00AD2F44">
        <w:rPr>
          <w:vertAlign w:val="superscript"/>
        </w:rPr>
        <w:footnoteRef/>
      </w:r>
      <w:r w:rsidRPr="00AD2F44">
        <w:rPr>
          <w:i/>
        </w:rPr>
        <w:t>See</w:t>
      </w:r>
    </w:p>
    <w:p w14:paraId="3D649466" w14:textId="77777777" w:rsidR="004322B1" w:rsidRPr="00AD2F44" w:rsidRDefault="004322B1">
      <w:pPr>
        <w:pStyle w:val="14Footnote"/>
      </w:pPr>
      <w:r w:rsidRPr="00AD2F44">
        <w:rPr>
          <w:i/>
          <w:iCs/>
        </w:rPr>
        <w:t>Third Circuit:</w:t>
      </w:r>
      <w:r w:rsidRPr="00AD2F44">
        <w:t xml:space="preserve"> Goldman v. RadioShack Corp., 2005 WL 1155751, at *1, 10 WH Cases2d 1237 (E.D. Pa. May 13, 2005).</w:t>
      </w:r>
    </w:p>
    <w:p w14:paraId="569DF0A2" w14:textId="77777777" w:rsidR="004322B1" w:rsidRPr="00AD2F44" w:rsidRDefault="004322B1">
      <w:pPr>
        <w:pStyle w:val="14Footnote"/>
      </w:pPr>
      <w:r w:rsidRPr="00AD2F44">
        <w:rPr>
          <w:i/>
          <w:iCs/>
        </w:rPr>
        <w:t>Tenth Circuit:</w:t>
      </w:r>
      <w:r w:rsidRPr="00AD2F44">
        <w:t xml:space="preserve"> Lamon v. City of Shawnee, 1990 WL 120831, at *1, 29 WH Cases 1599 (D. Kan. July 10, 1990).</w:t>
      </w:r>
    </w:p>
    <w:p w14:paraId="0425600E" w14:textId="77777777" w:rsidR="004322B1" w:rsidRPr="00AD2F44" w:rsidRDefault="004322B1">
      <w:pPr>
        <w:pStyle w:val="14Footnote"/>
      </w:pPr>
      <w:r w:rsidRPr="00AD2F44">
        <w:rPr>
          <w:i/>
          <w:iCs/>
        </w:rPr>
        <w:t>Eleventh Circuit:</w:t>
      </w:r>
      <w:r w:rsidRPr="00AD2F44">
        <w:t xml:space="preserve"> Davis v. City of Loganville, 2006 WL 1312411, at *4 (M.D. Ga. May 11, 2006).</w:t>
      </w:r>
    </w:p>
  </w:footnote>
  <w:footnote w:id="664">
    <w:p w14:paraId="28E2AD76" w14:textId="77777777" w:rsidR="004322B1" w:rsidRPr="00AD2F44" w:rsidRDefault="004322B1">
      <w:pPr>
        <w:pStyle w:val="14Footnote"/>
      </w:pPr>
      <w:r w:rsidRPr="00AD2F44">
        <w:rPr>
          <w:vertAlign w:val="superscript"/>
        </w:rPr>
        <w:footnoteRef/>
      </w:r>
      <w:r w:rsidRPr="00AD2F44">
        <w:rPr>
          <w:i/>
          <w:iCs/>
        </w:rPr>
        <w:t>First Circuit:</w:t>
      </w:r>
      <w:r w:rsidRPr="00AD2F44">
        <w:t xml:space="preserve"> Parolin v. City of Boston, 327 F. Supp. 2d 101, 104, 9 WH Cases2d 1461 (D. Mass. 2004).</w:t>
      </w:r>
    </w:p>
    <w:p w14:paraId="1B25606F" w14:textId="77777777" w:rsidR="004322B1" w:rsidRPr="00AD2F44" w:rsidRDefault="004322B1">
      <w:pPr>
        <w:pStyle w:val="14Footnote"/>
      </w:pPr>
      <w:r w:rsidRPr="00AD2F44">
        <w:rPr>
          <w:i/>
          <w:iCs/>
        </w:rPr>
        <w:t>Third Circuit:</w:t>
      </w:r>
      <w:r w:rsidRPr="00AD2F44">
        <w:t xml:space="preserve"> De Asencio v. Tyson Foods, Inc., 500 F.3d 361, 375, 12 WH Cases2d 1865 (3d Cir. 2007); Minizza v. Stone Container Corp., 842 F.2d 1456, 1459, 28 WH Cases 849 (3d Cir. 1988); McGrath v. City of Philadelphia, 864 F. Supp. 466, 490, 2 WH Cases2d 551 (E.D. Pa. 1994); Brock v. DialAmerica Mktg., Inc., 1987 US Dist. LEXIS 15845, at *2 (D.N.J. Oct. 30, 1987).</w:t>
      </w:r>
    </w:p>
    <w:p w14:paraId="03F150A1" w14:textId="77777777" w:rsidR="004322B1" w:rsidRPr="00AD2F44" w:rsidRDefault="004322B1">
      <w:pPr>
        <w:pStyle w:val="14Footnote"/>
      </w:pPr>
      <w:r w:rsidRPr="00AD2F44">
        <w:rPr>
          <w:i/>
          <w:iCs/>
        </w:rPr>
        <w:t>Fourth Circuit:</w:t>
      </w:r>
      <w:r w:rsidRPr="00AD2F44">
        <w:t xml:space="preserve"> Fraternal Order of Police, Lodge 3 v. Baltimore City Police Dep’t, 1996 WL 1187049, at *1, 5 WH Cases2d 1383 (D. Md. Oct. 30, 1996).</w:t>
      </w:r>
    </w:p>
    <w:p w14:paraId="5BAEDCD8" w14:textId="77777777" w:rsidR="004322B1" w:rsidRPr="00AD2F44" w:rsidRDefault="004322B1">
      <w:pPr>
        <w:pStyle w:val="14Footnote"/>
      </w:pPr>
      <w:r w:rsidRPr="00AD2F44">
        <w:rPr>
          <w:i/>
          <w:iCs/>
        </w:rPr>
        <w:t>Fifth Circuit:</w:t>
      </w:r>
      <w:r w:rsidRPr="00AD2F44">
        <w:t xml:space="preserve"> Bond v. City of Jackson, 939 F.2d 285, 287, 30 WH Cases 808 (5th Cir. 1991); Dalheim v. KDFW-TV, 706 F. Supp. 493, 511, 29 WH Cases 1 (N.D. Tex. 1988).</w:t>
      </w:r>
    </w:p>
    <w:p w14:paraId="5E5B38B0" w14:textId="77777777" w:rsidR="004322B1" w:rsidRPr="00AD2F44" w:rsidRDefault="004322B1">
      <w:pPr>
        <w:pStyle w:val="14Footnote"/>
      </w:pPr>
      <w:r w:rsidRPr="00AD2F44">
        <w:rPr>
          <w:i/>
          <w:iCs/>
        </w:rPr>
        <w:t>Sixth Circuit:</w:t>
      </w:r>
      <w:r w:rsidRPr="00AD2F44">
        <w:t xml:space="preserve"> Beck v. City of Cleveland, 542 F. Supp. 2d 739, 741 (N.D. Ohio 2008).</w:t>
      </w:r>
    </w:p>
    <w:p w14:paraId="6C9A9931" w14:textId="77777777" w:rsidR="004322B1" w:rsidRPr="00AD2F44" w:rsidRDefault="004322B1">
      <w:pPr>
        <w:pStyle w:val="14Footnote"/>
      </w:pPr>
      <w:r w:rsidRPr="00AD2F44">
        <w:rPr>
          <w:i/>
          <w:iCs/>
        </w:rPr>
        <w:t>Eighth Circuit:</w:t>
      </w:r>
      <w:r w:rsidRPr="00AD2F44">
        <w:t xml:space="preserve"> Saunders v. Ace Mortg. Funding, Inc., 2007 WL 1190985, at *4 n.2, 12 WH Cases2d 937 (D. Minn. Apr. 16, 2007).</w:t>
      </w:r>
    </w:p>
    <w:p w14:paraId="01F3E42A" w14:textId="77777777" w:rsidR="004322B1" w:rsidRPr="00AD2F44" w:rsidRDefault="004322B1">
      <w:pPr>
        <w:pStyle w:val="14Footnote"/>
      </w:pPr>
      <w:r w:rsidRPr="00AD2F44">
        <w:rPr>
          <w:i/>
          <w:iCs/>
        </w:rPr>
        <w:t>Ninth Circuit: In re</w:t>
      </w:r>
      <w:r w:rsidRPr="00AD2F44">
        <w:t xml:space="preserve"> Farmers Ins. Exch. Claims Reps. Overtime Pay Litig., 466 F.3d 853, 858, 11 WH Cases2d 1729 (9th Cir. 2006); Cleveland v. City of L.A., 420 F.3d 981, 987, 10 WH Cases2d 1409 (9th Cir. 2005).</w:t>
      </w:r>
    </w:p>
    <w:p w14:paraId="0484E060" w14:textId="77777777" w:rsidR="004322B1" w:rsidRPr="00AD2F44" w:rsidRDefault="004322B1">
      <w:pPr>
        <w:pStyle w:val="14Footnote"/>
      </w:pPr>
      <w:r w:rsidRPr="00AD2F44">
        <w:rPr>
          <w:i/>
          <w:iCs/>
        </w:rPr>
        <w:t>Eleventh Circuit:</w:t>
      </w:r>
      <w:r w:rsidRPr="00AD2F44">
        <w:t xml:space="preserve"> Dade Cnty. v. Alvarez, 124 F.3d 1380, 1383 n.12, 4 WH Cases2d 225 (11th Cir. 1997).</w:t>
      </w:r>
    </w:p>
  </w:footnote>
  <w:footnote w:id="665">
    <w:p w14:paraId="78A0706E" w14:textId="77777777" w:rsidR="004322B1" w:rsidRPr="00AD2F44" w:rsidRDefault="004322B1">
      <w:pPr>
        <w:pStyle w:val="14Footnote"/>
      </w:pPr>
      <w:r w:rsidRPr="00AD2F44">
        <w:rPr>
          <w:vertAlign w:val="superscript"/>
        </w:rPr>
        <w:footnoteRef/>
      </w:r>
      <w:r w:rsidRPr="00AD2F44">
        <w:rPr>
          <w:i/>
        </w:rPr>
        <w:t>See</w:t>
      </w:r>
    </w:p>
    <w:p w14:paraId="3E062D94" w14:textId="77777777" w:rsidR="004322B1" w:rsidRPr="00AD2F44" w:rsidRDefault="004322B1">
      <w:pPr>
        <w:pStyle w:val="14Footnote"/>
      </w:pPr>
      <w:r w:rsidRPr="00AD2F44">
        <w:rPr>
          <w:i/>
          <w:iCs/>
        </w:rPr>
        <w:t>First Circuit:</w:t>
      </w:r>
      <w:r w:rsidRPr="00AD2F44">
        <w:t xml:space="preserve"> O’Hara v. Menino, 253 F. Supp. 2d 147, 149, 8 WH Cases2d 1017 (D. Mass. 2003) (joint motion); Harris v. City of Boston, 253 F. Supp. 2d 136, 138, 8 WH Cases2d 1009 (D. Mass. 2003) (joint motion).</w:t>
      </w:r>
    </w:p>
    <w:p w14:paraId="0E0F5A9D" w14:textId="77777777" w:rsidR="004322B1" w:rsidRPr="00AD2F44" w:rsidRDefault="004322B1">
      <w:pPr>
        <w:pStyle w:val="14Footnote"/>
      </w:pPr>
      <w:r w:rsidRPr="00AD2F44">
        <w:rPr>
          <w:i/>
          <w:iCs/>
        </w:rPr>
        <w:t>Third Circuit:</w:t>
      </w:r>
      <w:r w:rsidRPr="00AD2F44">
        <w:t xml:space="preserve"> </w:t>
      </w:r>
      <w:r w:rsidRPr="00AD2F44">
        <w:rPr>
          <w:i/>
          <w:iCs/>
        </w:rPr>
        <w:t>Goldman</w:t>
      </w:r>
      <w:r w:rsidRPr="00AD2F44">
        <w:t>, 2005 WL 1155751, at *1 (granting defendant’s motion).</w:t>
      </w:r>
    </w:p>
    <w:p w14:paraId="7E13F653" w14:textId="77777777" w:rsidR="004322B1" w:rsidRPr="00AD2F44" w:rsidRDefault="004322B1">
      <w:pPr>
        <w:pStyle w:val="14Footnote"/>
      </w:pPr>
      <w:r w:rsidRPr="00AD2F44">
        <w:rPr>
          <w:i/>
          <w:iCs/>
        </w:rPr>
        <w:t>Fifth Circuit:</w:t>
      </w:r>
      <w:r w:rsidRPr="00AD2F44">
        <w:t xml:space="preserve"> Singer v. City of Waco, 2001 WL 34773879, at *1 (W.D. Tex. Sept. 14, 2001) (joint motion).</w:t>
      </w:r>
    </w:p>
    <w:p w14:paraId="5EDDBE52" w14:textId="77777777" w:rsidR="004322B1" w:rsidRPr="00AD2F44" w:rsidRDefault="004322B1">
      <w:pPr>
        <w:pStyle w:val="14Footnote"/>
      </w:pPr>
      <w:r w:rsidRPr="00AD2F44">
        <w:rPr>
          <w:i/>
          <w:iCs/>
        </w:rPr>
        <w:t>Eighth Circuit:</w:t>
      </w:r>
      <w:r w:rsidRPr="00AD2F44">
        <w:t xml:space="preserve"> Rickard v. U.S. Auto Prot., LLC, 2013 WL 5538726, at *2 (E.D. Mo. Oct. 8, 2013) (granting defendant’s motion where court found common evidence existed as to alleged policy of requiring plaintiffs to work overtime to meet sales goals but that evidence as to damages would be significantly more individualized).</w:t>
      </w:r>
    </w:p>
    <w:p w14:paraId="7BDB267A" w14:textId="77777777" w:rsidR="004322B1" w:rsidRPr="00AD2F44" w:rsidRDefault="004322B1">
      <w:pPr>
        <w:pStyle w:val="14Footnote"/>
      </w:pPr>
      <w:r w:rsidRPr="00AD2F44">
        <w:rPr>
          <w:i/>
          <w:iCs/>
        </w:rPr>
        <w:t>Tenth Circuit:</w:t>
      </w:r>
      <w:r w:rsidRPr="00AD2F44">
        <w:t xml:space="preserve"> </w:t>
      </w:r>
      <w:r w:rsidRPr="00AD2F44">
        <w:rPr>
          <w:i/>
          <w:iCs/>
        </w:rPr>
        <w:t>Lamon</w:t>
      </w:r>
      <w:r w:rsidRPr="00AD2F44">
        <w:t>, 1990 WL 120831, at *1 (separate motions).</w:t>
      </w:r>
    </w:p>
    <w:p w14:paraId="21601C98" w14:textId="77777777" w:rsidR="004322B1" w:rsidRPr="00AD2F44" w:rsidRDefault="004322B1">
      <w:pPr>
        <w:pStyle w:val="14Footnote"/>
      </w:pPr>
      <w:r w:rsidRPr="00AD2F44">
        <w:rPr>
          <w:i/>
          <w:iCs/>
        </w:rPr>
        <w:t>Eleventh Circuit:</w:t>
      </w:r>
      <w:r w:rsidRPr="00AD2F44">
        <w:t xml:space="preserve"> </w:t>
      </w:r>
      <w:r w:rsidRPr="00AD2F44">
        <w:rPr>
          <w:i/>
          <w:iCs/>
        </w:rPr>
        <w:t>City of Loganville</w:t>
      </w:r>
      <w:r w:rsidRPr="00AD2F44">
        <w:t>, 2006 WL 1312411, at *4 (granting defendant’s motion).</w:t>
      </w:r>
    </w:p>
  </w:footnote>
  <w:footnote w:id="666">
    <w:p w14:paraId="7F35B9DF" w14:textId="77777777" w:rsidR="004322B1" w:rsidRPr="00AD2F44" w:rsidRDefault="004322B1">
      <w:pPr>
        <w:pStyle w:val="14Footnote"/>
      </w:pPr>
      <w:r w:rsidRPr="00AD2F44">
        <w:rPr>
          <w:vertAlign w:val="superscript"/>
        </w:rPr>
        <w:footnoteRef/>
      </w:r>
      <w:r w:rsidRPr="00AD2F44">
        <w:rPr>
          <w:i/>
          <w:iCs/>
        </w:rPr>
        <w:t>See</w:t>
      </w:r>
      <w:r w:rsidRPr="00AD2F44">
        <w:t xml:space="preserve"> Stewart v. Project Consulting Servs., 2000 WL 1880321, at *3 (E.D. La. Dec. 27, 2000) (bifurcation motion brought before defendant answered complaint denied as premature); Wren v. RGIS Inventory Specialists, 256 F.R.D. 180, 213 (N.D. Cal. 2009) (bifurcation motion brought simultaneously with motion for class certification under Rule 23 for state law claims after conditional certification had already been granted as to FLSA claims denied as premature).</w:t>
      </w:r>
    </w:p>
  </w:footnote>
  <w:footnote w:id="667">
    <w:p w14:paraId="4B28AB3A" w14:textId="77777777" w:rsidR="004322B1" w:rsidRPr="00AD2F44" w:rsidRDefault="004322B1">
      <w:pPr>
        <w:pStyle w:val="14Footnote"/>
      </w:pPr>
      <w:r w:rsidRPr="00AD2F44">
        <w:rPr>
          <w:vertAlign w:val="superscript"/>
        </w:rPr>
        <w:footnoteRef/>
      </w:r>
      <w:r w:rsidRPr="00AD2F44">
        <w:rPr>
          <w:i/>
        </w:rPr>
        <w:t>See</w:t>
      </w:r>
    </w:p>
    <w:p w14:paraId="723DBCCA" w14:textId="77777777" w:rsidR="004322B1" w:rsidRPr="00AD2F44" w:rsidRDefault="004322B1">
      <w:pPr>
        <w:pStyle w:val="14Footnote"/>
      </w:pPr>
      <w:r w:rsidRPr="00AD2F44">
        <w:rPr>
          <w:i/>
          <w:iCs/>
        </w:rPr>
        <w:t>Second Circuit:</w:t>
      </w:r>
      <w:r w:rsidRPr="00AD2F44">
        <w:t xml:space="preserve"> Indergit v. Rite Aid Corp., 52 F. Supp. 3d 522, 524 (S.D.N.Y. 2014) (“[T]he issue of damages does not preclude collective action, and the case can be bifurcated into liability and damages phases if and when that becomes necessary.”); Mendez v. Radec Corp., 232 F.R.D. 78, 93–94, 11 WH Cases2d 172 (W.D.N.Y. 2005) (discussing bifurcation of liability and damages at trial as a class action management tool).</w:t>
      </w:r>
    </w:p>
    <w:p w14:paraId="458080BA" w14:textId="77777777" w:rsidR="004322B1" w:rsidRPr="00AD2F44" w:rsidRDefault="004322B1">
      <w:pPr>
        <w:pStyle w:val="14Footnote"/>
      </w:pPr>
      <w:r w:rsidRPr="00AD2F44">
        <w:rPr>
          <w:i/>
          <w:iCs/>
        </w:rPr>
        <w:t>Third Circuit:</w:t>
      </w:r>
      <w:r w:rsidRPr="00AD2F44">
        <w:t xml:space="preserve"> Chabrier v. Wilmington Fin., Inc., 2008 WL 938872, at *3 (E.D. Pa. Apr. 4, 2008) (same).</w:t>
      </w:r>
    </w:p>
    <w:p w14:paraId="6DD73669" w14:textId="77777777" w:rsidR="004322B1" w:rsidRPr="00AD2F44" w:rsidRDefault="004322B1">
      <w:pPr>
        <w:pStyle w:val="14Footnote"/>
      </w:pPr>
      <w:r w:rsidRPr="00AD2F44">
        <w:rPr>
          <w:i/>
          <w:iCs/>
        </w:rPr>
        <w:t>Fifth Circuit:</w:t>
      </w:r>
      <w:r w:rsidRPr="00AD2F44">
        <w:t xml:space="preserve"> Maynor v. Dow Chem. Co., 2008 WL 2220394, at *9 (S.D. Tex. May 28, 2008) (citing bifurcation as a mechanism to handle damages determinations).</w:t>
      </w:r>
    </w:p>
    <w:p w14:paraId="744F47FD" w14:textId="77777777" w:rsidR="004322B1" w:rsidRPr="00AD2F44" w:rsidRDefault="004322B1">
      <w:pPr>
        <w:pStyle w:val="14Footnote"/>
      </w:pPr>
      <w:r w:rsidRPr="00AD2F44">
        <w:rPr>
          <w:i/>
          <w:iCs/>
        </w:rPr>
        <w:t>Sixth Circuit:</w:t>
      </w:r>
      <w:r w:rsidRPr="00AD2F44">
        <w:t xml:space="preserve"> Berger v. Cleveland Clinic Found., 2007 WL 2902907, at *22 (N.D. Ohio Sept. 29, 2007) (same).</w:t>
      </w:r>
    </w:p>
  </w:footnote>
  <w:footnote w:id="668">
    <w:p w14:paraId="208999D7" w14:textId="77777777" w:rsidR="004322B1" w:rsidRPr="00AD2F44" w:rsidRDefault="004322B1">
      <w:pPr>
        <w:pStyle w:val="14Footnote"/>
      </w:pPr>
      <w:r w:rsidRPr="00AD2F44">
        <w:rPr>
          <w:vertAlign w:val="superscript"/>
        </w:rPr>
        <w:footnoteRef/>
      </w:r>
      <w:r w:rsidRPr="00AD2F44">
        <w:rPr>
          <w:i/>
        </w:rPr>
        <w:t>See</w:t>
      </w:r>
    </w:p>
    <w:p w14:paraId="59DF9A5B" w14:textId="77777777" w:rsidR="004322B1" w:rsidRPr="00AD2F44" w:rsidRDefault="004322B1">
      <w:pPr>
        <w:pStyle w:val="14Footnote"/>
      </w:pPr>
      <w:r w:rsidRPr="00AD2F44">
        <w:rPr>
          <w:i/>
          <w:iCs/>
        </w:rPr>
        <w:t>Third Circuit:</w:t>
      </w:r>
      <w:r w:rsidRPr="00AD2F44">
        <w:t xml:space="preserve"> </w:t>
      </w:r>
      <w:r w:rsidRPr="00AD2F44">
        <w:rPr>
          <w:i/>
          <w:iCs/>
        </w:rPr>
        <w:t>Chabrier, Inc.</w:t>
      </w:r>
      <w:r w:rsidRPr="00AD2F44">
        <w:t>, 2008 WL 938872, at *3 (denying motion to decertify and citing bifurcation as one means to aid in making individualized fact determinations).</w:t>
      </w:r>
    </w:p>
    <w:p w14:paraId="7231794F" w14:textId="77777777" w:rsidR="004322B1" w:rsidRPr="00AD2F44" w:rsidRDefault="004322B1">
      <w:pPr>
        <w:pStyle w:val="14Footnote"/>
      </w:pPr>
      <w:r w:rsidRPr="00AD2F44">
        <w:rPr>
          <w:i/>
          <w:iCs/>
        </w:rPr>
        <w:t>Fifth Circuit:</w:t>
      </w:r>
      <w:r w:rsidRPr="00AD2F44">
        <w:t xml:space="preserve"> </w:t>
      </w:r>
      <w:r w:rsidRPr="00AD2F44">
        <w:rPr>
          <w:i/>
          <w:iCs/>
        </w:rPr>
        <w:t>Maynor</w:t>
      </w:r>
      <w:r w:rsidRPr="00AD2F44">
        <w:t>, 2008 WL 2220394, at *9 (same).</w:t>
      </w:r>
    </w:p>
    <w:p w14:paraId="6F07CD3F" w14:textId="77777777" w:rsidR="004322B1" w:rsidRPr="00AD2F44" w:rsidRDefault="004322B1">
      <w:pPr>
        <w:pStyle w:val="14Footnote"/>
      </w:pPr>
      <w:r w:rsidRPr="00AD2F44">
        <w:rPr>
          <w:i/>
          <w:iCs/>
        </w:rPr>
        <w:t>Sixth Circuit:</w:t>
      </w:r>
      <w:r w:rsidRPr="00AD2F44">
        <w:t xml:space="preserve"> Crawford v. Lexington-Fayette Urban Cnty. Gov’t, 2008 WL 2885230, at *11 (E.D. Ky. July 22, 2008) (stating that, while denying motion to decertify, bifurcation can allow individualized determination of damages and “should not preclude collective adjudication of the central issue of whether there was a[n] [unlawful] policy”); </w:t>
      </w:r>
      <w:r w:rsidRPr="00AD2F44">
        <w:rPr>
          <w:i/>
          <w:iCs/>
        </w:rPr>
        <w:t>Berger</w:t>
      </w:r>
      <w:r w:rsidRPr="00AD2F44">
        <w:t>, 2007 WL 2902907, at *22 (granting motion to conditionally certify action while noting that bifurcation is one procedural option available to the court to “efficiently handle the issue of damages”); Wilks v. Peps Boys, 2006 WL 2821700, at *7, 11 WH Cases2d 1554 (M.D. Tenn. Sept. 26, 2006) (denying motion to decertify and stating that, to allow defendant’s individualized defenses, the court “will consider bifurcation of the case into a liability stage, where the parties could address the alleged existence of an impermissible policy or practice, and a damages one, where they could, if necessary, debate the impact of that policy or practice on individual plaintiffs”).</w:t>
      </w:r>
    </w:p>
    <w:p w14:paraId="1959EC57" w14:textId="77777777" w:rsidR="004322B1" w:rsidRPr="00AD2F44" w:rsidRDefault="004322B1">
      <w:pPr>
        <w:pStyle w:val="14Footnote"/>
      </w:pPr>
      <w:r w:rsidRPr="00AD2F44">
        <w:rPr>
          <w:i/>
          <w:iCs/>
        </w:rPr>
        <w:t>Seventh Circuit:</w:t>
      </w:r>
      <w:r w:rsidRPr="00AD2F44">
        <w:t xml:space="preserve"> Russell v. Illinois Bell Tel. Co., 721 F. Supp. 2d 804, 823–24 (N.D. Ill. 2010) (explaining that bifurcation of individual damages issues, along with subclassing cases into challenges to discrete policies, satisfied defendant’s due process rights, when balanced against plaintiffs’ rights, given court’s determination that many plaintiffs “would be unable to bear the costs of an individual trial”) (quotation and citation omitted).</w:t>
      </w:r>
    </w:p>
    <w:p w14:paraId="29CC8239" w14:textId="77777777" w:rsidR="004322B1" w:rsidRPr="00AD2F44" w:rsidRDefault="004322B1">
      <w:pPr>
        <w:pStyle w:val="14Footnote"/>
      </w:pPr>
      <w:r w:rsidRPr="00AD2F44">
        <w:rPr>
          <w:i/>
          <w:iCs/>
        </w:rPr>
        <w:t>Eighth Circuit:</w:t>
      </w:r>
      <w:r w:rsidRPr="00AD2F44">
        <w:t xml:space="preserve"> Rikard v. U.S. Auto Prot., LLC, 2013 WL 5532688, at *3 (E.D. Mo. Oct. 4, 2013) (denying decertification motion, finding that the court will consider bifurcation into liability and damages phases, using the damages phase to debate the impact of any unlawful policy on plaintiffs); Nerland v. Caribou Coffee Co., Inc., 564 F. Supp. 2d 1010, 1025 (D. Minn. 2007) (denying motion to decertify while recommending bifurcation to promote manageability of the collective action due to the fact that individualized defenses that defendant purported to assert chiefly related to issues of damages).</w:t>
      </w:r>
    </w:p>
    <w:p w14:paraId="25AC9C86" w14:textId="77777777" w:rsidR="004322B1" w:rsidRPr="00AD2F44" w:rsidRDefault="004322B1">
      <w:pPr>
        <w:pStyle w:val="14Footnote"/>
      </w:pPr>
      <w:r w:rsidRPr="00AD2F44">
        <w:rPr>
          <w:i/>
          <w:iCs/>
        </w:rPr>
        <w:t>Eleventh Circuit:</w:t>
      </w:r>
      <w:r w:rsidRPr="00AD2F44">
        <w:t xml:space="preserve"> Bobbit v. Broadband Interactive, Inc., 2013 WL 5720329, at *17 (M.D. Fla. Oct. 17, 2013) (denying decertification motion and agreeing that the number of overtime hours and extent of damages need to be determined on an individualized basis but can be handled in a separate damages phase).</w:t>
      </w:r>
    </w:p>
  </w:footnote>
  <w:footnote w:id="669">
    <w:p w14:paraId="69FD9605" w14:textId="77777777" w:rsidR="004322B1" w:rsidRPr="00AD2F44" w:rsidRDefault="004322B1">
      <w:pPr>
        <w:pStyle w:val="14Footnote"/>
      </w:pPr>
      <w:r w:rsidRPr="00AD2F44">
        <w:rPr>
          <w:vertAlign w:val="superscript"/>
        </w:rPr>
        <w:footnoteRef/>
      </w:r>
      <w:r w:rsidRPr="00AD2F44">
        <w:rPr>
          <w:i/>
          <w:iCs/>
        </w:rPr>
        <w:t>See</w:t>
      </w:r>
      <w:r w:rsidRPr="00AD2F44">
        <w:t xml:space="preserve"> Rousell v. Brinker Int’l, Inc., 2008 WL 2714079, at *14 (S.D. Tex. July 9, 2008) (requiring plaintiff to offer a revised trial plan that would address the individualized inquiries raised by defendant).</w:t>
      </w:r>
    </w:p>
  </w:footnote>
  <w:footnote w:id="670">
    <w:p w14:paraId="407139C0" w14:textId="77777777" w:rsidR="004322B1" w:rsidRPr="00AD2F44" w:rsidRDefault="004322B1">
      <w:pPr>
        <w:pStyle w:val="14Footnote"/>
      </w:pPr>
      <w:r w:rsidRPr="00AD2F44">
        <w:rPr>
          <w:vertAlign w:val="superscript"/>
        </w:rPr>
        <w:footnoteRef/>
      </w:r>
      <w:r w:rsidRPr="00AD2F44">
        <w:rPr>
          <w:i/>
        </w:rPr>
        <w:t>See</w:t>
      </w:r>
    </w:p>
    <w:p w14:paraId="52C13EDC" w14:textId="77777777" w:rsidR="004322B1" w:rsidRPr="00AD2F44" w:rsidRDefault="004322B1">
      <w:pPr>
        <w:pStyle w:val="14Footnote"/>
      </w:pPr>
      <w:r w:rsidRPr="00AD2F44">
        <w:rPr>
          <w:i/>
          <w:iCs/>
        </w:rPr>
        <w:t>Sixth Circuit:</w:t>
      </w:r>
      <w:r w:rsidRPr="00AD2F44">
        <w:t xml:space="preserve"> Myers v. Copper Cellar Corp., 1996 WL 766505, at *3–4, 3 WH Cases2d 1081 (E.D. Tenn. Sept. 27, 1996) (denying defendant’s motion because, given that the motion was filed before discovery was conducted, there was insufficient evidence at that time to demonstrate that bifurcation would promote the goals of bifurcation, but leaving open that it would entertain a new motion at a later time if needed).</w:t>
      </w:r>
    </w:p>
    <w:p w14:paraId="5A955C08" w14:textId="77777777" w:rsidR="004322B1" w:rsidRPr="00AD2F44" w:rsidRDefault="004322B1">
      <w:pPr>
        <w:pStyle w:val="14Footnote"/>
      </w:pPr>
      <w:r w:rsidRPr="00AD2F44">
        <w:rPr>
          <w:i/>
          <w:iCs/>
        </w:rPr>
        <w:t>Tenth Circuit:</w:t>
      </w:r>
      <w:r w:rsidRPr="00AD2F44">
        <w:t xml:space="preserve"> Lamon v. City of Shawnee, 1990 WL 120831, at *1, 29 WH Cases 1599 (D. Kan. July 10, 1990) (granting separate motions in favor of bifurcation, because it would promote “convenience, expedition, and economy”).</w:t>
      </w:r>
    </w:p>
    <w:p w14:paraId="2EF87E24" w14:textId="77777777" w:rsidR="004322B1" w:rsidRPr="00AD2F44" w:rsidRDefault="004322B1">
      <w:pPr>
        <w:pStyle w:val="14Footnote"/>
      </w:pPr>
      <w:r w:rsidRPr="00AD2F44">
        <w:rPr>
          <w:i/>
          <w:iCs/>
        </w:rPr>
        <w:t>Eleventh Circuit:</w:t>
      </w:r>
      <w:r w:rsidRPr="00AD2F44">
        <w:t xml:space="preserve"> Davis v. City of Loganville, 2006 WL 1312411, at *4 (M.D. Ga. May 11, 2006) (granting unopposed motion to bifurcate because the court found that the issues of liability were complex, the issues to be tried were discrete, and there was likely to be jury confusion absent bifurcation).</w:t>
      </w:r>
    </w:p>
  </w:footnote>
  <w:footnote w:id="671">
    <w:p w14:paraId="0E0BFFC0" w14:textId="77777777" w:rsidR="004322B1" w:rsidRPr="00AD2F44" w:rsidRDefault="004322B1">
      <w:pPr>
        <w:pStyle w:val="14Footnote"/>
      </w:pPr>
      <w:r w:rsidRPr="00AD2F44">
        <w:rPr>
          <w:vertAlign w:val="superscript"/>
        </w:rPr>
        <w:footnoteRef/>
      </w:r>
      <w:r w:rsidRPr="00AD2F44">
        <w:rPr>
          <w:i/>
        </w:rPr>
        <w:t>See</w:t>
      </w:r>
    </w:p>
    <w:p w14:paraId="7D5F25F7" w14:textId="77777777" w:rsidR="004322B1" w:rsidRPr="00AD2F44" w:rsidRDefault="004322B1">
      <w:pPr>
        <w:pStyle w:val="14Footnote"/>
      </w:pPr>
      <w:r w:rsidRPr="00AD2F44">
        <w:rPr>
          <w:i/>
          <w:iCs/>
        </w:rPr>
        <w:t>Third Circuit:</w:t>
      </w:r>
      <w:r w:rsidRPr="00AD2F44">
        <w:t xml:space="preserve"> Goldman v. RadioShack Corp., 2005 WL 1155751, at *1, 10 WH Cases2d 1237 (E.D. Pa. May 13, 2005) (citing judicial economy as a reason for granting bifurcation motion).</w:t>
      </w:r>
    </w:p>
    <w:p w14:paraId="46405DEE" w14:textId="77777777" w:rsidR="004322B1" w:rsidRPr="00AD2F44" w:rsidRDefault="004322B1">
      <w:pPr>
        <w:pStyle w:val="14Footnote"/>
      </w:pPr>
      <w:r w:rsidRPr="00AD2F44">
        <w:rPr>
          <w:i/>
          <w:iCs/>
        </w:rPr>
        <w:t>Fifth Circuit:</w:t>
      </w:r>
      <w:r w:rsidRPr="00AD2F44">
        <w:t xml:space="preserve"> Falcon v. Starbucks Corp., 580 F. Supp. 2d 528, 541 (S.D. Tex. 2008) (court willing to consider bifurcation if “it will be in the interest of judicial economy”).</w:t>
      </w:r>
    </w:p>
    <w:p w14:paraId="2E604E33" w14:textId="77777777" w:rsidR="004322B1" w:rsidRPr="00AD2F44" w:rsidRDefault="004322B1">
      <w:pPr>
        <w:pStyle w:val="14Footnote"/>
      </w:pPr>
      <w:r w:rsidRPr="00AD2F44">
        <w:rPr>
          <w:i/>
          <w:iCs/>
        </w:rPr>
        <w:t>Sixth Circuit:</w:t>
      </w:r>
      <w:r w:rsidRPr="00AD2F44">
        <w:t xml:space="preserve"> </w:t>
      </w:r>
      <w:r w:rsidRPr="00AD2F44">
        <w:rPr>
          <w:i/>
          <w:iCs/>
        </w:rPr>
        <w:t>Myers</w:t>
      </w:r>
      <w:r w:rsidRPr="00AD2F44">
        <w:t>, 1996 WL 766505, at *3–4 (denying bifurcation motion in part because court did not conclude that “separate trials would be conducive to expedition and economy”).</w:t>
      </w:r>
    </w:p>
    <w:p w14:paraId="3FA4D318" w14:textId="77777777" w:rsidR="004322B1" w:rsidRPr="00AD2F44" w:rsidRDefault="004322B1">
      <w:pPr>
        <w:pStyle w:val="14Footnote"/>
      </w:pPr>
      <w:r w:rsidRPr="00AD2F44">
        <w:rPr>
          <w:i/>
          <w:iCs/>
        </w:rPr>
        <w:t>Tenth Circuit:</w:t>
      </w:r>
      <w:r w:rsidRPr="00AD2F44">
        <w:t xml:space="preserve"> </w:t>
      </w:r>
      <w:r w:rsidRPr="00AD2F44">
        <w:rPr>
          <w:i/>
          <w:iCs/>
        </w:rPr>
        <w:t>Lamon</w:t>
      </w:r>
      <w:r w:rsidRPr="00AD2F44">
        <w:t>, 1990 WL 120831, at *1 (granting motion).</w:t>
      </w:r>
    </w:p>
    <w:p w14:paraId="31430E05" w14:textId="77777777" w:rsidR="004322B1" w:rsidRPr="00AD2F44" w:rsidRDefault="004322B1">
      <w:pPr>
        <w:pStyle w:val="14Footnote"/>
      </w:pPr>
      <w:r w:rsidRPr="00A674E3">
        <w:rPr>
          <w:i/>
          <w:iCs/>
        </w:rPr>
        <w:t>Eleventh Circuit: City of Loganville,</w:t>
      </w:r>
      <w:r w:rsidRPr="00AD2F44">
        <w:t xml:space="preserve"> 2006 WL 1312411, at *4 (same).</w:t>
      </w:r>
    </w:p>
  </w:footnote>
  <w:footnote w:id="672">
    <w:p w14:paraId="747DA889"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Goldman</w:t>
      </w:r>
      <w:r w:rsidRPr="00AD2F44">
        <w:t>, 2005 WL 1155751, at *1.</w:t>
      </w:r>
    </w:p>
  </w:footnote>
  <w:footnote w:id="673">
    <w:p w14:paraId="13B77DFE" w14:textId="77777777" w:rsidR="004322B1" w:rsidRPr="00AD2F44" w:rsidRDefault="004322B1">
      <w:pPr>
        <w:pStyle w:val="14Footnote"/>
      </w:pPr>
      <w:r w:rsidRPr="00AD2F44">
        <w:rPr>
          <w:vertAlign w:val="superscript"/>
        </w:rPr>
        <w:footnoteRef/>
      </w:r>
      <w:r w:rsidRPr="00AD2F44">
        <w:rPr>
          <w:i/>
          <w:iCs/>
        </w:rPr>
        <w:t>See City of Loganville</w:t>
      </w:r>
      <w:r w:rsidRPr="00AD2F44">
        <w:t>, 2006 WL 1312411, at *4.</w:t>
      </w:r>
    </w:p>
  </w:footnote>
  <w:footnote w:id="674">
    <w:p w14:paraId="0169343F" w14:textId="77777777" w:rsidR="004322B1" w:rsidRPr="00AD2F44" w:rsidRDefault="004322B1">
      <w:pPr>
        <w:pStyle w:val="14Footnote"/>
      </w:pPr>
      <w:r w:rsidRPr="00AD2F44">
        <w:rPr>
          <w:vertAlign w:val="superscript"/>
        </w:rPr>
        <w:footnoteRef/>
      </w:r>
      <w:r w:rsidRPr="00AD2F44">
        <w:rPr>
          <w:i/>
        </w:rPr>
        <w:t>See</w:t>
      </w:r>
    </w:p>
    <w:p w14:paraId="3C06067D" w14:textId="77777777" w:rsidR="004322B1" w:rsidRPr="00AD2F44" w:rsidRDefault="004322B1">
      <w:pPr>
        <w:pStyle w:val="14Footnote"/>
      </w:pPr>
      <w:r w:rsidRPr="00AD2F44">
        <w:rPr>
          <w:i/>
          <w:iCs/>
        </w:rPr>
        <w:t>Third Circuit:</w:t>
      </w:r>
      <w:r w:rsidRPr="00AD2F44">
        <w:t xml:space="preserve"> </w:t>
      </w:r>
      <w:r w:rsidRPr="00AD2F44">
        <w:rPr>
          <w:i/>
          <w:iCs/>
        </w:rPr>
        <w:t>Goldman</w:t>
      </w:r>
      <w:r w:rsidRPr="00AD2F44">
        <w:t>, 2005 WL 1155751, at *1 (weighing potential prejudice to each party).</w:t>
      </w:r>
    </w:p>
    <w:p w14:paraId="4E33CCB1" w14:textId="77777777" w:rsidR="004322B1" w:rsidRPr="00AD2F44" w:rsidRDefault="004322B1">
      <w:pPr>
        <w:pStyle w:val="14Footnote"/>
      </w:pPr>
      <w:r w:rsidRPr="00AD2F44">
        <w:rPr>
          <w:i/>
          <w:iCs/>
        </w:rPr>
        <w:t>Fifth Circuit:</w:t>
      </w:r>
      <w:r w:rsidRPr="00AD2F44">
        <w:t xml:space="preserve"> Murillo v. Coryell Cnty. Tradesmen, LLC, 2017 U.S. Dist. LEXIS 98067, at *19–20 (E.D. La. June 26, 2017).</w:t>
      </w:r>
    </w:p>
    <w:p w14:paraId="34407B18" w14:textId="77777777" w:rsidR="004322B1" w:rsidRPr="00AD2F44" w:rsidRDefault="004322B1">
      <w:pPr>
        <w:pStyle w:val="14Footnote"/>
      </w:pPr>
      <w:r w:rsidRPr="00AD2F44">
        <w:rPr>
          <w:i/>
          <w:iCs/>
        </w:rPr>
        <w:t>Sixth Circuit:</w:t>
      </w:r>
      <w:r w:rsidRPr="00AD2F44">
        <w:t xml:space="preserve"> </w:t>
      </w:r>
      <w:r w:rsidRPr="00AD2F44">
        <w:rPr>
          <w:i/>
          <w:iCs/>
        </w:rPr>
        <w:t>Myers</w:t>
      </w:r>
      <w:r w:rsidRPr="00AD2F44">
        <w:t>, 1996 WL 766505, at *3–4.</w:t>
      </w:r>
    </w:p>
    <w:p w14:paraId="28BF0490" w14:textId="77777777" w:rsidR="004322B1" w:rsidRPr="00AD2F44" w:rsidRDefault="004322B1">
      <w:pPr>
        <w:pStyle w:val="14Footnote"/>
      </w:pPr>
      <w:r w:rsidRPr="00AD2F44">
        <w:rPr>
          <w:i/>
          <w:iCs/>
        </w:rPr>
        <w:t>Eleventh Circuit: City of Loganville,</w:t>
      </w:r>
      <w:r w:rsidRPr="00AD2F44">
        <w:t xml:space="preserve"> 2006 WL 1312411, at *4.</w:t>
      </w:r>
    </w:p>
  </w:footnote>
  <w:footnote w:id="675">
    <w:p w14:paraId="431ECEAC" w14:textId="77777777" w:rsidR="004322B1" w:rsidRPr="00AD2F44" w:rsidRDefault="004322B1">
      <w:pPr>
        <w:pStyle w:val="14Footnote"/>
      </w:pPr>
      <w:r w:rsidRPr="00AD2F44">
        <w:rPr>
          <w:vertAlign w:val="superscript"/>
        </w:rPr>
        <w:footnoteRef/>
      </w:r>
      <w:r w:rsidRPr="00AD2F44">
        <w:rPr>
          <w:i/>
          <w:iCs/>
        </w:rPr>
        <w:t>Compare Lamon</w:t>
      </w:r>
      <w:r w:rsidRPr="00AD2F44">
        <w:t xml:space="preserve">, 1990 WL 120831, at *1 (bifurcation granted but plaintiff’s request to stay discovery on damages denied), </w:t>
      </w:r>
      <w:r w:rsidRPr="00AD2F44">
        <w:rPr>
          <w:i/>
          <w:iCs/>
        </w:rPr>
        <w:t>with</w:t>
      </w:r>
      <w:r w:rsidRPr="00AD2F44">
        <w:t xml:space="preserve"> Harris v. Sims Registry, 2001 WL 78448, at *1 n.2, 7 WH Cases2d 1116 (N.D. Ill. Jan. 29, 2001) (court bifurcated proceeding and limited discovery to the exemption issue as to 10 sample plaintiffs).</w:t>
      </w:r>
    </w:p>
  </w:footnote>
  <w:footnote w:id="676">
    <w:p w14:paraId="0FEB6578" w14:textId="77777777" w:rsidR="004322B1" w:rsidRPr="00AD2F44" w:rsidRDefault="004322B1">
      <w:pPr>
        <w:pStyle w:val="14Footnote"/>
      </w:pPr>
      <w:r w:rsidRPr="00AD2F44">
        <w:rPr>
          <w:vertAlign w:val="superscript"/>
        </w:rPr>
        <w:footnoteRef/>
      </w:r>
      <w:r w:rsidRPr="00AD2F44">
        <w:rPr>
          <w:i/>
          <w:iCs/>
        </w:rPr>
        <w:t>See</w:t>
      </w:r>
      <w:r w:rsidRPr="00AD2F44">
        <w:t xml:space="preserve"> Moreau v. Klevenhagen, 956 F.2d 516, 522–23, 30 WH Cases 1438 (5th Cir. 1992) (overturning district court’s grant of summary judgment to defendant after finding that district court had “jumped the gun” by addressing the issue of damages during the liability stage).</w:t>
      </w:r>
    </w:p>
  </w:footnote>
  <w:footnote w:id="677">
    <w:p w14:paraId="54A05CEC" w14:textId="77777777" w:rsidR="004322B1" w:rsidRPr="00AD2F44" w:rsidRDefault="004322B1">
      <w:pPr>
        <w:pStyle w:val="14Footnote"/>
      </w:pPr>
      <w:r w:rsidRPr="00AD2F44">
        <w:rPr>
          <w:vertAlign w:val="superscript"/>
        </w:rPr>
        <w:footnoteRef/>
      </w:r>
      <w:r w:rsidRPr="00AD2F44">
        <w:rPr>
          <w:i/>
          <w:iCs/>
        </w:rPr>
        <w:t>See, e.g.,</w:t>
      </w:r>
    </w:p>
    <w:p w14:paraId="2719A9A5" w14:textId="77777777" w:rsidR="004322B1" w:rsidRPr="00AD2F44" w:rsidRDefault="004322B1">
      <w:pPr>
        <w:pStyle w:val="14Footnote"/>
      </w:pPr>
      <w:r w:rsidRPr="00AD2F44">
        <w:rPr>
          <w:i/>
          <w:iCs/>
        </w:rPr>
        <w:t>Second Circuit:</w:t>
      </w:r>
      <w:r w:rsidRPr="00AD2F44">
        <w:t xml:space="preserve"> Parker v. City of N.Y., 2008 U.S. Dist. LEXIS 38769, at *28–29, 13 WH Cases2d 1122 (S.D.N.Y. May 13, 2008); Davis v. J.P. Morgan Chase &amp; Co., 2007 WL 142110, at *1 (W.D.N.Y. Jan. 16, 2007); Freeman v. National Broad. Co., Inc., 1993 WL 524858, at *1 (S.D.N.Y. Dec. 15, 1993).</w:t>
      </w:r>
    </w:p>
    <w:p w14:paraId="1E8DE59A" w14:textId="77777777" w:rsidR="004322B1" w:rsidRPr="00AD2F44" w:rsidRDefault="004322B1">
      <w:pPr>
        <w:pStyle w:val="14Footnote"/>
      </w:pPr>
      <w:r w:rsidRPr="00AD2F44">
        <w:rPr>
          <w:i/>
          <w:iCs/>
        </w:rPr>
        <w:t>Third Circuit:</w:t>
      </w:r>
      <w:r w:rsidRPr="00AD2F44">
        <w:t xml:space="preserve"> Lusardi v. Xerox Corp., 118 F.R.D. 351, 354 (D.N.J. 1987) (ADEA case relying on FLSA statutory framework).</w:t>
      </w:r>
    </w:p>
    <w:p w14:paraId="44AE0370" w14:textId="77777777" w:rsidR="004322B1" w:rsidRPr="00AD2F44" w:rsidRDefault="004322B1">
      <w:pPr>
        <w:pStyle w:val="14Footnote"/>
      </w:pPr>
      <w:r w:rsidRPr="00AD2F44">
        <w:rPr>
          <w:i/>
          <w:iCs/>
        </w:rPr>
        <w:t>Eleventh Circuit:</w:t>
      </w:r>
      <w:r w:rsidRPr="00AD2F44">
        <w:t xml:space="preserve"> Hogan v. Allstate Ins. Co., 210 F. Supp. 2d 1312, 1313–14 (M.D. Fla. 2002), </w:t>
      </w:r>
      <w:r w:rsidRPr="00AD2F44">
        <w:rPr>
          <w:i/>
          <w:iCs/>
        </w:rPr>
        <w:t>aff’d in part, vacated &amp; remanded in part</w:t>
      </w:r>
      <w:r w:rsidRPr="00AD2F44">
        <w:t>, 361 F.3d 621, 9 WH Cases2d 720 (11th Cir. 2004).</w:t>
      </w:r>
    </w:p>
    <w:p w14:paraId="62C6A5E5" w14:textId="77777777" w:rsidR="004322B1" w:rsidRPr="00AD2F44" w:rsidRDefault="004322B1">
      <w:pPr>
        <w:pStyle w:val="14Footnote"/>
      </w:pPr>
      <w:r w:rsidRPr="00AD2F44">
        <w:rPr>
          <w:i/>
          <w:iCs/>
        </w:rPr>
        <w:t>Federal Circuit:</w:t>
      </w:r>
      <w:r w:rsidRPr="00AD2F44">
        <w:t xml:space="preserve"> Federal Air Marshals v. United States, 84 Fed. Cl. 585, 586, 14 WH Cases2d 442 (2008).</w:t>
      </w:r>
    </w:p>
  </w:footnote>
  <w:footnote w:id="678">
    <w:p w14:paraId="79D72398" w14:textId="77777777" w:rsidR="004322B1" w:rsidRPr="00AD2F44" w:rsidRDefault="004322B1">
      <w:pPr>
        <w:pStyle w:val="14Footnote"/>
      </w:pPr>
      <w:r w:rsidRPr="00AD2F44">
        <w:rPr>
          <w:vertAlign w:val="superscript"/>
        </w:rPr>
        <w:footnoteRef/>
      </w:r>
      <w:r w:rsidRPr="00AD2F44">
        <w:rPr>
          <w:i/>
        </w:rPr>
        <w:t>See</w:t>
      </w:r>
    </w:p>
    <w:p w14:paraId="4D7D8384" w14:textId="77777777" w:rsidR="004322B1" w:rsidRPr="00AD2F44" w:rsidRDefault="004322B1">
      <w:pPr>
        <w:pStyle w:val="14Footnote"/>
      </w:pPr>
      <w:r w:rsidRPr="00AD2F44">
        <w:rPr>
          <w:i/>
          <w:iCs/>
        </w:rPr>
        <w:t>Second Circuit:</w:t>
      </w:r>
      <w:r w:rsidRPr="00AD2F44">
        <w:t xml:space="preserve"> Mullins v. City of N.Y., 554 F. Supp. 2d 483, 486 (S.D.N.Y. 2008).</w:t>
      </w:r>
    </w:p>
    <w:p w14:paraId="632B3E2F" w14:textId="77777777" w:rsidR="004322B1" w:rsidRPr="00AD2F44" w:rsidRDefault="004322B1">
      <w:pPr>
        <w:pStyle w:val="14Footnote"/>
      </w:pPr>
      <w:r w:rsidRPr="00AD2F44">
        <w:rPr>
          <w:i/>
          <w:iCs/>
        </w:rPr>
        <w:t>Third Circuit:</w:t>
      </w:r>
      <w:r w:rsidRPr="00AD2F44">
        <w:t xml:space="preserve"> </w:t>
      </w:r>
      <w:r w:rsidRPr="00AD2F44">
        <w:rPr>
          <w:i/>
          <w:iCs/>
        </w:rPr>
        <w:t>Lusardi</w:t>
      </w:r>
      <w:r w:rsidRPr="00AD2F44">
        <w:t>, 118 F.R.D. at 354 (ADEA case relying on FLSA statutory framework where parties randomly selected 51 sample class members to conduct discovery along with named plaintiffs).</w:t>
      </w:r>
    </w:p>
    <w:p w14:paraId="0CFD8C1C" w14:textId="77777777" w:rsidR="004322B1" w:rsidRPr="00AD2F44" w:rsidRDefault="004322B1">
      <w:pPr>
        <w:pStyle w:val="14Footnote"/>
      </w:pPr>
      <w:r w:rsidRPr="00AD2F44">
        <w:rPr>
          <w:i/>
          <w:iCs/>
        </w:rPr>
        <w:t>Eleventh Circuit: Hogan,</w:t>
      </w:r>
      <w:r w:rsidRPr="00AD2F44">
        <w:t xml:space="preserve"> 361 F.3d at 624.</w:t>
      </w:r>
    </w:p>
  </w:footnote>
  <w:footnote w:id="679">
    <w:p w14:paraId="75F4CB63" w14:textId="77777777" w:rsidR="004322B1" w:rsidRPr="00AD2F44" w:rsidRDefault="004322B1">
      <w:pPr>
        <w:pStyle w:val="14Footnote"/>
      </w:pPr>
      <w:r w:rsidRPr="00AD2F44">
        <w:rPr>
          <w:vertAlign w:val="superscript"/>
        </w:rPr>
        <w:footnoteRef/>
      </w:r>
      <w:r w:rsidRPr="00AD2F44">
        <w:rPr>
          <w:i/>
        </w:rPr>
        <w:t>See</w:t>
      </w:r>
    </w:p>
    <w:p w14:paraId="4B2B7E2A" w14:textId="77777777" w:rsidR="004322B1" w:rsidRPr="00AD2F44" w:rsidRDefault="004322B1">
      <w:pPr>
        <w:pStyle w:val="14Footnote"/>
      </w:pPr>
      <w:r w:rsidRPr="00AD2F44">
        <w:rPr>
          <w:i/>
          <w:iCs/>
        </w:rPr>
        <w:t>Second Circuit: Davis</w:t>
      </w:r>
      <w:r w:rsidRPr="00AD2F44">
        <w:t xml:space="preserve">, 2007 WL 142110, at *1; </w:t>
      </w:r>
      <w:r w:rsidRPr="00AD2F44">
        <w:rPr>
          <w:i/>
          <w:iCs/>
        </w:rPr>
        <w:t>Freeman</w:t>
      </w:r>
      <w:r w:rsidRPr="00AD2F44">
        <w:t>, 1993 WL 524858, at *1.</w:t>
      </w:r>
    </w:p>
    <w:p w14:paraId="5E93EBFF" w14:textId="77777777" w:rsidR="004322B1" w:rsidRPr="00AD2F44" w:rsidRDefault="004322B1">
      <w:pPr>
        <w:pStyle w:val="14Footnote"/>
      </w:pPr>
      <w:r w:rsidRPr="00AD2F44">
        <w:rPr>
          <w:i/>
          <w:iCs/>
        </w:rPr>
        <w:t>Fifth Circuit:</w:t>
      </w:r>
      <w:r w:rsidRPr="00AD2F44">
        <w:t xml:space="preserve"> Lindsley v. Bellsouth Telecomms., 2009 WL 537159, at *1 (E.D. La. Feb. 27, 2009).</w:t>
      </w:r>
    </w:p>
    <w:p w14:paraId="6BD16E33" w14:textId="77777777" w:rsidR="004322B1" w:rsidRPr="00AD2F44" w:rsidRDefault="004322B1">
      <w:pPr>
        <w:pStyle w:val="14Footnote"/>
      </w:pPr>
      <w:r w:rsidRPr="00AD2F44">
        <w:rPr>
          <w:i/>
          <w:iCs/>
        </w:rPr>
        <w:t>Federal Circuit: Federal Air Marshals,</w:t>
      </w:r>
      <w:r w:rsidRPr="00AD2F44">
        <w:t xml:space="preserve"> 84 Fed. Cl. at 586.</w:t>
      </w:r>
    </w:p>
  </w:footnote>
  <w:footnote w:id="680">
    <w:p w14:paraId="5C7D8F30"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Davis</w:t>
      </w:r>
      <w:r w:rsidRPr="00AD2F44">
        <w:t xml:space="preserve">, 2007 WL 142110, at *1; </w:t>
      </w:r>
      <w:r w:rsidRPr="00AD2F44">
        <w:rPr>
          <w:i/>
          <w:iCs/>
        </w:rPr>
        <w:t>Federal Air Marshals</w:t>
      </w:r>
      <w:r w:rsidRPr="00AD2F44">
        <w:t xml:space="preserve">, 84 Fed. Cl. at 586; </w:t>
      </w:r>
      <w:r w:rsidRPr="00AD2F44">
        <w:rPr>
          <w:i/>
          <w:iCs/>
        </w:rPr>
        <w:t>Freeman</w:t>
      </w:r>
      <w:r w:rsidRPr="00AD2F44">
        <w:t xml:space="preserve">, 1993 WL 524858, at *1. </w:t>
      </w:r>
      <w:r w:rsidRPr="00AD2F44">
        <w:rPr>
          <w:i/>
          <w:iCs/>
        </w:rPr>
        <w:t xml:space="preserve">But see </w:t>
      </w:r>
      <w:r w:rsidRPr="00AD2F44">
        <w:t>Lindsley</w:t>
      </w:r>
      <w:r w:rsidRPr="00AD2F44">
        <w:rPr>
          <w:i/>
          <w:iCs/>
        </w:rPr>
        <w:t xml:space="preserve"> </w:t>
      </w:r>
      <w:r w:rsidRPr="00AD2F44">
        <w:t>v. Bellsouth Telecomms., 2009 WL 322144 (E.D. La. Feb. 9, 2009) (denying plaintiffs’ motion to strike defendants’ summary judgment motion and selecting one of the named plaintiffs as a test plaintiff to resolve the question of employee or independent contractor status).</w:t>
      </w:r>
    </w:p>
  </w:footnote>
  <w:footnote w:id="681">
    <w:p w14:paraId="57EB1D98" w14:textId="77777777" w:rsidR="004322B1" w:rsidRPr="00AD2F44" w:rsidRDefault="004322B1">
      <w:pPr>
        <w:pStyle w:val="14Footnote"/>
      </w:pPr>
      <w:r w:rsidRPr="00AD2F44">
        <w:rPr>
          <w:vertAlign w:val="superscript"/>
        </w:rPr>
        <w:footnoteRef/>
      </w:r>
      <w:r w:rsidRPr="00AD2F44">
        <w:t xml:space="preserve">210 F. Supp. 2d 1312 (M.D. Fla. 2002), </w:t>
      </w:r>
      <w:r w:rsidRPr="00AD2F44">
        <w:rPr>
          <w:i/>
          <w:iCs/>
        </w:rPr>
        <w:t>aff’d in part, vacated &amp; remanded in part</w:t>
      </w:r>
      <w:r w:rsidRPr="00AD2F44">
        <w:t xml:space="preserve">, 361 F.3d 621, 9 WH Cases2d 720 (11th Cir. 2004). </w:t>
      </w:r>
    </w:p>
  </w:footnote>
  <w:footnote w:id="682">
    <w:p w14:paraId="71DB4567" w14:textId="77777777" w:rsidR="004322B1" w:rsidRPr="00AD2F44" w:rsidRDefault="004322B1">
      <w:pPr>
        <w:pStyle w:val="14Footnote"/>
      </w:pPr>
      <w:r w:rsidRPr="00AD2F44">
        <w:rPr>
          <w:vertAlign w:val="superscript"/>
        </w:rPr>
        <w:footnoteRef/>
      </w:r>
      <w:r w:rsidRPr="00AD2F44">
        <w:t>210 F. Supp. 2d at 1313.</w:t>
      </w:r>
    </w:p>
  </w:footnote>
  <w:footnote w:id="683">
    <w:p w14:paraId="040283EC" w14:textId="77777777" w:rsidR="004322B1" w:rsidRPr="00AD2F44" w:rsidRDefault="004322B1">
      <w:pPr>
        <w:pStyle w:val="14Footnote"/>
      </w:pPr>
      <w:r w:rsidRPr="00AD2F44">
        <w:rPr>
          <w:vertAlign w:val="superscript"/>
        </w:rPr>
        <w:footnoteRef/>
      </w:r>
      <w:r w:rsidRPr="00AD2F44">
        <w:rPr>
          <w:i/>
          <w:iCs/>
        </w:rPr>
        <w:t>Id</w:t>
      </w:r>
      <w:r w:rsidRPr="00AD2F44">
        <w:t>. at 1324.</w:t>
      </w:r>
    </w:p>
  </w:footnote>
  <w:footnote w:id="684">
    <w:p w14:paraId="6F8B9FD1" w14:textId="77777777" w:rsidR="004322B1" w:rsidRPr="00AD2F44" w:rsidRDefault="004322B1">
      <w:pPr>
        <w:pStyle w:val="14Footnote"/>
      </w:pPr>
      <w:r w:rsidRPr="00AD2F44">
        <w:rPr>
          <w:vertAlign w:val="superscript"/>
        </w:rPr>
        <w:footnoteRef/>
      </w:r>
      <w:r w:rsidRPr="00AD2F44">
        <w:rPr>
          <w:i/>
          <w:iCs/>
        </w:rPr>
        <w:t>Hogan</w:t>
      </w:r>
      <w:r w:rsidRPr="00AD2F44">
        <w:t>, 361 F.3d at 628.</w:t>
      </w:r>
    </w:p>
  </w:footnote>
  <w:footnote w:id="685">
    <w:p w14:paraId="5A7EFFC6" w14:textId="77777777" w:rsidR="004322B1" w:rsidRPr="00AD2F44" w:rsidRDefault="004322B1">
      <w:pPr>
        <w:pStyle w:val="14Footnote"/>
      </w:pPr>
      <w:r w:rsidRPr="00AD2F44">
        <w:rPr>
          <w:vertAlign w:val="superscript"/>
        </w:rPr>
        <w:footnoteRef/>
      </w:r>
      <w:r w:rsidRPr="00AD2F44">
        <w:rPr>
          <w:i/>
          <w:iCs/>
        </w:rPr>
        <w:t>Id</w:t>
      </w:r>
      <w:r w:rsidRPr="00AD2F44">
        <w:t>. at 628–29.</w:t>
      </w:r>
    </w:p>
  </w:footnote>
  <w:footnote w:id="686">
    <w:p w14:paraId="552729AB" w14:textId="77777777" w:rsidR="004322B1" w:rsidRPr="00AD2F44" w:rsidRDefault="004322B1">
      <w:pPr>
        <w:pStyle w:val="14Footnote"/>
      </w:pPr>
      <w:r w:rsidRPr="00AD2F44">
        <w:rPr>
          <w:vertAlign w:val="superscript"/>
        </w:rPr>
        <w:footnoteRef/>
      </w:r>
      <w:r w:rsidRPr="00AD2F44">
        <w:rPr>
          <w:i/>
          <w:iCs/>
        </w:rPr>
        <w:t>Id</w:t>
      </w:r>
      <w:r w:rsidRPr="00AD2F44">
        <w:t>. at 629.</w:t>
      </w:r>
    </w:p>
  </w:footnote>
  <w:footnote w:id="687">
    <w:p w14:paraId="5A765DAF" w14:textId="77777777" w:rsidR="004322B1" w:rsidRPr="00AD2F44" w:rsidRDefault="004322B1">
      <w:pPr>
        <w:pStyle w:val="14Footnote"/>
      </w:pPr>
      <w:r w:rsidRPr="00AD2F44">
        <w:rPr>
          <w:vertAlign w:val="superscript"/>
        </w:rPr>
        <w:footnoteRef/>
      </w:r>
      <w:r w:rsidRPr="00AD2F44">
        <w:t xml:space="preserve">Hogan v. Allstate Ins. Co., No. 8:00-cv-02562-JSM-TWG, slip op. at 4 (M.D. Fla. Apr. 26, 2004). </w:t>
      </w:r>
    </w:p>
  </w:footnote>
  <w:footnote w:id="688">
    <w:p w14:paraId="09F4F73E" w14:textId="77777777" w:rsidR="004322B1" w:rsidRPr="00AD2F44" w:rsidRDefault="004322B1">
      <w:pPr>
        <w:pStyle w:val="14Footnote"/>
      </w:pPr>
      <w:r w:rsidRPr="00AD2F44">
        <w:rPr>
          <w:vertAlign w:val="superscript"/>
        </w:rPr>
        <w:footnoteRef/>
      </w:r>
      <w:r w:rsidRPr="00AD2F44">
        <w:rPr>
          <w:i/>
          <w:iCs/>
        </w:rPr>
        <w:t>See</w:t>
      </w:r>
      <w:r w:rsidRPr="00AD2F44">
        <w:t xml:space="preserve"> Pendlebury v. Starbucks Coffee Co., 2008 WL 113667, at *1 n.1 (S.D. Fla. Jan. 8, 2008).</w:t>
      </w:r>
    </w:p>
  </w:footnote>
  <w:footnote w:id="689">
    <w:p w14:paraId="15BDB1E2" w14:textId="77777777" w:rsidR="004322B1" w:rsidRPr="00AD2F44" w:rsidRDefault="004322B1">
      <w:pPr>
        <w:pStyle w:val="14Footnote"/>
      </w:pPr>
      <w:r w:rsidRPr="00AD2F44">
        <w:rPr>
          <w:vertAlign w:val="superscript"/>
        </w:rPr>
        <w:footnoteRef/>
      </w:r>
      <w:r w:rsidRPr="00AD2F44">
        <w:rPr>
          <w:i/>
          <w:iCs/>
        </w:rPr>
        <w:t>See</w:t>
      </w:r>
      <w:r w:rsidRPr="00AD2F44">
        <w:t xml:space="preserve"> Lindsley v. Bellsouth Telecomms., 2009 WL 322144, at *2 (E.D. La. Feb. 9, 2009) (denying plaintiffs’ motion to strike and selecting one of the named plaintiffs as a test plaintiff to resolve the question of employee or independent contractor status).</w:t>
      </w:r>
    </w:p>
  </w:footnote>
  <w:footnote w:id="690">
    <w:p w14:paraId="295DF2F6" w14:textId="77777777" w:rsidR="004322B1" w:rsidRPr="00AD2F44" w:rsidRDefault="004322B1">
      <w:pPr>
        <w:pStyle w:val="14Footnote"/>
      </w:pPr>
      <w:r w:rsidRPr="00AD2F44">
        <w:rPr>
          <w:vertAlign w:val="superscript"/>
        </w:rPr>
        <w:footnoteRef/>
      </w:r>
      <w:r w:rsidRPr="00AD2F44">
        <w:rPr>
          <w:smallCaps/>
        </w:rPr>
        <w:t>Federal Judicial Center, Manual for Complex Litigation</w:t>
      </w:r>
      <w:r w:rsidRPr="00AD2F44">
        <w:t xml:space="preserve"> (4th ed. 2004).</w:t>
      </w:r>
    </w:p>
  </w:footnote>
  <w:footnote w:id="691">
    <w:p w14:paraId="143E8244" w14:textId="77777777" w:rsidR="004322B1" w:rsidRPr="00AD2F44" w:rsidRDefault="004322B1">
      <w:pPr>
        <w:pStyle w:val="14Footnote"/>
      </w:pPr>
      <w:r w:rsidRPr="00AD2F44">
        <w:rPr>
          <w:vertAlign w:val="superscript"/>
        </w:rPr>
        <w:footnoteRef/>
      </w:r>
      <w:r w:rsidRPr="00AD2F44">
        <w:t xml:space="preserve">28 U.S.C. §1407(a). </w:t>
      </w:r>
      <w:r w:rsidRPr="00AD2F44">
        <w:rPr>
          <w:i/>
          <w:iCs/>
        </w:rPr>
        <w:t>See, e</w:t>
      </w:r>
      <w:r w:rsidRPr="00AD2F44">
        <w:t>.</w:t>
      </w:r>
      <w:r w:rsidRPr="00AD2F44">
        <w:rPr>
          <w:i/>
          <w:iCs/>
        </w:rPr>
        <w:t>g</w:t>
      </w:r>
      <w:r w:rsidRPr="00AD2F44">
        <w:t xml:space="preserve">., </w:t>
      </w:r>
      <w:r w:rsidRPr="00AD2F44">
        <w:rPr>
          <w:i/>
          <w:iCs/>
        </w:rPr>
        <w:t>In re</w:t>
      </w:r>
      <w:r w:rsidRPr="00AD2F44">
        <w:rPr>
          <w:b/>
          <w:bCs/>
        </w:rPr>
        <w:t xml:space="preserve"> </w:t>
      </w:r>
      <w:r w:rsidRPr="00AD2F44">
        <w:t>Enterprise Rent-A-Car Wage &amp; Hour Emp. Practices Litig., 626 F. Supp. 2d 1325, 1325 (J.P.M.L. 2009) (transferring six collective actions challenging exempt status of defendant’s assistant managers).</w:t>
      </w:r>
    </w:p>
  </w:footnote>
  <w:footnote w:id="692">
    <w:p w14:paraId="3D181556" w14:textId="77777777" w:rsidR="004322B1" w:rsidRPr="00AD2F44" w:rsidRDefault="004322B1">
      <w:pPr>
        <w:pStyle w:val="14Footnote"/>
      </w:pPr>
      <w:r w:rsidRPr="00AD2F44">
        <w:rPr>
          <w:vertAlign w:val="superscript"/>
        </w:rPr>
        <w:footnoteRef/>
      </w:r>
      <w:r w:rsidRPr="00AD2F44">
        <w:t>29 U.S.C. §1407(c).</w:t>
      </w:r>
    </w:p>
  </w:footnote>
  <w:footnote w:id="693">
    <w:p w14:paraId="5FF76BA4" w14:textId="77777777" w:rsidR="004322B1" w:rsidRPr="00AD2F44" w:rsidRDefault="004322B1">
      <w:pPr>
        <w:pStyle w:val="14Footnote"/>
      </w:pPr>
      <w:r w:rsidRPr="00AD2F44">
        <w:rPr>
          <w:vertAlign w:val="superscript"/>
        </w:rPr>
        <w:footnoteRef/>
      </w:r>
      <w:r w:rsidRPr="00AD2F44">
        <w:rPr>
          <w:smallCaps/>
        </w:rPr>
        <w:t>Manual for Complex Litigation</w:t>
      </w:r>
      <w:r w:rsidRPr="00AD2F44">
        <w:t xml:space="preserve"> §20.133.</w:t>
      </w:r>
    </w:p>
  </w:footnote>
  <w:footnote w:id="694">
    <w:p w14:paraId="31E965E5" w14:textId="77777777" w:rsidR="004322B1" w:rsidRPr="00AD2F44" w:rsidRDefault="004322B1">
      <w:pPr>
        <w:pStyle w:val="14Footnote"/>
      </w:pPr>
      <w:r w:rsidRPr="00AD2F44">
        <w:rPr>
          <w:vertAlign w:val="superscript"/>
        </w:rPr>
        <w:footnoteRef/>
      </w:r>
      <w:r w:rsidRPr="00AD2F44">
        <w:rPr>
          <w:i/>
          <w:iCs/>
        </w:rPr>
        <w:t>In re</w:t>
      </w:r>
      <w:r w:rsidRPr="00AD2F44">
        <w:t xml:space="preserve"> Food Lion, Inc., Fair Labor Standards Act, “Effective Scheduling” Litig., 73 F.3d 528, 532 (4th Cir. 1996); </w:t>
      </w:r>
      <w:r w:rsidRPr="00AD2F44">
        <w:rPr>
          <w:smallCaps/>
        </w:rPr>
        <w:t>Manual for Complex Litigation</w:t>
      </w:r>
      <w:r w:rsidRPr="00AD2F44">
        <w:t xml:space="preserve"> §20.132.</w:t>
      </w:r>
    </w:p>
  </w:footnote>
  <w:footnote w:id="695">
    <w:p w14:paraId="61F6CA92" w14:textId="77777777" w:rsidR="004322B1" w:rsidRPr="00AD2F44" w:rsidRDefault="004322B1">
      <w:pPr>
        <w:pStyle w:val="14Footnote"/>
      </w:pPr>
      <w:r w:rsidRPr="00AD2F44">
        <w:rPr>
          <w:vertAlign w:val="superscript"/>
        </w:rPr>
        <w:footnoteRef/>
      </w:r>
      <w:r w:rsidRPr="00AD2F44">
        <w:rPr>
          <w:i/>
          <w:iCs/>
        </w:rPr>
        <w:t xml:space="preserve">In re </w:t>
      </w:r>
      <w:r w:rsidRPr="00AD2F44">
        <w:t xml:space="preserve">Comcast Corp. Emp. Wage &amp; Hour Emp. Practices Litig., 190 F. Supp. 3d 1344, 1345 (J.P.M.L. 2016) (quoting </w:t>
      </w:r>
      <w:r w:rsidRPr="00AD2F44">
        <w:rPr>
          <w:i/>
          <w:iCs/>
        </w:rPr>
        <w:t xml:space="preserve">In re </w:t>
      </w:r>
      <w:r w:rsidRPr="00AD2F44">
        <w:t>Best Buy Co., Inc., Cal. Song-Beverly Credit Card Act Litig., 804 F. Supp. 2d 1376, 1378 (J.P.M.L. 2011)).</w:t>
      </w:r>
    </w:p>
  </w:footnote>
  <w:footnote w:id="696">
    <w:p w14:paraId="53C62EB6" w14:textId="77777777" w:rsidR="004322B1" w:rsidRPr="00AD2F44" w:rsidRDefault="004322B1">
      <w:pPr>
        <w:pStyle w:val="14Footnote"/>
      </w:pPr>
      <w:r w:rsidRPr="00AD2F44">
        <w:rPr>
          <w:vertAlign w:val="superscript"/>
        </w:rPr>
        <w:footnoteRef/>
      </w:r>
      <w:r w:rsidRPr="00AD2F44">
        <w:rPr>
          <w:i/>
          <w:iCs/>
        </w:rPr>
        <w:t>In re Food Lion</w:t>
      </w:r>
      <w:r w:rsidRPr="00AD2F44">
        <w:t>, 73 F.3d 528.</w:t>
      </w:r>
    </w:p>
  </w:footnote>
  <w:footnote w:id="697">
    <w:p w14:paraId="74FAD6A1" w14:textId="77777777" w:rsidR="004322B1" w:rsidRPr="00AD2F44" w:rsidRDefault="004322B1">
      <w:pPr>
        <w:pStyle w:val="14Footnote"/>
      </w:pPr>
      <w:r w:rsidRPr="00AD2F44">
        <w:rPr>
          <w:vertAlign w:val="superscript"/>
        </w:rPr>
        <w:footnoteRef/>
      </w:r>
      <w:r w:rsidRPr="00AD2F44">
        <w:rPr>
          <w:i/>
          <w:iCs/>
        </w:rPr>
        <w:t>Id.</w:t>
      </w:r>
      <w:r w:rsidRPr="00AD2F44">
        <w:t xml:space="preserve"> at 533.</w:t>
      </w:r>
    </w:p>
  </w:footnote>
  <w:footnote w:id="698">
    <w:p w14:paraId="5608C883" w14:textId="77777777" w:rsidR="004322B1" w:rsidRPr="00AD2F44" w:rsidRDefault="004322B1">
      <w:pPr>
        <w:pStyle w:val="14Footnote"/>
      </w:pPr>
      <w:r w:rsidRPr="00AD2F44">
        <w:rPr>
          <w:vertAlign w:val="superscript"/>
        </w:rPr>
        <w:footnoteRef/>
      </w:r>
      <w:r w:rsidRPr="00AD2F44">
        <w:rPr>
          <w:i/>
          <w:iCs/>
        </w:rPr>
        <w:t xml:space="preserve">Id. </w:t>
      </w:r>
      <w:r w:rsidRPr="00AD2F44">
        <w:t>at 532.</w:t>
      </w:r>
    </w:p>
  </w:footnote>
  <w:footnote w:id="699">
    <w:p w14:paraId="2A012454" w14:textId="77777777" w:rsidR="004322B1" w:rsidRPr="00AD2F44" w:rsidRDefault="004322B1">
      <w:pPr>
        <w:pStyle w:val="14Footnote"/>
      </w:pPr>
      <w:r w:rsidRPr="00AD2F44">
        <w:rPr>
          <w:vertAlign w:val="superscript"/>
        </w:rPr>
        <w:footnoteRef/>
      </w:r>
      <w:r w:rsidRPr="00AD2F44">
        <w:rPr>
          <w:i/>
          <w:iCs/>
        </w:rPr>
        <w:t>Id.</w:t>
      </w:r>
      <w:r w:rsidRPr="00AD2F44">
        <w:t xml:space="preserve"> at 533.</w:t>
      </w:r>
    </w:p>
  </w:footnote>
  <w:footnote w:id="700">
    <w:p w14:paraId="08DB8316" w14:textId="77777777" w:rsidR="004322B1" w:rsidRPr="00AD2F44" w:rsidRDefault="004322B1">
      <w:pPr>
        <w:pStyle w:val="14Footnote"/>
      </w:pPr>
      <w:r w:rsidRPr="00AD2F44">
        <w:rPr>
          <w:vertAlign w:val="superscript"/>
        </w:rPr>
        <w:footnoteRef/>
      </w:r>
      <w:r w:rsidRPr="00AD2F44">
        <w:rPr>
          <w:i/>
          <w:iCs/>
        </w:rPr>
        <w:t>See In re</w:t>
      </w:r>
      <w:r w:rsidRPr="00AD2F44">
        <w:t xml:space="preserve"> Wells Fargo Wage &amp; Hour Emp. Practices Litig.,</w:t>
      </w:r>
      <w:r w:rsidRPr="00AD2F44">
        <w:rPr>
          <w:i/>
          <w:iCs/>
        </w:rPr>
        <w:t xml:space="preserve"> </w:t>
      </w:r>
      <w:r w:rsidRPr="00AD2F44">
        <w:t xml:space="preserve">804 F. Supp. 2d 1382, 1384–85 (J.P.M.L. 2011) (selecting Southern District of Texas as transferee court where two of four actions were pending); </w:t>
      </w:r>
      <w:r w:rsidRPr="00AD2F44">
        <w:rPr>
          <w:i/>
          <w:iCs/>
        </w:rPr>
        <w:t>In re</w:t>
      </w:r>
      <w:r w:rsidRPr="00AD2F44">
        <w:rPr>
          <w:b/>
          <w:bCs/>
        </w:rPr>
        <w:t xml:space="preserve"> </w:t>
      </w:r>
      <w:r w:rsidRPr="00AD2F44">
        <w:t xml:space="preserve">Enterprise Rent-A-Car Wage &amp; Hour Emp. Practices Litig., 626 F. Supp. 2d 1325, 1326 (J.P.M.L. 2009) (selecting Western District of Pennsylvania as transferee court in part because it was where first-filed action was pending); </w:t>
      </w:r>
      <w:r w:rsidRPr="00AD2F44">
        <w:rPr>
          <w:i/>
          <w:iCs/>
        </w:rPr>
        <w:t>In re</w:t>
      </w:r>
      <w:r w:rsidRPr="00AD2F44">
        <w:t xml:space="preserve"> DirecTech Sw., Inc., FLSA Litig., 581 F. Supp. 2d 1370 (J.P.M.L. 2008) (consolidating three overtime actions into the Eastern District of Louisiana, the forum with the first-filed and most-advanced case; the plaintiffs all either supported or did not oppose the motion to consolidate and transfer); </w:t>
      </w:r>
      <w:r w:rsidRPr="00AD2F44">
        <w:rPr>
          <w:i/>
          <w:iCs/>
        </w:rPr>
        <w:t>In re</w:t>
      </w:r>
      <w:r w:rsidRPr="00AD2F44">
        <w:t xml:space="preserve"> Cintas Corp. Overtime Pay Arb. Litig., 444 F. Supp. 2d 1353, 1355 (J.P.M.L. 2006) (consolidating 71 separate actions before the Northern District of California court “because i) the district is where the first filed and significantly more advanced action is pending before a judge already well versed in the issues presented by the litigation; and ii) all parties are in agreement that if the litigation is centralized, the California district should be selected as transferee forum”).</w:t>
      </w:r>
    </w:p>
  </w:footnote>
  <w:footnote w:id="701">
    <w:p w14:paraId="68408AED" w14:textId="77777777" w:rsidR="004322B1" w:rsidRPr="00AD2F44" w:rsidRDefault="004322B1">
      <w:pPr>
        <w:pStyle w:val="14Footnote"/>
      </w:pPr>
      <w:r w:rsidRPr="00AD2F44">
        <w:rPr>
          <w:vertAlign w:val="superscript"/>
        </w:rPr>
        <w:footnoteRef/>
      </w:r>
      <w:r w:rsidRPr="00AD2F44">
        <w:rPr>
          <w:i/>
          <w:iCs/>
        </w:rPr>
        <w:t>In re</w:t>
      </w:r>
      <w:r w:rsidRPr="00AD2F44">
        <w:t xml:space="preserve"> Wells Fargo Wage &amp; Hour Emp. Practices Litig.,</w:t>
      </w:r>
      <w:r w:rsidRPr="00AD2F44">
        <w:rPr>
          <w:i/>
          <w:iCs/>
        </w:rPr>
        <w:t xml:space="preserve"> </w:t>
      </w:r>
      <w:r w:rsidRPr="00AD2F44">
        <w:t xml:space="preserve">804 F. Supp. 2d 1382, 1384–85 (J.P.M.L. 2011) (selecting Southern District of Texas as transferee court where discovery had already commenced); </w:t>
      </w:r>
      <w:r w:rsidRPr="00AD2F44">
        <w:rPr>
          <w:i/>
          <w:iCs/>
        </w:rPr>
        <w:t xml:space="preserve">In re </w:t>
      </w:r>
      <w:r w:rsidRPr="00AD2F44">
        <w:t xml:space="preserve">Foot Locker, Inc., FLSA &amp; Wage &amp; Hour Litig., 787 F. Supp. 2d 1364, 1365 (J.P.M.L. 2011) (selecting Eastern District of Pennsylvania because action had been pending since May 2007 and judge was familiar with issues in litigation); </w:t>
      </w:r>
      <w:r w:rsidRPr="00AD2F44">
        <w:rPr>
          <w:i/>
          <w:iCs/>
        </w:rPr>
        <w:t>In re</w:t>
      </w:r>
      <w:r w:rsidRPr="00AD2F44">
        <w:rPr>
          <w:b/>
          <w:bCs/>
        </w:rPr>
        <w:t xml:space="preserve"> </w:t>
      </w:r>
      <w:r w:rsidRPr="00AD2F44">
        <w:t xml:space="preserve">Enterprise Rent-A-Car Wage &amp; Hour Emp. Practices Litig., 626 F. Supp. 2d 1325, 1326 (J.P.M.L. 2009) (selecting Western District of Pennsylvania as transferee court in part because that venue was where case was most procedurally advanced); </w:t>
      </w:r>
      <w:r w:rsidRPr="00AD2F44">
        <w:rPr>
          <w:i/>
          <w:iCs/>
        </w:rPr>
        <w:t>In re</w:t>
      </w:r>
      <w:r w:rsidRPr="00AD2F44">
        <w:t xml:space="preserve"> Family Dollar Stores, Inc., Wage &amp; Hour Emp. Practices Litig., 545 F. Supp. 2d 1363 (J.P.M.L. 2008) (consolidating nine overtime actions against Family Dollar Stores in the Western District of North Carolina because allegations were factually similar, defendant’s headquarters was located in that district, and six of the actions were already underway there); </w:t>
      </w:r>
      <w:r w:rsidRPr="00AD2F44">
        <w:rPr>
          <w:i/>
          <w:iCs/>
        </w:rPr>
        <w:t>In re</w:t>
      </w:r>
      <w:r w:rsidRPr="00AD2F44">
        <w:t xml:space="preserve"> American Family Mut. Ins. Co., 416 F. Supp. 2d 1346, 1347 (J.P.M.L. 2006) (consolidating two FLSA misclassification actions in District of Colorado where motion requested and over 120 plaintiffs had opted in to litigation “in order to eliminate duplicative discovery; prevent inconsistent pretrial rulings, particularly with respect to class certification; and conserve the resources of the parties, their counsel and the judiciary”); </w:t>
      </w:r>
      <w:r w:rsidRPr="00AD2F44">
        <w:rPr>
          <w:i/>
          <w:iCs/>
        </w:rPr>
        <w:t>In re</w:t>
      </w:r>
      <w:r w:rsidRPr="00AD2F44">
        <w:t xml:space="preserve"> Dollar Gen. Corp. FLSA Litig., 346 F. Supp. 2d 1368 (J.P.M.L. 2004).(consolidating four FLSA overtime actions in Northern District of Alabama where most procedurally advanced action was pending and where some of the plaintiffs supported centralization). </w:t>
      </w:r>
    </w:p>
  </w:footnote>
  <w:footnote w:id="702">
    <w:p w14:paraId="0F1E9F2F" w14:textId="77777777" w:rsidR="004322B1" w:rsidRPr="00AD2F44" w:rsidRDefault="004322B1">
      <w:pPr>
        <w:pStyle w:val="14Footnote"/>
      </w:pPr>
      <w:r w:rsidRPr="00AD2F44">
        <w:rPr>
          <w:vertAlign w:val="superscript"/>
        </w:rPr>
        <w:footnoteRef/>
      </w:r>
      <w:r w:rsidRPr="00AD2F44">
        <w:rPr>
          <w:i/>
          <w:iCs/>
        </w:rPr>
        <w:t>In re</w:t>
      </w:r>
      <w:r w:rsidRPr="00AD2F44">
        <w:t xml:space="preserve"> Wells Fargo Wage &amp; Hour Emp. Practices Litig.,</w:t>
      </w:r>
      <w:r w:rsidRPr="00AD2F44">
        <w:rPr>
          <w:i/>
          <w:iCs/>
        </w:rPr>
        <w:t xml:space="preserve"> </w:t>
      </w:r>
      <w:r w:rsidRPr="00AD2F44">
        <w:t xml:space="preserve">804 F. Supp. 2d 1382, 1384–85 (J.P.M.L. 2011) (selecting Southern District of Texas as transferee court because it was centrally located and most accessible to all parties and witnesses); </w:t>
      </w:r>
      <w:r w:rsidRPr="00AD2F44">
        <w:rPr>
          <w:i/>
          <w:iCs/>
        </w:rPr>
        <w:t>In re</w:t>
      </w:r>
      <w:r w:rsidRPr="00AD2F44">
        <w:t xml:space="preserve"> Aon Corp. Wage &amp; Hour Emp. Practices Litig., 581 F. Supp. 2d 1376 (J.P.M.L. 2008) (consolidating two collective actions after finding that actions shared factual allegations and acceptance of defendant’s assertion that all employees were managed by one corporation in Illinois); </w:t>
      </w:r>
      <w:r w:rsidRPr="00AD2F44">
        <w:rPr>
          <w:i/>
          <w:iCs/>
        </w:rPr>
        <w:t>In re</w:t>
      </w:r>
      <w:r w:rsidRPr="00AD2F44">
        <w:t xml:space="preserve"> KFC Corp. FLSA Litig., 530 F. Supp. 2d 1356 (J.P.M.L. 2008) (consolidating 28 actions against KFC alleging that assistant managers were entitled to overtime under FLSA even though some discovery had already taken place, based on court’s finding that actions shared common issues of fact and that discovery and motion practice regarding employment practices and legal compliance remained).</w:t>
      </w:r>
    </w:p>
  </w:footnote>
  <w:footnote w:id="703">
    <w:p w14:paraId="24CD95EF" w14:textId="77777777" w:rsidR="004322B1" w:rsidRPr="00AD2F44" w:rsidRDefault="004322B1">
      <w:pPr>
        <w:pStyle w:val="14Footnote"/>
      </w:pPr>
      <w:r w:rsidRPr="00AD2F44">
        <w:rPr>
          <w:vertAlign w:val="superscript"/>
        </w:rPr>
        <w:footnoteRef/>
      </w:r>
      <w:r w:rsidRPr="00AD2F44">
        <w:rPr>
          <w:i/>
          <w:iCs/>
        </w:rPr>
        <w:t>In re</w:t>
      </w:r>
      <w:r w:rsidRPr="00AD2F44">
        <w:t xml:space="preserve"> Amazon.com, Inc., Fulfillment Ctr. FLSA &amp; Wage &amp; Hour Litig.</w:t>
      </w:r>
      <w:r w:rsidRPr="00AD2F44">
        <w:rPr>
          <w:i/>
          <w:iCs/>
        </w:rPr>
        <w:t xml:space="preserve">, </w:t>
      </w:r>
      <w:r w:rsidRPr="00AD2F44">
        <w:t xml:space="preserve">2014 WL 690289, at *1 (J.P.M.L. Feb. 19, 2014) (centralizing actions involving claims by employees from 54 Amazon.com facilities to a district court in Kentucky, reasoning that (1) the actions shared factual questions arising out of anti-theft security screening practices at Amazon.com warehouses; (2) 10 of the 54 facilities at issue in the case were in Kentucky and many others were located in nearby states; and (3) the actions were being transferred to an experienced transferee judge with a willingness and ability to efficiently manage the litigation); </w:t>
      </w:r>
      <w:r w:rsidRPr="00AD2F44">
        <w:rPr>
          <w:i/>
          <w:iCs/>
        </w:rPr>
        <w:t>In re</w:t>
      </w:r>
      <w:r w:rsidRPr="00AD2F44">
        <w:t xml:space="preserve"> C.H. Robinson Worldwide, Inc., Overtime Pay Litig., 502 F. Supp. 2d 1347 (J.P.M.L. 2007) (consolidating 100 FLSA cases in District of Minnesota where 25% of cases were pending and where court had familiarity with issues based on request to consolidate cases solely for purpose of obtaining settlement approval); </w:t>
      </w:r>
      <w:r w:rsidRPr="00AD2F44">
        <w:rPr>
          <w:i/>
          <w:iCs/>
        </w:rPr>
        <w:t>In re</w:t>
      </w:r>
      <w:r w:rsidRPr="00AD2F44">
        <w:t xml:space="preserve"> Pilgrim’s Pride FLSA Litig., 489 F. Supp. 2d 1381, 1381–82 (J.P.M.L. 2007) (consolidating five actions against Pilgrim’s Pride that “share[d] questions of fact arising out of similar allegations that certain employees of Pilgrim’s Pride are entitled to compensation” under the FLSA in a district where only one case was pending, because it “d[id] not have any other multidistrict litigation dockets,” it was supported by plaintiffs, and “plaintiffs in the action pending there s[ought] collective action status under the FLSA for all current and former employees of Pilgrim’s Pride who worked on a chicken-processing line during the relevant time period”); </w:t>
      </w:r>
      <w:r w:rsidRPr="00AD2F44">
        <w:rPr>
          <w:i/>
          <w:iCs/>
        </w:rPr>
        <w:t>In re</w:t>
      </w:r>
      <w:r w:rsidRPr="00AD2F44">
        <w:t xml:space="preserve"> Allstate Ins. Co. FLSA Litig., 283 F. Supp. 2d 1358 (J.P.M.L. 2003) (consolidating three FLSA actions where one action was pending, despite fact that none of parties appeared to ask for action to be consolidated in that district, motion to consolidate sought consolidation in another district (where another action was pending), and other parties asked for consolidation in a third district (where other actions were pending)); </w:t>
      </w:r>
      <w:r w:rsidRPr="00AD2F44">
        <w:rPr>
          <w:i/>
          <w:iCs/>
        </w:rPr>
        <w:t>In re</w:t>
      </w:r>
      <w:r w:rsidRPr="00AD2F44">
        <w:t xml:space="preserve"> Farmers Ins. Exch. Claims Reps. Overtime Pay Litig., 196 F. Supp. 2d 1373, 1375 (J.P.M.L. 2002) (approving consolidation and transfer and choosing a district over plaintiffs’ suggestions of other districts because “i) an action is pending there, ii) the Oregon district is relatively convenient for most parties and witnesses who are located in the Western United States, and iii) this tribunal has the resources available to manage this litigation”).</w:t>
      </w:r>
    </w:p>
  </w:footnote>
  <w:footnote w:id="704">
    <w:p w14:paraId="7DFDACB7" w14:textId="77777777" w:rsidR="004322B1" w:rsidRPr="00AD2F44" w:rsidRDefault="004322B1">
      <w:pPr>
        <w:pStyle w:val="14Footnote"/>
      </w:pPr>
      <w:r w:rsidRPr="00AD2F44">
        <w:rPr>
          <w:vertAlign w:val="superscript"/>
        </w:rPr>
        <w:footnoteRef/>
      </w:r>
      <w:r w:rsidRPr="00AD2F44">
        <w:rPr>
          <w:i/>
          <w:iCs/>
        </w:rPr>
        <w:t xml:space="preserve">In re </w:t>
      </w:r>
      <w:r w:rsidRPr="00AD2F44">
        <w:t xml:space="preserve">Wireless Lifestyle Inc., FLSA &amp; Wage &amp; Hour Litig., 842 F. Supp. 2d 1382, 1383 (J.P.M.L. 2012) (denying transfer where allegations concerning employer’s unlawful compensation practices “differ significantly from action to action” and where “the differences among them appear to predominate”); </w:t>
      </w:r>
      <w:r w:rsidRPr="00AD2F44">
        <w:rPr>
          <w:i/>
          <w:iCs/>
        </w:rPr>
        <w:t>In re</w:t>
      </w:r>
      <w:r w:rsidRPr="00AD2F44">
        <w:rPr>
          <w:b/>
          <w:bCs/>
        </w:rPr>
        <w:t xml:space="preserve"> </w:t>
      </w:r>
      <w:r w:rsidRPr="00AD2F44">
        <w:t xml:space="preserve">Rite Aid Corp. Wage &amp; Hour Emp. Practices Litig., 655 F. Supp. 2d 1376, 1377 (J.P.M.L. 2009) (denying transfer where discovery was “likely to require an individualized, factual inquiry into the job duties performed by each employee,” and various state laws allegedly violated in actions had differing provisions); </w:t>
      </w:r>
      <w:r w:rsidRPr="00AD2F44">
        <w:rPr>
          <w:i/>
          <w:iCs/>
        </w:rPr>
        <w:t>In re</w:t>
      </w:r>
      <w:r w:rsidRPr="00AD2F44">
        <w:t xml:space="preserve"> Tyson Foods, Inc., Meat Processing Facilities FLSA Litig., 581 F. Supp. 2d 1374 (J.P.M.L. 2008) (denying Tyson’s motion to consolidate for pretrial proceedings 10 actions from six states involving off-the-clock claims for slaughterhouse workers; finding that convenience and efficiency would not be served by consolidation because discovery was likely to be plant-specific, classes were not overlapping, and cases were at different procedural stages). </w:t>
      </w:r>
      <w:r w:rsidRPr="00AD2F44">
        <w:rPr>
          <w:i/>
          <w:iCs/>
        </w:rPr>
        <w:t>See also</w:t>
      </w:r>
      <w:r w:rsidRPr="00AD2F44">
        <w:t xml:space="preserve"> Hirst v. SkyWest, Inc., 405 F. Supp. 3d 771 (N.D. Ill. 2019) (denying motion to transfer where original case brought in Illinois federal court could not have been brought to California federal court and relevant factors favored venue in Illinois). </w:t>
      </w:r>
    </w:p>
  </w:footnote>
  <w:footnote w:id="705">
    <w:p w14:paraId="07D7DFD8" w14:textId="77777777" w:rsidR="004322B1" w:rsidRPr="00AD2F44" w:rsidRDefault="004322B1">
      <w:pPr>
        <w:pStyle w:val="14Footnote"/>
      </w:pPr>
      <w:r w:rsidRPr="00AD2F44">
        <w:rPr>
          <w:vertAlign w:val="superscript"/>
        </w:rPr>
        <w:footnoteRef/>
      </w:r>
      <w:r w:rsidRPr="00AD2F44">
        <w:rPr>
          <w:i/>
          <w:iCs/>
        </w:rPr>
        <w:t xml:space="preserve">In re </w:t>
      </w:r>
      <w:r w:rsidRPr="00AD2F44">
        <w:t xml:space="preserve">Skywest Airlines, Inc., 396 F. Supp. 3d 1363, 1363 (J.P.M.L. 2019) (denying transfer where, despite sharing factual questions, the “three actions before us are not complex, and there are few counsel involved”); </w:t>
      </w:r>
      <w:r w:rsidRPr="00AD2F44">
        <w:rPr>
          <w:i/>
          <w:iCs/>
        </w:rPr>
        <w:t>In re</w:t>
      </w:r>
      <w:r w:rsidRPr="00AD2F44">
        <w:t xml:space="preserve"> Urban Outfitters FLSA &amp; Wage &amp; Hour Litig., 987 F. Supp. 2d 1381, 1381–82 (J.P.M.L. 2013) (declining to consolidate five actions in California, Florida, and New York: “we ultimately conclude that §1407 centralization will not serve the convenience of the parties and witnesses or further the just and efficient conduct of this litigation. We have previously observed that the case for centralization is less convincing where ‘(1) the duties of the subject employees appeared to be subject to significant local variances, (2) the defendants and/or some of the plaintiffs opposed centralization, or (3) only a few or procedurally dissimilar cases were involved.’”) (quoting </w:t>
      </w:r>
      <w:r w:rsidRPr="00AD2F44">
        <w:rPr>
          <w:i/>
          <w:iCs/>
        </w:rPr>
        <w:t>In re</w:t>
      </w:r>
      <w:r w:rsidRPr="00AD2F44">
        <w:t xml:space="preserve"> CVS Caremark Corp. Wage &amp; Hour Emp. Practices Litig., 684 F. Supp. 2d 1377, 1379 (J.P.M.L.2010)); </w:t>
      </w:r>
      <w:r w:rsidRPr="00AD2F44">
        <w:rPr>
          <w:i/>
          <w:iCs/>
        </w:rPr>
        <w:t>In re</w:t>
      </w:r>
      <w:r w:rsidRPr="00AD2F44">
        <w:t xml:space="preserve"> Prospect Mortg. FLSA &amp; Wage &amp; Hour Litig., 987 F. Supp. 2d 1383 (J.P.M.L. 2013) (declining to centralize 37 separate actions pending in 37 different district courts because determination of exempt status as outside sales employee required highly individualized inquiry);</w:t>
      </w:r>
      <w:r w:rsidRPr="00AD2F44">
        <w:rPr>
          <w:i/>
          <w:iCs/>
        </w:rPr>
        <w:t xml:space="preserve"> In re</w:t>
      </w:r>
      <w:r w:rsidRPr="00AD2F44">
        <w:t xml:space="preserve"> U.S.A. Exterminators, Inc., FLSA Litig., 588 F. Supp. 2d 1378, 1379 (J.P.M.L. 2008) (declining to consolidate two actions from adjacent districts where common questions were not sufficiently complex or numerous to justify transfer and “[t]he proximity of these two actions ma[d]e coordination by the parties and the courts feasible”).</w:t>
      </w:r>
    </w:p>
  </w:footnote>
  <w:footnote w:id="706">
    <w:p w14:paraId="7FB32294" w14:textId="77777777" w:rsidR="004322B1" w:rsidRPr="00AD2F44" w:rsidRDefault="004322B1">
      <w:pPr>
        <w:pStyle w:val="14Footnote"/>
      </w:pPr>
      <w:r w:rsidRPr="00AD2F44">
        <w:rPr>
          <w:vertAlign w:val="superscript"/>
        </w:rPr>
        <w:footnoteRef/>
      </w:r>
      <w:r w:rsidRPr="00AD2F44">
        <w:rPr>
          <w:i/>
          <w:iCs/>
        </w:rPr>
        <w:t>In re</w:t>
      </w:r>
      <w:r w:rsidRPr="00AD2F44">
        <w:t xml:space="preserve"> Harvest Entities Fair Lab. Standards Act &amp; Wage &amp; Hour Litig., 584 F. Supp. 3d 1380 (J.P.M.L. 2022) (denying motion for centralization, reasoning that four actions were not complex, record showed informal coordination practicable, and plaintiffs’ counsel showed willingness to work collaboratively with defendants); </w:t>
      </w:r>
      <w:r w:rsidRPr="00AD2F44">
        <w:rPr>
          <w:i/>
          <w:iCs/>
        </w:rPr>
        <w:t xml:space="preserve">In re Skywest Airlines, </w:t>
      </w:r>
      <w:r w:rsidRPr="00AD2F44">
        <w:t xml:space="preserve">396 F. Supp. 3d at 1363 (denying transfer where, despite sharing factual questions, the “three actions before us are not complex, and there are few counsel involved”); </w:t>
      </w:r>
      <w:r w:rsidRPr="00AD2F44">
        <w:rPr>
          <w:i/>
          <w:iCs/>
        </w:rPr>
        <w:t xml:space="preserve">In re </w:t>
      </w:r>
      <w:r w:rsidRPr="00AD2F44">
        <w:t xml:space="preserve">Giant Eagle, Inc., 330 F. Supp. 3d 1376, 1377 (J.P.M.L. 2018) (denying transfer where there were only two actions, and both plaintiffs and defendants were represented by the same counsel in both actions); </w:t>
      </w:r>
      <w:r w:rsidRPr="00AD2F44">
        <w:rPr>
          <w:i/>
          <w:iCs/>
        </w:rPr>
        <w:t xml:space="preserve">In re </w:t>
      </w:r>
      <w:r w:rsidRPr="00AD2F44">
        <w:t xml:space="preserve">Uber Techs., Inc., 2016 WL 439976, at *1–2 (J.P.M.L. Feb. 3, 2016) (denying §1407 transfer where, among other things, plaintiffs’ counsel was same in 7 of 17 cases sought to be centralized and limited number of counsel involved could coordinate to avoid duplicative discovery and pretrial motions); </w:t>
      </w:r>
      <w:r w:rsidRPr="00AD2F44">
        <w:rPr>
          <w:i/>
          <w:iCs/>
        </w:rPr>
        <w:t xml:space="preserve">In re </w:t>
      </w:r>
      <w:r w:rsidRPr="00AD2F44">
        <w:t>Schneider Nat’l Carriers, Inc., Wage &amp; Hour Emp. Practices Litig., 763 F. Supp. 2d 1373 (J.P.M.L. 2011) (denying centralization where there were only two actions pending in adjacent districts and one defendant, all responding parties opposed centralization, and one coordinated action was at more advanced stage of proceeding); Thill v. Edward D. Jones &amp; Co., L.P., 2006 WL 2669004, at *2 (N.D. Cal. Sept. 18, 2006) (denying §1407 transfer where there were only three actions and any common questions of fact and law were not sufficiently complex and/or numerous).</w:t>
      </w:r>
    </w:p>
  </w:footnote>
  <w:footnote w:id="707">
    <w:p w14:paraId="1642820D" w14:textId="77777777" w:rsidR="004322B1" w:rsidRPr="00AD2F44" w:rsidRDefault="004322B1">
      <w:pPr>
        <w:pStyle w:val="14Footnote"/>
      </w:pPr>
      <w:r w:rsidRPr="00AD2F44">
        <w:rPr>
          <w:vertAlign w:val="superscript"/>
        </w:rPr>
        <w:footnoteRef/>
      </w:r>
      <w:r w:rsidRPr="00AD2F44">
        <w:rPr>
          <w:i/>
          <w:iCs/>
        </w:rPr>
        <w:t xml:space="preserve">In re </w:t>
      </w:r>
      <w:r w:rsidRPr="00AD2F44">
        <w:t xml:space="preserve">Chase Inv. Servs. Corp., 908 F. Supp. 2d 1372, 1373 (J.P.M.L. 2012) (denying transfer where two of four actions are stayed pending appeal to the Ninth Circuit, “suggest[ing] that there would be little benefit to centralization, as the two California cases and the two New York cases would not proceed on the same time line.”); </w:t>
      </w:r>
      <w:r w:rsidRPr="00AD2F44">
        <w:rPr>
          <w:i/>
          <w:iCs/>
        </w:rPr>
        <w:t xml:space="preserve">In re </w:t>
      </w:r>
      <w:r w:rsidRPr="00AD2F44">
        <w:t>CVS Caremark Corp. Wage &amp; Hour Emp. Practices Litig., 684 F. Supp. 2d 1377, 1379 (J.P.M.L. 2010) (denying transfer where a significant amount of discovery had already occurred in one action, a motion for conditional certification was still pending in another action, and little to no pretrial activity had occurred in the other two actions).</w:t>
      </w:r>
    </w:p>
  </w:footnote>
  <w:footnote w:id="708">
    <w:p w14:paraId="1083F0FC"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smallCaps/>
        </w:rPr>
        <w:t>Federal Judicial Center, Manual for Complex Litigation</w:t>
      </w:r>
      <w:r w:rsidRPr="00AD2F44">
        <w:t xml:space="preserve"> §20.14 (4th ed. 2004).</w:t>
      </w:r>
    </w:p>
  </w:footnote>
  <w:footnote w:id="709">
    <w:p w14:paraId="30C0B93B"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 xml:space="preserve">In re Giant Eagle, </w:t>
      </w:r>
      <w:r w:rsidRPr="00AD2F44">
        <w:t>330 F. Supp. 3d at 1378 (denying transfer where a §1404(a) motion was pending, holding that a resolution of the motion could eliminate the multidistrict character of the actions); Amorose v. C.H. Robinson Worldwide, Inc., 521 F. Supp. 2d 731 (N. D. Ill. 2007) (granting defendant’s motion to transfer pursuant to 28 U.S.C. §1404(a) individual suits to the individual’s branch locations after a misclassification case filed in Illinois was decertified, where plaintiffs claimed that they would be filing a motion to consolidate the cases in Illinois with the JPML and the court held that even if such a motion was pending, the rules did not suggest that courts should delay proceedings to await the panel’s decision).</w:t>
      </w:r>
    </w:p>
  </w:footnote>
  <w:footnote w:id="710">
    <w:p w14:paraId="6C8EE36C" w14:textId="77777777" w:rsidR="004322B1" w:rsidRPr="00AD2F44" w:rsidRDefault="004322B1">
      <w:pPr>
        <w:pStyle w:val="14Footnote"/>
      </w:pPr>
      <w:r w:rsidRPr="00AD2F44">
        <w:rPr>
          <w:vertAlign w:val="superscript"/>
        </w:rPr>
        <w:footnoteRef/>
      </w:r>
      <w:r w:rsidRPr="00AD2F44">
        <w:rPr>
          <w:i/>
          <w:iCs/>
        </w:rPr>
        <w:t>See</w:t>
      </w:r>
      <w:r w:rsidRPr="00AD2F44">
        <w:t xml:space="preserve"> Campbell v. Pricewaterhouse Coopers, 2008 WL 3836972, at *2 (E.D. Cal. Aug. 14, 2008) (denying consolidation under Rule 42(a) of the Federal Rules of Civil Procedure for “similar, but not identical,” classes where one class of unlicensed accounting consultants had already been certified and scope of classes (multiple lines of service, divisions, and job levels) was too different to warrant consolidation, and noting that it was inconsistent for the employer to now argue that narrow class should be consolidated with other classes, after it had argued successfully that its plaintiffs were too different from others to warrant certification of whole class, finding instead that consolidation of discovery and hearing dates would better serve as a tool to promote efficiency); </w:t>
      </w:r>
      <w:r w:rsidRPr="00AD2F44">
        <w:rPr>
          <w:i/>
          <w:iCs/>
        </w:rPr>
        <w:t>Thill</w:t>
      </w:r>
      <w:r w:rsidRPr="00AD2F44">
        <w:t>, 2006 WL 2669004 (denying motion for transfer and consolidation, but granting request for coordination of discovery where defendant argued in part that California case involved opt-out class, whereas the Pennsylvania case involved opt-in nationwide classes, including California class members, and there was a risk of confusion for putative class members receiving both opt-in and opt-out notices for different cases based on court’s finding that California case had no connection to Pennsylvania case).</w:t>
      </w:r>
    </w:p>
  </w:footnote>
  <w:footnote w:id="711">
    <w:p w14:paraId="40B7A204" w14:textId="77777777" w:rsidR="004322B1" w:rsidRPr="00AD2F44" w:rsidRDefault="004322B1">
      <w:pPr>
        <w:pStyle w:val="14Footnote"/>
      </w:pPr>
      <w:r w:rsidRPr="00AD2F44">
        <w:rPr>
          <w:vertAlign w:val="superscript"/>
        </w:rPr>
        <w:footnoteRef/>
      </w:r>
      <w:r w:rsidRPr="00AD2F44">
        <w:t xml:space="preserve">Medina v. Happy’s Pizza Franchise, LLC, 2012 WL 379751, at *3–7 (N.D. Ill. Feb. 3, 2012) (granting plaintiffs’ motion of partial decertification and transfer of non-Illinois opt-in plaintiffs from Michigan and Ohio into cases in those districts, as counter-strategy to defendant filing motion to dismiss for failure to join necessary parties, given that some but not all franchisors were in case in Illinois); Ross v. United States Bank Nat’l Ass’n, 2008 WL 4447713 (N.D. Cal. 2008) (granting motion to sever and transfer Oregon plaintiffs’ claims to District of Oregon, where a similar case against defendant was tried and another was pending, because it would simplify the case by reducing the number of subclasses and state laws to be applied and those plaintiffs’ issues, including the application of (or joining with) the other cases, would be best resolved by the Oregon court). </w:t>
      </w:r>
      <w:r w:rsidRPr="00AD2F44">
        <w:rPr>
          <w:i/>
          <w:iCs/>
        </w:rPr>
        <w:t>Cf</w:t>
      </w:r>
      <w:r w:rsidRPr="00AD2F44">
        <w:t>.</w:t>
      </w:r>
      <w:r w:rsidRPr="00AD2F44">
        <w:rPr>
          <w:i/>
          <w:iCs/>
        </w:rPr>
        <w:t xml:space="preserve"> </w:t>
      </w:r>
      <w:r w:rsidRPr="00AD2F44">
        <w:t>Dekeyser v. Thyssenkrupp Waupaca, Inc., 860 F.3d 918 (7th Cir. 2017) (affirming Rule 23 certification of Wisconsin plaintiffs and partial decertification of FLSA claims of plaintiffs who reside outside of Wisconsin; Seventh Circuit noted that district court’s severing of claims of plaintiffs from Indiana and Tennessee who had opted in to Wisconsin action and transferring claims to their respective home districts was not subject to appeal under Rule 23(f), but suggested that such action by district court was permissible under 28 U.S.C. §1404(a) (which permits transfer of action to any other district where it might have been brought “for the convenience of the parties and witnesses, [and] in the interest of justice”)).</w:t>
      </w:r>
    </w:p>
  </w:footnote>
  <w:footnote w:id="712">
    <w:p w14:paraId="5FCF4FFD" w14:textId="77777777" w:rsidR="004322B1" w:rsidRPr="00AD2F44" w:rsidRDefault="004322B1">
      <w:pPr>
        <w:pStyle w:val="14Footnote"/>
      </w:pPr>
      <w:r w:rsidRPr="00AD2F44">
        <w:rPr>
          <w:vertAlign w:val="superscript"/>
        </w:rPr>
        <w:footnoteRef/>
      </w:r>
      <w:r w:rsidRPr="00AD2F44">
        <w:rPr>
          <w:i/>
          <w:iCs/>
        </w:rPr>
        <w:t xml:space="preserve">In re </w:t>
      </w:r>
      <w:r w:rsidRPr="00AD2F44">
        <w:t xml:space="preserve">Skywest Airlines, Inc., 396 F. Supp. 3d 1363, 1363–64 (J.P.M.L. 2019) (denying transfer where counsel represented that they were willing to informally coordinate for purposes of discovery and pretrial proceedings, so “[i]n these circumstances, informal coordination is a practical alternative to centralization” and is preferable given significant differences in the asserted state law claims); </w:t>
      </w:r>
      <w:r w:rsidRPr="00AD2F44">
        <w:rPr>
          <w:i/>
          <w:iCs/>
        </w:rPr>
        <w:t xml:space="preserve">In re </w:t>
      </w:r>
      <w:r w:rsidRPr="00AD2F44">
        <w:t xml:space="preserve">Comcast Corp. Emp. Wage &amp; Hour Emp. Practices Litig., 190 F. Supp. 3d 1344, 1345 (J.P.M.L. 2016) (denying transfer, noting that “voluntary cooperation and coordination among the parties and the involved courts to avoid duplicative discovery or inconsistent pretrial rulings” is an alternative “preferable to centralization”); </w:t>
      </w:r>
      <w:r w:rsidRPr="00AD2F44">
        <w:rPr>
          <w:i/>
          <w:iCs/>
        </w:rPr>
        <w:t xml:space="preserve">In re </w:t>
      </w:r>
      <w:r w:rsidRPr="00AD2F44">
        <w:t xml:space="preserve">Uber Techs. Inc., 158 F. Supp. 3d 1372, 1373 (J.P.M.L. 2016) (voluntary coordination is preferable to centralization where six of seven actions, and two related actions, are represented by the same counsel and defendants’ counsel, who is the same in all actions, represented that they are amenable to informal coordination to the extent pretrial proceedings overlap). </w:t>
      </w:r>
    </w:p>
  </w:footnote>
  <w:footnote w:id="713">
    <w:p w14:paraId="2F3C8343" w14:textId="77777777" w:rsidR="004322B1" w:rsidRPr="00AD2F44" w:rsidRDefault="004322B1">
      <w:pPr>
        <w:pStyle w:val="14Footnote"/>
      </w:pPr>
      <w:r w:rsidRPr="00AD2F44">
        <w:rPr>
          <w:vertAlign w:val="superscript"/>
        </w:rPr>
        <w:footnoteRef/>
      </w:r>
      <w:r w:rsidRPr="00AD2F44">
        <w:rPr>
          <w:i/>
          <w:iCs/>
        </w:rPr>
        <w:t>See</w:t>
      </w:r>
      <w:r w:rsidRPr="00AD2F44">
        <w:t xml:space="preserve"> Johnson v. KFC Corp., 2007 WL 3376750 (W.D. Mo. Nov. 7, 2007).</w:t>
      </w:r>
    </w:p>
  </w:footnote>
  <w:footnote w:id="714">
    <w:p w14:paraId="3F847FD3" w14:textId="77777777" w:rsidR="004322B1" w:rsidRPr="00AD2F44" w:rsidRDefault="004322B1">
      <w:pPr>
        <w:pStyle w:val="14Footnote"/>
      </w:pPr>
      <w:r w:rsidRPr="00AD2F44">
        <w:rPr>
          <w:vertAlign w:val="superscript"/>
        </w:rPr>
        <w:footnoteRef/>
      </w:r>
      <w:r w:rsidRPr="00AD2F44">
        <w:t>502 F. Supp. 2d 1358 (J.P.M.L. Aug. 17, 2007).</w:t>
      </w:r>
    </w:p>
  </w:footnote>
  <w:footnote w:id="715">
    <w:p w14:paraId="59289D5D" w14:textId="77777777" w:rsidR="004322B1" w:rsidRPr="00AD2F44" w:rsidRDefault="004322B1">
      <w:pPr>
        <w:pStyle w:val="14Footnote"/>
      </w:pPr>
      <w:r w:rsidRPr="00AD2F44">
        <w:rPr>
          <w:vertAlign w:val="superscript"/>
        </w:rPr>
        <w:footnoteRef/>
      </w:r>
      <w:r w:rsidRPr="00AD2F44">
        <w:rPr>
          <w:i/>
          <w:iCs/>
        </w:rPr>
        <w:t>Id.</w:t>
      </w:r>
      <w:r w:rsidRPr="00AD2F44">
        <w:t xml:space="preserve"> at 1360. </w:t>
      </w:r>
    </w:p>
  </w:footnote>
  <w:footnote w:id="716">
    <w:p w14:paraId="0629DF37"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 xml:space="preserve">In re </w:t>
      </w:r>
      <w:r w:rsidRPr="00AD2F44">
        <w:t xml:space="preserve">Express Courier Int’l, 326 F. Supp. 3d 1376, 1378 (J.P.M.L. 2018) (decertification order persuaded the court that centralization was not necessary, particularly given the advanced stage of one action and because “it does not appear that much further discovery is necessary, aside from plaintiff-specific discovery”); </w:t>
      </w:r>
      <w:r w:rsidRPr="00AD2F44">
        <w:rPr>
          <w:i/>
          <w:iCs/>
        </w:rPr>
        <w:t>In re</w:t>
      </w:r>
      <w:r w:rsidRPr="00AD2F44">
        <w:t xml:space="preserve"> AIMCO, Inc., FLSA Litig., 560 F. Supp. 2d 1345 (J.P.M.L. 2008) (centralization of 26 separate actions pending in 22 districts denied where they had originally been filed as one putative collective action, discovery had already taken place in the original action, and the JPML found that there were no other remaining or unresolved common questions of fact that were sufficiently complex and/or numerous to justify §1407 transfer). </w:t>
      </w:r>
    </w:p>
  </w:footnote>
  <w:footnote w:id="717">
    <w:p w14:paraId="0F650013"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In re</w:t>
      </w:r>
      <w:r w:rsidRPr="00AD2F44">
        <w:t xml:space="preserve"> Wells Fargo Loan Processor Overtime Pay Litig., 2008 WL 2397424 (N.D. Cal. 2008) (directing plaintiffs from consolidated cases to file a consolidated complaint, but when that complaint made material amendments such as merging the cases into a single opt-in action and dropping plaintiffs, rejecting it and specifically ordering that the filing of a consolidated complaint be done to promote docket management and not supersede and render moot the pending separate actions; however, amendments were allowed that did not supersede or combine the actions and that the court considered not to be made in bad faith and where any prejudice could be mitigated, such as by adding a new defendant entity, expanding the class definition, and adding new claims).</w:t>
      </w:r>
    </w:p>
  </w:footnote>
  <w:footnote w:id="718">
    <w:p w14:paraId="30C08A22"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smallCaps/>
        </w:rPr>
        <w:t>Federal Judicial Center,</w:t>
      </w:r>
      <w:r w:rsidRPr="00AD2F44">
        <w:t xml:space="preserve"> </w:t>
      </w:r>
      <w:r w:rsidRPr="00AD2F44">
        <w:rPr>
          <w:smallCaps/>
        </w:rPr>
        <w:t>Manual for Complex Litigation</w:t>
      </w:r>
      <w:r w:rsidRPr="00AD2F44">
        <w:t xml:space="preserve"> 224 n.668 (4th ed. 2004) (noting that the filing of a single consolidated complaint in the transferee district may be intended to “constitute[] the inception of a new ‘case or controversy’ in that district, thereby superseding and rendering moot the pending separate actions that had been transferred to that district for pretrial proceedings,” and urging the court and parties to “take care to ensure a common understanding” about whether or not this is their intent); </w:t>
      </w:r>
      <w:r w:rsidRPr="00AD2F44">
        <w:rPr>
          <w:smallCaps/>
        </w:rPr>
        <w:t>Wright, Miller, &amp; Cooper</w:t>
      </w:r>
      <w:r w:rsidRPr="00AD2F44">
        <w:t xml:space="preserve">, 15 </w:t>
      </w:r>
      <w:r w:rsidRPr="00AD2F44">
        <w:rPr>
          <w:smallCaps/>
        </w:rPr>
        <w:t>Fed. Prac. and Proc. Juris. 3d</w:t>
      </w:r>
      <w:r w:rsidRPr="00AD2F44">
        <w:t xml:space="preserve"> §3866.2 (“There can be little objection to the transferee judge retaining a case or cases for trial when all of the parties consent to that judge’s doing so. This is true even after the </w:t>
      </w:r>
      <w:r w:rsidRPr="00AD2F44">
        <w:rPr>
          <w:i/>
          <w:iCs/>
        </w:rPr>
        <w:t>Lexecon</w:t>
      </w:r>
      <w:r w:rsidRPr="00AD2F44">
        <w:t xml:space="preserve"> decision or if the Section 1407 forum would not have been a proper court for venue purposes had the actions been commenced there, since venue rests on considerations of convenience and the parties traditionally have been permitted to waive the protections provided by the federal venue scheme.”) (footnote omitted).</w:t>
      </w:r>
    </w:p>
  </w:footnote>
  <w:footnote w:id="719">
    <w:p w14:paraId="657FFACA" w14:textId="77777777" w:rsidR="004322B1" w:rsidRPr="00AD2F44" w:rsidRDefault="004322B1">
      <w:pPr>
        <w:pStyle w:val="14Footnote"/>
      </w:pPr>
      <w:r w:rsidRPr="00AD2F44">
        <w:rPr>
          <w:vertAlign w:val="superscript"/>
        </w:rPr>
        <w:footnoteRef/>
      </w:r>
      <w:r w:rsidRPr="00AD2F44">
        <w:rPr>
          <w:i/>
          <w:iCs/>
        </w:rPr>
        <w:t>In re</w:t>
      </w:r>
      <w:r w:rsidRPr="00AD2F44">
        <w:t xml:space="preserve"> American Family Mut. Ins. Co. Overtime Pay Litig., 2009 WL 248677, at *3 (D. Colo. Feb. 3, 2009) (allowing for the distribution of a single supplemental notice for two consolidated cases covering different time periods, which “explain[ed] the scope of the two consolidated cases and permit[ted] potential opt-ins to choose which case, if any, to join”).</w:t>
      </w:r>
    </w:p>
  </w:footnote>
  <w:footnote w:id="720">
    <w:p w14:paraId="79C4F950" w14:textId="77777777" w:rsidR="004322B1" w:rsidRPr="00AD2F44" w:rsidRDefault="004322B1">
      <w:pPr>
        <w:pStyle w:val="14Footnote"/>
      </w:pPr>
      <w:r w:rsidRPr="00AD2F44">
        <w:rPr>
          <w:vertAlign w:val="superscript"/>
        </w:rPr>
        <w:footnoteRef/>
      </w:r>
      <w:r w:rsidRPr="00AD2F44">
        <w:rPr>
          <w:i/>
          <w:iCs/>
        </w:rPr>
        <w:t>In re</w:t>
      </w:r>
      <w:r w:rsidRPr="00AD2F44">
        <w:t xml:space="preserve"> Wells Fargo Home Mortg. Overtime Pay Litig., 2008 WL 4712769 (N.D. Cal. Oct. 23, 2008) (allowing putative plaintiffs who filed consents to join within a month of the deadline to be included, after having considered, among other factors, the fact that the case was a multidistrict litigation in which any subsequent class actions (presumably filed by the late-filers) were likely to be centralized in the court anyway, and also allowing those filing more than a month late to join if presented with a signed declaration showing good cause for the delay).</w:t>
      </w:r>
    </w:p>
  </w:footnote>
  <w:footnote w:id="721">
    <w:p w14:paraId="149D5B6A" w14:textId="77777777" w:rsidR="004322B1" w:rsidRPr="00AD2F44" w:rsidRDefault="004322B1">
      <w:pPr>
        <w:pStyle w:val="14Footnote"/>
      </w:pPr>
      <w:r w:rsidRPr="00AD2F44">
        <w:rPr>
          <w:vertAlign w:val="superscript"/>
        </w:rPr>
        <w:footnoteRef/>
      </w:r>
      <w:r w:rsidRPr="00AD2F44">
        <w:rPr>
          <w:i/>
          <w:iCs/>
        </w:rPr>
        <w:t>See In re</w:t>
      </w:r>
      <w:r w:rsidRPr="00AD2F44">
        <w:t xml:space="preserve"> Amazon, Inc</w:t>
      </w:r>
      <w:r w:rsidRPr="00AD2F44">
        <w:rPr>
          <w:i/>
          <w:iCs/>
        </w:rPr>
        <w:t xml:space="preserve">., </w:t>
      </w:r>
      <w:r w:rsidRPr="00AD2F44">
        <w:t>2014 U.S. Dist. LEXIS 100716, at *22–23 (W.D. Ky. Jul. 23, 2014) (denying plaintiffs’ request for blanket equitable tolling of all claims of putative opt-in plaintiffs in MDL action, as the court cannot preemptively determine whether each plaintiff has diligently pursued their claims);</w:t>
      </w:r>
      <w:r w:rsidRPr="00AD2F44">
        <w:rPr>
          <w:i/>
          <w:iCs/>
        </w:rPr>
        <w:t xml:space="preserve"> In re</w:t>
      </w:r>
      <w:r w:rsidRPr="00AD2F44">
        <w:t xml:space="preserve"> Tyson Foods, Inc., 2008 WL 4613654 (M.D. Ga. 2008) (court that was assigned the MDL cases denied plaintiffs’ motion to equitably toll the claims of employees who were outside the statute of limitations but had never received notice during the seven-year pendency in the district court, holding that the employees could have found out about the case since many other employees had opted in, even though no formal notice was issued).</w:t>
      </w:r>
    </w:p>
  </w:footnote>
  <w:footnote w:id="722">
    <w:p w14:paraId="73C8B3F7" w14:textId="77777777" w:rsidR="004322B1" w:rsidRPr="00AD2F44" w:rsidRDefault="004322B1">
      <w:pPr>
        <w:pStyle w:val="14Footnote"/>
      </w:pPr>
      <w:r w:rsidRPr="00AD2F44">
        <w:rPr>
          <w:vertAlign w:val="superscript"/>
        </w:rPr>
        <w:footnoteRef/>
      </w:r>
      <w:r w:rsidRPr="00AD2F44">
        <w:rPr>
          <w:i/>
          <w:iCs/>
        </w:rPr>
        <w:t>In re</w:t>
      </w:r>
      <w:r w:rsidRPr="00AD2F44">
        <w:t xml:space="preserve"> Allstate Ins. Co. FLSA Litig., 2008 WL 2783280 (D. Ariz. July 15, 2008).</w:t>
      </w:r>
    </w:p>
  </w:footnote>
  <w:footnote w:id="723">
    <w:p w14:paraId="75AD0F5A" w14:textId="77777777" w:rsidR="004322B1" w:rsidRPr="00AD2F44" w:rsidRDefault="004322B1">
      <w:pPr>
        <w:pStyle w:val="14Footnote"/>
      </w:pPr>
      <w:r w:rsidRPr="00AD2F44">
        <w:rPr>
          <w:vertAlign w:val="superscript"/>
        </w:rPr>
        <w:footnoteRef/>
      </w:r>
      <w:r w:rsidRPr="00AD2F44">
        <w:rPr>
          <w:i/>
          <w:iCs/>
        </w:rPr>
        <w:t xml:space="preserve">First Circuit: </w:t>
      </w:r>
      <w:r w:rsidRPr="00AD2F44">
        <w:t>Waithaka v. Amazon.com, Inc., 404 F. Supp. 3d 335, 350 (D. Mass. 2019).</w:t>
      </w:r>
    </w:p>
    <w:p w14:paraId="0B32DD05" w14:textId="77777777" w:rsidR="004322B1" w:rsidRPr="00AD2F44" w:rsidRDefault="004322B1">
      <w:pPr>
        <w:pStyle w:val="14Footnote"/>
      </w:pPr>
      <w:r w:rsidRPr="00AD2F44">
        <w:rPr>
          <w:i/>
          <w:iCs/>
        </w:rPr>
        <w:t xml:space="preserve">Second Circuit: </w:t>
      </w:r>
      <w:r w:rsidRPr="00AD2F44">
        <w:t>Baduria v. Sealift Holdings, Inc., 2020 U.S. Dist. LEXIS 58273, at *17 (E.D.N.Y. Ap. 2, 2020).</w:t>
      </w:r>
    </w:p>
    <w:p w14:paraId="3955BCE4" w14:textId="77777777" w:rsidR="004322B1" w:rsidRPr="00AD2F44" w:rsidRDefault="004322B1">
      <w:pPr>
        <w:pStyle w:val="14Footnote"/>
      </w:pPr>
      <w:r w:rsidRPr="00AD2F44">
        <w:rPr>
          <w:i/>
          <w:iCs/>
        </w:rPr>
        <w:t xml:space="preserve">Third Circuit: </w:t>
      </w:r>
      <w:r w:rsidRPr="00AD2F44">
        <w:t>Mahmoud v. Rite Aid Corp., 2012 U.S. Dist. LEXIS 115726, at *10–11 (D.N.J. Aug. 16, 2012).</w:t>
      </w:r>
    </w:p>
    <w:p w14:paraId="293C59E3" w14:textId="77777777" w:rsidR="004322B1" w:rsidRPr="00AD2F44" w:rsidRDefault="004322B1">
      <w:pPr>
        <w:pStyle w:val="14Footnote"/>
      </w:pPr>
      <w:r w:rsidRPr="00AD2F44">
        <w:rPr>
          <w:i/>
          <w:iCs/>
        </w:rPr>
        <w:t xml:space="preserve">Fourth Circuit: </w:t>
      </w:r>
      <w:r w:rsidRPr="00AD2F44">
        <w:t>Ortiz v. Panera Bread Co., 2011 U.S. Dist. LEXIS 85463, at *5 (E.D. Va. Aug. 2, 2011); Fisher v. Rite Aid Corp., 2020 U.S. Dist. LEXIS 56383, at *6–7 (D. Md. Jun. 8, 2010).</w:t>
      </w:r>
    </w:p>
    <w:p w14:paraId="0B5111E4" w14:textId="77777777" w:rsidR="004322B1" w:rsidRPr="00AD2F44" w:rsidRDefault="004322B1">
      <w:pPr>
        <w:pStyle w:val="14Footnote"/>
      </w:pPr>
      <w:r w:rsidRPr="00AD2F44">
        <w:rPr>
          <w:i/>
          <w:iCs/>
        </w:rPr>
        <w:t>Fifth Circuit:</w:t>
      </w:r>
      <w:r w:rsidRPr="00AD2F44">
        <w:t xml:space="preserve"> White v. Peco Foods, Inc., 546 F. Supp. 2d 339, 341 (S.D. Miss. 2008); Benavides v. Home Depot USA, Inc., 2006 WL 1406722, at *1 (S.D. Tex. May 19, 2006); Buckalew v. Celanese, Ltd., 2005 WL 2266619, at *2 (S.D. Tex. Sept. 16, 2005); Young v. Lefleur Transp. of Tupelo, 2002 WL 31992189, at *1 (N.D. Miss. Nov. 18, 2002).</w:t>
      </w:r>
    </w:p>
    <w:p w14:paraId="402802B0" w14:textId="77777777" w:rsidR="004322B1" w:rsidRPr="00AD2F44" w:rsidRDefault="004322B1">
      <w:pPr>
        <w:pStyle w:val="14Footnote"/>
      </w:pPr>
      <w:r w:rsidRPr="00AD2F44">
        <w:rPr>
          <w:i/>
          <w:iCs/>
        </w:rPr>
        <w:t>Sixth Circuit:</w:t>
      </w:r>
      <w:r w:rsidRPr="00AD2F44">
        <w:t xml:space="preserve"> Steavens v. Electronic Data Sys. Corp., 2008 WL 5062847, at *1 (E.D. Mich. Nov. 25, 2008); Fuller v. Abercrombie &amp; Fitch Stores, Inc., 370 F. Supp. 2d 686, 688 (E.D. Tenn. 2005).</w:t>
      </w:r>
    </w:p>
    <w:p w14:paraId="59FBEFE1" w14:textId="77777777" w:rsidR="004322B1" w:rsidRPr="00AD2F44" w:rsidRDefault="004322B1">
      <w:pPr>
        <w:pStyle w:val="14Footnote"/>
      </w:pPr>
      <w:r w:rsidRPr="00AD2F44">
        <w:rPr>
          <w:i/>
          <w:iCs/>
        </w:rPr>
        <w:t>Seventh Circuit:</w:t>
      </w:r>
      <w:r w:rsidRPr="00AD2F44">
        <w:t xml:space="preserve"> Somasekharan v. Lawrence &amp; Assoc., Inc., 2007 WL 2680954 (C.D. Ill. Jul. 13, 2007).</w:t>
      </w:r>
    </w:p>
    <w:p w14:paraId="312E71B1" w14:textId="77777777" w:rsidR="004322B1" w:rsidRPr="00AD2F44" w:rsidRDefault="004322B1">
      <w:pPr>
        <w:pStyle w:val="14Footnote"/>
      </w:pPr>
      <w:r w:rsidRPr="00AD2F44">
        <w:rPr>
          <w:i/>
          <w:iCs/>
        </w:rPr>
        <w:t xml:space="preserve">Eighth Circuit: </w:t>
      </w:r>
      <w:r w:rsidRPr="00AD2F44">
        <w:t>Morgan v. Sundance, Inc., 2019 U.S. Dist. LEXIS 177824, at *7 (S.D. Iowa Mar. 5, 2019).</w:t>
      </w:r>
    </w:p>
    <w:p w14:paraId="5DCC5CCE" w14:textId="77777777" w:rsidR="004322B1" w:rsidRPr="00AD2F44" w:rsidRDefault="004322B1">
      <w:pPr>
        <w:pStyle w:val="14Footnote"/>
      </w:pPr>
      <w:r w:rsidRPr="00AD2F44">
        <w:rPr>
          <w:i/>
          <w:iCs/>
        </w:rPr>
        <w:t>Ninth Circuit:</w:t>
      </w:r>
      <w:r w:rsidRPr="00AD2F44">
        <w:t xml:space="preserve"> Ross v. U.S. Bank N.A., 542 F. Supp. 2d 1014, 1020 (N.D. Cal. 2008); Jumapao v. Washington Mut. Bank, F.A., 2007 WL 4258636, at *1–2 (S.D. Cal. Nov. 30, 2007); Weinstein v. Metlife Inc., 2006 WL 3201045, at *3–4 (N.D. Cal. Nov. 6, 2006).</w:t>
      </w:r>
    </w:p>
    <w:p w14:paraId="04112BF2" w14:textId="77777777" w:rsidR="004322B1" w:rsidRPr="00AD2F44" w:rsidRDefault="004322B1">
      <w:pPr>
        <w:pStyle w:val="14Footnote"/>
      </w:pPr>
      <w:r w:rsidRPr="00AD2F44">
        <w:rPr>
          <w:i/>
          <w:iCs/>
        </w:rPr>
        <w:t>Eleventh Circuit:</w:t>
      </w:r>
      <w:r w:rsidRPr="00AD2F44">
        <w:t xml:space="preserve"> Hernandez v. Cracker Barrel Old Country Store, Inc., 2014 WL 5175715, at *1 (M.D. Fla. Oct. 14, 2014).</w:t>
      </w:r>
    </w:p>
  </w:footnote>
  <w:footnote w:id="724">
    <w:p w14:paraId="21CFA5FA" w14:textId="77777777" w:rsidR="004322B1" w:rsidRPr="00AD2F44" w:rsidRDefault="004322B1">
      <w:pPr>
        <w:pStyle w:val="14Footnote"/>
      </w:pPr>
      <w:r w:rsidRPr="00AD2F44">
        <w:rPr>
          <w:vertAlign w:val="superscript"/>
        </w:rPr>
        <w:footnoteRef/>
      </w:r>
      <w:r w:rsidRPr="00AD2F44">
        <w:t xml:space="preserve">Zide Sport Shop of Ohio, Inc. v. Ed Tobergte Assocs., Inc., 16 F. App’x 433, 437 (6th Cir. 2001) (citing </w:t>
      </w:r>
      <w:r w:rsidRPr="00AD2F44">
        <w:rPr>
          <w:i/>
          <w:iCs/>
        </w:rPr>
        <w:t>In re</w:t>
      </w:r>
      <w:r w:rsidRPr="00AD2F44">
        <w:t xml:space="preserve"> Burley, 738 F.2d 981, 988 (9th Cir. 1984)).</w:t>
      </w:r>
    </w:p>
  </w:footnote>
  <w:footnote w:id="725">
    <w:p w14:paraId="361F311A" w14:textId="77777777" w:rsidR="004322B1" w:rsidRPr="00AD2F44" w:rsidRDefault="004322B1">
      <w:pPr>
        <w:pStyle w:val="14Footnote"/>
      </w:pPr>
      <w:r w:rsidRPr="00AD2F44">
        <w:rPr>
          <w:vertAlign w:val="superscript"/>
        </w:rPr>
        <w:footnoteRef/>
      </w:r>
      <w:r w:rsidRPr="00AD2F44">
        <w:t xml:space="preserve">However, “few courts choose flatly to dismiss a second-filed suit, and in many of these cases the reason for dismissal is a court’s inability to transfer.” </w:t>
      </w:r>
      <w:r w:rsidRPr="00AD2F44">
        <w:rPr>
          <w:i/>
          <w:iCs/>
        </w:rPr>
        <w:t>Steavens</w:t>
      </w:r>
      <w:r w:rsidRPr="00AD2F44">
        <w:t>, 2008 WL 5062847, at *2.</w:t>
      </w:r>
    </w:p>
  </w:footnote>
  <w:footnote w:id="726">
    <w:p w14:paraId="65AB7EA5" w14:textId="77777777" w:rsidR="004322B1" w:rsidRPr="00AD2F44" w:rsidRDefault="004322B1">
      <w:pPr>
        <w:pStyle w:val="14Footnote"/>
      </w:pPr>
      <w:r w:rsidRPr="00AD2F44">
        <w:rPr>
          <w:vertAlign w:val="superscript"/>
        </w:rPr>
        <w:footnoteRef/>
      </w:r>
      <w:r w:rsidRPr="00AD2F44">
        <w:rPr>
          <w:i/>
          <w:iCs/>
        </w:rPr>
        <w:t>Second Circuit:</w:t>
      </w:r>
      <w:r w:rsidRPr="00AD2F44">
        <w:t xml:space="preserve"> Thomas v. Apple-Metro, Inc., 2015 WL505384, at *4 (S.D.N.Y. Feb. 5, 2015) (applying first-to-file rule and dismissing hybrid collective/class action where two prior lawsuits “seek identical relief, assert nearly identical claims for minimum wage, overtime and tipping violations under federal law, and have been filed in a sister New York district court with respect to the same class of plaintiffs as against the same core group of Defendants”).</w:t>
      </w:r>
    </w:p>
    <w:p w14:paraId="7F2675BA" w14:textId="77777777" w:rsidR="004322B1" w:rsidRPr="00AD2F44" w:rsidRDefault="004322B1">
      <w:pPr>
        <w:pStyle w:val="14Footnote"/>
      </w:pPr>
      <w:r w:rsidRPr="00AD2F44">
        <w:rPr>
          <w:i/>
          <w:iCs/>
        </w:rPr>
        <w:t xml:space="preserve">Third Circuit: </w:t>
      </w:r>
      <w:r w:rsidRPr="00AD2F44">
        <w:t>Abushalieh v. American Eagle Express, Inc., 716 F. Supp. 3d 361, 367 (D.N.J. 2010).</w:t>
      </w:r>
    </w:p>
    <w:p w14:paraId="017F4F18" w14:textId="77777777" w:rsidR="004322B1" w:rsidRPr="00AD2F44" w:rsidRDefault="004322B1">
      <w:pPr>
        <w:pStyle w:val="14Footnote"/>
      </w:pPr>
      <w:r w:rsidRPr="00AD2F44">
        <w:rPr>
          <w:i/>
          <w:iCs/>
        </w:rPr>
        <w:t>Fifth Circuit: White</w:t>
      </w:r>
      <w:r w:rsidRPr="00AD2F44">
        <w:t>, 546 F. Supp. 2d at 341.</w:t>
      </w:r>
    </w:p>
    <w:p w14:paraId="0C09FC33" w14:textId="77777777" w:rsidR="004322B1" w:rsidRPr="00AD2F44" w:rsidRDefault="004322B1">
      <w:pPr>
        <w:pStyle w:val="14Footnote"/>
      </w:pPr>
      <w:r w:rsidRPr="00A674E3">
        <w:rPr>
          <w:i/>
          <w:iCs/>
        </w:rPr>
        <w:t>Seventh Circuit: Somasekharan,</w:t>
      </w:r>
      <w:r w:rsidRPr="00AD2F44">
        <w:t xml:space="preserve"> 2007 WL 2680954, at *2.</w:t>
      </w:r>
    </w:p>
    <w:p w14:paraId="761CF802" w14:textId="77777777" w:rsidR="004322B1" w:rsidRPr="00AD2F44" w:rsidRDefault="004322B1">
      <w:pPr>
        <w:pStyle w:val="14Footnote"/>
      </w:pPr>
      <w:r w:rsidRPr="00AD2F44">
        <w:rPr>
          <w:i/>
          <w:iCs/>
        </w:rPr>
        <w:t>Ninth Circuit:</w:t>
      </w:r>
      <w:r w:rsidRPr="00AD2F44">
        <w:t xml:space="preserve"> </w:t>
      </w:r>
      <w:r w:rsidRPr="00AD2F44">
        <w:rPr>
          <w:i/>
          <w:iCs/>
        </w:rPr>
        <w:t>Ross</w:t>
      </w:r>
      <w:r w:rsidRPr="00AD2F44">
        <w:t xml:space="preserve">, 542 F. Supp. 2d at 1020; </w:t>
      </w:r>
      <w:r w:rsidRPr="00AD2F44">
        <w:rPr>
          <w:i/>
          <w:iCs/>
        </w:rPr>
        <w:t>Jumapao</w:t>
      </w:r>
      <w:r w:rsidRPr="00AD2F44">
        <w:t xml:space="preserve">, 2007 WL 4258636, at *2; </w:t>
      </w:r>
      <w:r w:rsidRPr="00AD2F44">
        <w:rPr>
          <w:i/>
          <w:iCs/>
        </w:rPr>
        <w:t>Weinstein</w:t>
      </w:r>
      <w:r w:rsidRPr="00AD2F44">
        <w:t>, 2006 WL 3201045, at *4.</w:t>
      </w:r>
    </w:p>
  </w:footnote>
  <w:footnote w:id="727">
    <w:p w14:paraId="50635502" w14:textId="77777777" w:rsidR="004322B1" w:rsidRPr="00AD2F44" w:rsidRDefault="004322B1">
      <w:pPr>
        <w:pStyle w:val="14Footnote"/>
      </w:pPr>
      <w:r w:rsidRPr="00AD2F44">
        <w:rPr>
          <w:vertAlign w:val="superscript"/>
        </w:rPr>
        <w:footnoteRef/>
      </w:r>
      <w:r w:rsidRPr="00AD2F44">
        <w:rPr>
          <w:i/>
          <w:iCs/>
        </w:rPr>
        <w:t>Fourth Circuit:</w:t>
      </w:r>
      <w:r w:rsidRPr="00AD2F44">
        <w:t xml:space="preserve"> Fisher v. Rite Aid Corp., 2010 WL 2332101, at *2–3 (D. Md. June 8, 2010) (dismissing under first-to-file rule 23 Maryland state law putative class action alleging misclassification of assistant store managers, because named plaintiff was opt-in plaintiff in earlier-filed collective action in Pennsylvania; legal and factual issues were similar given Maryland’s incorporation of FLSA’s white-collar exemptions; “substantial similarities” existed between the two cases; and resolution of exemption issue in first case would resolve “central issue” in later-filed state law action).</w:t>
      </w:r>
    </w:p>
    <w:p w14:paraId="0DC0FBBB" w14:textId="77777777" w:rsidR="004322B1" w:rsidRPr="00AD2F44" w:rsidRDefault="004322B1">
      <w:pPr>
        <w:pStyle w:val="14Footnote"/>
      </w:pPr>
      <w:r w:rsidRPr="00AD2F44">
        <w:rPr>
          <w:i/>
          <w:iCs/>
        </w:rPr>
        <w:t>Fifth Circuit:</w:t>
      </w:r>
      <w:r w:rsidRPr="00AD2F44">
        <w:t xml:space="preserve"> Tillery v. Higman Barge Lines, Inc., 2014 U.S. Dist. LEXIS 59042, at *6 (S.D. Tex. Apr. 29, 2014); </w:t>
      </w:r>
      <w:r w:rsidRPr="00AD2F44">
        <w:rPr>
          <w:i/>
          <w:iCs/>
        </w:rPr>
        <w:t>White</w:t>
      </w:r>
      <w:r w:rsidRPr="00AD2F44">
        <w:t xml:space="preserve">, 546 F. Supp. 2d at 342; </w:t>
      </w:r>
      <w:r w:rsidRPr="00AD2F44">
        <w:rPr>
          <w:i/>
          <w:iCs/>
        </w:rPr>
        <w:t>Benavides</w:t>
      </w:r>
      <w:r w:rsidRPr="00AD2F44">
        <w:t>, 2006 WL 1406722, at *1;</w:t>
      </w:r>
      <w:r w:rsidRPr="00AD2F44">
        <w:rPr>
          <w:i/>
          <w:iCs/>
        </w:rPr>
        <w:t xml:space="preserve"> Buckalew</w:t>
      </w:r>
      <w:r w:rsidRPr="00AD2F44">
        <w:t>, 2005 WL 2266619, at *2;</w:t>
      </w:r>
      <w:r w:rsidRPr="00AD2F44">
        <w:rPr>
          <w:i/>
          <w:iCs/>
        </w:rPr>
        <w:t xml:space="preserve"> Young</w:t>
      </w:r>
      <w:r w:rsidRPr="00AD2F44">
        <w:t>, 2002 WL 31992189, at *1.</w:t>
      </w:r>
    </w:p>
    <w:p w14:paraId="3F85EBC8" w14:textId="77777777" w:rsidR="004322B1" w:rsidRPr="00AD2F44" w:rsidRDefault="004322B1">
      <w:pPr>
        <w:pStyle w:val="14Footnote"/>
      </w:pPr>
      <w:r w:rsidRPr="00AD2F44">
        <w:rPr>
          <w:i/>
          <w:iCs/>
        </w:rPr>
        <w:t>Sixth Circuit:</w:t>
      </w:r>
      <w:r w:rsidRPr="00AD2F44">
        <w:t xml:space="preserve"> </w:t>
      </w:r>
      <w:r w:rsidRPr="00AD2F44">
        <w:rPr>
          <w:i/>
          <w:iCs/>
        </w:rPr>
        <w:t>Steavens</w:t>
      </w:r>
      <w:r w:rsidRPr="00AD2F44">
        <w:t xml:space="preserve">, 2008 WL 5062847, at *1; </w:t>
      </w:r>
      <w:r w:rsidRPr="00AD2F44">
        <w:rPr>
          <w:i/>
          <w:iCs/>
        </w:rPr>
        <w:t>Fuller</w:t>
      </w:r>
      <w:r w:rsidRPr="00AD2F44">
        <w:t>, 370 F. Supp. 2d at 688.</w:t>
      </w:r>
    </w:p>
    <w:p w14:paraId="0FB33000" w14:textId="77777777" w:rsidR="004322B1" w:rsidRPr="00AD2F44" w:rsidRDefault="004322B1">
      <w:pPr>
        <w:pStyle w:val="14Footnote"/>
      </w:pPr>
      <w:r w:rsidRPr="00AD2F44">
        <w:rPr>
          <w:i/>
          <w:iCs/>
        </w:rPr>
        <w:t>Ninth Circuit:</w:t>
      </w:r>
      <w:r w:rsidRPr="00AD2F44">
        <w:t xml:space="preserve"> </w:t>
      </w:r>
      <w:r w:rsidRPr="00AD2F44">
        <w:rPr>
          <w:i/>
          <w:iCs/>
        </w:rPr>
        <w:t>Jumapao</w:t>
      </w:r>
      <w:r w:rsidRPr="00AD2F44">
        <w:t>, 2007 WL 4258636, at *2.</w:t>
      </w:r>
    </w:p>
    <w:p w14:paraId="68452965" w14:textId="77777777" w:rsidR="004322B1" w:rsidRPr="00AD2F44" w:rsidRDefault="004322B1">
      <w:pPr>
        <w:pStyle w:val="14Footnote"/>
      </w:pPr>
      <w:r w:rsidRPr="00AD2F44">
        <w:rPr>
          <w:i/>
          <w:iCs/>
        </w:rPr>
        <w:t>Eleventh Circuit:</w:t>
      </w:r>
      <w:r w:rsidRPr="00AD2F44">
        <w:t xml:space="preserve"> </w:t>
      </w:r>
      <w:r w:rsidRPr="00AD2F44">
        <w:rPr>
          <w:i/>
          <w:iCs/>
        </w:rPr>
        <w:t xml:space="preserve">Hernandez, </w:t>
      </w:r>
      <w:r w:rsidRPr="00AD2F44">
        <w:t>2014 WL 5175715, at *1.</w:t>
      </w:r>
    </w:p>
  </w:footnote>
  <w:footnote w:id="728">
    <w:p w14:paraId="4051E6C7" w14:textId="77777777" w:rsidR="004322B1" w:rsidRPr="00AD2F44" w:rsidRDefault="004322B1">
      <w:pPr>
        <w:pStyle w:val="14Footnote"/>
      </w:pPr>
      <w:r w:rsidRPr="00AD2F44">
        <w:rPr>
          <w:vertAlign w:val="superscript"/>
        </w:rPr>
        <w:footnoteRef/>
      </w:r>
      <w:r w:rsidRPr="00AD2F44">
        <w:rPr>
          <w:i/>
          <w:iCs/>
        </w:rPr>
        <w:t>Second Circuit:</w:t>
      </w:r>
      <w:r w:rsidRPr="00AD2F44">
        <w:t xml:space="preserve"> Schucker v. Flowers Foods, Inc., 2017 WL 3668847, at *4 (S.D.N.Y. Aug. 24, 2017) (holding that, although “first to file” rule did not perfectly fit facts of case, it was instructive and judicial economy supported court’s discretion to deny conditional certification where it would result in duplicative collective actions; of 95 individuals on plaintiffs’ proposed notice list, 94 of them had been given notice through other similar collective actions); Morrison v. Staples, Inc., 2008 WL 4911156, at *5 (D. Conn. Nov. 13, 2008) (denying motion to transfer where earlier-filed action contained only subset of claims and putative class members in action sought to be transferred).</w:t>
      </w:r>
    </w:p>
    <w:p w14:paraId="210F2707" w14:textId="77777777" w:rsidR="004322B1" w:rsidRPr="00AD2F44" w:rsidRDefault="004322B1">
      <w:pPr>
        <w:pStyle w:val="14Footnote"/>
      </w:pPr>
      <w:r w:rsidRPr="00AD2F44">
        <w:rPr>
          <w:i/>
          <w:iCs/>
        </w:rPr>
        <w:t>Third Circuit:</w:t>
      </w:r>
      <w:r w:rsidRPr="00AD2F44">
        <w:t xml:space="preserve"> Alvarez v. Gold Belt, LLC, 2011 WL 1337457, at *2 (D.N.J. Apr. 7, 2011) (refusing to grant certification of collective action, where court had previously denied certification for similar class under first-to-file rule in light of already existing and nearly identical case, but for a class covering different time period than current proposed class; lack of overlap in time period did not warrant creating separate class given same risks of inefficiency and inconsistency; time period issues could be raised in court with first-filed case); Abushalieh v. American Eagle Express, 716 F. Supp. 2d 361, 366 (D.N.J. 2010) (applying first-to-file rule to collective action despite different named plaintiffs, because “underlying principles of first-filed rule”—avoiding vexation of repeating litigation over same subject matter and wasteful duplicative litigation and encouraging efficiency in justice </w:t>
      </w:r>
      <w:r w:rsidRPr="00AD2F44">
        <w:br/>
        <w:t>administration—allowed rule’s application in collective cases like this one).</w:t>
      </w:r>
    </w:p>
    <w:p w14:paraId="5D58FD00" w14:textId="77777777" w:rsidR="004322B1" w:rsidRPr="00AD2F44" w:rsidRDefault="004322B1">
      <w:pPr>
        <w:pStyle w:val="14Footnote"/>
      </w:pPr>
      <w:r w:rsidRPr="00AD2F44">
        <w:rPr>
          <w:i/>
          <w:iCs/>
        </w:rPr>
        <w:t xml:space="preserve">Fifth Circuit: </w:t>
      </w:r>
      <w:r w:rsidRPr="00AD2F44">
        <w:t>Granado v. Quality Energy Servs., 2016 U.S. Dist. LEXIS 20060, at *4–5 (W.D. Tex. Feb. 18, 2016) (first-to-file rule applied and case transferred where plaintiff in first-filed Louisiana action sought to certify a collective action class that would consist of the plaintiffs in the later-filed Texas action and where the legal issues in both cases “substantially overlap such that they should be decided in one court to avoid inconsistent outcomes and to preserve judicial resources”).</w:t>
      </w:r>
    </w:p>
    <w:p w14:paraId="39EED173" w14:textId="77777777" w:rsidR="004322B1" w:rsidRPr="00AD2F44" w:rsidRDefault="004322B1">
      <w:pPr>
        <w:pStyle w:val="14Footnote"/>
      </w:pPr>
      <w:r w:rsidRPr="00AD2F44">
        <w:rPr>
          <w:i/>
          <w:iCs/>
        </w:rPr>
        <w:t>Sixth Circuit:</w:t>
      </w:r>
      <w:r w:rsidRPr="00AD2F44">
        <w:t xml:space="preserve"> Hubbard v. Papa John’s Int’l, Inc., 2019 WL 6119242, at *2 (W.D. Ky. Nov. 18, 2019) (applying first-to-file rule and staying case, recognizing three factors: “(1) the chronology of events, (2) the similarity of the parties involved, and (3) the similarity of the issues or claims at stake”) (citing Baatz v. Columbia Gas Transmission, LLC, 814 F.3d 785, 789 (6th Cir. 2016)). </w:t>
      </w:r>
    </w:p>
    <w:p w14:paraId="19E60A90" w14:textId="77777777" w:rsidR="004322B1" w:rsidRPr="00AD2F44" w:rsidRDefault="004322B1">
      <w:pPr>
        <w:pStyle w:val="14Footnote"/>
      </w:pPr>
      <w:r w:rsidRPr="00AD2F44">
        <w:rPr>
          <w:i/>
          <w:iCs/>
        </w:rPr>
        <w:t>Eighth Circuit:</w:t>
      </w:r>
      <w:r w:rsidRPr="00AD2F44">
        <w:t xml:space="preserve"> Mosley v. Hydrostatic Oil Tools, Inc., 2021 BL 277538, 2021 WL 3134917 (W.D. Ark. July 23, 2021) (denying conditional certification based on defendant’s first-to-file argument where pending litigation in same court had overlapping FLSA issues); Jones v. Qwest Commc’ns Int’l, Inc., 2007 WL 4179385, at *4 (D. Minn. Nov. 20, 2007) (consolidating statewide putative collective action with earlier-filed conditionally certified nationwide collective action, but refusing to conditionally certify statewide action, because court could create subclasses if nationwide action was decertified, precluding prejudice to plaintiffs in statewide action, and additional notice would be confusing, duplicative, and “effectively extend” opt-in period for previously certified opt-in action beyond its deadline).</w:t>
      </w:r>
    </w:p>
    <w:p w14:paraId="292FEB5D" w14:textId="77777777" w:rsidR="004322B1" w:rsidRPr="00AD2F44" w:rsidRDefault="004322B1">
      <w:pPr>
        <w:pStyle w:val="14Footnote"/>
      </w:pPr>
      <w:r w:rsidRPr="00AD2F44">
        <w:rPr>
          <w:i/>
          <w:iCs/>
        </w:rPr>
        <w:t>Ninth Circuit:</w:t>
      </w:r>
      <w:r w:rsidRPr="00AD2F44">
        <w:t xml:space="preserve"> Weinstein v. Metlife Inc., 2006 WL 3201045, at *4 (N.D. Cal. Nov. 6, 2006).</w:t>
      </w:r>
    </w:p>
    <w:p w14:paraId="2E651957" w14:textId="77777777" w:rsidR="004322B1" w:rsidRPr="00AD2F44" w:rsidRDefault="004322B1">
      <w:pPr>
        <w:pStyle w:val="14Footnote"/>
      </w:pPr>
      <w:r w:rsidRPr="00AD2F44">
        <w:rPr>
          <w:i/>
          <w:iCs/>
        </w:rPr>
        <w:t>Eleventh Circuit:</w:t>
      </w:r>
      <w:r w:rsidRPr="00AD2F44">
        <w:t xml:space="preserve"> Burns v. MLK Express Servs., LLC, 2020 U.S. Dist. LEXIS 67302, at *13 (M.D. Fla. Apr. 16, 2020) (applying first-filed rule where “cases substantially overlap and seek to certify the same class of drivers for the same FLSA violations,” noting that the Eleventh Circuit has applied a “strong presumption” for the first-filed rule); Cox v. Appliance Direct, Inc., 2008 WL 3050050, at *4 (M.D. Fla. Aug. 1, 2008) (holding that existence of multiple pending collective actions against same defendant was not bar to conditional certification, given that instant court had none of those cases before it, and given unique opt-in nature of collective actions).</w:t>
      </w:r>
    </w:p>
  </w:footnote>
  <w:footnote w:id="729">
    <w:p w14:paraId="7789EE2D" w14:textId="77777777" w:rsidR="004322B1" w:rsidRPr="00AD2F44" w:rsidRDefault="004322B1">
      <w:pPr>
        <w:pStyle w:val="14Footnote"/>
      </w:pPr>
      <w:r w:rsidRPr="00AD2F44">
        <w:rPr>
          <w:vertAlign w:val="superscript"/>
        </w:rPr>
        <w:footnoteRef/>
      </w:r>
      <w:r w:rsidRPr="00AD2F44">
        <w:rPr>
          <w:i/>
          <w:iCs/>
        </w:rPr>
        <w:t>Tillery</w:t>
      </w:r>
      <w:r w:rsidRPr="00AD2F44">
        <w:t xml:space="preserve">, 2014 WL 1689942, at *2 (“The Fifth Circuit has made clear that </w:t>
      </w:r>
      <w:r w:rsidRPr="00AD2F44">
        <w:br/>
        <w:t xml:space="preserve">‘[c]omplete identity of the parties is not required’ for purposes of the first-to-file rule. Instead, the Court must consider whether </w:t>
      </w:r>
      <w:r w:rsidRPr="00AD2F44">
        <w:rPr>
          <w:i/>
          <w:iCs/>
        </w:rPr>
        <w:t>the issues raised</w:t>
      </w:r>
      <w:r w:rsidRPr="00AD2F44">
        <w:t xml:space="preserve"> in both suits substantially overlap.”) (emphasis in original) (internal citations omitted).</w:t>
      </w:r>
    </w:p>
  </w:footnote>
  <w:footnote w:id="730">
    <w:p w14:paraId="018330CF" w14:textId="77777777" w:rsidR="004322B1" w:rsidRPr="00AD2F44" w:rsidRDefault="004322B1">
      <w:pPr>
        <w:pStyle w:val="14Footnote"/>
      </w:pPr>
      <w:r w:rsidRPr="00AD2F44">
        <w:rPr>
          <w:vertAlign w:val="superscript"/>
        </w:rPr>
        <w:footnoteRef/>
      </w:r>
      <w:r w:rsidRPr="00AD2F44">
        <w:rPr>
          <w:i/>
          <w:iCs/>
        </w:rPr>
        <w:t>Second Circuit:</w:t>
      </w:r>
      <w:r w:rsidRPr="00AD2F44">
        <w:t xml:space="preserve"> </w:t>
      </w:r>
      <w:r w:rsidRPr="00AD2F44">
        <w:rPr>
          <w:i/>
          <w:iCs/>
        </w:rPr>
        <w:t>Morrison</w:t>
      </w:r>
      <w:r w:rsidRPr="00AD2F44">
        <w:t>, 2008 WL 4911156, at *5 (denying motion to transfer where earlier-filed action contained only subset of claims and putative class members in action sought to be transferred, which risked having claims of named plaintiffs in later action excluded if transfer was ordered).</w:t>
      </w:r>
    </w:p>
    <w:p w14:paraId="20F41D70" w14:textId="77777777" w:rsidR="004322B1" w:rsidRPr="00AD2F44" w:rsidRDefault="004322B1">
      <w:pPr>
        <w:pStyle w:val="14Footnote"/>
      </w:pPr>
      <w:r w:rsidRPr="00AD2F44">
        <w:rPr>
          <w:i/>
          <w:iCs/>
        </w:rPr>
        <w:t>Fifth Circuit:</w:t>
      </w:r>
      <w:r w:rsidRPr="00AD2F44">
        <w:t xml:space="preserve"> Guyton v. Legacy Pressure Control, Inc.,</w:t>
      </w:r>
      <w:r w:rsidRPr="00AD2F44">
        <w:rPr>
          <w:i/>
          <w:iCs/>
        </w:rPr>
        <w:t xml:space="preserve"> </w:t>
      </w:r>
      <w:r w:rsidRPr="00AD2F44">
        <w:t>2016 U.S. Dist. LEXIS 137896, at *5–6 (W.D. Tex. Oct. 4, 2016) (denying transfer under first-to-file rule despite legal overlap in FLSA claims where first-filed case was a collective action and plaintiffs in second-filed case were proceeding on an individual basis); White v. Peco Foods, Inc., 546 F. Supp. 2d 339, 342 (S.D. Miss. 2008).</w:t>
      </w:r>
    </w:p>
    <w:p w14:paraId="501A19EB" w14:textId="77777777" w:rsidR="004322B1" w:rsidRPr="00AD2F44" w:rsidRDefault="004322B1">
      <w:pPr>
        <w:pStyle w:val="14Footnote"/>
      </w:pPr>
      <w:r w:rsidRPr="00AD2F44">
        <w:rPr>
          <w:i/>
          <w:iCs/>
        </w:rPr>
        <w:t>Sixth Circuit:</w:t>
      </w:r>
      <w:r w:rsidRPr="00AD2F44">
        <w:t xml:space="preserve"> Steavens v. Electronic Data Sys. Corp., 2008 WL 5062847, at *1 (E.D. Mich. Nov. 25, 2008).</w:t>
      </w:r>
    </w:p>
    <w:p w14:paraId="1461359C" w14:textId="77777777" w:rsidR="004322B1" w:rsidRPr="00AD2F44" w:rsidRDefault="004322B1">
      <w:pPr>
        <w:pStyle w:val="14Footnote"/>
      </w:pPr>
      <w:r w:rsidRPr="00AD2F44">
        <w:rPr>
          <w:i/>
          <w:iCs/>
        </w:rPr>
        <w:t xml:space="preserve">Seventh Circuit: </w:t>
      </w:r>
      <w:r w:rsidRPr="00AD2F44">
        <w:t xml:space="preserve">Hecker v. Petco Animal Supplies, Inc., 2017 U.S. Dist. LEXIS 87016, at *8 (N.D. Ill. Jun. 7, 2017) (denying motion to dismiss, stay, or transfer second-filed case on grounds of first-to-file rule where second case is “closely related but not entirely duplicative of the first and filed in a different district,” but granting transfer on other grounds). </w:t>
      </w:r>
    </w:p>
    <w:p w14:paraId="70526CBF" w14:textId="77777777" w:rsidR="004322B1" w:rsidRPr="00AD2F44" w:rsidRDefault="004322B1">
      <w:pPr>
        <w:pStyle w:val="14Footnote"/>
      </w:pPr>
      <w:r w:rsidRPr="00AD2F44">
        <w:rPr>
          <w:i/>
          <w:iCs/>
        </w:rPr>
        <w:t>Eighth Circuit:</w:t>
      </w:r>
      <w:r w:rsidRPr="00AD2F44">
        <w:t xml:space="preserve"> Haworth v. New Prime, Inc., 2020 WL 1430478 (W.D. Mo. Mar. 23, 2020) (refusing to apply first-to-file rule to putative collective action because in first-filed case, conditional certification was stayed pending potential settlement and defendant knew about other case but did not seek stay until plaintiff conducted discovery and moved for conditional certification); Arnold v. DirecTV, Inc., 2011 WL 839636, at *4 (E.D. Mo. Mar. 7, 2011) (refusing to apply first-to-file rule to putative collective action because, among other reasons, court was “not convinced that the rule is a good fit for [FLSA collective] actions,” as it could cause “in theory” all potential class members to have to opt in to a single case).</w:t>
      </w:r>
    </w:p>
    <w:p w14:paraId="2522DBBE" w14:textId="77777777" w:rsidR="004322B1" w:rsidRPr="00AD2F44" w:rsidRDefault="004322B1">
      <w:pPr>
        <w:pStyle w:val="14Footnote"/>
      </w:pPr>
      <w:r w:rsidRPr="00AD2F44">
        <w:rPr>
          <w:i/>
          <w:iCs/>
        </w:rPr>
        <w:t>Ninth Circuit:</w:t>
      </w:r>
      <w:r w:rsidRPr="00AD2F44">
        <w:t xml:space="preserve"> Morgan v. US Soccer Fed’n, Inc., 2019 U.S. Dist. LEXIS 204349 (C.D. Cal. Jul. 1, 2019) (denying defendant’s motion to transfer where defendant claimed the case was identical to the first-filed case but also had repeatedly attempted to transfer the first-filed case out</w:t>
      </w:r>
      <w:r w:rsidRPr="00AD2F44">
        <w:rPr>
          <w:i/>
          <w:iCs/>
        </w:rPr>
        <w:t xml:space="preserve"> </w:t>
      </w:r>
      <w:r w:rsidRPr="00AD2F44">
        <w:t>of the district to which transfer was now requested because the case allegedly lacked connection to that district); Adoma v. University of Phx., Inc., 711 F. Supp. 2d 1142, 1150 (E.D. Cal. 2010) (refusing to apply first-to-file rule and to dismiss or stay current action, where first-filed case had not advanced to certification stage, current action had additional claims, and judicial resources would not really be saved because current action had California state claims not implicated in first-filed case).</w:t>
      </w:r>
    </w:p>
    <w:p w14:paraId="4554C158" w14:textId="77777777" w:rsidR="004322B1" w:rsidRPr="00AD2F44" w:rsidRDefault="004322B1">
      <w:pPr>
        <w:pStyle w:val="14Footnote"/>
      </w:pPr>
      <w:r w:rsidRPr="00AD2F44">
        <w:rPr>
          <w:i/>
          <w:iCs/>
        </w:rPr>
        <w:t>Eleventh Circuit:</w:t>
      </w:r>
      <w:r w:rsidRPr="00AD2F44">
        <w:t xml:space="preserve"> Hernandez v. Cracker Barrel Old Country Store, Inc., 2014 WL 5175715, at *2 (M.D. Fla. Oct. 14, 2014) (refusing to apply first-to-file rule where first-filed case was in entirely different procedural posture, there was no indication that request for transfer to first-filed court had been made, and plaintiffs would be prejudiced by dismissal of action).</w:t>
      </w:r>
    </w:p>
  </w:footnote>
  <w:footnote w:id="731">
    <w:p w14:paraId="5F8A2515" w14:textId="77777777" w:rsidR="004322B1" w:rsidRPr="00AD2F44" w:rsidRDefault="004322B1">
      <w:pPr>
        <w:pStyle w:val="14Footnote"/>
      </w:pPr>
      <w:r w:rsidRPr="00AD2F44">
        <w:rPr>
          <w:vertAlign w:val="superscript"/>
        </w:rPr>
        <w:footnoteRef/>
      </w:r>
      <w:r w:rsidRPr="00AD2F44">
        <w:t>Kennedy v. Mountainside Pizza Inc., 2020 BL 294950, 2020 WL 4454897 (D. Colo. May 14, 2020); Pereira v. Foot Locker, Inc., 261 F.R.D. 60, 68 (E.D. Pa. 2009).</w:t>
      </w:r>
    </w:p>
  </w:footnote>
  <w:footnote w:id="732">
    <w:p w14:paraId="51BD87D8" w14:textId="77777777" w:rsidR="004322B1" w:rsidRPr="00AD2F44" w:rsidRDefault="004322B1">
      <w:pPr>
        <w:pStyle w:val="14Footnote"/>
      </w:pPr>
      <w:r w:rsidRPr="00AD2F44">
        <w:rPr>
          <w:vertAlign w:val="superscript"/>
        </w:rPr>
        <w:footnoteRef/>
      </w:r>
      <w:r w:rsidRPr="00AD2F44">
        <w:t xml:space="preserve">Izzio v. Century Partners Golf Mgmt., L.P., 2015 WL 5472845, at *8 (N.D. Tex. 2015) (stating that intervenor’s application of first-to-file rule attempted to make “technical weapon out of a rule designed to promote considerations of judicial and litigant economy, and the just and effective disposition of disputes” and rejecting intervenor’s “reverse auction” settlement argument in which defendant in series of class actions “picks the most ineffectual class lawyers to negotiate a settlement … in the hope that the district court will approve a weak settlement that will preclude other claims against defendant”), </w:t>
      </w:r>
      <w:r w:rsidRPr="00AD2F44">
        <w:rPr>
          <w:i/>
          <w:iCs/>
        </w:rPr>
        <w:t>rev’d on other grounds</w:t>
      </w:r>
      <w:r w:rsidRPr="00AD2F44">
        <w:t xml:space="preserve">, 2016 WL 6775944, 670 F. App’x 348 (5th Cir. 2016). </w:t>
      </w:r>
    </w:p>
  </w:footnote>
  <w:footnote w:id="733">
    <w:p w14:paraId="6F1154EA" w14:textId="77777777" w:rsidR="004322B1" w:rsidRPr="00AD2F44" w:rsidRDefault="004322B1">
      <w:pPr>
        <w:pStyle w:val="14Footnote"/>
      </w:pPr>
      <w:r w:rsidRPr="00AD2F44">
        <w:rPr>
          <w:vertAlign w:val="superscript"/>
        </w:rPr>
        <w:footnoteRef/>
      </w:r>
      <w:r w:rsidRPr="00AD2F44">
        <w:rPr>
          <w:i/>
          <w:iCs/>
        </w:rPr>
        <w:t>White</w:t>
      </w:r>
      <w:r w:rsidRPr="00AD2F44">
        <w:t>, 546 F. Supp. 2d 339; Luckett v. Peco Foods, Inc., 2008 WL 534760 (S.D. Miss. Feb. 22, 2008); Brown v. Peco Foods, Inc., 2008 WL 4145428 (S.D. Miss. Feb. 25, 2008).</w:t>
      </w:r>
    </w:p>
  </w:footnote>
  <w:footnote w:id="734">
    <w:p w14:paraId="06F380FC" w14:textId="77777777" w:rsidR="004322B1" w:rsidRPr="00AD2F44" w:rsidRDefault="004322B1">
      <w:pPr>
        <w:pStyle w:val="14Footnote"/>
      </w:pPr>
      <w:r w:rsidRPr="00AD2F44">
        <w:rPr>
          <w:vertAlign w:val="superscript"/>
        </w:rPr>
        <w:footnoteRef/>
      </w:r>
      <w:r w:rsidRPr="00AD2F44">
        <w:rPr>
          <w:i/>
          <w:iCs/>
        </w:rPr>
        <w:t>White</w:t>
      </w:r>
      <w:r w:rsidRPr="00AD2F44">
        <w:t>, 546 F. Supp. 2d at 341.</w:t>
      </w:r>
    </w:p>
  </w:footnote>
  <w:footnote w:id="735">
    <w:p w14:paraId="46A7ED48"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36">
    <w:p w14:paraId="3346C3AA" w14:textId="77777777" w:rsidR="004322B1" w:rsidRPr="00AD2F44" w:rsidRDefault="004322B1">
      <w:pPr>
        <w:pStyle w:val="14Footnote"/>
      </w:pPr>
      <w:r w:rsidRPr="00AD2F44">
        <w:rPr>
          <w:vertAlign w:val="superscript"/>
        </w:rPr>
        <w:footnoteRef/>
      </w:r>
      <w:r w:rsidRPr="00AD2F44">
        <w:t>White v. Peco Foods, Inc., 546 F. Supp. 2d 339, 341 (S.D. Miss. 2008).</w:t>
      </w:r>
    </w:p>
  </w:footnote>
  <w:footnote w:id="737">
    <w:p w14:paraId="3CCD28CD"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38">
    <w:p w14:paraId="25A3045C" w14:textId="77777777" w:rsidR="004322B1" w:rsidRPr="00AD2F44" w:rsidRDefault="004322B1">
      <w:pPr>
        <w:pStyle w:val="14Footnote"/>
      </w:pPr>
      <w:r w:rsidRPr="00AD2F44">
        <w:rPr>
          <w:vertAlign w:val="superscript"/>
        </w:rPr>
        <w:footnoteRef/>
      </w:r>
      <w:r w:rsidRPr="00AD2F44">
        <w:rPr>
          <w:i/>
          <w:iCs/>
        </w:rPr>
        <w:t>Id</w:t>
      </w:r>
      <w:r w:rsidRPr="00AD2F44">
        <w:t>. at 342–43.</w:t>
      </w:r>
    </w:p>
  </w:footnote>
  <w:footnote w:id="739">
    <w:p w14:paraId="79EB06A0" w14:textId="77777777" w:rsidR="004322B1" w:rsidRPr="00AD2F44" w:rsidRDefault="004322B1">
      <w:pPr>
        <w:pStyle w:val="14Footnote"/>
      </w:pPr>
      <w:r w:rsidRPr="00AD2F44">
        <w:rPr>
          <w:vertAlign w:val="superscript"/>
        </w:rPr>
        <w:footnoteRef/>
      </w:r>
      <w:r w:rsidRPr="00AD2F44">
        <w:rPr>
          <w:i/>
          <w:iCs/>
        </w:rPr>
        <w:t>Id</w:t>
      </w:r>
      <w:r w:rsidRPr="00AD2F44">
        <w:t>. at 343.</w:t>
      </w:r>
    </w:p>
  </w:footnote>
  <w:footnote w:id="740">
    <w:p w14:paraId="486A13B9"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41">
    <w:p w14:paraId="288373C1"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42">
    <w:p w14:paraId="55FC7AE5" w14:textId="77777777" w:rsidR="004322B1" w:rsidRPr="00AD2F44" w:rsidRDefault="004322B1">
      <w:pPr>
        <w:pStyle w:val="14Footnote"/>
      </w:pPr>
      <w:r w:rsidRPr="00AD2F44">
        <w:rPr>
          <w:vertAlign w:val="superscript"/>
        </w:rPr>
        <w:footnoteRef/>
      </w:r>
      <w:r w:rsidRPr="00AD2F44">
        <w:t>542 F. Supp. 2d 1014 (N.D. Cal. 2008).</w:t>
      </w:r>
    </w:p>
  </w:footnote>
  <w:footnote w:id="743">
    <w:p w14:paraId="52037D7B" w14:textId="77777777" w:rsidR="004322B1" w:rsidRPr="00AD2F44" w:rsidRDefault="004322B1">
      <w:pPr>
        <w:pStyle w:val="14Footnote"/>
      </w:pPr>
      <w:r w:rsidRPr="00AD2F44">
        <w:rPr>
          <w:vertAlign w:val="superscript"/>
        </w:rPr>
        <w:footnoteRef/>
      </w:r>
      <w:r w:rsidRPr="00AD2F44">
        <w:rPr>
          <w:i/>
          <w:iCs/>
        </w:rPr>
        <w:t>Id.</w:t>
      </w:r>
      <w:r w:rsidRPr="00AD2F44">
        <w:t xml:space="preserve"> at 1020. The court did rely on the </w:t>
      </w:r>
      <w:r w:rsidRPr="00AD2F44">
        <w:rPr>
          <w:i/>
          <w:iCs/>
        </w:rPr>
        <w:t>Colorado River</w:t>
      </w:r>
      <w:r w:rsidRPr="00AD2F44">
        <w:t xml:space="preserve"> abstention doctrine to stay the federal case with respect to a proposed Oregon subclass because two previous cases filed in Oregon state court covered similar issues and parties. </w:t>
      </w:r>
      <w:r w:rsidRPr="00AD2F44">
        <w:rPr>
          <w:i/>
          <w:iCs/>
        </w:rPr>
        <w:t>Id</w:t>
      </w:r>
      <w:r w:rsidRPr="00AD2F44">
        <w:t>. at 1020–23 (citing Colorado River Conservation Dist. v. United States, 424 U.S. 800 (1976)).</w:t>
      </w:r>
    </w:p>
  </w:footnote>
  <w:footnote w:id="744">
    <w:p w14:paraId="6AF1ACCD" w14:textId="77777777" w:rsidR="004322B1" w:rsidRPr="00AD2F44" w:rsidRDefault="004322B1">
      <w:pPr>
        <w:pStyle w:val="14Footnote"/>
      </w:pPr>
      <w:r w:rsidRPr="00AD2F44">
        <w:rPr>
          <w:vertAlign w:val="superscript"/>
        </w:rPr>
        <w:footnoteRef/>
      </w:r>
      <w:r w:rsidRPr="00AD2F44">
        <w:rPr>
          <w:i/>
          <w:iCs/>
        </w:rPr>
        <w:t>Fourth Circuit:</w:t>
      </w:r>
      <w:r w:rsidRPr="00AD2F44">
        <w:t xml:space="preserve"> Sehler v. Prospect Mortg. LLC, 2013 WL 5184216, at *2 (E.D. Va. Sept. 16, 2013); Johnson v. DePuy Orthopaedics, Inc</w:t>
      </w:r>
      <w:r w:rsidRPr="00AD2F44">
        <w:rPr>
          <w:i/>
          <w:iCs/>
        </w:rPr>
        <w:t>.</w:t>
      </w:r>
      <w:r w:rsidRPr="00AD2F44">
        <w:t>, 2012 WL 4538642, at *2 (D.S.C. 2012).</w:t>
      </w:r>
    </w:p>
    <w:p w14:paraId="547F1B80" w14:textId="77777777" w:rsidR="004322B1" w:rsidRPr="00AD2F44" w:rsidRDefault="004322B1">
      <w:pPr>
        <w:pStyle w:val="14Footnote"/>
      </w:pPr>
      <w:r w:rsidRPr="00AD2F44">
        <w:rPr>
          <w:i/>
          <w:iCs/>
        </w:rPr>
        <w:t>Fifth Circuit:</w:t>
      </w:r>
      <w:r w:rsidRPr="00AD2F44">
        <w:t xml:space="preserve"> Hopple v. Prospect Mortg., LLC, 2013 WL 5493004, at *2 (W.D. Tex. Oct. 2, 2013); Louisiana Stadium &amp; Exposition Dist. v. Financial Guaran. Ins. Co., 2009 WL 926982, at *1 (E.D. La. Apr. 2, 2009).</w:t>
      </w:r>
    </w:p>
    <w:p w14:paraId="2B4ECE0D" w14:textId="77777777" w:rsidR="004322B1" w:rsidRPr="00AD2F44" w:rsidRDefault="004322B1">
      <w:pPr>
        <w:pStyle w:val="14Footnote"/>
      </w:pPr>
      <w:r w:rsidRPr="00AD2F44">
        <w:rPr>
          <w:i/>
          <w:iCs/>
        </w:rPr>
        <w:t xml:space="preserve">Seventh Circuit: </w:t>
      </w:r>
      <w:r w:rsidRPr="00AD2F44">
        <w:t>Meyers v. Bayer AG</w:t>
      </w:r>
      <w:r w:rsidRPr="00AD2F44">
        <w:rPr>
          <w:i/>
          <w:iCs/>
        </w:rPr>
        <w:t>,</w:t>
      </w:r>
      <w:r w:rsidRPr="00AD2F44">
        <w:t xml:space="preserve"> 143 F. Supp. 2d 1044, 1049 (E.D. Wis. 2001).</w:t>
      </w:r>
    </w:p>
    <w:p w14:paraId="09438651" w14:textId="77777777" w:rsidR="004322B1" w:rsidRPr="00AD2F44" w:rsidRDefault="004322B1">
      <w:pPr>
        <w:pStyle w:val="14Footnote"/>
      </w:pPr>
      <w:r w:rsidRPr="00AD2F44">
        <w:rPr>
          <w:i/>
          <w:iCs/>
        </w:rPr>
        <w:t>Ninth Circuit:</w:t>
      </w:r>
      <w:r w:rsidRPr="00AD2F44">
        <w:t xml:space="preserve"> Brown v. Prospect Mortg., LLC, 2013 WL 5664667, at *1 (C.D. Cal. Oct. 3, 2013); Barnhart v. Prospect Mortg., LLC, 2013 WL 5434569, at *2 (D. Or. Sept. 30, 2013).</w:t>
      </w:r>
    </w:p>
    <w:p w14:paraId="7E8490BD" w14:textId="77777777" w:rsidR="004322B1" w:rsidRPr="00AD2F44" w:rsidRDefault="004322B1">
      <w:pPr>
        <w:pStyle w:val="14Footnote"/>
      </w:pPr>
      <w:r w:rsidRPr="00AD2F44">
        <w:rPr>
          <w:i/>
          <w:iCs/>
        </w:rPr>
        <w:t>See also</w:t>
      </w:r>
      <w:r w:rsidRPr="00AD2F44">
        <w:t xml:space="preserve"> Pierre v. Prospect Mortg., LLC, 2013 WL 5876151, at *2 (N.D.N.Y. Oct. 31, 2013) (applying a similar five-factor test, considering: “(1) the private interests of the plaintiffs in proceeding expeditiously with the civil litigation as balanced against the prejudice to the plaintiffs if delayed; (2) the private interests of and burden on the defendants; (3) the interests of the courts; (4) the interests of persons not parties to the civil litigation; and (5) the public interest”).</w:t>
      </w:r>
    </w:p>
  </w:footnote>
  <w:footnote w:id="745">
    <w:p w14:paraId="3EB18F28" w14:textId="77777777" w:rsidR="004322B1" w:rsidRPr="00AD2F44" w:rsidRDefault="004322B1">
      <w:pPr>
        <w:pStyle w:val="14Footnote"/>
      </w:pPr>
      <w:r w:rsidRPr="00AD2F44">
        <w:rPr>
          <w:vertAlign w:val="superscript"/>
        </w:rPr>
        <w:footnoteRef/>
      </w:r>
      <w:r w:rsidRPr="00AD2F44">
        <w:rPr>
          <w:i/>
          <w:iCs/>
        </w:rPr>
        <w:t xml:space="preserve">First Circuit: </w:t>
      </w:r>
      <w:r w:rsidRPr="00AD2F44">
        <w:t>Alves v. Prospect Mortg., LLC, 2013 U.S. Dist. LEXIS 151473 (D. Mass. Oct. 22, 2013) (granting stay pending JPML transfer ruling to avoid the court’s waste of time and expense that could be duplicated by the transferee court if transfer is granted).</w:t>
      </w:r>
    </w:p>
    <w:p w14:paraId="3CCDCBF8" w14:textId="77777777" w:rsidR="004322B1" w:rsidRPr="00AD2F44" w:rsidRDefault="004322B1">
      <w:pPr>
        <w:pStyle w:val="14Footnote"/>
      </w:pPr>
      <w:r w:rsidRPr="00AD2F44">
        <w:rPr>
          <w:i/>
          <w:iCs/>
        </w:rPr>
        <w:t>Second Circuit:</w:t>
      </w:r>
      <w:r w:rsidRPr="00AD2F44">
        <w:t xml:space="preserve"> </w:t>
      </w:r>
      <w:r w:rsidRPr="00AD2F44">
        <w:rPr>
          <w:i/>
          <w:iCs/>
        </w:rPr>
        <w:t>Pierre</w:t>
      </w:r>
      <w:r w:rsidRPr="00AD2F44">
        <w:t>, 2013 WL 5876151, at *3–4 (granting stay because defendants showed undue burden and duplicity in having to respond to 23 sets of identical interrogatories and requests for production, and that judicial resources were best served by a stay).</w:t>
      </w:r>
    </w:p>
    <w:p w14:paraId="3E16CC26" w14:textId="77777777" w:rsidR="004322B1" w:rsidRPr="00AD2F44" w:rsidRDefault="004322B1">
      <w:pPr>
        <w:pStyle w:val="14Footnote"/>
      </w:pPr>
      <w:r w:rsidRPr="00AD2F44">
        <w:rPr>
          <w:i/>
          <w:iCs/>
        </w:rPr>
        <w:t xml:space="preserve">Sixth Circuit: </w:t>
      </w:r>
      <w:r w:rsidRPr="00AD2F44">
        <w:t>Romine v. Uber Techs., Inc., 2017 U.S. Dist. LEXIS 227344 (E.D. Tenn. May 24, 2017) (granting stay where panel on multidistrict litigation was one day away from holding hearing so prejudice is minimal).</w:t>
      </w:r>
    </w:p>
    <w:p w14:paraId="0BA2AC98" w14:textId="77777777" w:rsidR="004322B1" w:rsidRPr="00AD2F44" w:rsidRDefault="004322B1">
      <w:pPr>
        <w:pStyle w:val="14Footnote"/>
      </w:pPr>
      <w:r w:rsidRPr="00AD2F44">
        <w:rPr>
          <w:i/>
          <w:iCs/>
        </w:rPr>
        <w:t>Seventh Circuit:</w:t>
      </w:r>
      <w:r w:rsidRPr="00AD2F44">
        <w:t xml:space="preserve"> Parizek v. Velocity Exp., Inc., 2008 WL 4279381 (E.D. Wis. Sept. 12, 2008) (staying case pending JPML decision, with instruction that defendant preserve all documents concerning putative class members and allegations).</w:t>
      </w:r>
    </w:p>
    <w:p w14:paraId="7AC3EE13" w14:textId="77777777" w:rsidR="004322B1" w:rsidRPr="00AD2F44" w:rsidRDefault="004322B1">
      <w:pPr>
        <w:pStyle w:val="14Footnote"/>
      </w:pPr>
      <w:r w:rsidRPr="00AD2F44">
        <w:rPr>
          <w:i/>
          <w:iCs/>
        </w:rPr>
        <w:t>Eighth Circuit:</w:t>
      </w:r>
      <w:r w:rsidRPr="00AD2F44">
        <w:t xml:space="preserve"> Adams v. Tyson Foods, Inc., 2007 WL 1539325 (W.D. Ark. May 25, 2007) (staying proceedings pending decision on transfer by JPML and granting motion to equitably toll and preserve the claims of putative class members pending outcome of the JPML decision and allowing class members to continue to opt in during stay).</w:t>
      </w:r>
    </w:p>
    <w:p w14:paraId="49914B35" w14:textId="77777777" w:rsidR="004322B1" w:rsidRPr="00AD2F44" w:rsidRDefault="004322B1">
      <w:pPr>
        <w:pStyle w:val="14Footnote"/>
      </w:pPr>
      <w:r w:rsidRPr="00AD2F44">
        <w:rPr>
          <w:i/>
          <w:iCs/>
        </w:rPr>
        <w:t>Ninth Circuit:</w:t>
      </w:r>
      <w:r w:rsidRPr="00AD2F44">
        <w:t xml:space="preserve"> Franklin v. Prospect Mortg., LLC, 2013 WL 6423389 (E.D. Cal. Dec. 9, 2013) (granting stay and finding that judicial economy was promoted by the stay, that the risk of inconsistent rulings prejudiced defendant, and that plaintiffs were not prejudiced because they had waited six months after decertification to file the new action and there had not been any significant activity in the new case).</w:t>
      </w:r>
    </w:p>
  </w:footnote>
  <w:footnote w:id="746">
    <w:p w14:paraId="65FF1747"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smallCaps/>
        </w:rPr>
        <w:t>Federal Judicial Center, Manual for Complex Litigation</w:t>
      </w:r>
      <w:r w:rsidRPr="00AD2F44">
        <w:t xml:space="preserve"> §20.131 (4th ed. 2004).</w:t>
      </w:r>
    </w:p>
  </w:footnote>
  <w:footnote w:id="747">
    <w:p w14:paraId="062CF5A2" w14:textId="77777777" w:rsidR="004322B1" w:rsidRPr="00AD2F44" w:rsidRDefault="004322B1">
      <w:pPr>
        <w:pStyle w:val="14Footnote"/>
      </w:pPr>
      <w:r w:rsidRPr="00AD2F44">
        <w:rPr>
          <w:vertAlign w:val="superscript"/>
        </w:rPr>
        <w:footnoteRef/>
      </w:r>
      <w:r w:rsidRPr="00AD2F44">
        <w:rPr>
          <w:i/>
          <w:iCs/>
        </w:rPr>
        <w:t>Fifth Circuit: Hopple</w:t>
      </w:r>
      <w:r w:rsidRPr="00AD2F44">
        <w:t>, 2013 WL 5493004 at *2–4 (denying stay because plaintiff would be prejudiced, having already waited three years without getting to the merits of the case, any hardship to defendant was its own fault because it sought decertification, and the court could not determine whether judicial economy favored a stay because it could not determine if the motion to consolidate would be granted).</w:t>
      </w:r>
    </w:p>
    <w:p w14:paraId="05D7FE7A" w14:textId="77777777" w:rsidR="004322B1" w:rsidRPr="00AD2F44" w:rsidRDefault="004322B1">
      <w:pPr>
        <w:pStyle w:val="14Footnote"/>
      </w:pPr>
      <w:r w:rsidRPr="00AD2F44">
        <w:rPr>
          <w:i/>
          <w:iCs/>
        </w:rPr>
        <w:t>Fourth Circuit:</w:t>
      </w:r>
      <w:r w:rsidRPr="00AD2F44">
        <w:t xml:space="preserve"> </w:t>
      </w:r>
      <w:r w:rsidRPr="00AD2F44">
        <w:rPr>
          <w:i/>
          <w:iCs/>
        </w:rPr>
        <w:t>Sehler</w:t>
      </w:r>
      <w:r w:rsidRPr="00AD2F44">
        <w:t>, 2013 WL 5184216, at *2–3 (denying stay request where MDL consolidation would be only for purposes of discovery and there was prejudice to the nonmoving party given the potential four- to six-month delay).</w:t>
      </w:r>
    </w:p>
    <w:p w14:paraId="4A4A51C1" w14:textId="77777777" w:rsidR="004322B1" w:rsidRPr="00AD2F44" w:rsidRDefault="004322B1">
      <w:pPr>
        <w:pStyle w:val="14Footnote"/>
      </w:pPr>
      <w:r w:rsidRPr="00AD2F44">
        <w:rPr>
          <w:i/>
          <w:iCs/>
        </w:rPr>
        <w:t xml:space="preserve">Ninth Circuit: </w:t>
      </w:r>
      <w:r w:rsidRPr="00AD2F44">
        <w:t>Baker v. Prospect Mortg., LLC, 2013 U.S. Dist. LEXIS 14474, at *3–6 (D. Ariz. Oct. 1, 2013) (denying motion to stay pending JPML decision due to facts that case had already been substantially delayed since filing, that the court already entered a scheduling order with lengthy deadlines for amending the complaint and for the completion of discovery, and that many of the plaintiffs nationwide were represented by the same counsel).</w:t>
      </w:r>
    </w:p>
    <w:p w14:paraId="202F453D" w14:textId="77777777" w:rsidR="004322B1" w:rsidRPr="00AD2F44" w:rsidRDefault="004322B1">
      <w:pPr>
        <w:pStyle w:val="14Footnote"/>
      </w:pPr>
      <w:r w:rsidRPr="00AD2F44">
        <w:rPr>
          <w:i/>
          <w:iCs/>
        </w:rPr>
        <w:t>Tenth Circuit:</w:t>
      </w:r>
      <w:r w:rsidRPr="00AD2F44">
        <w:t xml:space="preserve"> Garcia v. Tyson Foods, Inc., 2008 WL 4148596 (D. Kan. Sept. 3, 2008) (denying motion to stay proceedings pending decision by JPML where the proceedings had already been delayed for two years by defendant’s failed motion for summary judgment and appeal to Tenth Circuit, and defendant was seeking consolidation and transfer to the District of Kansas where the court found that further delay would be prejudicial, particularly in light of the increasing difficulty in locating and notifying a fairly transient class as time progressed); Baldozier v. American Family Mut. Ins. Co., 2005 WL 3499953 (D. Colo. Dec. 21, 2005) (denying defendant’s motion to stay without prejudice and requesting prompt notice of any ruling by the MDL panel).</w:t>
      </w:r>
    </w:p>
  </w:footnote>
  <w:footnote w:id="748">
    <w:p w14:paraId="507FECC2"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Brown</w:t>
      </w:r>
      <w:r w:rsidRPr="00AD2F44">
        <w:t xml:space="preserve">, 2013 WL 5664667, at *2 (entering a limited stay and staying discovery common to all plaintiffs but allowing discovery related to individual plaintiffs in the action before the court); </w:t>
      </w:r>
      <w:r w:rsidRPr="00AD2F44">
        <w:rPr>
          <w:i/>
          <w:iCs/>
        </w:rPr>
        <w:t>Barnhart</w:t>
      </w:r>
      <w:r w:rsidRPr="00AD2F44">
        <w:t xml:space="preserve">, 2013 WL 5434569, at *1 (granting stay as to discovery relevant to all cases, including Rule 30(b)(6) depositions of defendant’s designees, but denying stay as to discovery of information unique to plaintiff); </w:t>
      </w:r>
      <w:r w:rsidRPr="00AD2F44">
        <w:rPr>
          <w:i/>
          <w:iCs/>
        </w:rPr>
        <w:t xml:space="preserve">Barnhart, </w:t>
      </w:r>
      <w:r w:rsidRPr="00AD2F44">
        <w:t>2013 WL 5434569, at *5 (denying stay as to discovery of individual plaintiffs but granting stay as to discovery that would also have relevance in other actions, including Rule 30(b)(6) depositions).</w:t>
      </w:r>
    </w:p>
  </w:footnote>
  <w:footnote w:id="749">
    <w:p w14:paraId="56AA9FC6" w14:textId="77777777" w:rsidR="004322B1" w:rsidRPr="00AD2F44" w:rsidRDefault="004322B1">
      <w:pPr>
        <w:pStyle w:val="14Footnote"/>
      </w:pPr>
      <w:r w:rsidRPr="00AD2F44">
        <w:rPr>
          <w:vertAlign w:val="superscript"/>
        </w:rPr>
        <w:footnoteRef/>
      </w:r>
      <w:r w:rsidRPr="00AD2F44">
        <w:t>Kramer v. NCS Pearson, Inc., 2003 WL 21640495 (D. Minn. June 30, 2003) (upholding magistrate’s order compelling disclosure of employee lists while the parties were waiting for the JPML’s ruling on a motion to transfer and the defendant’s stay motion was pending, finding that neither the pending motion to stay nor the motion to transfer warranted what would essentially be a stay of necessary discovery).</w:t>
      </w:r>
    </w:p>
  </w:footnote>
  <w:footnote w:id="750">
    <w:p w14:paraId="6AC04BD7" w14:textId="77777777" w:rsidR="004322B1" w:rsidRPr="00AD2F44" w:rsidRDefault="004322B1">
      <w:pPr>
        <w:pStyle w:val="14Footnote"/>
      </w:pPr>
      <w:r w:rsidRPr="00AD2F44">
        <w:rPr>
          <w:vertAlign w:val="superscript"/>
        </w:rPr>
        <w:footnoteRef/>
      </w:r>
      <w:r w:rsidRPr="00AD2F44">
        <w:rPr>
          <w:i/>
        </w:rPr>
        <w:t>Id.</w:t>
      </w:r>
    </w:p>
  </w:footnote>
  <w:footnote w:id="751">
    <w:p w14:paraId="6E2A59EF" w14:textId="77777777" w:rsidR="004322B1" w:rsidRPr="00AD2F44" w:rsidRDefault="004322B1">
      <w:pPr>
        <w:pStyle w:val="14Footnote"/>
      </w:pPr>
      <w:r w:rsidRPr="00AD2F44">
        <w:rPr>
          <w:vertAlign w:val="superscript"/>
        </w:rPr>
        <w:footnoteRef/>
      </w:r>
      <w:r w:rsidRPr="00AD2F44">
        <w:rPr>
          <w:i/>
          <w:iCs/>
        </w:rPr>
        <w:t>Id</w:t>
      </w:r>
      <w:r w:rsidRPr="00AD2F44">
        <w:t>. at *2.</w:t>
      </w:r>
    </w:p>
  </w:footnote>
  <w:footnote w:id="752">
    <w:p w14:paraId="69C91611" w14:textId="77777777" w:rsidR="004322B1" w:rsidRPr="00AD2F44" w:rsidRDefault="004322B1">
      <w:pPr>
        <w:pStyle w:val="14Footnote"/>
      </w:pPr>
      <w:r w:rsidRPr="00AD2F44">
        <w:rPr>
          <w:vertAlign w:val="superscript"/>
        </w:rPr>
        <w:footnoteRef/>
      </w:r>
      <w:r w:rsidRPr="00AD2F44">
        <w:rPr>
          <w:i/>
          <w:iCs/>
        </w:rPr>
        <w:t>In re</w:t>
      </w:r>
      <w:r w:rsidRPr="00AD2F44">
        <w:t xml:space="preserve"> Farmers Ins. Exch. Claims Reps. Overtime Pay Litig., 2004 WL 1336228, at *3 (D. Or. June 14, 2004). The MDL court considered whether it had power to issue the injunction under the Anti-Injunction Act, “which generally prohibits federal courts from interfering with proceedings in state courts, unless the circumstances fall within one of three express exceptions: … (1) Congress has expressly authorized; (2) are necessary in aid of the federal court’s jurisdiction; or (3) are necessary to protect or effectuate the federal court’s judgments.” </w:t>
      </w:r>
      <w:r w:rsidRPr="00AD2F44">
        <w:rPr>
          <w:i/>
          <w:iCs/>
        </w:rPr>
        <w:t>Id</w:t>
      </w:r>
      <w:r w:rsidRPr="00AD2F44">
        <w:t>.</w:t>
      </w:r>
    </w:p>
  </w:footnote>
  <w:footnote w:id="753">
    <w:p w14:paraId="626067E9" w14:textId="77777777" w:rsidR="004322B1" w:rsidRPr="00AD2F44" w:rsidRDefault="004322B1">
      <w:pPr>
        <w:pStyle w:val="14Footnote"/>
      </w:pPr>
      <w:r w:rsidRPr="00AD2F44">
        <w:rPr>
          <w:vertAlign w:val="superscript"/>
        </w:rPr>
        <w:footnoteRef/>
      </w:r>
      <w:r w:rsidRPr="00AD2F44">
        <w:t xml:space="preserve">877 F.3d 756 (7th Cir. 2017). </w:t>
      </w:r>
    </w:p>
  </w:footnote>
  <w:footnote w:id="754">
    <w:p w14:paraId="277F3867" w14:textId="77777777" w:rsidR="004322B1" w:rsidRPr="00AD2F44" w:rsidRDefault="004322B1">
      <w:pPr>
        <w:pStyle w:val="14Footnote"/>
      </w:pPr>
      <w:r w:rsidRPr="00AD2F44">
        <w:rPr>
          <w:vertAlign w:val="superscript"/>
        </w:rPr>
        <w:footnoteRef/>
      </w:r>
      <w:r w:rsidRPr="00AD2F44">
        <w:rPr>
          <w:i/>
          <w:iCs/>
        </w:rPr>
        <w:t>Id</w:t>
      </w:r>
      <w:r w:rsidRPr="00AD2F44">
        <w:t xml:space="preserve">. at 760. </w:t>
      </w:r>
    </w:p>
  </w:footnote>
  <w:footnote w:id="755">
    <w:p w14:paraId="56A38A54" w14:textId="77777777" w:rsidR="004322B1" w:rsidRPr="00AD2F44" w:rsidRDefault="004322B1">
      <w:pPr>
        <w:pStyle w:val="14Footnote"/>
      </w:pPr>
      <w:r w:rsidRPr="00AD2F44">
        <w:rPr>
          <w:vertAlign w:val="superscript"/>
        </w:rPr>
        <w:footnoteRef/>
      </w:r>
      <w:r w:rsidRPr="00AD2F44">
        <w:rPr>
          <w:i/>
          <w:iCs/>
        </w:rPr>
        <w:t>Id</w:t>
      </w:r>
      <w:r w:rsidRPr="00AD2F44">
        <w:t xml:space="preserve">. at 766 (citing Adkins v. Nestle Purina PetCare Co., 779 F.3d 481, 483 (7th Cir. 2015)). </w:t>
      </w:r>
    </w:p>
  </w:footnote>
  <w:footnote w:id="756">
    <w:p w14:paraId="5AFE9A39" w14:textId="77777777" w:rsidR="004322B1" w:rsidRPr="00AD2F44" w:rsidRDefault="004322B1">
      <w:pPr>
        <w:pStyle w:val="14Footnote"/>
      </w:pPr>
      <w:r w:rsidRPr="00AD2F44">
        <w:rPr>
          <w:vertAlign w:val="superscript"/>
        </w:rPr>
        <w:footnoteRef/>
      </w:r>
      <w:r w:rsidRPr="00AD2F44">
        <w:t>28 U.S.C. §2283.</w:t>
      </w:r>
    </w:p>
  </w:footnote>
  <w:footnote w:id="757">
    <w:p w14:paraId="746F5126" w14:textId="77777777" w:rsidR="004322B1" w:rsidRPr="00AD2F44" w:rsidRDefault="004322B1">
      <w:pPr>
        <w:pStyle w:val="14Footnote"/>
      </w:pPr>
      <w:r w:rsidRPr="00AD2F44">
        <w:rPr>
          <w:vertAlign w:val="superscript"/>
        </w:rPr>
        <w:footnoteRef/>
      </w:r>
      <w:r w:rsidRPr="00AD2F44">
        <w:t>877 F.3d</w:t>
      </w:r>
      <w:r w:rsidRPr="00AD2F44">
        <w:rPr>
          <w:i/>
          <w:iCs/>
        </w:rPr>
        <w:t xml:space="preserve"> </w:t>
      </w:r>
      <w:r w:rsidRPr="00AD2F44">
        <w:t xml:space="preserve">at 763–64. </w:t>
      </w:r>
    </w:p>
  </w:footnote>
  <w:footnote w:id="758">
    <w:p w14:paraId="6D8913D7" w14:textId="77777777" w:rsidR="004322B1" w:rsidRPr="00AD2F44" w:rsidRDefault="004322B1">
      <w:pPr>
        <w:pStyle w:val="14Footnote"/>
      </w:pPr>
      <w:r w:rsidRPr="00AD2F44">
        <w:rPr>
          <w:vertAlign w:val="superscript"/>
        </w:rPr>
        <w:footnoteRef/>
      </w:r>
      <w:r w:rsidRPr="00AD2F44">
        <w:t xml:space="preserve">28 U.S.C. §1651. </w:t>
      </w:r>
    </w:p>
  </w:footnote>
  <w:footnote w:id="759">
    <w:p w14:paraId="3ECB14D1" w14:textId="77777777" w:rsidR="004322B1" w:rsidRPr="00AD2F44" w:rsidRDefault="004322B1">
      <w:pPr>
        <w:pStyle w:val="14Footnote"/>
      </w:pPr>
      <w:r w:rsidRPr="00AD2F44">
        <w:rPr>
          <w:vertAlign w:val="superscript"/>
        </w:rPr>
        <w:footnoteRef/>
      </w:r>
      <w:r w:rsidRPr="00AD2F44">
        <w:t>877 F.3d at 770–71.</w:t>
      </w:r>
      <w:r w:rsidRPr="00AD2F44">
        <w:rPr>
          <w:b/>
          <w:bCs/>
        </w:rPr>
        <w:t xml:space="preserve"> </w:t>
      </w:r>
    </w:p>
  </w:footnote>
  <w:footnote w:id="760">
    <w:p w14:paraId="0FEA7D8E" w14:textId="77777777" w:rsidR="004322B1" w:rsidRPr="00AD2F44" w:rsidRDefault="004322B1">
      <w:pPr>
        <w:pStyle w:val="14Footnote"/>
      </w:pPr>
      <w:r w:rsidRPr="00AD2F44">
        <w:rPr>
          <w:vertAlign w:val="superscript"/>
        </w:rPr>
        <w:footnoteRef/>
      </w:r>
      <w:r w:rsidRPr="00AD2F44">
        <w:t xml:space="preserve">Powell v. McCormack, 395 U.S. 486, 496 (1969); Cameron-Grant v. Maxim Healthcare Servs., Inc., 347 F.3d 1240, 1245 (11th Cir. 2003); </w:t>
      </w:r>
      <w:r w:rsidRPr="00AD2F44">
        <w:rPr>
          <w:i/>
          <w:iCs/>
        </w:rPr>
        <w:t>see also</w:t>
      </w:r>
      <w:r w:rsidRPr="00AD2F44">
        <w:t xml:space="preserve"> Mackenzie v. Kindred Hosps. E., LLC, 276 F. Supp. 2d 1211, 1218–20 (M.D. Fla. 2003) (granting dismissal on denied offer of judgment, especially where there were no other identified actual or potential opt-ins).</w:t>
      </w:r>
    </w:p>
  </w:footnote>
  <w:footnote w:id="761">
    <w:p w14:paraId="31DF6C15" w14:textId="77777777" w:rsidR="004322B1" w:rsidRPr="00AD2F44" w:rsidRDefault="004322B1">
      <w:pPr>
        <w:pStyle w:val="14Footnote"/>
      </w:pPr>
      <w:r w:rsidRPr="00AD2F44">
        <w:rPr>
          <w:vertAlign w:val="superscript"/>
        </w:rPr>
        <w:footnoteRef/>
      </w:r>
      <w:r w:rsidRPr="00AD2F44">
        <w:t>Rule 68 provides:</w:t>
      </w:r>
    </w:p>
    <w:p w14:paraId="63421DA5" w14:textId="77777777" w:rsidR="004322B1" w:rsidRPr="00AD2F44" w:rsidRDefault="004322B1" w:rsidP="00397917">
      <w:pPr>
        <w:pStyle w:val="15BFootnoteBlockQuoteWithoutIndent"/>
      </w:pPr>
      <w:r w:rsidRPr="00AD2F44">
        <w:t>More than 10 days before the trial begins, a party defending against a claim may serve on an opposing party an offer to allow judgment on specified terms, with the costs then accrued. If, within 10 days after being served, the opposing party serves written notice accepting the offer, either party may then file the offer and notice of acceptance, plus proof of service. The clerk must then enter judgment.</w:t>
      </w:r>
    </w:p>
    <w:p w14:paraId="7A782FBC" w14:textId="77777777" w:rsidR="004322B1" w:rsidRPr="00AD2F44" w:rsidRDefault="004322B1" w:rsidP="00465F1A">
      <w:pPr>
        <w:pStyle w:val="14Footnote"/>
        <w:ind w:firstLine="0"/>
      </w:pPr>
      <w:r w:rsidRPr="00AD2F44">
        <w:rPr>
          <w:smallCaps/>
        </w:rPr>
        <w:t>Fed. R. Civ. P.</w:t>
      </w:r>
      <w:r w:rsidRPr="00AD2F44">
        <w:t xml:space="preserve"> 68(a). The Rule was amended effective December 1, 2007, but the changes were only stylistic. </w:t>
      </w:r>
      <w:r w:rsidRPr="00AD2F44">
        <w:rPr>
          <w:i/>
          <w:iCs/>
        </w:rPr>
        <w:t>Id</w:t>
      </w:r>
      <w:r w:rsidRPr="00AD2F44">
        <w:t>. advisory committee’s notes (2007 amendments).</w:t>
      </w:r>
    </w:p>
  </w:footnote>
  <w:footnote w:id="762">
    <w:p w14:paraId="6FCC359B" w14:textId="77777777" w:rsidR="004322B1" w:rsidRPr="00AD2F44" w:rsidRDefault="004322B1">
      <w:pPr>
        <w:pStyle w:val="14Footnote"/>
      </w:pPr>
      <w:r w:rsidRPr="00AD2F44">
        <w:rPr>
          <w:vertAlign w:val="superscript"/>
        </w:rPr>
        <w:footnoteRef/>
      </w:r>
      <w:r w:rsidRPr="00AD2F44">
        <w:rPr>
          <w:i/>
          <w:iCs/>
        </w:rPr>
        <w:t>See</w:t>
      </w:r>
      <w:r w:rsidRPr="00AD2F44">
        <w:t xml:space="preserve"> Louisdor v. American Telecomms., Inc., 540 F. Supp. 2d 368, 373 (E.D.N.Y. 2008) (“Defendant’s Rule 68 offer of judgment, which equals the maximum amount plaintiff could recover at trial, has eliminated plaintiff’s individual stake, and, therefore, no justiciable controversy remains.”); Simmons v. United Mortg. &amp; Loan Inv., LLC, 2009 WL 2950879, at *3 (W.D.N.C. Sept. 14, 2009).</w:t>
      </w:r>
    </w:p>
  </w:footnote>
  <w:footnote w:id="763">
    <w:p w14:paraId="08317452" w14:textId="77777777" w:rsidR="004322B1" w:rsidRPr="00AD2F44" w:rsidRDefault="004322B1">
      <w:pPr>
        <w:pStyle w:val="14Footnote"/>
      </w:pPr>
      <w:r w:rsidRPr="00AD2F44">
        <w:rPr>
          <w:rStyle w:val="FootnoteReference"/>
        </w:rPr>
        <w:footnoteRef/>
      </w:r>
      <w:r w:rsidRPr="00AD2F44">
        <w:rPr>
          <w:i/>
          <w:iCs/>
        </w:rPr>
        <w:t>See</w:t>
      </w:r>
      <w:r w:rsidRPr="00AD2F44">
        <w:t xml:space="preserve"> Borup v. CJS Sols. Grp., LLC, 333 F.R.D. 142 (D. Minn. 2019) (denying plaintiff’s motion to strike Rule 68 offer pre-certification, evaluating attendant risks to striking offer versus letting it remain active). </w:t>
      </w:r>
    </w:p>
  </w:footnote>
  <w:footnote w:id="764">
    <w:p w14:paraId="6C482EC0" w14:textId="77777777" w:rsidR="004322B1" w:rsidRPr="00AD2F44" w:rsidRDefault="004322B1">
      <w:pPr>
        <w:pStyle w:val="14Footnote"/>
      </w:pPr>
      <w:r w:rsidRPr="00AD2F44">
        <w:rPr>
          <w:vertAlign w:val="superscript"/>
        </w:rPr>
        <w:footnoteRef/>
      </w:r>
      <w:r w:rsidRPr="00AD2F44">
        <w:t>569 U.S. 66, 20 WH Cases2d 801 (2013).</w:t>
      </w:r>
    </w:p>
  </w:footnote>
  <w:footnote w:id="765">
    <w:p w14:paraId="28366819" w14:textId="77777777" w:rsidR="004322B1" w:rsidRPr="00AD2F44" w:rsidRDefault="004322B1">
      <w:pPr>
        <w:pStyle w:val="14Footnote"/>
      </w:pPr>
      <w:r w:rsidRPr="00AD2F44">
        <w:rPr>
          <w:vertAlign w:val="superscript"/>
        </w:rPr>
        <w:footnoteRef/>
      </w:r>
      <w:r w:rsidRPr="00AD2F44">
        <w:t xml:space="preserve">Symczyk v. Genesis HealthCare Corp., 2010 WL 2038676 (E.D. Pa. May 19, 2010). </w:t>
      </w:r>
    </w:p>
  </w:footnote>
  <w:footnote w:id="766">
    <w:p w14:paraId="4A4453BC" w14:textId="77777777" w:rsidR="004322B1" w:rsidRPr="00AD2F44" w:rsidRDefault="004322B1">
      <w:pPr>
        <w:pStyle w:val="14Footnote"/>
      </w:pPr>
      <w:r w:rsidRPr="00AD2F44">
        <w:rPr>
          <w:vertAlign w:val="superscript"/>
        </w:rPr>
        <w:footnoteRef/>
      </w:r>
      <w:r w:rsidRPr="00AD2F44">
        <w:t>Symczyk v. Genesis Healthcare Corp., 656 F.3d 189, 18 WH Cases2d 1 (3d Cir. 2011).</w:t>
      </w:r>
    </w:p>
  </w:footnote>
  <w:footnote w:id="767">
    <w:p w14:paraId="3A4D262B" w14:textId="77777777" w:rsidR="004322B1" w:rsidRPr="00AD2F44" w:rsidRDefault="004322B1">
      <w:pPr>
        <w:pStyle w:val="14Footnote"/>
      </w:pPr>
      <w:r w:rsidRPr="00AD2F44">
        <w:rPr>
          <w:vertAlign w:val="superscript"/>
        </w:rPr>
        <w:footnoteRef/>
      </w:r>
      <w:r w:rsidRPr="00AD2F44">
        <w:rPr>
          <w:i/>
          <w:iCs/>
        </w:rPr>
        <w:t xml:space="preserve">Symczyk, </w:t>
      </w:r>
      <w:r w:rsidRPr="00AD2F44">
        <w:t>569 U.S. at 72.</w:t>
      </w:r>
    </w:p>
  </w:footnote>
  <w:footnote w:id="768">
    <w:p w14:paraId="3CBE156A" w14:textId="77777777" w:rsidR="004322B1" w:rsidRPr="00AD2F44" w:rsidRDefault="004322B1">
      <w:pPr>
        <w:pStyle w:val="14Footnote"/>
      </w:pPr>
      <w:r w:rsidRPr="00AD2F44">
        <w:rPr>
          <w:vertAlign w:val="superscript"/>
        </w:rPr>
        <w:footnoteRef/>
      </w:r>
      <w:r w:rsidRPr="00AD2F44">
        <w:rPr>
          <w:i/>
          <w:iCs/>
        </w:rPr>
        <w:t>Id</w:t>
      </w:r>
      <w:r w:rsidRPr="00AD2F44">
        <w:t>. at 73.</w:t>
      </w:r>
    </w:p>
  </w:footnote>
  <w:footnote w:id="769">
    <w:p w14:paraId="63485C85"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70">
    <w:p w14:paraId="6A12526D"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771">
    <w:p w14:paraId="5BF0FFF4" w14:textId="77777777" w:rsidR="004322B1" w:rsidRPr="00AD2F44" w:rsidRDefault="004322B1">
      <w:pPr>
        <w:pStyle w:val="14Footnote"/>
      </w:pPr>
      <w:r w:rsidRPr="00AD2F44">
        <w:rPr>
          <w:vertAlign w:val="superscript"/>
        </w:rPr>
        <w:footnoteRef/>
      </w:r>
      <w:r w:rsidRPr="00AD2F44">
        <w:rPr>
          <w:i/>
          <w:iCs/>
        </w:rPr>
        <w:t>Id</w:t>
      </w:r>
      <w:r w:rsidRPr="00AD2F44">
        <w:t xml:space="preserve">. at 74. </w:t>
      </w:r>
    </w:p>
  </w:footnote>
  <w:footnote w:id="772">
    <w:p w14:paraId="4798241C" w14:textId="77777777" w:rsidR="004322B1" w:rsidRPr="00AD2F44" w:rsidRDefault="004322B1">
      <w:pPr>
        <w:pStyle w:val="14Footnote"/>
      </w:pPr>
      <w:r w:rsidRPr="00AD2F44">
        <w:rPr>
          <w:vertAlign w:val="superscript"/>
        </w:rPr>
        <w:footnoteRef/>
      </w:r>
      <w:r w:rsidRPr="00AD2F44">
        <w:rPr>
          <w:i/>
          <w:iCs/>
        </w:rPr>
        <w:t>Id.</w:t>
      </w:r>
      <w:r w:rsidRPr="00AD2F44">
        <w:t xml:space="preserve"> at 75. </w:t>
      </w:r>
    </w:p>
  </w:footnote>
  <w:footnote w:id="773">
    <w:p w14:paraId="32AE124D" w14:textId="77777777" w:rsidR="004322B1" w:rsidRPr="00AD2F44" w:rsidRDefault="004322B1">
      <w:pPr>
        <w:pStyle w:val="14Footnote"/>
      </w:pPr>
      <w:r w:rsidRPr="00AD2F44">
        <w:rPr>
          <w:vertAlign w:val="superscript"/>
        </w:rPr>
        <w:footnoteRef/>
      </w:r>
      <w:r w:rsidRPr="00AD2F44">
        <w:rPr>
          <w:i/>
          <w:iCs/>
        </w:rPr>
        <w:t>Id</w:t>
      </w:r>
      <w:r w:rsidRPr="00AD2F44">
        <w:t>. at 76.</w:t>
      </w:r>
    </w:p>
  </w:footnote>
  <w:footnote w:id="774">
    <w:p w14:paraId="5B00DC6D" w14:textId="77777777" w:rsidR="004322B1" w:rsidRPr="00AD2F44" w:rsidRDefault="004322B1">
      <w:pPr>
        <w:pStyle w:val="14Footnote"/>
      </w:pPr>
      <w:r w:rsidRPr="00AD2F44">
        <w:rPr>
          <w:vertAlign w:val="superscript"/>
        </w:rPr>
        <w:footnoteRef/>
      </w:r>
      <w:r w:rsidRPr="00AD2F44">
        <w:rPr>
          <w:i/>
        </w:rPr>
        <w:t xml:space="preserve">See, e.g., </w:t>
      </w:r>
    </w:p>
    <w:p w14:paraId="4B15343D" w14:textId="77777777" w:rsidR="004322B1" w:rsidRPr="00AD2F44" w:rsidRDefault="004322B1">
      <w:pPr>
        <w:pStyle w:val="14Footnote"/>
      </w:pPr>
      <w:r w:rsidRPr="00AD2F44">
        <w:rPr>
          <w:i/>
          <w:iCs/>
        </w:rPr>
        <w:t>Second Circuit:</w:t>
      </w:r>
      <w:r w:rsidRPr="00AD2F44">
        <w:t xml:space="preserve"> Pla v. Renaissance Equity Holdings, LLC, 2013 WL 3185560, at *1–5 (S.D.N.Y. June 24, 2013) (holding that unaccepted offers of judgment made before any plaintiffs opted in to case and offers to plaintiffs of amounts exceeding defendant’s FLSA liability mooted case and warranted dismissal).</w:t>
      </w:r>
    </w:p>
    <w:p w14:paraId="0781DE8E" w14:textId="77777777" w:rsidR="004322B1" w:rsidRPr="00AD2F44" w:rsidRDefault="004322B1">
      <w:pPr>
        <w:pStyle w:val="14Footnote"/>
      </w:pPr>
      <w:r w:rsidRPr="00AD2F44">
        <w:rPr>
          <w:i/>
          <w:iCs/>
        </w:rPr>
        <w:t>Fifth Circuit:</w:t>
      </w:r>
      <w:r w:rsidRPr="00AD2F44">
        <w:t xml:space="preserve"> Silva v. Tegrity Personnel Servs., Inc., 986 F. Supp. 2d 826, 836–37 (S.D. Tex. 2013) (holding that “relation back” doctrine relied on in </w:t>
      </w:r>
      <w:r w:rsidRPr="00AD2F44">
        <w:rPr>
          <w:i/>
          <w:iCs/>
        </w:rPr>
        <w:t>Sandoz v</w:t>
      </w:r>
      <w:r w:rsidRPr="00AD2F44">
        <w:t>.</w:t>
      </w:r>
      <w:r w:rsidRPr="00AD2F44">
        <w:rPr>
          <w:i/>
          <w:iCs/>
        </w:rPr>
        <w:t xml:space="preserve"> Cingular Wireless</w:t>
      </w:r>
      <w:r w:rsidRPr="00AD2F44">
        <w:t>, 553 F.3d 913 (5th Cir. 2008), was overruled by</w:t>
      </w:r>
      <w:r w:rsidRPr="00AD2F44">
        <w:rPr>
          <w:i/>
          <w:iCs/>
        </w:rPr>
        <w:t xml:space="preserve"> Symczyk</w:t>
      </w:r>
      <w:r w:rsidRPr="00AD2F44">
        <w:t>, and Rule 68 offers for full relief to named plaintiffs (and any opt-in plaintiffs) mooted collective action in Fifth Circuit).</w:t>
      </w:r>
    </w:p>
    <w:p w14:paraId="1C43B1A0" w14:textId="77777777" w:rsidR="004322B1" w:rsidRPr="00AD2F44" w:rsidRDefault="004322B1">
      <w:pPr>
        <w:pStyle w:val="14Footnote"/>
      </w:pPr>
      <w:r w:rsidRPr="00AD2F44">
        <w:rPr>
          <w:i/>
          <w:iCs/>
        </w:rPr>
        <w:t>Eighth Circuit:</w:t>
      </w:r>
      <w:r w:rsidRPr="00AD2F44">
        <w:t xml:space="preserve"> Bell v. Central Transp., LLC, 2015 WL 778785, at *2–3 (E.D. Mo. Feb. 24, 2015) (dismissing case where plaintiffs rejected offers of judgment from employer to pay each plaintiff more than they could ever recover under FLSA); Hendricks v. Inergy, LP, 2013 WL 6984634, at *5 (E.D. Ark. July 18, 2013) (dismissing case for lack of subject matter jurisdiction where defendant made Rule 68 offers to pay all plaintiffs “all the plaintiffs demanded”; Rule 68 offers were made prior to plaintiffs filing motion for conditional certification as to FLSA claims and motion for certification as to state law wage and hour claims).</w:t>
      </w:r>
    </w:p>
    <w:p w14:paraId="6C01F7E7" w14:textId="77777777" w:rsidR="004322B1" w:rsidRPr="00AD2F44" w:rsidRDefault="004322B1">
      <w:pPr>
        <w:pStyle w:val="14Footnote"/>
      </w:pPr>
      <w:r w:rsidRPr="00AD2F44">
        <w:t xml:space="preserve"> </w:t>
      </w:r>
      <w:r w:rsidRPr="00AD2F44">
        <w:rPr>
          <w:i/>
          <w:iCs/>
        </w:rPr>
        <w:t>Cf</w:t>
      </w:r>
      <w:r w:rsidRPr="00AD2F44">
        <w:t>. Gonyer v. Van Line Bunkering, Inc., 32 F. Supp. 3d 514, 517–18 (S.D.N.Y. 2014) (holding that acceptance of offer of judgment does not terminate case unless it satisfies all relief to all opt-ins).</w:t>
      </w:r>
    </w:p>
    <w:p w14:paraId="22903C46" w14:textId="77777777" w:rsidR="004322B1" w:rsidRPr="00AD2F44" w:rsidRDefault="004322B1">
      <w:pPr>
        <w:pStyle w:val="14Footnote"/>
      </w:pPr>
      <w:r w:rsidRPr="00AD2F44">
        <w:t xml:space="preserve">Some courts have dismissed cases where full relief offers of judgment were served on only the named plaintiffs and not existing opt-in plaintiffs. </w:t>
      </w:r>
      <w:r w:rsidRPr="00AD2F44">
        <w:rPr>
          <w:i/>
          <w:iCs/>
        </w:rPr>
        <w:t>See</w:t>
      </w:r>
      <w:r w:rsidRPr="00AD2F44">
        <w:t xml:space="preserve"> Charlery v. Innovative Elec. Servs., LLC, 2014 WL 5809892, at *1–3 (S.D.N.Y. Nov. 6, 2014); Aleman v. Innovative Elec. Servs., LLC, 2014 WL 4742726, at *1–3 (S.D.N.Y. Sept. 15, 2014). In such circumstances, the opt-ins who are dismissed are dismissed without prejudice and may file separate actions. </w:t>
      </w:r>
    </w:p>
  </w:footnote>
  <w:footnote w:id="775">
    <w:p w14:paraId="12651DE1" w14:textId="77777777" w:rsidR="004322B1" w:rsidRPr="00AD2F44" w:rsidRDefault="004322B1">
      <w:pPr>
        <w:pStyle w:val="14Footnote"/>
      </w:pPr>
      <w:r w:rsidRPr="00AD2F44">
        <w:rPr>
          <w:vertAlign w:val="superscript"/>
        </w:rPr>
        <w:footnoteRef/>
      </w:r>
      <w:r w:rsidRPr="00AD2F44">
        <w:t xml:space="preserve">577 U.S. 153 (2016). </w:t>
      </w:r>
    </w:p>
  </w:footnote>
  <w:footnote w:id="776">
    <w:p w14:paraId="4C37E90D" w14:textId="77777777" w:rsidR="004322B1" w:rsidRPr="00AD2F44" w:rsidRDefault="004322B1">
      <w:pPr>
        <w:pStyle w:val="14Footnote"/>
      </w:pPr>
      <w:r w:rsidRPr="00AD2F44">
        <w:rPr>
          <w:vertAlign w:val="superscript"/>
        </w:rPr>
        <w:footnoteRef/>
      </w:r>
      <w:r w:rsidRPr="00AD2F44">
        <w:rPr>
          <w:i/>
          <w:iCs/>
        </w:rPr>
        <w:t>Id</w:t>
      </w:r>
      <w:r w:rsidRPr="00AD2F44">
        <w:t xml:space="preserve">. at 162. </w:t>
      </w:r>
    </w:p>
  </w:footnote>
  <w:footnote w:id="777">
    <w:p w14:paraId="17F466ED" w14:textId="77777777" w:rsidR="004322B1" w:rsidRPr="00AD2F44" w:rsidRDefault="004322B1">
      <w:pPr>
        <w:pStyle w:val="14Footnote"/>
      </w:pPr>
      <w:r w:rsidRPr="00AD2F44">
        <w:rPr>
          <w:vertAlign w:val="superscript"/>
        </w:rPr>
        <w:footnoteRef/>
      </w:r>
      <w:r w:rsidRPr="00AD2F44">
        <w:rPr>
          <w:i/>
          <w:iCs/>
        </w:rPr>
        <w:t>Id</w:t>
      </w:r>
      <w:r w:rsidRPr="00AD2F44">
        <w:t xml:space="preserve">. at 156. </w:t>
      </w:r>
      <w:r w:rsidRPr="00AD2F44">
        <w:rPr>
          <w:i/>
          <w:iCs/>
        </w:rPr>
        <w:t>See</w:t>
      </w:r>
      <w:r w:rsidRPr="00AD2F44">
        <w:t xml:space="preserve"> 47 U.S.C. §227.</w:t>
      </w:r>
    </w:p>
  </w:footnote>
  <w:footnote w:id="778">
    <w:p w14:paraId="161D455A" w14:textId="77777777" w:rsidR="004322B1" w:rsidRPr="00AD2F44" w:rsidRDefault="004322B1">
      <w:pPr>
        <w:pStyle w:val="14Footnote"/>
      </w:pPr>
      <w:r w:rsidRPr="00AD2F44">
        <w:rPr>
          <w:vertAlign w:val="superscript"/>
        </w:rPr>
        <w:footnoteRef/>
      </w:r>
      <w:r w:rsidRPr="00AD2F44">
        <w:t xml:space="preserve">577 U.S. at 158–59. </w:t>
      </w:r>
    </w:p>
  </w:footnote>
  <w:footnote w:id="779">
    <w:p w14:paraId="7BFA4A75" w14:textId="77777777" w:rsidR="004322B1" w:rsidRPr="00AD2F44" w:rsidRDefault="004322B1">
      <w:pPr>
        <w:pStyle w:val="14Footnote"/>
      </w:pPr>
      <w:r w:rsidRPr="00AD2F44">
        <w:rPr>
          <w:vertAlign w:val="superscript"/>
        </w:rPr>
        <w:footnoteRef/>
      </w:r>
      <w:r w:rsidRPr="00AD2F44">
        <w:rPr>
          <w:i/>
          <w:iCs/>
        </w:rPr>
        <w:t>Id</w:t>
      </w:r>
      <w:r w:rsidRPr="00AD2F44">
        <w:t xml:space="preserve">. at 158. </w:t>
      </w:r>
    </w:p>
  </w:footnote>
  <w:footnote w:id="780">
    <w:p w14:paraId="4C07769F" w14:textId="77777777" w:rsidR="004322B1" w:rsidRPr="00AD2F44" w:rsidRDefault="004322B1">
      <w:pPr>
        <w:pStyle w:val="14Footnote"/>
      </w:pPr>
      <w:r w:rsidRPr="00AD2F44">
        <w:rPr>
          <w:vertAlign w:val="superscript"/>
        </w:rPr>
        <w:footnoteRef/>
      </w:r>
      <w:r w:rsidRPr="00AD2F44">
        <w:rPr>
          <w:i/>
          <w:iCs/>
        </w:rPr>
        <w:t>Id</w:t>
      </w:r>
      <w:r w:rsidRPr="00AD2F44">
        <w:t>. at 159.</w:t>
      </w:r>
    </w:p>
  </w:footnote>
  <w:footnote w:id="781">
    <w:p w14:paraId="555E7F03" w14:textId="77777777" w:rsidR="004322B1" w:rsidRPr="00AD2F44" w:rsidRDefault="004322B1">
      <w:pPr>
        <w:pStyle w:val="14Footnote"/>
      </w:pPr>
      <w:r w:rsidRPr="00AD2F44">
        <w:rPr>
          <w:vertAlign w:val="superscript"/>
        </w:rPr>
        <w:footnoteRef/>
      </w:r>
      <w:r w:rsidRPr="00AD2F44">
        <w:t xml:space="preserve">Campbell-Ewald Co. v. Gomez, 577 U.S. 153, 159 (2016). </w:t>
      </w:r>
    </w:p>
  </w:footnote>
  <w:footnote w:id="782">
    <w:p w14:paraId="253B7A59" w14:textId="77777777" w:rsidR="004322B1" w:rsidRPr="00AD2F44" w:rsidRDefault="004322B1">
      <w:pPr>
        <w:pStyle w:val="14Footnote"/>
      </w:pPr>
      <w:r w:rsidRPr="00AD2F44">
        <w:rPr>
          <w:vertAlign w:val="superscript"/>
        </w:rPr>
        <w:footnoteRef/>
      </w:r>
      <w:r w:rsidRPr="00AD2F44">
        <w:rPr>
          <w:i/>
          <w:iCs/>
        </w:rPr>
        <w:t>Id</w:t>
      </w:r>
      <w:r w:rsidRPr="00AD2F44">
        <w:t xml:space="preserve">. at 161. </w:t>
      </w:r>
    </w:p>
  </w:footnote>
  <w:footnote w:id="783">
    <w:p w14:paraId="75D15D27" w14:textId="77777777" w:rsidR="004322B1" w:rsidRPr="00AD2F44" w:rsidRDefault="004322B1">
      <w:pPr>
        <w:pStyle w:val="14Footnote"/>
      </w:pPr>
      <w:r w:rsidRPr="00AD2F44">
        <w:rPr>
          <w:vertAlign w:val="superscript"/>
        </w:rPr>
        <w:footnoteRef/>
      </w:r>
      <w:r w:rsidRPr="00AD2F44">
        <w:rPr>
          <w:i/>
          <w:iCs/>
        </w:rPr>
        <w:t>Id</w:t>
      </w:r>
      <w:r w:rsidRPr="00AD2F44">
        <w:t xml:space="preserve">. at 162. </w:t>
      </w:r>
    </w:p>
  </w:footnote>
  <w:footnote w:id="784">
    <w:p w14:paraId="7BEFA38A" w14:textId="77777777" w:rsidR="004322B1" w:rsidRPr="00AD2F44" w:rsidRDefault="004322B1">
      <w:pPr>
        <w:pStyle w:val="14Footnote"/>
      </w:pPr>
      <w:r w:rsidRPr="00AD2F44">
        <w:rPr>
          <w:vertAlign w:val="superscript"/>
        </w:rPr>
        <w:footnoteRef/>
      </w:r>
      <w:r w:rsidRPr="00AD2F44">
        <w:rPr>
          <w:i/>
          <w:iCs/>
        </w:rPr>
        <w:t>Id</w:t>
      </w:r>
      <w:r w:rsidRPr="00AD2F44">
        <w:t>. at 163.</w:t>
      </w:r>
    </w:p>
  </w:footnote>
  <w:footnote w:id="785">
    <w:p w14:paraId="3361E76F" w14:textId="77777777" w:rsidR="004322B1" w:rsidRPr="00AD2F44" w:rsidRDefault="004322B1">
      <w:pPr>
        <w:pStyle w:val="14Footnote"/>
      </w:pPr>
      <w:r w:rsidRPr="00AD2F44">
        <w:rPr>
          <w:vertAlign w:val="superscript"/>
        </w:rPr>
        <w:footnoteRef/>
      </w:r>
      <w:r w:rsidRPr="00AD2F44">
        <w:rPr>
          <w:i/>
          <w:iCs/>
        </w:rPr>
        <w:t>Id</w:t>
      </w:r>
      <w:r w:rsidRPr="00AD2F44">
        <w:t xml:space="preserve">. </w:t>
      </w:r>
    </w:p>
  </w:footnote>
  <w:footnote w:id="786">
    <w:p w14:paraId="4DF8625E" w14:textId="77777777" w:rsidR="004322B1" w:rsidRPr="00AD2F44" w:rsidRDefault="004322B1">
      <w:pPr>
        <w:pStyle w:val="14Footnote"/>
      </w:pPr>
      <w:r w:rsidRPr="00AD2F44">
        <w:rPr>
          <w:vertAlign w:val="superscript"/>
        </w:rPr>
        <w:footnoteRef/>
      </w:r>
      <w:r w:rsidRPr="00AD2F44">
        <w:rPr>
          <w:i/>
          <w:iCs/>
        </w:rPr>
        <w:t>Id</w:t>
      </w:r>
      <w:r w:rsidRPr="00AD2F44">
        <w:t xml:space="preserve">. </w:t>
      </w:r>
    </w:p>
  </w:footnote>
  <w:footnote w:id="787">
    <w:p w14:paraId="4CE29035" w14:textId="77777777" w:rsidR="004322B1" w:rsidRPr="00AD2F44" w:rsidRDefault="004322B1">
      <w:pPr>
        <w:pStyle w:val="14Footnote"/>
      </w:pPr>
      <w:r w:rsidRPr="00AD2F44">
        <w:rPr>
          <w:vertAlign w:val="superscript"/>
        </w:rPr>
        <w:footnoteRef/>
      </w:r>
      <w:r w:rsidRPr="00AD2F44">
        <w:t xml:space="preserve">Campbell-Ewald Co. v. Gomez, 577 U.S. 153, 163 (2016); </w:t>
      </w:r>
      <w:r w:rsidRPr="00AD2F44">
        <w:rPr>
          <w:i/>
          <w:iCs/>
        </w:rPr>
        <w:t>see</w:t>
      </w:r>
      <w:r w:rsidRPr="00AD2F44">
        <w:t xml:space="preserve"> Rivera v. Harvest Bakery, Inc., 312 F.R.D. 254, 265–66 (E.D.N.Y. Jan. 25, 2016) (plaintiffs’ claims not moot where offers of judgment not accepted). </w:t>
      </w:r>
    </w:p>
  </w:footnote>
  <w:footnote w:id="788">
    <w:p w14:paraId="2AC315D9" w14:textId="77777777" w:rsidR="004322B1" w:rsidRPr="00AD2F44" w:rsidRDefault="004322B1">
      <w:pPr>
        <w:pStyle w:val="14Footnote"/>
      </w:pPr>
      <w:r w:rsidRPr="00AD2F44">
        <w:rPr>
          <w:vertAlign w:val="superscript"/>
        </w:rPr>
        <w:footnoteRef/>
      </w:r>
      <w:r w:rsidRPr="00AD2F44">
        <w:rPr>
          <w:i/>
          <w:iCs/>
        </w:rPr>
        <w:t>Campbell-Ewald</w:t>
      </w:r>
      <w:r w:rsidRPr="00AD2F44">
        <w:t>,</w:t>
      </w:r>
      <w:r w:rsidRPr="00AD2F44">
        <w:rPr>
          <w:i/>
          <w:iCs/>
        </w:rPr>
        <w:t xml:space="preserve"> </w:t>
      </w:r>
      <w:r w:rsidRPr="00AD2F44">
        <w:t xml:space="preserve">577 U.S. at 163. </w:t>
      </w:r>
    </w:p>
  </w:footnote>
  <w:footnote w:id="789">
    <w:p w14:paraId="192A0272" w14:textId="77777777" w:rsidR="004322B1" w:rsidRPr="00AD2F44" w:rsidRDefault="004322B1">
      <w:pPr>
        <w:pStyle w:val="14Footnote"/>
      </w:pPr>
      <w:r w:rsidRPr="00AD2F44">
        <w:rPr>
          <w:vertAlign w:val="superscript"/>
        </w:rPr>
        <w:footnoteRef/>
      </w:r>
      <w:r w:rsidRPr="00AD2F44">
        <w:rPr>
          <w:i/>
          <w:iCs/>
        </w:rPr>
        <w:t>Id</w:t>
      </w:r>
      <w:r w:rsidRPr="00AD2F44">
        <w:t xml:space="preserve">. </w:t>
      </w:r>
    </w:p>
  </w:footnote>
  <w:footnote w:id="790">
    <w:p w14:paraId="7BAC965E" w14:textId="77777777" w:rsidR="004322B1" w:rsidRPr="00AD2F44" w:rsidRDefault="004322B1">
      <w:pPr>
        <w:pStyle w:val="14Footnote"/>
        <w:rPr>
          <w:i/>
          <w:iCs/>
        </w:rPr>
      </w:pPr>
      <w:r w:rsidRPr="00AD2F44">
        <w:rPr>
          <w:vertAlign w:val="superscript"/>
        </w:rPr>
        <w:footnoteRef/>
      </w:r>
      <w:r w:rsidRPr="00AD2F44">
        <w:rPr>
          <w:i/>
          <w:iCs/>
        </w:rPr>
        <w:t>Id</w:t>
      </w:r>
      <w:r w:rsidRPr="00AD2F44">
        <w:t xml:space="preserve">. at 166; </w:t>
      </w:r>
      <w:r w:rsidRPr="00AD2F44">
        <w:rPr>
          <w:i/>
          <w:iCs/>
        </w:rPr>
        <w:t>see also</w:t>
      </w:r>
    </w:p>
    <w:p w14:paraId="271194E1" w14:textId="77777777" w:rsidR="004322B1" w:rsidRPr="00AD2F44" w:rsidRDefault="004322B1">
      <w:pPr>
        <w:pStyle w:val="14Footnote"/>
      </w:pPr>
      <w:r w:rsidRPr="00AD2F44">
        <w:rPr>
          <w:i/>
          <w:iCs/>
        </w:rPr>
        <w:t>Second Circuit:</w:t>
      </w:r>
      <w:r w:rsidRPr="00AD2F44">
        <w:t xml:space="preserve"> </w:t>
      </w:r>
      <w:r w:rsidRPr="00AD2F44">
        <w:rPr>
          <w:i/>
          <w:iCs/>
        </w:rPr>
        <w:t>Rivera</w:t>
      </w:r>
      <w:r w:rsidRPr="00AD2F44">
        <w:t>, 312 F.R.D. at 265–66 (denying dismissal based on mootness where defendant failed to demonstrate that offers of judgment afforded complete relief).</w:t>
      </w:r>
    </w:p>
    <w:p w14:paraId="6889319C" w14:textId="77777777" w:rsidR="004322B1" w:rsidRPr="00AD2F44" w:rsidRDefault="004322B1">
      <w:pPr>
        <w:pStyle w:val="14Footnote"/>
      </w:pPr>
      <w:r w:rsidRPr="00AD2F44">
        <w:rPr>
          <w:i/>
          <w:iCs/>
        </w:rPr>
        <w:t>Seventh Circuit:</w:t>
      </w:r>
      <w:r w:rsidRPr="00AD2F44">
        <w:t xml:space="preserve"> Fulton Dental v. Bisco, Inc., 860 F.3d 541, 545 (7th Cir. 2017) (non-FLSA case following </w:t>
      </w:r>
      <w:r w:rsidRPr="00AD2F44">
        <w:rPr>
          <w:i/>
          <w:iCs/>
        </w:rPr>
        <w:t>Campbell-Ewald</w:t>
      </w:r>
      <w:r w:rsidRPr="00AD2F44">
        <w:t xml:space="preserve"> and holding that defendant may not force settlement on unwilling party, whether by offering plaintiff full value of claim or by depositing that amount with court; “[i]n either case, all that exists is an unaccepted contract offer, and as the Supreme Court recognized, an unaccepted offer is not binding on the offeree”); Fast v. Cash Depot Ltd.,</w:t>
      </w:r>
      <w:r w:rsidRPr="00AD2F44">
        <w:rPr>
          <w:i/>
          <w:iCs/>
        </w:rPr>
        <w:t xml:space="preserve"> </w:t>
      </w:r>
      <w:r w:rsidRPr="00AD2F44">
        <w:t>296 F. Supp. 3d 998, 1006 (E.D. Wis. 2017) (finding that employer’s payment of all amounts owed to current and former employees (plus attorneys’ fees) did not moot claim, but suggesting that court could sanction plaintiff for “vexatious conduct that unnecessarily multiplies proceedings or delays or increases costs” if employer pays its current and former employees what it owes).</w:t>
      </w:r>
    </w:p>
    <w:p w14:paraId="72411E83" w14:textId="77777777" w:rsidR="004322B1" w:rsidRPr="00AD2F44" w:rsidRDefault="004322B1">
      <w:pPr>
        <w:pStyle w:val="14Footnote"/>
      </w:pPr>
      <w:r w:rsidRPr="00AD2F44">
        <w:rPr>
          <w:i/>
          <w:iCs/>
        </w:rPr>
        <w:t>Eleventh Circuit:</w:t>
      </w:r>
      <w:r w:rsidRPr="00AD2F44">
        <w:t xml:space="preserve"> Brown v. 1888 Mills, LLC, 339 F.R.D. 692 (N.D. Ga. 2021) (finding unaccepted offer of judgment did not moot claim despite plaintiff tendering check, analyzing </w:t>
      </w:r>
      <w:r w:rsidRPr="00AD2F44">
        <w:rPr>
          <w:i/>
          <w:iCs/>
        </w:rPr>
        <w:t>Campbell-Ewald</w:t>
      </w:r>
      <w:r w:rsidRPr="00AD2F44">
        <w:t xml:space="preserve">). </w:t>
      </w:r>
    </w:p>
  </w:footnote>
  <w:footnote w:id="791">
    <w:p w14:paraId="473C768F" w14:textId="77777777" w:rsidR="004322B1" w:rsidRPr="00AD2F44" w:rsidRDefault="004322B1">
      <w:pPr>
        <w:pStyle w:val="14Footnote"/>
      </w:pPr>
      <w:r w:rsidRPr="00AD2F44">
        <w:rPr>
          <w:vertAlign w:val="superscript"/>
        </w:rPr>
        <w:footnoteRef/>
      </w:r>
      <w:r w:rsidRPr="00AD2F44">
        <w:t>Sosna v. Iowa, 419 U.S. 393, 401–02 (1975); United States Parole Comm’n v. Geraghty, 445 U.S. 388, 399–400 (1980).</w:t>
      </w:r>
    </w:p>
  </w:footnote>
  <w:footnote w:id="792">
    <w:p w14:paraId="759D263C" w14:textId="77777777" w:rsidR="004322B1" w:rsidRPr="00AD2F44" w:rsidRDefault="004322B1">
      <w:pPr>
        <w:pStyle w:val="14Footnote"/>
      </w:pPr>
      <w:r w:rsidRPr="00AD2F44">
        <w:rPr>
          <w:vertAlign w:val="superscript"/>
        </w:rPr>
        <w:footnoteRef/>
      </w:r>
      <w:r w:rsidRPr="00AD2F44">
        <w:rPr>
          <w:i/>
          <w:iCs/>
        </w:rPr>
        <w:t>See</w:t>
      </w:r>
      <w:r w:rsidRPr="00AD2F44">
        <w:t xml:space="preserve"> Holstein v. City of Chi., 29 F.3d 1145, 1147 (7th Cir. 1994) (dismissing putative class action for lack of subject matter jurisdiction after offer of full satisfaction); Grief v. Wilson, Elser, Moskowitz, Edelman &amp; Dicker LLP, 258 F. Supp. 2d 157, 160–61 (E.D.N.Y. 2003) (holding that plaintiff’s claims were moot and dismissing the complaint for lack of subject matter jurisdiction where defendant’s Rule 68 offer of judgment contained all the available relief sought by plaintiff and she had not moved for class certification).</w:t>
      </w:r>
    </w:p>
  </w:footnote>
  <w:footnote w:id="793">
    <w:p w14:paraId="28D0C748" w14:textId="77777777" w:rsidR="004322B1" w:rsidRPr="00AD2F44" w:rsidRDefault="004322B1">
      <w:pPr>
        <w:pStyle w:val="14Footnote"/>
      </w:pPr>
      <w:r w:rsidRPr="00AD2F44">
        <w:rPr>
          <w:vertAlign w:val="superscript"/>
        </w:rPr>
        <w:footnoteRef/>
      </w:r>
      <w:r w:rsidRPr="00AD2F44">
        <w:t xml:space="preserve">385 F.3d 337 (3d Cir. 2004). </w:t>
      </w:r>
    </w:p>
  </w:footnote>
  <w:footnote w:id="794">
    <w:p w14:paraId="6C79D5D1" w14:textId="77777777" w:rsidR="004322B1" w:rsidRPr="00AD2F44" w:rsidRDefault="004322B1">
      <w:pPr>
        <w:pStyle w:val="14Footnote"/>
      </w:pPr>
      <w:r w:rsidRPr="00AD2F44">
        <w:rPr>
          <w:vertAlign w:val="superscript"/>
        </w:rPr>
        <w:footnoteRef/>
      </w:r>
      <w:r w:rsidRPr="00AD2F44">
        <w:t xml:space="preserve">Deposit Guar. Nat’l Bank v. Roper, 445 U.S. 326, 339 (1980) (holding that a Rule 23 named plaintiff had standing to appeal the denial of class certification, even after being offered full satisfaction for his injury); </w:t>
      </w:r>
      <w:r w:rsidRPr="00AD2F44">
        <w:rPr>
          <w:i/>
          <w:iCs/>
        </w:rPr>
        <w:t>see also Geraghty</w:t>
      </w:r>
      <w:r w:rsidRPr="00AD2F44">
        <w:t>, 445 U.S. at 390.</w:t>
      </w:r>
    </w:p>
  </w:footnote>
  <w:footnote w:id="795">
    <w:p w14:paraId="190CA9C4" w14:textId="77777777" w:rsidR="004322B1" w:rsidRPr="00AD2F44" w:rsidRDefault="004322B1">
      <w:pPr>
        <w:pStyle w:val="14Footnote"/>
      </w:pPr>
      <w:r w:rsidRPr="00AD2F44">
        <w:rPr>
          <w:vertAlign w:val="superscript"/>
        </w:rPr>
        <w:footnoteRef/>
      </w:r>
      <w:r w:rsidRPr="00AD2F44">
        <w:rPr>
          <w:i/>
          <w:iCs/>
        </w:rPr>
        <w:t>Weiss</w:t>
      </w:r>
      <w:r w:rsidRPr="00AD2F44">
        <w:t>, 385 F.3d at 344, 346–48.</w:t>
      </w:r>
    </w:p>
  </w:footnote>
  <w:footnote w:id="796">
    <w:p w14:paraId="15D97AFB" w14:textId="77777777" w:rsidR="004322B1" w:rsidRPr="00AD2F44" w:rsidRDefault="004322B1">
      <w:pPr>
        <w:pStyle w:val="14Footnote"/>
      </w:pPr>
      <w:r w:rsidRPr="00AD2F44">
        <w:rPr>
          <w:vertAlign w:val="superscript"/>
        </w:rPr>
        <w:footnoteRef/>
      </w:r>
      <w:r w:rsidRPr="00AD2F44">
        <w:rPr>
          <w:i/>
          <w:iCs/>
        </w:rPr>
        <w:t>Id</w:t>
      </w:r>
      <w:r w:rsidRPr="00AD2F44">
        <w:t>. at 347.</w:t>
      </w:r>
    </w:p>
  </w:footnote>
  <w:footnote w:id="797">
    <w:p w14:paraId="534F9A31" w14:textId="77777777" w:rsidR="004322B1" w:rsidRPr="00AD2F44" w:rsidRDefault="004322B1">
      <w:pPr>
        <w:pStyle w:val="14Footnote"/>
      </w:pPr>
      <w:r w:rsidRPr="00AD2F44">
        <w:rPr>
          <w:vertAlign w:val="superscript"/>
        </w:rPr>
        <w:footnoteRef/>
      </w:r>
      <w:r w:rsidRPr="00AD2F44">
        <w:t>United States v. Mendoza, 464 U.S. 154, 158 (1984) (noting that mutuality of the parties is no longer a requirement in applying the doctrine of collateral estoppel, which dictates that once a court has decided an issue of fact or law necessary to its judgment, that decision can be conclusive in a subsequent suit when asserted against a party to the prior litigation); Tice v. American Airlines, Inc., 162 F.3d 966, 973 (7th Cir. 1998) (explaining in a putative collective action under the ADEA, which incorporates the §216(b) procedures, that preclusion may be appropriate where the issue on which preclusion is sought is common to both cases; the claims or defenses of the two allegedly equivalent parties are the same; there is some indication that the second party was aware that the first litigation was going on and that the earlier litigation would resolve its claims; the second party participated or had a legal duty to participate; and the due process rights of absentees were respected).</w:t>
      </w:r>
    </w:p>
  </w:footnote>
  <w:footnote w:id="798">
    <w:p w14:paraId="2FDB2DAE" w14:textId="77777777" w:rsidR="004322B1" w:rsidRPr="00AD2F44" w:rsidRDefault="004322B1">
      <w:pPr>
        <w:pStyle w:val="14Footnote"/>
      </w:pPr>
      <w:r w:rsidRPr="00AD2F44">
        <w:rPr>
          <w:vertAlign w:val="superscript"/>
        </w:rPr>
        <w:footnoteRef/>
      </w:r>
      <w:r w:rsidRPr="00AD2F44">
        <w:rPr>
          <w:i/>
          <w:iCs/>
        </w:rPr>
        <w:t>See Mendoza</w:t>
      </w:r>
      <w:r w:rsidRPr="00AD2F44">
        <w:t xml:space="preserve">, 464 U.S. at 159 n.4 (defining defensive use of collateral estoppel as when defendant seeks to prevent plaintiff from relitigating issue that plaintiff has previously litigated unsuccessfully in another action against same or different party); </w:t>
      </w:r>
      <w:r w:rsidRPr="00AD2F44">
        <w:rPr>
          <w:i/>
          <w:iCs/>
        </w:rPr>
        <w:t xml:space="preserve">see also </w:t>
      </w:r>
      <w:r w:rsidRPr="00AD2F44">
        <w:t xml:space="preserve">Baley v. City of Chi., 2009 WL 1953132, at *3–4 (N.D. Ill. July 7, 2009) (granting summary judgment on collective action lawsuit against city by paramedics, reasoning that in two prior cases, which plaintiffs’ counsel conceded held identical claims—concession court treated as binding judicial admission—court had already determined that putative class was “hopelessly heterogeneous,” and so collective treatment was impossible). </w:t>
      </w:r>
    </w:p>
  </w:footnote>
  <w:footnote w:id="799">
    <w:p w14:paraId="06744AED" w14:textId="77777777" w:rsidR="004322B1" w:rsidRPr="00AD2F44" w:rsidRDefault="004322B1">
      <w:pPr>
        <w:pStyle w:val="14Footnote"/>
      </w:pPr>
      <w:r w:rsidRPr="00AD2F44">
        <w:rPr>
          <w:vertAlign w:val="superscript"/>
        </w:rPr>
        <w:footnoteRef/>
      </w:r>
      <w:r w:rsidRPr="00AD2F44">
        <w:t xml:space="preserve">Vennet v. American Intercontinental Univ. Online, 2005 WL 6215171, at *2–3 (N.D. Ill. Dec. 22, 2005) (noting in FLSA case seeking notice to putative collective action members under §216(b) that Seventh Circuit has held that, under federal collateral estoppel law, denial of class certification may have preclusive effect as to putative class members so long as counsel for proposed class provided adequate representation regarding class certification issues). </w:t>
      </w:r>
    </w:p>
  </w:footnote>
  <w:footnote w:id="800">
    <w:p w14:paraId="366B09FD" w14:textId="77777777" w:rsidR="004322B1" w:rsidRPr="00AD2F44" w:rsidRDefault="004322B1">
      <w:pPr>
        <w:pStyle w:val="14Footnote"/>
      </w:pPr>
      <w:r w:rsidRPr="00AD2F44">
        <w:rPr>
          <w:vertAlign w:val="superscript"/>
        </w:rPr>
        <w:footnoteRef/>
      </w:r>
      <w:r w:rsidRPr="00AD2F44">
        <w:t xml:space="preserve">Davidson v. RGIS Inventory Specialists, 553 F. Supp. 2d 703, 706–07 (E.D. Tex. 2007) (holding that Fifth Circuit precedent on Rule 23 certification decisions held that they were not final judgments for issue preclusion purposes, and extending that reasoning to decisions on conditional certification under FLSA §216(b)); </w:t>
      </w:r>
      <w:r w:rsidRPr="00AD2F44">
        <w:rPr>
          <w:i/>
          <w:iCs/>
        </w:rPr>
        <w:t>cf</w:t>
      </w:r>
      <w:r w:rsidRPr="00AD2F44">
        <w:t xml:space="preserve">. Baldridge v. SBC Commc’ns, Inc., 404 F.3d 930, 931 (5th Cir. 2005) (decisions granting or denying conditional certification are not appealable as final judgments under 28 U.S.C. §1291). </w:t>
      </w:r>
    </w:p>
  </w:footnote>
  <w:footnote w:id="801">
    <w:p w14:paraId="436B08F9" w14:textId="77777777" w:rsidR="004322B1" w:rsidRPr="00AD2F44" w:rsidRDefault="004322B1">
      <w:pPr>
        <w:pStyle w:val="14Footnote"/>
      </w:pPr>
      <w:r w:rsidRPr="00AD2F44">
        <w:rPr>
          <w:vertAlign w:val="superscript"/>
        </w:rPr>
        <w:footnoteRef/>
      </w:r>
      <w:r w:rsidRPr="00AD2F44">
        <w:t xml:space="preserve">Clark v. Wells Fargo Fin., Inc., 2008 WL 4787444, at *4–5 (M.D.N.C. Oct. 30, 2008) (holding that plaintiffs were not precluded from seeking collective action certification under Rule 23 or §216(b) despite prior similar case in which certification of proposed nationwide class was denied because that case did not involve state law claim nor did it seek certification of more limited statewide class). The </w:t>
      </w:r>
      <w:r w:rsidRPr="00AD2F44">
        <w:rPr>
          <w:i/>
          <w:iCs/>
        </w:rPr>
        <w:t>Clark</w:t>
      </w:r>
      <w:r w:rsidRPr="00AD2F44">
        <w:t xml:space="preserve"> court also relied on a number of unpublished district court decisions that held similarly, involving claims against the same defendant. </w:t>
      </w:r>
      <w:r w:rsidRPr="00AD2F44">
        <w:rPr>
          <w:i/>
          <w:iCs/>
        </w:rPr>
        <w:t>Id</w:t>
      </w:r>
      <w:r w:rsidRPr="00AD2F44">
        <w:t xml:space="preserve">. at *6–7 (citing cases from Central and Eastern Districts of California and Northern District of Ohio). Although the court rejected the issue preclusion argument, it did note that findings of a prior court on similar issues, such as whether individual testimony would be necessary from employees and supervisors on hours worked, knowledge of hours worked, and time card alteration, would be “highly persuasive.” </w:t>
      </w:r>
      <w:r w:rsidRPr="00AD2F44">
        <w:rPr>
          <w:i/>
          <w:iCs/>
        </w:rPr>
        <w:t>Id</w:t>
      </w:r>
      <w:r w:rsidRPr="00AD2F44">
        <w:t>. at *6;</w:t>
      </w:r>
      <w:r w:rsidRPr="00AD2F44">
        <w:rPr>
          <w:i/>
          <w:iCs/>
        </w:rPr>
        <w:t xml:space="preserve"> see also Baley</w:t>
      </w:r>
      <w:r w:rsidRPr="00AD2F44">
        <w:t xml:space="preserve">, 2009 WL 1953132, at *3–4 (granting summary judgment on collective action lawsuit against city by paramedics, reasoning that in two prior cases, which plaintiffs’ counsel conceded held identical claims—concession court treated as binding judicial admission—court had already determined that putative class was “hopelessly heterogeneous,” and so collective treatment was impossible); Kirkland v. Wells Fargo Fin., Inc., 2008 WL 5381954, at *2–3 (N.D. Ga. Dec. 22, 2008) (denying motion to dismiss collective action claims for statewide Georgia class on issue preclusion grounds, reasoning that prior decision denying conditional certification of nationwide class involving same claims and job positions was not preclusive, because evaluation of Georgia-only class “was not a critical and necessary part of the judgment” in nationwide case). </w:t>
      </w:r>
    </w:p>
  </w:footnote>
  <w:footnote w:id="802">
    <w:p w14:paraId="7C441F08" w14:textId="77777777" w:rsidR="004322B1" w:rsidRPr="00AD2F44" w:rsidRDefault="004322B1">
      <w:pPr>
        <w:pStyle w:val="14Footnote"/>
      </w:pPr>
      <w:r w:rsidRPr="00AD2F44">
        <w:rPr>
          <w:vertAlign w:val="superscript"/>
        </w:rPr>
        <w:footnoteRef/>
      </w:r>
      <w:r w:rsidRPr="00AD2F44">
        <w:rPr>
          <w:i/>
          <w:iCs/>
        </w:rPr>
        <w:t>See</w:t>
      </w:r>
      <w:r w:rsidRPr="00AD2F44">
        <w:t xml:space="preserve"> Brown v. United Furniture Indus., Inc., 2015 WL 1457265, at *31 (N.D. Miss. Mar. 30, 2015) (holding that res judicata did not preclude plaintiffs from seeking conditional certification in second collective action against same employer that settled previously filed and certified collective action involving same alleged FLSA violations, because plaintiffs who brought second collective action did not opt in to first suit and thus were not parties to it). </w:t>
      </w:r>
    </w:p>
  </w:footnote>
  <w:footnote w:id="803">
    <w:p w14:paraId="5C67694B" w14:textId="77777777" w:rsidR="004322B1" w:rsidRPr="00AD2F44" w:rsidRDefault="004322B1">
      <w:pPr>
        <w:pStyle w:val="14Footnote"/>
      </w:pPr>
      <w:r w:rsidRPr="00AD2F44">
        <w:rPr>
          <w:vertAlign w:val="superscript"/>
        </w:rPr>
        <w:footnoteRef/>
      </w:r>
      <w:r w:rsidRPr="00AD2F44">
        <w:rPr>
          <w:i/>
          <w:iCs/>
        </w:rPr>
        <w:t>Kirkland</w:t>
      </w:r>
      <w:r w:rsidRPr="00AD2F44">
        <w:t xml:space="preserve">, 2008 WL 5381954, at *3 (rejecting issue preclusion argument because finding in prior suit in California that plaintiffs had not demonstrated nationwide policy or practice, and rejecting certification, did not address, and therefore did not resolve, whether Georgia-only class would be appropriate for collective treatment); </w:t>
      </w:r>
      <w:r w:rsidRPr="00AD2F44">
        <w:rPr>
          <w:i/>
          <w:iCs/>
        </w:rPr>
        <w:t>Davidson</w:t>
      </w:r>
      <w:r w:rsidRPr="00AD2F44">
        <w:t xml:space="preserve">, 553 F. Supp. 2d at 705–06 (finding that plaintiffs were not collaterally estopped from seeking class certification even though certification was largely denied in similar lawsuit (conditional certification was allowed for certain positions in one district), because, among other reasons, in previous case plaintiffs sought nationwide certification and in this case they did not); Collum v. Oak St. Mortg., LLC, 2007 WL 580750, at *2 (E.D. Tex. Feb. 20, 2007) (rejecting issue preclusion because current plaintiffs sought statewide notice and in prior case, on which defendant relied, plaintiffs sought conditional certification for nationwide collective action). </w:t>
      </w:r>
    </w:p>
  </w:footnote>
  <w:footnote w:id="804">
    <w:p w14:paraId="063F57F6" w14:textId="77777777" w:rsidR="004322B1" w:rsidRPr="00AD2F44" w:rsidRDefault="004322B1">
      <w:pPr>
        <w:pStyle w:val="14Footnote"/>
      </w:pPr>
      <w:r w:rsidRPr="00AD2F44">
        <w:rPr>
          <w:vertAlign w:val="superscript"/>
        </w:rPr>
        <w:footnoteRef/>
      </w:r>
      <w:r w:rsidRPr="00AD2F44">
        <w:rPr>
          <w:i/>
          <w:iCs/>
        </w:rPr>
        <w:t>Clark</w:t>
      </w:r>
      <w:r w:rsidRPr="00AD2F44">
        <w:t xml:space="preserve">, 2008 WL 4787444, at *3. </w:t>
      </w:r>
    </w:p>
  </w:footnote>
  <w:footnote w:id="805">
    <w:p w14:paraId="471E398E" w14:textId="77777777" w:rsidR="004322B1" w:rsidRPr="00AD2F44" w:rsidRDefault="004322B1">
      <w:pPr>
        <w:pStyle w:val="14Footnote"/>
      </w:pPr>
      <w:r w:rsidRPr="00AD2F44">
        <w:rPr>
          <w:vertAlign w:val="superscript"/>
        </w:rPr>
        <w:footnoteRef/>
      </w:r>
      <w:r w:rsidRPr="00AD2F44">
        <w:rPr>
          <w:i/>
          <w:iCs/>
        </w:rPr>
        <w:t>Fourth Circuit:</w:t>
      </w:r>
      <w:r w:rsidRPr="00AD2F44">
        <w:t xml:space="preserve"> Allen v. Cogent Commc’ns, Inc., 2014 WL 4270077, at *2–5 (E.D. Va. Aug. 28, 2014).</w:t>
      </w:r>
    </w:p>
    <w:p w14:paraId="6D92D779" w14:textId="77777777" w:rsidR="004322B1" w:rsidRPr="00AD2F44" w:rsidRDefault="004322B1">
      <w:pPr>
        <w:pStyle w:val="14Footnote"/>
      </w:pPr>
      <w:r w:rsidRPr="00AD2F44">
        <w:rPr>
          <w:i/>
          <w:iCs/>
        </w:rPr>
        <w:t>Fifth Circuit: Davidson</w:t>
      </w:r>
      <w:r w:rsidRPr="00AD2F44">
        <w:t xml:space="preserve">, 553 F. Supp. 2d at 706; </w:t>
      </w:r>
      <w:r w:rsidRPr="00AD2F44">
        <w:rPr>
          <w:i/>
          <w:iCs/>
        </w:rPr>
        <w:t>Collum</w:t>
      </w:r>
      <w:r w:rsidRPr="00AD2F44">
        <w:t>, 2007 WL 580750, at *2.</w:t>
      </w:r>
    </w:p>
    <w:p w14:paraId="35612376" w14:textId="77777777" w:rsidR="004322B1" w:rsidRPr="00AD2F44" w:rsidRDefault="004322B1">
      <w:pPr>
        <w:pStyle w:val="14Footnote"/>
      </w:pPr>
      <w:r w:rsidRPr="00AD2F44">
        <w:rPr>
          <w:i/>
          <w:iCs/>
        </w:rPr>
        <w:t>Ninth Circuit: Kirkland</w:t>
      </w:r>
      <w:r w:rsidRPr="00AD2F44">
        <w:t>, 2008 WL 5381954, at *3.</w:t>
      </w:r>
    </w:p>
  </w:footnote>
  <w:footnote w:id="806">
    <w:p w14:paraId="6A9A2BEC" w14:textId="77777777" w:rsidR="004322B1" w:rsidRPr="00AD2F44" w:rsidRDefault="004322B1">
      <w:pPr>
        <w:pStyle w:val="14Footnote"/>
      </w:pPr>
      <w:r w:rsidRPr="00AD2F44">
        <w:rPr>
          <w:vertAlign w:val="superscript"/>
        </w:rPr>
        <w:footnoteRef/>
      </w:r>
      <w:r w:rsidRPr="00AD2F44">
        <w:rPr>
          <w:i/>
          <w:iCs/>
        </w:rPr>
        <w:t>See Kirkland</w:t>
      </w:r>
      <w:r w:rsidRPr="00AD2F44">
        <w:t>, 2008 WL 5381954, at *2 (stating that although plaintiffs in a prior suit were not able to identify a nationwide overtime policy or practice, plaintiff in this case may be able to identify a statewide overtime policy or practice).</w:t>
      </w:r>
    </w:p>
  </w:footnote>
  <w:footnote w:id="807">
    <w:p w14:paraId="3793F692" w14:textId="77777777" w:rsidR="004322B1" w:rsidRPr="00AD2F44" w:rsidRDefault="004322B1">
      <w:pPr>
        <w:pStyle w:val="14Footnote"/>
      </w:pPr>
      <w:r w:rsidRPr="00AD2F44">
        <w:rPr>
          <w:vertAlign w:val="superscript"/>
        </w:rPr>
        <w:footnoteRef/>
      </w:r>
      <w:r w:rsidRPr="00AD2F44">
        <w:rPr>
          <w:i/>
          <w:iCs/>
        </w:rPr>
        <w:t>See</w:t>
      </w:r>
      <w:r w:rsidRPr="00AD2F44">
        <w:t xml:space="preserve"> Vennet v. American Intercontinental Univ. Online, 2005 WL 6215171, at *5 (N.D. Ill. Dec. 22, 2005) (noting that any collateral estoppel effect of a prior order would be limited to the issues actually litigated and rulings that were necessary and essential to that order).</w:t>
      </w:r>
    </w:p>
  </w:footnote>
  <w:footnote w:id="808">
    <w:p w14:paraId="4266FFDA" w14:textId="77777777" w:rsidR="004322B1" w:rsidRPr="00AD2F44" w:rsidRDefault="004322B1">
      <w:pPr>
        <w:pStyle w:val="14Footnote"/>
      </w:pPr>
      <w:r w:rsidRPr="00AD2F44">
        <w:rPr>
          <w:vertAlign w:val="superscript"/>
        </w:rPr>
        <w:footnoteRef/>
      </w:r>
      <w:r w:rsidRPr="00AD2F44">
        <w:rPr>
          <w:i/>
          <w:iCs/>
        </w:rPr>
        <w:t>See, e.g</w:t>
      </w:r>
      <w:r w:rsidRPr="00AD2F44">
        <w:t xml:space="preserve">., Morgan v. Family Dollar Stores, Inc., 551 F.3d 1233, 1264–65 (11th Cir. 2008); Mooney v. Aramco Servs. Co., 54 F.3d 1207, 1212–14 (5th Cir. 1995), </w:t>
      </w:r>
      <w:r w:rsidRPr="00AD2F44">
        <w:rPr>
          <w:i/>
          <w:iCs/>
        </w:rPr>
        <w:t>abrogated on other grounds by</w:t>
      </w:r>
      <w:r w:rsidRPr="00AD2F44">
        <w:t xml:space="preserve"> Desert Palace, Inc. v. Costa, 539 U.S. 90 (2003).</w:t>
      </w:r>
    </w:p>
  </w:footnote>
  <w:footnote w:id="809">
    <w:p w14:paraId="04722C9C" w14:textId="77777777" w:rsidR="004322B1" w:rsidRPr="00AD2F44" w:rsidRDefault="004322B1">
      <w:pPr>
        <w:pStyle w:val="14Footnote"/>
      </w:pPr>
      <w:r w:rsidRPr="00AD2F44">
        <w:rPr>
          <w:vertAlign w:val="superscript"/>
        </w:rPr>
        <w:footnoteRef/>
      </w:r>
      <w:r w:rsidRPr="00AD2F44">
        <w:t>328 U.S. 680, 6 WH Cases 83 (1946).</w:t>
      </w:r>
    </w:p>
  </w:footnote>
  <w:footnote w:id="810">
    <w:p w14:paraId="2B260B0E" w14:textId="77777777" w:rsidR="004322B1" w:rsidRPr="00AD2F44" w:rsidRDefault="004322B1">
      <w:pPr>
        <w:pStyle w:val="14Footnote"/>
      </w:pPr>
      <w:r w:rsidRPr="00AD2F44">
        <w:rPr>
          <w:vertAlign w:val="superscript"/>
        </w:rPr>
        <w:footnoteRef/>
      </w:r>
      <w:r w:rsidRPr="00AD2F44">
        <w:t>328 U.S. at 686–87.</w:t>
      </w:r>
    </w:p>
  </w:footnote>
  <w:footnote w:id="811">
    <w:p w14:paraId="6D82DC45" w14:textId="77777777" w:rsidR="004322B1" w:rsidRPr="00AD2F44" w:rsidRDefault="004322B1">
      <w:pPr>
        <w:pStyle w:val="14Footnote"/>
      </w:pPr>
      <w:r w:rsidRPr="00AD2F44">
        <w:rPr>
          <w:vertAlign w:val="superscript"/>
        </w:rPr>
        <w:footnoteRef/>
      </w:r>
      <w:r w:rsidRPr="00AD2F44">
        <w:rPr>
          <w:i/>
          <w:iCs/>
        </w:rPr>
        <w:t>Id</w:t>
      </w:r>
      <w:r w:rsidRPr="00AD2F44">
        <w:t xml:space="preserve">. at 687; </w:t>
      </w:r>
      <w:r w:rsidRPr="00AD2F44">
        <w:rPr>
          <w:i/>
          <w:iCs/>
        </w:rPr>
        <w:t>see also</w:t>
      </w:r>
      <w:r w:rsidRPr="00AD2F44">
        <w:t xml:space="preserve"> United States Dep’t of Labor v. Cole Enters., Inc., 62 F.3d 775, 779 (6th Cir. 1995) (explaining that proof of inadequate records is a prerequisite for burden shifting under </w:t>
      </w:r>
      <w:r w:rsidRPr="00AD2F44">
        <w:rPr>
          <w:i/>
          <w:iCs/>
        </w:rPr>
        <w:t>Mt. Clemens</w:t>
      </w:r>
      <w:r w:rsidRPr="00AD2F44">
        <w:t>). See the discussion in Chapter 16, Litigation Issues, §VIII.C.2 [Burden of Proof; Proving the Number of Hours Worked; Inadequate or Inaccurate Records].</w:t>
      </w:r>
    </w:p>
  </w:footnote>
  <w:footnote w:id="812">
    <w:p w14:paraId="50492825" w14:textId="77777777" w:rsidR="004322B1" w:rsidRPr="00AD2F44" w:rsidRDefault="004322B1">
      <w:pPr>
        <w:pStyle w:val="14Footnote"/>
      </w:pPr>
      <w:r w:rsidRPr="00AD2F44">
        <w:rPr>
          <w:vertAlign w:val="superscript"/>
        </w:rPr>
        <w:footnoteRef/>
      </w:r>
      <w:r w:rsidRPr="00AD2F44">
        <w:rPr>
          <w:i/>
          <w:iCs/>
        </w:rPr>
        <w:t>Mt. Clemens</w:t>
      </w:r>
      <w:r w:rsidRPr="00AD2F44">
        <w:t>, 328 U.S. at 687–88.</w:t>
      </w:r>
    </w:p>
  </w:footnote>
  <w:footnote w:id="813">
    <w:p w14:paraId="2195EEA2" w14:textId="77777777" w:rsidR="004322B1" w:rsidRPr="00AD2F44" w:rsidRDefault="004322B1">
      <w:pPr>
        <w:pStyle w:val="14Footnote"/>
      </w:pPr>
      <w:r w:rsidRPr="00AD2F44">
        <w:rPr>
          <w:vertAlign w:val="superscript"/>
        </w:rPr>
        <w:footnoteRef/>
      </w:r>
      <w:r w:rsidRPr="00AD2F44">
        <w:rPr>
          <w:i/>
          <w:iCs/>
        </w:rPr>
        <w:t>Id.</w:t>
      </w:r>
      <w:r w:rsidRPr="00AD2F44">
        <w:t xml:space="preserve"> at 687. </w:t>
      </w:r>
    </w:p>
  </w:footnote>
  <w:footnote w:id="814">
    <w:p w14:paraId="0FF07281" w14:textId="77777777" w:rsidR="004322B1" w:rsidRPr="00AD2F44" w:rsidRDefault="004322B1">
      <w:pPr>
        <w:pStyle w:val="14Footnote"/>
      </w:pPr>
      <w:r w:rsidRPr="00AD2F44">
        <w:rPr>
          <w:vertAlign w:val="superscript"/>
        </w:rPr>
        <w:footnoteRef/>
      </w:r>
      <w:r w:rsidRPr="00AD2F44">
        <w:rPr>
          <w:i/>
          <w:iCs/>
        </w:rPr>
        <w:t>See, e.g</w:t>
      </w:r>
      <w:r w:rsidRPr="00AD2F44">
        <w:t>., Donovan v. Bel-Loc Diner, Inc., 780 F.2d 1113, 1116, 27 WH Cases 745 (4th Cir. 1985).</w:t>
      </w:r>
    </w:p>
  </w:footnote>
  <w:footnote w:id="815">
    <w:p w14:paraId="16657471" w14:textId="77777777" w:rsidR="004322B1" w:rsidRPr="00AD2F44" w:rsidRDefault="004322B1">
      <w:pPr>
        <w:pStyle w:val="14Footnote"/>
      </w:pPr>
      <w:r w:rsidRPr="00AD2F44">
        <w:rPr>
          <w:vertAlign w:val="superscript"/>
        </w:rPr>
        <w:footnoteRef/>
      </w:r>
      <w:r w:rsidRPr="00AD2F44">
        <w:rPr>
          <w:i/>
          <w:iCs/>
        </w:rPr>
        <w:t>First Circuit:</w:t>
      </w:r>
      <w:r w:rsidRPr="00AD2F44">
        <w:t xml:space="preserve"> Secretary of Labor v. DeSisto, 929 F.2d 789, 791, 30 WH Cases 345 (1st Cir. 1991); Herman v. Hector I. Nieves Transp., Inc., 91 F. Supp. 2d 435, 445–46, 6 WH Cases2d 1469 (D.P.R. 2000).</w:t>
      </w:r>
    </w:p>
    <w:p w14:paraId="4D30C1A8" w14:textId="77777777" w:rsidR="004322B1" w:rsidRPr="00AD2F44" w:rsidRDefault="004322B1">
      <w:pPr>
        <w:pStyle w:val="14Footnote"/>
      </w:pPr>
      <w:r w:rsidRPr="00AD2F44">
        <w:rPr>
          <w:i/>
          <w:iCs/>
        </w:rPr>
        <w:t>Second Circuit:</w:t>
      </w:r>
      <w:r w:rsidRPr="00AD2F44">
        <w:t xml:space="preserve"> Harold Levinson Assocs., Inc. v. Chao, 37 F. App’x 19, 21 (2d Cir. 2002); Reich v. Southern New Engl. Telecomms. Corp., 121 F.3d 58, 4 WH Cases2d 33 (2d Cir. 1997); Archie v. Grand Cent. P’ship, Inc., 86 F. Supp. 2d 262, 271–72, 5 WH Cases2d 1591 (S.D.N.Y. 2000); Reich v. New Mt. Pleasant Bakery, Inc., 1993 WL 372270, at *6 (N.D.N.Y. Sept. 13, 1993); Donovan v. Kaszycki &amp; Sons Contractors, Inc., 599 F. Supp. 860, 867–68, 27 WH Cases 35 (S.D.N.Y. 1984); Donovan v. Sovereign Sec., Ltd., 1982 WL 2192, at *6, 25 WH Cases 1222 (E.D.N.Y. Apr. 28, 1982).</w:t>
      </w:r>
    </w:p>
    <w:p w14:paraId="6282231F" w14:textId="77777777" w:rsidR="004322B1" w:rsidRPr="00AD2F44" w:rsidRDefault="004322B1">
      <w:pPr>
        <w:pStyle w:val="14Footnote"/>
      </w:pPr>
      <w:r w:rsidRPr="00AD2F44">
        <w:rPr>
          <w:i/>
          <w:iCs/>
        </w:rPr>
        <w:t>Third Circuit:</w:t>
      </w:r>
      <w:r w:rsidRPr="00AD2F44">
        <w:t xml:space="preserve"> Reich v. Gateway Press, Inc., 13 F.3d 685, 701–02, 1 WH Cases2d 1313 (3d Cir. 1994); Martin v. Selker Bros., Inc., 949 F.2d 1286, 1298, 30 WH Cases 1061 (3d Cir. 1991); Reich v. Chez Robert, Inc., 821 F. Supp. 967, 984 (D.N.J. 1993), </w:t>
      </w:r>
      <w:r w:rsidRPr="00AD2F44">
        <w:rPr>
          <w:i/>
          <w:iCs/>
        </w:rPr>
        <w:t>rev’d on other grounds</w:t>
      </w:r>
      <w:r w:rsidRPr="00AD2F44">
        <w:t xml:space="preserve">, 28 F.3d 401, 2 WH Cases2d 257 (3d Cir. 1994); Dole v. Solid Waste Servs., Inc., 733 F. Supp. 895, 926, 29 WH Cases 1490 (E.D. Pa. 1989), </w:t>
      </w:r>
      <w:r w:rsidRPr="00AD2F44">
        <w:rPr>
          <w:i/>
          <w:iCs/>
        </w:rPr>
        <w:t>aff’d</w:t>
      </w:r>
      <w:r w:rsidRPr="00AD2F44">
        <w:t xml:space="preserve">, 897 F.2d 521 (3d Cir. 1990); McLaughlin v. DialAmerica Mktg., Inc., 716 F. Supp. 812, 817, 824–26, 29 WH Cases 645 (D.N.J. 1989); Marshall v. Brunner, 500 F. Supp. 116, 122, Sched. A, 27 WH Cases 1050 (W.D. Pa. 1980), </w:t>
      </w:r>
      <w:r w:rsidRPr="00AD2F44">
        <w:rPr>
          <w:i/>
          <w:iCs/>
        </w:rPr>
        <w:t>aff’d in part and rev’d in part on other grounds</w:t>
      </w:r>
      <w:r w:rsidRPr="00AD2F44">
        <w:t>, 668 F.2d 748 (3d Cir. 1982); Marshall v. R &amp; M Erectors, Inc., 429 F. Supp. 771, 776–79 (D. Del. 1977).</w:t>
      </w:r>
    </w:p>
    <w:p w14:paraId="358A34FA" w14:textId="77777777" w:rsidR="004322B1" w:rsidRPr="00AD2F44" w:rsidRDefault="004322B1">
      <w:pPr>
        <w:pStyle w:val="14Footnote"/>
      </w:pPr>
      <w:r w:rsidRPr="00AD2F44">
        <w:rPr>
          <w:i/>
          <w:iCs/>
        </w:rPr>
        <w:t>Fourth Circuit:</w:t>
      </w:r>
      <w:r w:rsidRPr="00AD2F44">
        <w:t xml:space="preserve"> Reich v. Southern Md. Hosp., Inc., 43 F.3d 949, 951–52, 2 WH Cases2d 844 (4th Cir. 1995); </w:t>
      </w:r>
      <w:r w:rsidRPr="00AD2F44">
        <w:rPr>
          <w:i/>
          <w:iCs/>
        </w:rPr>
        <w:t>Bel-Loc Diner, Inc</w:t>
      </w:r>
      <w:r w:rsidRPr="00AD2F44">
        <w:t xml:space="preserve">., 780 F.2d at 1116; </w:t>
      </w:r>
      <w:r w:rsidRPr="00AD2F44">
        <w:rPr>
          <w:i/>
          <w:iCs/>
        </w:rPr>
        <w:t>In re</w:t>
      </w:r>
      <w:r w:rsidRPr="00AD2F44">
        <w:t xml:space="preserve"> Food Lion Effective Scheduling Litig., 861 F. Supp. 1263 (E.D.N.C. 1994).</w:t>
      </w:r>
    </w:p>
    <w:p w14:paraId="121F370F" w14:textId="77777777" w:rsidR="004322B1" w:rsidRPr="00AD2F44" w:rsidRDefault="004322B1">
      <w:pPr>
        <w:pStyle w:val="14Footnote"/>
      </w:pPr>
      <w:r w:rsidRPr="00AD2F44">
        <w:rPr>
          <w:i/>
          <w:iCs/>
        </w:rPr>
        <w:t>Fifth Circuit:</w:t>
      </w:r>
      <w:r w:rsidRPr="00AD2F44">
        <w:t xml:space="preserve"> Beliz v. W.H. McLeod &amp; Sons Packing Co., 765 F.2d 1317, 1330–31, 27 WH Cases 401 (5th Cir. 1985); Donovan v. Hamm’s Drive Inn, 661 F.2d 316, 318, 25 WH Cases 195 (5th Cir. 1981); Brennan v. General Motors Acceptance Corp., 482 F.2d 825, 827–29, 21 WH Cases 187 (5th Cir. 1973); Snively v. Peak Pressure Control, LLC, 347 F. Supp. 3d 294 (W.D. Tex. 2018); Falcon v. Starbucks Corp., 580 F. Supp. 2d 528, 540 (S.D. Tex. 2008); Johnson v. Big Lots Stores, Inc., 561 F. Supp. 2d 567, 572–73 (E.D. La. 2008).</w:t>
      </w:r>
    </w:p>
    <w:p w14:paraId="529004ED" w14:textId="77777777" w:rsidR="004322B1" w:rsidRPr="00AD2F44" w:rsidRDefault="004322B1">
      <w:pPr>
        <w:pStyle w:val="14Footnote"/>
      </w:pPr>
      <w:r w:rsidRPr="00AD2F44">
        <w:rPr>
          <w:i/>
          <w:iCs/>
        </w:rPr>
        <w:t>Sixth Circuit:</w:t>
      </w:r>
      <w:r w:rsidRPr="00AD2F44">
        <w:t xml:space="preserve"> Monroe v. FTS USA LLC, 860 F.3d 389, 408–09 (6th Cir. 2017) (upholding use of representative testimony in jury trial to prove FLSA liability and damages for nontestifying plaintiffs); </w:t>
      </w:r>
      <w:r w:rsidRPr="00AD2F44">
        <w:rPr>
          <w:i/>
          <w:iCs/>
        </w:rPr>
        <w:t>Cole Enterprises, Inc</w:t>
      </w:r>
      <w:r w:rsidRPr="00AD2F44">
        <w:t xml:space="preserve">., 62 F.3d at 780–81; Cowan v. Treetop Enters., Inc., 163 F. Supp. 2d 930, 937–38 (M.D. Tenn. 2001); Takacs v. Hahn Auto. Corp., 1999 WL 33127976, at *1–2 (S.D. Ohio Jan. 25, 1999); Martin v. Petroleum Sales, Inc., 1992 WL 439740, at *14, 1 WH Cases2d 363 (W.D. Tenn. July 9, 1992), </w:t>
      </w:r>
      <w:r w:rsidRPr="00AD2F44">
        <w:rPr>
          <w:i/>
          <w:iCs/>
        </w:rPr>
        <w:t>rev’d on other grounds</w:t>
      </w:r>
      <w:r w:rsidRPr="00AD2F44">
        <w:t>, Reich v. Petroleum Sales, Inc., 30 F.3d 654, 2 WH Cases2d 431 (6th Cir. 1994); Bueno v. Mattner, 633 F. Supp. 1446, 1452–53, 27 WH Cases 1257 (W.D. Mich. 1986).</w:t>
      </w:r>
    </w:p>
    <w:p w14:paraId="7A19E710" w14:textId="77777777" w:rsidR="004322B1" w:rsidRPr="00AD2F44" w:rsidRDefault="004322B1">
      <w:pPr>
        <w:pStyle w:val="14Footnote"/>
      </w:pPr>
      <w:r w:rsidRPr="00AD2F44">
        <w:rPr>
          <w:i/>
          <w:iCs/>
        </w:rPr>
        <w:t>Eighth Circuit:</w:t>
      </w:r>
      <w:r w:rsidRPr="00AD2F44">
        <w:t xml:space="preserve"> Brock v. Tony and Susan Alamo Found., 842 F.2d 1018, 1019–20, 28 WH Cases 897 (8th Cir. 1988).</w:t>
      </w:r>
    </w:p>
    <w:p w14:paraId="4EC25164" w14:textId="77777777" w:rsidR="004322B1" w:rsidRPr="00AD2F44" w:rsidRDefault="004322B1">
      <w:pPr>
        <w:pStyle w:val="14Footnote"/>
      </w:pPr>
      <w:r w:rsidRPr="00AD2F44">
        <w:rPr>
          <w:i/>
          <w:iCs/>
        </w:rPr>
        <w:t>Ninth Circuit:</w:t>
      </w:r>
      <w:r w:rsidRPr="00AD2F44">
        <w:t xml:space="preserve"> McLaughlin v. Ho Fat Seto, 850 F.2d 586, 589, 28 WH Cases 1225 (9th Cir. 1988); Chao v. Pacific Stucco, Inc., 2006 WL 2432862, at *1–3 (D. Nev. Aug. 21, 2006); Thiebes v. Wal-Mart Stores, Inc., 2004 WL 1688544, at *1–3 (D. Or. July 26, 2004); Alvarez v. IBP, Inc., 2001 WL 34897841, at *6–9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0FB9377B" w14:textId="77777777" w:rsidR="004322B1" w:rsidRPr="00AD2F44" w:rsidRDefault="004322B1">
      <w:pPr>
        <w:pStyle w:val="14Footnote"/>
      </w:pPr>
      <w:r w:rsidRPr="00AD2F44">
        <w:rPr>
          <w:i/>
          <w:iCs/>
        </w:rPr>
        <w:t>Tenth Circuit:</w:t>
      </w:r>
      <w:r w:rsidRPr="00AD2F44">
        <w:t xml:space="preserve"> Donovan v. Simmons Petroleum Corp., 725 F.2d 83, 85–86, 26 WH Cases 936 (10th Cir. 1983); Donovan v. Williams Oil Co., 717 F.2d 503, 505–06 (10th Cir. 1983); Donovan v. Hudson Stations, Inc., 1983 WL 21110, at *7, 26 WH Cases 795 (D. Kan. Oct. 14, 1983).</w:t>
      </w:r>
    </w:p>
    <w:p w14:paraId="4F922E78" w14:textId="77777777" w:rsidR="004322B1" w:rsidRPr="00AD2F44" w:rsidRDefault="004322B1">
      <w:pPr>
        <w:pStyle w:val="14Footnote"/>
      </w:pPr>
      <w:r w:rsidRPr="00AD2F44">
        <w:rPr>
          <w:i/>
          <w:iCs/>
        </w:rPr>
        <w:t>Eleventh Circuit:</w:t>
      </w:r>
      <w:r w:rsidRPr="00AD2F44">
        <w:t xml:space="preserve"> Morgan v. Family Dollar Stores, Inc., 551 F.3d 1233, 1278–80 (11th Cir. 2008); Brock v. Norman’s Country Mkt., Inc., 835 F.2d 823, 828 (11th Cir. 1988); Donovan v. New Floridian Hotel, Inc., 676 F.2d 468, 471–73, 25 WH Cases 645 (11th Cir. 1982).</w:t>
      </w:r>
    </w:p>
  </w:footnote>
  <w:footnote w:id="816">
    <w:p w14:paraId="360D81B1" w14:textId="77777777" w:rsidR="004322B1" w:rsidRPr="00AD2F44" w:rsidRDefault="004322B1">
      <w:pPr>
        <w:pStyle w:val="14Footnote"/>
      </w:pPr>
      <w:r w:rsidRPr="00AD2F44">
        <w:rPr>
          <w:vertAlign w:val="superscript"/>
        </w:rPr>
        <w:footnoteRef/>
      </w:r>
      <w:r w:rsidRPr="00AD2F44">
        <w:rPr>
          <w:i/>
          <w:iCs/>
        </w:rPr>
        <w:t>First Circuit</w:t>
      </w:r>
      <w:r w:rsidRPr="00AD2F44">
        <w:t>: DeSisto, 929 F.2d at 791–96; Hector I. Nieves Transport, Inc., 91 F. Supp. 2d at 445–46.</w:t>
      </w:r>
    </w:p>
    <w:p w14:paraId="3F3543CF" w14:textId="77777777" w:rsidR="004322B1" w:rsidRPr="00AD2F44" w:rsidRDefault="004322B1">
      <w:pPr>
        <w:pStyle w:val="14Footnote"/>
      </w:pPr>
      <w:r w:rsidRPr="00AD2F44">
        <w:rPr>
          <w:i/>
          <w:iCs/>
        </w:rPr>
        <w:t>Second Circuit</w:t>
      </w:r>
      <w:r w:rsidRPr="00AD2F44">
        <w:t>: Harold Levinson Associates, Inc., 37 F. App’x at 21; Southern New England Telecommunications Corp., 121 F.3d at 66–70; New Mt. Pleasant Bakery, Inc., 1993 WL 372270, at *6; Kaszycki &amp; Sons Contractors, Inc., 599 F. Supp. at 867–68; Sovereign Security, Ltd., 1982 WL 2192, at *6.</w:t>
      </w:r>
    </w:p>
    <w:p w14:paraId="7977343D" w14:textId="77777777" w:rsidR="004322B1" w:rsidRPr="00AD2F44" w:rsidRDefault="004322B1">
      <w:pPr>
        <w:pStyle w:val="14Footnote"/>
      </w:pPr>
      <w:r w:rsidRPr="00AD2F44">
        <w:rPr>
          <w:i/>
          <w:iCs/>
        </w:rPr>
        <w:t>Third Circuit:</w:t>
      </w:r>
      <w:r w:rsidRPr="00AD2F44">
        <w:t xml:space="preserve"> </w:t>
      </w:r>
      <w:r w:rsidRPr="00AD2F44">
        <w:rPr>
          <w:i/>
          <w:iCs/>
        </w:rPr>
        <w:t>Gateway Press, Inc</w:t>
      </w:r>
      <w:r w:rsidRPr="00AD2F44">
        <w:t xml:space="preserve">., 13 F.3d at 701–02; </w:t>
      </w:r>
      <w:r w:rsidRPr="00AD2F44">
        <w:rPr>
          <w:i/>
          <w:iCs/>
        </w:rPr>
        <w:t>Chez Robert, Inc</w:t>
      </w:r>
      <w:r w:rsidRPr="00AD2F44">
        <w:t xml:space="preserve">., 821 F. Supp. at 984; </w:t>
      </w:r>
      <w:r w:rsidRPr="00AD2F44">
        <w:rPr>
          <w:i/>
          <w:iCs/>
        </w:rPr>
        <w:t>Solid Waste Services, Inc</w:t>
      </w:r>
      <w:r w:rsidRPr="00AD2F44">
        <w:t xml:space="preserve">., 733 F. Supp. at 925–27; </w:t>
      </w:r>
      <w:r w:rsidRPr="00AD2F44">
        <w:rPr>
          <w:i/>
          <w:iCs/>
        </w:rPr>
        <w:t>DialAmerica Marketing, Inc</w:t>
      </w:r>
      <w:r w:rsidRPr="00AD2F44">
        <w:t xml:space="preserve">., 716 F. Supp. at 824–26; </w:t>
      </w:r>
      <w:r w:rsidRPr="00AD2F44">
        <w:rPr>
          <w:i/>
          <w:iCs/>
        </w:rPr>
        <w:t>Brunner</w:t>
      </w:r>
      <w:r w:rsidRPr="00AD2F44">
        <w:t xml:space="preserve">, 500 F. Supp. at 122, Sched. A; </w:t>
      </w:r>
      <w:r w:rsidRPr="00AD2F44">
        <w:rPr>
          <w:i/>
          <w:iCs/>
        </w:rPr>
        <w:t>R &amp; M Erectors, Inc</w:t>
      </w:r>
      <w:r w:rsidRPr="00AD2F44">
        <w:t>., 429 F. Supp. at 776–79.</w:t>
      </w:r>
    </w:p>
    <w:p w14:paraId="6D1BF268" w14:textId="77777777" w:rsidR="004322B1" w:rsidRPr="00AD2F44" w:rsidRDefault="004322B1">
      <w:pPr>
        <w:pStyle w:val="14Footnote"/>
      </w:pPr>
      <w:r w:rsidRPr="00AD2F44">
        <w:rPr>
          <w:i/>
          <w:iCs/>
        </w:rPr>
        <w:t>Fourth Circuit</w:t>
      </w:r>
      <w:r w:rsidRPr="00AD2F44">
        <w:t>: Southern Maryland Hospital, Inc., 43 F.3d at 951–52; Bel-Loc Diner, Inc., 780 F.2d at 1116.</w:t>
      </w:r>
    </w:p>
    <w:p w14:paraId="642F6F7F" w14:textId="77777777" w:rsidR="004322B1" w:rsidRPr="00AD2F44" w:rsidRDefault="004322B1">
      <w:pPr>
        <w:pStyle w:val="14Footnote"/>
      </w:pPr>
      <w:r w:rsidRPr="00AD2F44">
        <w:rPr>
          <w:i/>
          <w:iCs/>
        </w:rPr>
        <w:t>Fifth Circuit</w:t>
      </w:r>
      <w:r w:rsidRPr="00AD2F44">
        <w:t>: Hamm’s Drive Inn, 661 F.2d at 318; General Motors Acceptance Corp., 482 F.2d at 827–29.</w:t>
      </w:r>
    </w:p>
    <w:p w14:paraId="0AD554C0" w14:textId="77777777" w:rsidR="004322B1" w:rsidRPr="00AD2F44" w:rsidRDefault="004322B1">
      <w:pPr>
        <w:pStyle w:val="14Footnote"/>
      </w:pPr>
      <w:r w:rsidRPr="00AD2F44">
        <w:rPr>
          <w:i/>
          <w:iCs/>
        </w:rPr>
        <w:t>Sixth Circuit</w:t>
      </w:r>
      <w:r w:rsidRPr="00AD2F44">
        <w:t>: Cole Enterprises, Inc., 62 F.3d at 780–81; Petroleum Sales, Inc., 1992 WL 439740, at *14.</w:t>
      </w:r>
    </w:p>
    <w:p w14:paraId="3520F5A9" w14:textId="77777777" w:rsidR="004322B1" w:rsidRPr="00AD2F44" w:rsidRDefault="004322B1">
      <w:pPr>
        <w:pStyle w:val="14Footnote"/>
      </w:pPr>
      <w:r w:rsidRPr="00AD2F44">
        <w:rPr>
          <w:i/>
          <w:iCs/>
        </w:rPr>
        <w:t>Eighth Circuit</w:t>
      </w:r>
      <w:r w:rsidRPr="00AD2F44">
        <w:t>: Tony and Susan Alamo Foundation, 842 F.2d at 1019–20.</w:t>
      </w:r>
    </w:p>
    <w:p w14:paraId="4C7D18CE" w14:textId="77777777" w:rsidR="004322B1" w:rsidRPr="00AD2F44" w:rsidRDefault="004322B1">
      <w:pPr>
        <w:pStyle w:val="14Footnote"/>
      </w:pPr>
      <w:r w:rsidRPr="00AD2F44">
        <w:rPr>
          <w:i/>
          <w:iCs/>
        </w:rPr>
        <w:t>Ninth Circuit: Ho Fat Seto</w:t>
      </w:r>
      <w:r w:rsidRPr="00AD2F44">
        <w:t xml:space="preserve">, 850 F.2d at 589; </w:t>
      </w:r>
      <w:r w:rsidRPr="00AD2F44">
        <w:rPr>
          <w:i/>
          <w:iCs/>
        </w:rPr>
        <w:t>Pacific Stucco, Inc</w:t>
      </w:r>
      <w:r w:rsidRPr="00AD2F44">
        <w:t>., 2006 WL 2432862, at *1–3.</w:t>
      </w:r>
    </w:p>
    <w:p w14:paraId="762D6A74" w14:textId="77777777" w:rsidR="004322B1" w:rsidRPr="00AD2F44" w:rsidRDefault="004322B1">
      <w:pPr>
        <w:pStyle w:val="14Footnote"/>
      </w:pPr>
      <w:r w:rsidRPr="00AD2F44">
        <w:rPr>
          <w:i/>
          <w:iCs/>
        </w:rPr>
        <w:t>Tenth Circuit:</w:t>
      </w:r>
      <w:r w:rsidRPr="00AD2F44">
        <w:t xml:space="preserve"> </w:t>
      </w:r>
      <w:r w:rsidRPr="00AD2F44">
        <w:rPr>
          <w:i/>
          <w:iCs/>
        </w:rPr>
        <w:t>Simmons Petroleum Corp</w:t>
      </w:r>
      <w:r w:rsidRPr="00AD2F44">
        <w:t xml:space="preserve">., 725 F.2d at 85–86; </w:t>
      </w:r>
      <w:r w:rsidRPr="00AD2F44">
        <w:rPr>
          <w:i/>
          <w:iCs/>
        </w:rPr>
        <w:t>Williams Oil Co</w:t>
      </w:r>
      <w:r w:rsidRPr="00AD2F44">
        <w:t xml:space="preserve">., 717 F.2d at 505–06; </w:t>
      </w:r>
      <w:r w:rsidRPr="00AD2F44">
        <w:rPr>
          <w:i/>
          <w:iCs/>
        </w:rPr>
        <w:t>Hudson Stations, Inc</w:t>
      </w:r>
      <w:r w:rsidRPr="00AD2F44">
        <w:t>., 1983 WL 21110, at *7–8.</w:t>
      </w:r>
    </w:p>
    <w:p w14:paraId="4759D941" w14:textId="77777777" w:rsidR="004322B1" w:rsidRPr="00AD2F44" w:rsidRDefault="004322B1">
      <w:pPr>
        <w:pStyle w:val="14Footnote"/>
      </w:pPr>
      <w:r w:rsidRPr="00AD2F44">
        <w:rPr>
          <w:i/>
          <w:iCs/>
        </w:rPr>
        <w:t>Eleventh Circuit</w:t>
      </w:r>
      <w:r w:rsidRPr="00AD2F44">
        <w:t>: Norman’s Country Market, Inc., 835 F.2d at 828; New Floridian Hotel, Inc., 676 F.2d at 471–73.</w:t>
      </w:r>
    </w:p>
  </w:footnote>
  <w:footnote w:id="817">
    <w:p w14:paraId="5CF068DB" w14:textId="77777777" w:rsidR="004322B1" w:rsidRPr="00AD2F44" w:rsidRDefault="004322B1">
      <w:pPr>
        <w:pStyle w:val="14Footnote"/>
      </w:pPr>
      <w:r w:rsidRPr="00AD2F44">
        <w:rPr>
          <w:vertAlign w:val="superscript"/>
        </w:rPr>
        <w:footnoteRef/>
      </w:r>
      <w:r w:rsidRPr="00AD2F44">
        <w:rPr>
          <w:i/>
          <w:iCs/>
        </w:rPr>
        <w:t>Second Circuit: Archie</w:t>
      </w:r>
      <w:r w:rsidRPr="00AD2F44">
        <w:t>, 86 F. Supp. 2d at 271–72.</w:t>
      </w:r>
    </w:p>
    <w:p w14:paraId="0DF37606" w14:textId="77777777" w:rsidR="004322B1" w:rsidRPr="00AD2F44" w:rsidRDefault="004322B1">
      <w:pPr>
        <w:pStyle w:val="14Footnote"/>
      </w:pPr>
      <w:r w:rsidRPr="00AD2F44">
        <w:rPr>
          <w:i/>
          <w:iCs/>
        </w:rPr>
        <w:t>Fourth Circuit</w:t>
      </w:r>
      <w:r w:rsidRPr="00AD2F44">
        <w:t>: In re Food Lion Effective Scheduling Litigation, 861 F. Supp. at 1272–74.</w:t>
      </w:r>
    </w:p>
    <w:p w14:paraId="50037D33" w14:textId="77777777" w:rsidR="004322B1" w:rsidRPr="00AD2F44" w:rsidRDefault="004322B1">
      <w:pPr>
        <w:pStyle w:val="14Footnote"/>
      </w:pPr>
      <w:r w:rsidRPr="00AD2F44">
        <w:rPr>
          <w:i/>
          <w:iCs/>
        </w:rPr>
        <w:t>Fifth Circuit:</w:t>
      </w:r>
      <w:r w:rsidRPr="00AD2F44">
        <w:t xml:space="preserve"> </w:t>
      </w:r>
      <w:r w:rsidRPr="00AD2F44">
        <w:rPr>
          <w:i/>
          <w:iCs/>
        </w:rPr>
        <w:t>Beliz</w:t>
      </w:r>
      <w:r w:rsidRPr="00AD2F44">
        <w:t xml:space="preserve">, 765 F.2d at 1330–31; </w:t>
      </w:r>
      <w:r w:rsidRPr="00AD2F44">
        <w:rPr>
          <w:i/>
          <w:iCs/>
        </w:rPr>
        <w:t>Falcon</w:t>
      </w:r>
      <w:r w:rsidRPr="00AD2F44">
        <w:t xml:space="preserve">, 580 F. Supp. at 540; </w:t>
      </w:r>
      <w:r w:rsidRPr="00AD2F44">
        <w:rPr>
          <w:i/>
          <w:iCs/>
        </w:rPr>
        <w:t>Johnson</w:t>
      </w:r>
      <w:r w:rsidRPr="00AD2F44">
        <w:t>, 561 F. Supp. 2d at 569–74, 587–88.</w:t>
      </w:r>
    </w:p>
    <w:p w14:paraId="30E6F022" w14:textId="77777777" w:rsidR="004322B1" w:rsidRPr="00AD2F44" w:rsidRDefault="004322B1">
      <w:pPr>
        <w:pStyle w:val="14Footnote"/>
      </w:pPr>
      <w:r w:rsidRPr="00AD2F44">
        <w:rPr>
          <w:i/>
          <w:iCs/>
        </w:rPr>
        <w:t>Sixth Circuit: Cowan</w:t>
      </w:r>
      <w:r w:rsidRPr="00AD2F44">
        <w:t xml:space="preserve">, 163 F. Supp. 2d at 937–38; </w:t>
      </w:r>
      <w:r w:rsidRPr="00AD2F44">
        <w:rPr>
          <w:i/>
          <w:iCs/>
        </w:rPr>
        <w:t>Takacs</w:t>
      </w:r>
      <w:r w:rsidRPr="00AD2F44">
        <w:t xml:space="preserve">, 1999 WL 33127976, at *1–3; </w:t>
      </w:r>
      <w:r w:rsidRPr="00AD2F44">
        <w:rPr>
          <w:i/>
          <w:iCs/>
        </w:rPr>
        <w:t>Bueno</w:t>
      </w:r>
      <w:r w:rsidRPr="00AD2F44">
        <w:t>, 633 F. Supp. at 1452–53.</w:t>
      </w:r>
    </w:p>
    <w:p w14:paraId="269723B1" w14:textId="77777777" w:rsidR="004322B1" w:rsidRPr="00AD2F44" w:rsidRDefault="004322B1">
      <w:pPr>
        <w:pStyle w:val="14Footnote"/>
      </w:pPr>
      <w:r w:rsidRPr="00AD2F44">
        <w:rPr>
          <w:i/>
          <w:iCs/>
        </w:rPr>
        <w:t>Eighth Circuit:</w:t>
      </w:r>
      <w:r w:rsidRPr="00AD2F44">
        <w:t xml:space="preserve"> Gomez v. Tyson Foods, Inc., 976 F. Supp. 2d 1169, 1181 (D. Neb. Oct. 2, 2013) (“Representative evidence is sufficient to establish damages in a class action case.”).</w:t>
      </w:r>
    </w:p>
    <w:p w14:paraId="0F4100E4" w14:textId="77777777" w:rsidR="004322B1" w:rsidRPr="00AD2F44" w:rsidRDefault="004322B1">
      <w:pPr>
        <w:pStyle w:val="14Footnote"/>
      </w:pPr>
      <w:r w:rsidRPr="00AD2F44">
        <w:rPr>
          <w:i/>
          <w:iCs/>
        </w:rPr>
        <w:t>Ninth Circuit:</w:t>
      </w:r>
      <w:r w:rsidRPr="00AD2F44">
        <w:t xml:space="preserve"> </w:t>
      </w:r>
      <w:r w:rsidRPr="00AD2F44">
        <w:rPr>
          <w:i/>
          <w:iCs/>
        </w:rPr>
        <w:t>Thiebes</w:t>
      </w:r>
      <w:r w:rsidRPr="00AD2F44">
        <w:t xml:space="preserve">, 2004 WL 1688544, at *1–3; </w:t>
      </w:r>
      <w:r w:rsidRPr="00AD2F44">
        <w:rPr>
          <w:i/>
          <w:iCs/>
        </w:rPr>
        <w:t>Alvarez</w:t>
      </w:r>
      <w:r w:rsidRPr="00AD2F44">
        <w:t>, 2001 WL 34897841, at *6–9.</w:t>
      </w:r>
    </w:p>
    <w:p w14:paraId="4BCBD829" w14:textId="77777777" w:rsidR="004322B1" w:rsidRPr="00AD2F44" w:rsidRDefault="004322B1" w:rsidP="00002154">
      <w:pPr>
        <w:pStyle w:val="14Footnote"/>
      </w:pPr>
      <w:r w:rsidRPr="00AD2F44">
        <w:rPr>
          <w:i/>
          <w:iCs/>
        </w:rPr>
        <w:t>Eleventh Circuit: Morgan,</w:t>
      </w:r>
      <w:r w:rsidRPr="00AD2F44">
        <w:t xml:space="preserve"> 551 F.3d at 1276–80.</w:t>
      </w:r>
    </w:p>
  </w:footnote>
  <w:footnote w:id="818">
    <w:p w14:paraId="6630729C" w14:textId="77777777" w:rsidR="004322B1" w:rsidRPr="00AD2F44" w:rsidRDefault="004322B1">
      <w:pPr>
        <w:pStyle w:val="14Footnote"/>
      </w:pPr>
      <w:r w:rsidRPr="00AD2F44">
        <w:rPr>
          <w:vertAlign w:val="superscript"/>
        </w:rPr>
        <w:footnoteRef/>
      </w:r>
      <w:r w:rsidRPr="00AD2F44">
        <w:t xml:space="preserve">136 S. Ct. 1036 (2016). </w:t>
      </w:r>
    </w:p>
  </w:footnote>
  <w:footnote w:id="819">
    <w:p w14:paraId="6BA9C314" w14:textId="77777777" w:rsidR="004322B1" w:rsidRPr="00AD2F44" w:rsidRDefault="004322B1">
      <w:pPr>
        <w:pStyle w:val="14Footnote"/>
      </w:pPr>
      <w:r w:rsidRPr="00AD2F44">
        <w:rPr>
          <w:vertAlign w:val="superscript"/>
        </w:rPr>
        <w:footnoteRef/>
      </w:r>
      <w:r w:rsidRPr="00AD2F44">
        <w:rPr>
          <w:i/>
          <w:iCs/>
        </w:rPr>
        <w:t>Id</w:t>
      </w:r>
      <w:r w:rsidRPr="00AD2F44">
        <w:t>. at 1047.</w:t>
      </w:r>
    </w:p>
  </w:footnote>
  <w:footnote w:id="820">
    <w:p w14:paraId="6AADD27F" w14:textId="77777777" w:rsidR="004322B1" w:rsidRPr="00AD2F44" w:rsidRDefault="004322B1">
      <w:pPr>
        <w:pStyle w:val="14Footnote"/>
      </w:pPr>
      <w:r w:rsidRPr="00AD2F44">
        <w:rPr>
          <w:vertAlign w:val="superscript"/>
        </w:rPr>
        <w:footnoteRef/>
      </w:r>
      <w:r w:rsidRPr="00AD2F44">
        <w:rPr>
          <w:i/>
          <w:iCs/>
        </w:rPr>
        <w:t>Id</w:t>
      </w:r>
      <w:r w:rsidRPr="00AD2F44">
        <w:t xml:space="preserve">. at 1049 (citations omitted); </w:t>
      </w:r>
      <w:r w:rsidRPr="00AD2F44">
        <w:rPr>
          <w:i/>
          <w:iCs/>
        </w:rPr>
        <w:t xml:space="preserve">see also </w:t>
      </w:r>
      <w:r w:rsidRPr="00AD2F44">
        <w:t xml:space="preserve">Garcia v. Tyson Foods, Inc., 770 F.3d 1300, 1307–08 (10th Cir. 2014) (affirming jury verdict in donning and doffing case for plaintiff class that worked at one Tyson facility in Kansas based on representative testimony from 3 plaintiffs and time-study evidence based on observations of 62 plaintiffs). </w:t>
      </w:r>
    </w:p>
  </w:footnote>
  <w:footnote w:id="821">
    <w:p w14:paraId="29713245" w14:textId="77777777" w:rsidR="004322B1" w:rsidRPr="00AD2F44" w:rsidRDefault="004322B1">
      <w:pPr>
        <w:pStyle w:val="14Footnote"/>
      </w:pPr>
      <w:r w:rsidRPr="00AD2F44">
        <w:rPr>
          <w:vertAlign w:val="superscript"/>
        </w:rPr>
        <w:footnoteRef/>
      </w:r>
      <w:r w:rsidRPr="00AD2F44">
        <w:rPr>
          <w:i/>
        </w:rPr>
        <w:t>See</w:t>
      </w:r>
    </w:p>
    <w:p w14:paraId="76A25CA0" w14:textId="77777777" w:rsidR="004322B1" w:rsidRDefault="004322B1">
      <w:pPr>
        <w:pStyle w:val="14Footnote"/>
        <w:rPr>
          <w:i/>
          <w:iCs/>
        </w:rPr>
      </w:pPr>
      <w:r>
        <w:rPr>
          <w:i/>
          <w:iCs/>
        </w:rPr>
        <w:t xml:space="preserve">Third Circuit: </w:t>
      </w:r>
      <w:r w:rsidRPr="00940A4B">
        <w:t>Ivanovs v. B</w:t>
      </w:r>
      <w:r>
        <w:t>ayada</w:t>
      </w:r>
      <w:r w:rsidRPr="00940A4B">
        <w:t xml:space="preserve"> Home Health Care, Inc</w:t>
      </w:r>
      <w:r>
        <w:t xml:space="preserve">., </w:t>
      </w:r>
      <w:r w:rsidRPr="005427EA">
        <w:t>674 F.</w:t>
      </w:r>
      <w:r>
        <w:t xml:space="preserve"> </w:t>
      </w:r>
      <w:r w:rsidRPr="005427EA">
        <w:t>Supp.</w:t>
      </w:r>
      <w:r>
        <w:t xml:space="preserve"> </w:t>
      </w:r>
      <w:r w:rsidRPr="005427EA">
        <w:t xml:space="preserve">3d 115 </w:t>
      </w:r>
      <w:r w:rsidRPr="00940A4B">
        <w:t>(D.N.J. 2023)</w:t>
      </w:r>
      <w:r>
        <w:t xml:space="preserve"> (upon motion for judgment as a matter of law, holding representational testimony of 7 plaintiffs from 62-member collective was appropriate, reasoning </w:t>
      </w:r>
      <w:r w:rsidRPr="00940A4B">
        <w:t xml:space="preserve">plaintiffs’ testimony </w:t>
      </w:r>
      <w:r>
        <w:t>d</w:t>
      </w:r>
      <w:r w:rsidRPr="00940A4B">
        <w:t xml:space="preserve">emonstrated they were subject to a pattern or practice of not being compensated for hours worked over </w:t>
      </w:r>
      <w:r>
        <w:t>40 and</w:t>
      </w:r>
      <w:r w:rsidRPr="00940A4B">
        <w:t xml:space="preserve"> their testimony was adequately representative of the collective</w:t>
      </w:r>
      <w:r>
        <w:t>).</w:t>
      </w:r>
    </w:p>
    <w:p w14:paraId="4DC864FA" w14:textId="77777777" w:rsidR="004322B1" w:rsidRPr="00AD2F44" w:rsidRDefault="004322B1">
      <w:pPr>
        <w:pStyle w:val="14Footnote"/>
      </w:pPr>
      <w:r w:rsidRPr="00AD2F44">
        <w:rPr>
          <w:i/>
          <w:iCs/>
        </w:rPr>
        <w:t xml:space="preserve">Fourth Circuit: </w:t>
      </w:r>
      <w:r w:rsidRPr="00AD2F44">
        <w:t>Reich v. Southern Md. Hosp., Inc., 43 F.3d 949, 951–52, 2 WH Cases2d 844 (4th Cir. 1995); Donovan v. Bel-Loc Diner, Inc., 780 F.2d 1113, 1116, 27 WH Cases 745 (4th Cir. 1985).</w:t>
      </w:r>
    </w:p>
    <w:p w14:paraId="1BD6B898" w14:textId="77777777" w:rsidR="004322B1" w:rsidRPr="00AD2F44" w:rsidRDefault="004322B1">
      <w:pPr>
        <w:pStyle w:val="14Footnote"/>
      </w:pPr>
      <w:r w:rsidRPr="00AD2F44">
        <w:rPr>
          <w:i/>
          <w:iCs/>
        </w:rPr>
        <w:t>Fifth Circuit:</w:t>
      </w:r>
      <w:r w:rsidRPr="00AD2F44">
        <w:t xml:space="preserve"> Albanil v. Coast 2 Coast, 444 F. App’x 788, 806 (5th Cir. 2011); Clark v. Centene Co. of Tex., LP., 104 F. Supp. 3d 813, 830–31 (W.D. Tex. 2015).</w:t>
      </w:r>
    </w:p>
    <w:p w14:paraId="177456AB" w14:textId="77777777" w:rsidR="004322B1" w:rsidRPr="00AD2F44" w:rsidRDefault="004322B1">
      <w:pPr>
        <w:pStyle w:val="14Footnote"/>
      </w:pPr>
      <w:r w:rsidRPr="00AD2F44">
        <w:rPr>
          <w:i/>
          <w:iCs/>
        </w:rPr>
        <w:t>Sixth Circuit:</w:t>
      </w:r>
      <w:r w:rsidRPr="00AD2F44">
        <w:t xml:space="preserve"> United States Dep’t of Labor v. Cole Enters., Inc., 62 F.3d 775, 781 (6th Cir. 1995); Pierce v. Wyndham Vacation Resorts, Inc., 2018 WL 616141 (E.D. Tenn. Jan. 29, 2018). </w:t>
      </w:r>
    </w:p>
    <w:p w14:paraId="652DA17B" w14:textId="77777777" w:rsidR="004322B1" w:rsidRPr="00AD2F44" w:rsidRDefault="004322B1">
      <w:pPr>
        <w:pStyle w:val="14Footnote"/>
      </w:pPr>
      <w:r w:rsidRPr="00AD2F44">
        <w:rPr>
          <w:i/>
          <w:iCs/>
        </w:rPr>
        <w:t>Ninth Circuit:</w:t>
      </w:r>
      <w:r w:rsidRPr="00AD2F44">
        <w:t xml:space="preserve"> McLaughlin v. Ho Fat Seto, 850 F.2d 586, 589, 28 WH Cases 1225 (9th Cir. 1988).</w:t>
      </w:r>
    </w:p>
    <w:p w14:paraId="2298D0D7" w14:textId="77777777" w:rsidR="004322B1" w:rsidRPr="00AD2F44" w:rsidRDefault="004322B1">
      <w:pPr>
        <w:pStyle w:val="14Footnote"/>
      </w:pPr>
      <w:r w:rsidRPr="00AD2F44">
        <w:rPr>
          <w:i/>
          <w:iCs/>
        </w:rPr>
        <w:t>See also In re Food Lion Effective Scheduling Litig</w:t>
      </w:r>
      <w:r w:rsidRPr="00AD2F44">
        <w:t>., 861 F. Supp. at 1272, 1274 (evidence “must be representational of the whole enterprise”).</w:t>
      </w:r>
    </w:p>
  </w:footnote>
  <w:footnote w:id="822">
    <w:p w14:paraId="5B9083D2" w14:textId="77777777" w:rsidR="004322B1" w:rsidRPr="00AD2F44" w:rsidRDefault="004322B1">
      <w:pPr>
        <w:pStyle w:val="14Footnote"/>
      </w:pPr>
      <w:r w:rsidRPr="00AD2F44">
        <w:rPr>
          <w:vertAlign w:val="superscript"/>
        </w:rPr>
        <w:footnoteRef/>
      </w:r>
      <w:r w:rsidRPr="00AD2F44">
        <w:t xml:space="preserve">Wilson v. Navika Capital Grp., LLC, 2014 WL 223211, at *15 (S.D. Tex. Jan. 14, 2014). </w:t>
      </w:r>
    </w:p>
  </w:footnote>
  <w:footnote w:id="823">
    <w:p w14:paraId="521E0693" w14:textId="77777777" w:rsidR="004322B1" w:rsidRPr="00AD2F44" w:rsidRDefault="004322B1">
      <w:pPr>
        <w:pStyle w:val="14Footnote"/>
      </w:pPr>
      <w:r w:rsidRPr="00AD2F44">
        <w:rPr>
          <w:vertAlign w:val="superscript"/>
        </w:rPr>
        <w:footnoteRef/>
      </w:r>
      <w:r w:rsidRPr="00AD2F44">
        <w:t xml:space="preserve">Espenscheid v. DirectSAT USA, LLC, 705 F.3d 770, 774 (7th Cir. 2013) (citing </w:t>
      </w:r>
      <w:r w:rsidRPr="00AD2F44">
        <w:rPr>
          <w:i/>
          <w:iCs/>
        </w:rPr>
        <w:t>Southern Maryland Hospital</w:t>
      </w:r>
      <w:r w:rsidRPr="00AD2F44">
        <w:t xml:space="preserve">, 43 F.3d at 952, and Dole v. DeSisto, 929 F.2d 789, 793 (1st Cir. 1991)); </w:t>
      </w:r>
      <w:r w:rsidRPr="00AD2F44">
        <w:rPr>
          <w:i/>
          <w:iCs/>
        </w:rPr>
        <w:t>see also</w:t>
      </w:r>
      <w:r w:rsidRPr="00AD2F44">
        <w:t xml:space="preserve"> Espinosa v. County of Fresno, 290 F.R.D. 494, 505 (E.D. Cal. 2013) (rejecting use of representative testimony where “there is no reasonable time or frequency for the task in question” that could be applied to class). </w:t>
      </w:r>
    </w:p>
  </w:footnote>
  <w:footnote w:id="824">
    <w:p w14:paraId="64EF15D5" w14:textId="77777777" w:rsidR="004322B1" w:rsidRPr="00AD2F44" w:rsidRDefault="004322B1">
      <w:pPr>
        <w:pStyle w:val="14Footnote"/>
        <w:rPr>
          <w:i/>
          <w:iCs/>
        </w:rPr>
      </w:pPr>
      <w:r w:rsidRPr="00AD2F44">
        <w:rPr>
          <w:vertAlign w:val="superscript"/>
        </w:rPr>
        <w:footnoteRef/>
      </w:r>
      <w:r w:rsidRPr="00AD2F44">
        <w:rPr>
          <w:i/>
          <w:iCs/>
        </w:rPr>
        <w:t>See</w:t>
      </w:r>
    </w:p>
    <w:p w14:paraId="432583D1" w14:textId="77777777" w:rsidR="004322B1" w:rsidRPr="00AD2F44" w:rsidRDefault="004322B1">
      <w:pPr>
        <w:pStyle w:val="14Footnote"/>
      </w:pPr>
      <w:r w:rsidRPr="00AD2F44">
        <w:rPr>
          <w:i/>
          <w:iCs/>
        </w:rPr>
        <w:t>First Circuit: DeSisto,</w:t>
      </w:r>
      <w:r w:rsidRPr="00AD2F44">
        <w:t xml:space="preserve"> 929 F.2d at 793.</w:t>
      </w:r>
    </w:p>
    <w:p w14:paraId="113EB0EF" w14:textId="77777777" w:rsidR="004322B1" w:rsidRPr="00AD2F44" w:rsidRDefault="004322B1">
      <w:pPr>
        <w:pStyle w:val="14Footnote"/>
      </w:pPr>
      <w:r w:rsidRPr="00AD2F44">
        <w:rPr>
          <w:i/>
          <w:iCs/>
        </w:rPr>
        <w:t>Third Circuit:</w:t>
      </w:r>
      <w:r w:rsidRPr="00AD2F44">
        <w:t xml:space="preserve"> Dole v. Solid Waste Servs., Inc., 733 F. Supp. 895, 926, 29 WH Cases 1490 (E.D. Pa. 1989), </w:t>
      </w:r>
      <w:r w:rsidRPr="00AD2F44">
        <w:rPr>
          <w:i/>
          <w:iCs/>
        </w:rPr>
        <w:t>aff’d</w:t>
      </w:r>
      <w:r w:rsidRPr="00AD2F44">
        <w:t>, 897 F.2d 521 (3d Cir. 1990).</w:t>
      </w:r>
    </w:p>
    <w:p w14:paraId="2D1689A8" w14:textId="77777777" w:rsidR="004322B1" w:rsidRPr="00AD2F44" w:rsidRDefault="004322B1">
      <w:pPr>
        <w:pStyle w:val="14Footnote"/>
      </w:pPr>
      <w:r w:rsidRPr="00AD2F44">
        <w:rPr>
          <w:i/>
          <w:iCs/>
        </w:rPr>
        <w:t xml:space="preserve">Fifth Circuit: </w:t>
      </w:r>
      <w:r w:rsidRPr="00AD2F44">
        <w:t>Beliz v. W.H. McLeod &amp; Sons Packing Co., 765 F.2d 1317, 1331, 27 WH Cases 401 (5th Cir. 1985) (“Testimony of some employees concerning the hours worked by groups of non-testifying employees is sufficient if those who do testify have personal knowledge of the work performed by those who do not.”).</w:t>
      </w:r>
    </w:p>
    <w:p w14:paraId="54ABBAC9" w14:textId="77777777" w:rsidR="004322B1" w:rsidRPr="00AD2F44" w:rsidRDefault="004322B1">
      <w:pPr>
        <w:pStyle w:val="14Footnote"/>
      </w:pPr>
      <w:r w:rsidRPr="00AD2F44">
        <w:rPr>
          <w:i/>
          <w:iCs/>
        </w:rPr>
        <w:t>Sixth Circuit:</w:t>
      </w:r>
      <w:r w:rsidRPr="00AD2F44">
        <w:t xml:space="preserve"> Takacs v. Hahn Auto. Corp., 1999 WL 33127976, at *3 (S.D. Ohio Jan. 25, 1999).</w:t>
      </w:r>
    </w:p>
    <w:p w14:paraId="5B29992B" w14:textId="77777777" w:rsidR="004322B1" w:rsidRPr="00AD2F44" w:rsidRDefault="004322B1">
      <w:pPr>
        <w:pStyle w:val="14Footnote"/>
      </w:pPr>
      <w:r w:rsidRPr="00AD2F44">
        <w:rPr>
          <w:i/>
          <w:iCs/>
        </w:rPr>
        <w:t>Ninth Circuit:</w:t>
      </w:r>
      <w:r w:rsidRPr="00AD2F44">
        <w:t xml:space="preserve"> Alvarez v. IBP, Inc., 2001 WL 34897841, at *8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65E5F2E4" w14:textId="77777777" w:rsidR="004322B1" w:rsidRPr="00AD2F44" w:rsidRDefault="004322B1">
      <w:pPr>
        <w:pStyle w:val="14Footnote"/>
      </w:pPr>
      <w:r w:rsidRPr="00AD2F44">
        <w:rPr>
          <w:i/>
          <w:iCs/>
        </w:rPr>
        <w:t>Tenth Circuit:</w:t>
      </w:r>
      <w:r w:rsidRPr="00AD2F44">
        <w:t xml:space="preserve"> Donovan v. Simmons Petroleum Corp., 725 F.2d 83, 86, 26 WH Cases 936 (10th Cir. 1983) (deeming plaintiffs’ evidence sufficient because at least one employee from each category testified or was deposed).</w:t>
      </w:r>
    </w:p>
    <w:p w14:paraId="41A400BA" w14:textId="77777777" w:rsidR="004322B1" w:rsidRPr="00AD2F44" w:rsidRDefault="004322B1">
      <w:pPr>
        <w:pStyle w:val="14Footnote"/>
      </w:pPr>
      <w:r w:rsidRPr="00AD2F44">
        <w:rPr>
          <w:i/>
          <w:iCs/>
        </w:rPr>
        <w:t>Eleventh Circuit:</w:t>
      </w:r>
      <w:r w:rsidRPr="00AD2F44">
        <w:t xml:space="preserve"> Donovan v. New Floridian Hotel, Inc., 676 F.2d 468, 472, 25 WH Cases 645 (11th Cir. 1982).</w:t>
      </w:r>
    </w:p>
    <w:p w14:paraId="4BBCA8A0" w14:textId="77777777" w:rsidR="004322B1" w:rsidRPr="00AD2F44" w:rsidRDefault="004322B1">
      <w:pPr>
        <w:pStyle w:val="14Footnote"/>
      </w:pPr>
      <w:r w:rsidRPr="00AD2F44">
        <w:rPr>
          <w:i/>
        </w:rPr>
        <w:t>See also</w:t>
      </w:r>
    </w:p>
    <w:p w14:paraId="1F9DDFCA" w14:textId="77777777" w:rsidR="004322B1" w:rsidRPr="00AD2F44" w:rsidRDefault="004322B1">
      <w:pPr>
        <w:pStyle w:val="14Footnote"/>
      </w:pPr>
      <w:r w:rsidRPr="00AD2F44">
        <w:rPr>
          <w:i/>
          <w:iCs/>
        </w:rPr>
        <w:t xml:space="preserve">Second Circuit: </w:t>
      </w:r>
      <w:r w:rsidRPr="00AD2F44">
        <w:t xml:space="preserve">Reich v. Southern New Engl. Telecomms. Corp., 121 F.3d 58, 67, 4 WH Cases2d 33 (2d Cir. 1997) (citing </w:t>
      </w:r>
      <w:r w:rsidRPr="00AD2F44">
        <w:rPr>
          <w:i/>
          <w:iCs/>
        </w:rPr>
        <w:t>DeSisto</w:t>
      </w:r>
      <w:r w:rsidRPr="00AD2F44">
        <w:t>).</w:t>
      </w:r>
    </w:p>
    <w:p w14:paraId="069EFDCF" w14:textId="77777777" w:rsidR="004322B1" w:rsidRPr="00AD2F44" w:rsidRDefault="004322B1">
      <w:pPr>
        <w:pStyle w:val="14Footnote"/>
      </w:pPr>
      <w:r w:rsidRPr="00AD2F44">
        <w:rPr>
          <w:i/>
          <w:iCs/>
        </w:rPr>
        <w:t>Third Circuit:</w:t>
      </w:r>
      <w:r w:rsidRPr="00AD2F44">
        <w:t xml:space="preserve"> Marshall v. R &amp; M Erectors, Inc., 429 F. Supp. 771, 777 (D. Del. 1977) (“[T]he relatively consistent testimony of several employees can set forth a </w:t>
      </w:r>
      <w:r w:rsidRPr="00AD2F44">
        <w:rPr>
          <w:i/>
          <w:iCs/>
        </w:rPr>
        <w:t>prima facie</w:t>
      </w:r>
      <w:r w:rsidRPr="00AD2F44">
        <w:t xml:space="preserve"> case that all employees in the same job classification worked the same number of hours.”).</w:t>
      </w:r>
    </w:p>
    <w:p w14:paraId="1C7BB53C" w14:textId="77777777" w:rsidR="004322B1" w:rsidRPr="00AD2F44" w:rsidRDefault="004322B1">
      <w:pPr>
        <w:pStyle w:val="14Footnote"/>
      </w:pPr>
      <w:r w:rsidRPr="00AD2F44">
        <w:rPr>
          <w:i/>
          <w:iCs/>
        </w:rPr>
        <w:t>Fourth Circuit: Southern Maryland Hospital, Inc.,</w:t>
      </w:r>
      <w:r w:rsidRPr="00AD2F44">
        <w:t xml:space="preserve"> 43 F.3d at 951.</w:t>
      </w:r>
    </w:p>
    <w:p w14:paraId="50E479C4" w14:textId="77777777" w:rsidR="004322B1" w:rsidRPr="00AD2F44" w:rsidRDefault="004322B1">
      <w:pPr>
        <w:pStyle w:val="14Footnote"/>
      </w:pPr>
      <w:r w:rsidRPr="00AD2F44">
        <w:rPr>
          <w:i/>
          <w:iCs/>
        </w:rPr>
        <w:t>Fifth Circuit:</w:t>
      </w:r>
      <w:r w:rsidRPr="00AD2F44">
        <w:t xml:space="preserve"> Clark v. Centene Co. of Tex., LP, 104 F. Supp. 3d 813, 832–33 (W.D. Tex. 2015) (finding that testimony of 6 utilization nurses could establish damages for all but 1 of 26 opt-in plaintiffs, where testimony of 6 plaintiffs covered only four of five locations at issue in action).</w:t>
      </w:r>
    </w:p>
    <w:p w14:paraId="68202C2B" w14:textId="77777777" w:rsidR="004322B1" w:rsidRPr="00AD2F44" w:rsidRDefault="004322B1">
      <w:pPr>
        <w:pStyle w:val="14Footnote"/>
      </w:pPr>
      <w:r w:rsidRPr="00AD2F44">
        <w:rPr>
          <w:i/>
          <w:iCs/>
        </w:rPr>
        <w:t>Eighth Circuit:</w:t>
      </w:r>
      <w:r w:rsidRPr="00AD2F44">
        <w:t xml:space="preserve"> Murray v. Stuckey’s, Inc., 939 F.2d 614, 621, 30 WH Cases 705 (8th Cir. 1991) (holding that, in actions where evidence demonstrates that employees are subject to differing work situations that make pattern evidence unpersuasive, each plaintiff must meet his or her burden individually).</w:t>
      </w:r>
    </w:p>
    <w:p w14:paraId="354B50E7" w14:textId="77777777" w:rsidR="004322B1" w:rsidRPr="00AD2F44" w:rsidRDefault="004322B1">
      <w:pPr>
        <w:pStyle w:val="14Footnote"/>
      </w:pPr>
      <w:r w:rsidRPr="00AD2F44">
        <w:rPr>
          <w:i/>
          <w:iCs/>
        </w:rPr>
        <w:t>Ninth Circuit:</w:t>
      </w:r>
      <w:r w:rsidRPr="00AD2F44">
        <w:t xml:space="preserve"> Chao v. Pacific Stucco, Inc., 2006 WL 2432862, at *3 (D. Nev. Aug. 21, 2006) (“A determination of whether the representative testimony adequately represents the class depends on the nature of the work involved, the working conditions and relationships, and the detail and credibility of the testimony.”).</w:t>
      </w:r>
    </w:p>
  </w:footnote>
  <w:footnote w:id="825">
    <w:p w14:paraId="256B7B3F" w14:textId="77777777" w:rsidR="004322B1" w:rsidRPr="00AD2F44" w:rsidRDefault="004322B1">
      <w:pPr>
        <w:pStyle w:val="14Footnote"/>
      </w:pPr>
      <w:r w:rsidRPr="00AD2F44">
        <w:rPr>
          <w:vertAlign w:val="superscript"/>
        </w:rPr>
        <w:footnoteRef/>
      </w:r>
      <w:r w:rsidRPr="00AD2F44">
        <w:rPr>
          <w:i/>
        </w:rPr>
        <w:t>See</w:t>
      </w:r>
    </w:p>
    <w:p w14:paraId="2763E4BF" w14:textId="77777777" w:rsidR="004322B1" w:rsidRPr="00AD2F44" w:rsidRDefault="004322B1">
      <w:pPr>
        <w:pStyle w:val="14Footnote"/>
      </w:pPr>
      <w:r w:rsidRPr="00AD2F44">
        <w:rPr>
          <w:i/>
          <w:iCs/>
        </w:rPr>
        <w:t>First Circuit:</w:t>
      </w:r>
      <w:r w:rsidRPr="00AD2F44">
        <w:t xml:space="preserve"> </w:t>
      </w:r>
      <w:r w:rsidRPr="00AD2F44">
        <w:rPr>
          <w:i/>
          <w:iCs/>
        </w:rPr>
        <w:t>DeSisto</w:t>
      </w:r>
      <w:r w:rsidRPr="00AD2F44">
        <w:t>, 929 F.2d at 793–94.</w:t>
      </w:r>
    </w:p>
    <w:p w14:paraId="3E4B4A74" w14:textId="77777777" w:rsidR="004322B1" w:rsidRPr="00AD2F44" w:rsidRDefault="004322B1">
      <w:pPr>
        <w:pStyle w:val="14Footnote"/>
      </w:pPr>
      <w:r w:rsidRPr="00AD2F44">
        <w:rPr>
          <w:i/>
          <w:iCs/>
        </w:rPr>
        <w:t>Fourth Circuit:</w:t>
      </w:r>
      <w:r w:rsidRPr="00AD2F44">
        <w:t xml:space="preserve"> Reich v. Southern Md. Hosp., Inc., 43 F.3d 949, 951–52, 2 WH Cases2d 844 (4th Cir. 1995); </w:t>
      </w:r>
      <w:r w:rsidRPr="00AD2F44">
        <w:rPr>
          <w:i/>
          <w:iCs/>
        </w:rPr>
        <w:t>In re</w:t>
      </w:r>
      <w:r w:rsidRPr="00AD2F44">
        <w:t xml:space="preserve"> Food Lion Effective Scheduling Litig., 861 F. Supp. 1263, 1273–74 (E.D.N.C. 1994)</w:t>
      </w:r>
      <w:r w:rsidRPr="00AD2F44">
        <w:rPr>
          <w:i/>
          <w:iCs/>
        </w:rPr>
        <w:t xml:space="preserve"> </w:t>
      </w:r>
      <w:r w:rsidRPr="00AD2F44">
        <w:t>(determining testimony of six employees insufficient to establish widespread violations).</w:t>
      </w:r>
    </w:p>
    <w:p w14:paraId="69742086" w14:textId="77777777" w:rsidR="004322B1" w:rsidRPr="00AD2F44" w:rsidRDefault="004322B1">
      <w:pPr>
        <w:pStyle w:val="14Footnote"/>
      </w:pPr>
      <w:r w:rsidRPr="00AD2F44">
        <w:rPr>
          <w:i/>
          <w:iCs/>
        </w:rPr>
        <w:t>Fifth Circuit:</w:t>
      </w:r>
      <w:r w:rsidRPr="00AD2F44">
        <w:t xml:space="preserve"> Johnson v. Big Lots Stores, Inc., 561 F. Supp. 2d 567, 569–74, 587–88 (E.D. La. 2008) (decertifying action after trial because “representative” testimony showed that employees were not similarly situated and that it would be improper to proceed to verdict on merits that would bind entire putative class).</w:t>
      </w:r>
    </w:p>
    <w:p w14:paraId="2710B376" w14:textId="77777777" w:rsidR="004322B1" w:rsidRPr="00AD2F44" w:rsidRDefault="004322B1">
      <w:pPr>
        <w:pStyle w:val="14Footnote"/>
      </w:pPr>
      <w:r w:rsidRPr="00AD2F44">
        <w:rPr>
          <w:i/>
          <w:iCs/>
        </w:rPr>
        <w:t>Seventh Circuit</w:t>
      </w:r>
      <w:r w:rsidRPr="00AD2F44">
        <w:t xml:space="preserve">: </w:t>
      </w:r>
      <w:r w:rsidRPr="00AD2F44">
        <w:rPr>
          <w:i/>
          <w:iCs/>
        </w:rPr>
        <w:t>Espenscheid,</w:t>
      </w:r>
      <w:r w:rsidRPr="00AD2F44">
        <w:t xml:space="preserve"> 705 F.3d at 774.</w:t>
      </w:r>
    </w:p>
    <w:p w14:paraId="46C1763B" w14:textId="77777777" w:rsidR="004322B1" w:rsidRPr="00AD2F44" w:rsidRDefault="004322B1">
      <w:pPr>
        <w:pStyle w:val="14Footnote"/>
      </w:pPr>
      <w:r w:rsidRPr="00AD2F44">
        <w:rPr>
          <w:i/>
          <w:iCs/>
        </w:rPr>
        <w:t>Eleventh Circuit:</w:t>
      </w:r>
      <w:r w:rsidRPr="00AD2F44">
        <w:t xml:space="preserve"> </w:t>
      </w:r>
      <w:r w:rsidRPr="00AD2F44">
        <w:rPr>
          <w:i/>
          <w:iCs/>
        </w:rPr>
        <w:t>New Floridian Hotel, Inc</w:t>
      </w:r>
      <w:r w:rsidRPr="00AD2F44">
        <w:t>., 676 F.2d at 469, 472, 476 (affirming district court’s determination that evidence was insufficient to support award of back wages to 56 of 263 employees who had performed job duties that were distinct from those of testifying employees)</w:t>
      </w:r>
    </w:p>
  </w:footnote>
  <w:footnote w:id="826">
    <w:p w14:paraId="06E19066" w14:textId="77777777" w:rsidR="004322B1" w:rsidRPr="00AD2F44" w:rsidRDefault="004322B1">
      <w:pPr>
        <w:pStyle w:val="14Footnote"/>
      </w:pPr>
      <w:r w:rsidRPr="00AD2F44">
        <w:rPr>
          <w:vertAlign w:val="superscript"/>
        </w:rPr>
        <w:footnoteRef/>
      </w:r>
      <w:r w:rsidRPr="00AD2F44">
        <w:rPr>
          <w:i/>
          <w:iCs/>
        </w:rPr>
        <w:t xml:space="preserve">See </w:t>
      </w:r>
      <w:r w:rsidRPr="00AD2F44">
        <w:t xml:space="preserve">Roussell v. Brinker Int’l, Inc., 441 F. App’x 222, 226–27 (5th Cir. 2011) (affirming district court’s use of 14 plaintiffs out of class of 55 to testify, where court had testimony from all 55 plaintiffs in form of deposition excerpts or live testimony, defendant had right to cross-examine them, jury heard testimony from total of 25 plaintiffs (45%), defendant did not point to any difference between 14 and the remaining 41, and defendant did not offer an alternative); </w:t>
      </w:r>
      <w:r w:rsidRPr="00AD2F44">
        <w:rPr>
          <w:i/>
          <w:iCs/>
        </w:rPr>
        <w:t>Southern New England Telecommunications Corp</w:t>
      </w:r>
      <w:r w:rsidRPr="00AD2F44">
        <w:t xml:space="preserve">., 121 F.3d at 68; </w:t>
      </w:r>
      <w:r w:rsidRPr="00AD2F44">
        <w:rPr>
          <w:i/>
          <w:iCs/>
        </w:rPr>
        <w:t>see also DeSisto</w:t>
      </w:r>
      <w:r w:rsidRPr="00AD2F44">
        <w:t xml:space="preserve">, 929 F.2d at 793–94 (noting that court had “no quarrel” with proposition that “there is no ratio or formula for determining the number of employee witnesses required to constitute a representative sample of employees”); </w:t>
      </w:r>
      <w:r w:rsidRPr="00AD2F44">
        <w:rPr>
          <w:i/>
          <w:iCs/>
        </w:rPr>
        <w:t>Takacs</w:t>
      </w:r>
      <w:r w:rsidRPr="00AD2F44">
        <w:t>, 1999 WL 33127976, at *2 (“There is no magic formula for the number or percentage of plaintiffs who must testify.”).</w:t>
      </w:r>
    </w:p>
  </w:footnote>
  <w:footnote w:id="827">
    <w:p w14:paraId="166D602A" w14:textId="77777777" w:rsidR="004322B1" w:rsidRPr="00AD2F44" w:rsidRDefault="004322B1">
      <w:pPr>
        <w:pStyle w:val="14Footnote"/>
      </w:pPr>
      <w:r w:rsidRPr="00AD2F44">
        <w:rPr>
          <w:vertAlign w:val="superscript"/>
        </w:rPr>
        <w:footnoteRef/>
      </w:r>
      <w:r w:rsidRPr="00AD2F44">
        <w:rPr>
          <w:i/>
          <w:iCs/>
        </w:rPr>
        <w:t>See</w:t>
      </w:r>
    </w:p>
    <w:p w14:paraId="7D0EED31" w14:textId="77777777" w:rsidR="004322B1" w:rsidRPr="00AD2F44" w:rsidRDefault="004322B1">
      <w:pPr>
        <w:pStyle w:val="14Footnote"/>
      </w:pPr>
      <w:r w:rsidRPr="00AD2F44">
        <w:rPr>
          <w:i/>
          <w:iCs/>
        </w:rPr>
        <w:t>Supreme Court:</w:t>
      </w:r>
      <w:r w:rsidRPr="00AD2F44">
        <w:t xml:space="preserve"> Anderson v. Mt. Clemens Pottery Co., 328 U.S. 680, 688, 6 WH Cases 83 (1946) (finding testimony from a sample representing 2.3% of the class sufficient to establish damages award).</w:t>
      </w:r>
    </w:p>
    <w:p w14:paraId="40AE6B02" w14:textId="77777777" w:rsidR="004322B1" w:rsidRPr="00AD2F44" w:rsidRDefault="004322B1">
      <w:pPr>
        <w:pStyle w:val="14Footnote"/>
      </w:pPr>
      <w:r w:rsidRPr="00AD2F44">
        <w:rPr>
          <w:i/>
          <w:iCs/>
        </w:rPr>
        <w:t>First Circuit:</w:t>
      </w:r>
      <w:r w:rsidRPr="00AD2F44">
        <w:t xml:space="preserve"> Donovan v. Burger King Corp., 672 F.2d 221, 224–25, 25 WH Cases 428 (1st Cir. 1982) (affirming FLSA judgment where 6 out of 246 opt-ins testified).</w:t>
      </w:r>
    </w:p>
    <w:p w14:paraId="7E4C0F74" w14:textId="77777777" w:rsidR="004322B1" w:rsidRPr="00AD2F44" w:rsidRDefault="004322B1">
      <w:pPr>
        <w:pStyle w:val="14Footnote"/>
      </w:pPr>
      <w:r w:rsidRPr="00AD2F44">
        <w:rPr>
          <w:i/>
          <w:iCs/>
        </w:rPr>
        <w:t>Second Circuit:</w:t>
      </w:r>
      <w:r w:rsidRPr="00AD2F44">
        <w:t xml:space="preserve"> </w:t>
      </w:r>
      <w:r w:rsidRPr="00AD2F44">
        <w:rPr>
          <w:i/>
          <w:iCs/>
        </w:rPr>
        <w:t>Southern New England Telecommunications Corp</w:t>
      </w:r>
      <w:r w:rsidRPr="00AD2F44">
        <w:t>., 121 F.3d at 67–68 (holding that live testimony from a 2.5% sample of the class was sufficient to support a just and reasonable inference of an FLSA violation).</w:t>
      </w:r>
    </w:p>
    <w:p w14:paraId="46F9CC47" w14:textId="77777777" w:rsidR="004322B1" w:rsidRPr="00AD2F44" w:rsidRDefault="004322B1">
      <w:pPr>
        <w:pStyle w:val="14Footnote"/>
      </w:pPr>
      <w:r w:rsidRPr="00AD2F44">
        <w:rPr>
          <w:i/>
          <w:iCs/>
        </w:rPr>
        <w:t>Ninth Circuit:</w:t>
      </w:r>
      <w:r w:rsidRPr="00AD2F44">
        <w:t xml:space="preserve"> </w:t>
      </w:r>
      <w:r w:rsidRPr="00AD2F44">
        <w:rPr>
          <w:i/>
          <w:iCs/>
        </w:rPr>
        <w:t>In re</w:t>
      </w:r>
      <w:r w:rsidRPr="00AD2F44">
        <w:t xml:space="preserve"> Farmers Ins. Exch., 336 F. Supp. 2d 1077, 1083 (D. Or. 2004) (adjudicating FLSA liability on behalf of over 1,900 class members based on the live testimony of 15 plaintiffs or a 0.8% sample).</w:t>
      </w:r>
    </w:p>
    <w:p w14:paraId="781E9270" w14:textId="77777777" w:rsidR="004322B1" w:rsidRPr="00AD2F44" w:rsidRDefault="004322B1">
      <w:pPr>
        <w:pStyle w:val="14Footnote"/>
      </w:pPr>
      <w:r w:rsidRPr="00AD2F44">
        <w:rPr>
          <w:i/>
          <w:iCs/>
        </w:rPr>
        <w:t>Eleventh Circuit:</w:t>
      </w:r>
      <w:r w:rsidRPr="00AD2F44">
        <w:t xml:space="preserve"> Morgan v. Family Dollar Stores, Inc., 551 F.3d 1233, 1276–80 (11th Cir. 2008) (7 out of 1,424 opt-in plaintiffs testified).</w:t>
      </w:r>
    </w:p>
    <w:p w14:paraId="47E4B9F0" w14:textId="77777777" w:rsidR="004322B1" w:rsidRPr="00AD2F44" w:rsidRDefault="004322B1">
      <w:pPr>
        <w:pStyle w:val="14Footnote"/>
      </w:pPr>
      <w:r w:rsidRPr="00AD2F44">
        <w:rPr>
          <w:i/>
        </w:rPr>
        <w:t>See also</w:t>
      </w:r>
    </w:p>
    <w:p w14:paraId="2CBE11B8" w14:textId="77777777" w:rsidR="004322B1" w:rsidRPr="00AD2F44" w:rsidRDefault="004322B1">
      <w:pPr>
        <w:pStyle w:val="14Footnote"/>
      </w:pPr>
      <w:r w:rsidRPr="00AD2F44">
        <w:rPr>
          <w:i/>
          <w:iCs/>
        </w:rPr>
        <w:t>Third Circuit:</w:t>
      </w:r>
      <w:r w:rsidRPr="00AD2F44">
        <w:t xml:space="preserve"> </w:t>
      </w:r>
      <w:r w:rsidRPr="00AD2F44">
        <w:rPr>
          <w:i/>
          <w:iCs/>
        </w:rPr>
        <w:t>Solid Waste Services, Inc</w:t>
      </w:r>
      <w:r w:rsidRPr="00AD2F44">
        <w:t>., 733 F. Supp. at 926 n.20 (noting that in a number of cases “evidence of a small, and sometimes very small, percentage of employees, was found sufficient to support awards to almost all of a defendant’s employees”).</w:t>
      </w:r>
    </w:p>
    <w:p w14:paraId="12BA780B" w14:textId="77777777" w:rsidR="004322B1" w:rsidRPr="00AD2F44" w:rsidRDefault="004322B1">
      <w:pPr>
        <w:pStyle w:val="14Footnote"/>
      </w:pPr>
      <w:r w:rsidRPr="00AD2F44">
        <w:rPr>
          <w:i/>
          <w:iCs/>
        </w:rPr>
        <w:t>Fourth Circuit: In re Food Lion Effective Scheduling Litigation</w:t>
      </w:r>
      <w:r w:rsidRPr="00AD2F44">
        <w:t>, 861 F. Supp. at 1274 (“Although [plaintiffs’] burden can be accomplished through the testimony of a small percentage of employees, the number of employees [subject to violative practice] is important in determining whether the violations were widespread.”).</w:t>
      </w:r>
    </w:p>
  </w:footnote>
  <w:footnote w:id="828">
    <w:p w14:paraId="169BFA51" w14:textId="77777777" w:rsidR="004322B1" w:rsidRPr="00AD2F44" w:rsidRDefault="004322B1">
      <w:pPr>
        <w:pStyle w:val="14Footnote"/>
      </w:pPr>
      <w:r w:rsidRPr="00AD2F44">
        <w:rPr>
          <w:vertAlign w:val="superscript"/>
        </w:rPr>
        <w:footnoteRef/>
      </w:r>
      <w:r w:rsidRPr="00AD2F44">
        <w:rPr>
          <w:i/>
          <w:iCs/>
        </w:rPr>
        <w:t>See DeSisto</w:t>
      </w:r>
      <w:r w:rsidRPr="00AD2F44">
        <w:t xml:space="preserve">, 929 F.2d at 793 (“We have found no case, and the Secretary cited none at oral argument, holding that one employee can adequately represent 244 employees holding a variety of positions at different locations.”); </w:t>
      </w:r>
      <w:r w:rsidRPr="00AD2F44">
        <w:rPr>
          <w:i/>
          <w:iCs/>
        </w:rPr>
        <w:t>Southern Maryland Hospital, Inc</w:t>
      </w:r>
      <w:r w:rsidRPr="00AD2F44">
        <w:t xml:space="preserve">., 43 F.3d at 951–52 (finding that evidence did not support trial court’s award of damages based on testimony of 1.6% of total employee population); </w:t>
      </w:r>
      <w:r w:rsidRPr="00AD2F44">
        <w:rPr>
          <w:i/>
          <w:iCs/>
        </w:rPr>
        <w:t>In re Food Lion Effective Scheduling Litigation</w:t>
      </w:r>
      <w:r w:rsidRPr="00AD2F44">
        <w:t>, 861 F. Supp. at 1274.</w:t>
      </w:r>
    </w:p>
  </w:footnote>
  <w:footnote w:id="829">
    <w:p w14:paraId="78DEB15E" w14:textId="77777777" w:rsidR="004322B1" w:rsidRPr="00AD2F44" w:rsidRDefault="004322B1">
      <w:pPr>
        <w:pStyle w:val="14Footnote"/>
      </w:pPr>
      <w:r w:rsidRPr="00AD2F44">
        <w:rPr>
          <w:vertAlign w:val="superscript"/>
        </w:rPr>
        <w:footnoteRef/>
      </w:r>
      <w:r w:rsidRPr="00AD2F44">
        <w:rPr>
          <w:i/>
          <w:iCs/>
        </w:rPr>
        <w:t>Supreme Court: Mt. Clemens,</w:t>
      </w:r>
      <w:r w:rsidRPr="00AD2F44">
        <w:t xml:space="preserve"> 328 U.S. at 687–88.</w:t>
      </w:r>
    </w:p>
    <w:p w14:paraId="124748FB" w14:textId="77777777" w:rsidR="004322B1" w:rsidRPr="00AD2F44" w:rsidRDefault="004322B1">
      <w:pPr>
        <w:pStyle w:val="14Footnote"/>
      </w:pPr>
      <w:r w:rsidRPr="00AD2F44">
        <w:rPr>
          <w:i/>
          <w:iCs/>
        </w:rPr>
        <w:t>Third Circuit:</w:t>
      </w:r>
      <w:r w:rsidRPr="00AD2F44">
        <w:t xml:space="preserve"> Reich v. Gateway Press, Inc., 13 F.3d 685, 702, 1 WH Cases2d 1313 (3d Cir. 1994).</w:t>
      </w:r>
    </w:p>
    <w:p w14:paraId="53C772F7" w14:textId="77777777" w:rsidR="004322B1" w:rsidRPr="00AD2F44" w:rsidRDefault="004322B1">
      <w:pPr>
        <w:pStyle w:val="14Footnote"/>
      </w:pPr>
      <w:r w:rsidRPr="00AD2F44">
        <w:rPr>
          <w:i/>
          <w:iCs/>
        </w:rPr>
        <w:t>Ninth Circuit:</w:t>
      </w:r>
      <w:r w:rsidRPr="00AD2F44">
        <w:t xml:space="preserve"> Alvarez v. IBP, Inc., 2001 WL 34897841, at *9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259246E6" w14:textId="77777777" w:rsidR="004322B1" w:rsidRPr="00AD2F44" w:rsidRDefault="004322B1">
      <w:pPr>
        <w:pStyle w:val="14Footnote"/>
      </w:pPr>
      <w:r w:rsidRPr="00AD2F44">
        <w:rPr>
          <w:i/>
        </w:rPr>
        <w:t>See also</w:t>
      </w:r>
    </w:p>
    <w:p w14:paraId="77B69EDF" w14:textId="77777777" w:rsidR="004322B1" w:rsidRPr="00AD2F44" w:rsidRDefault="004322B1">
      <w:pPr>
        <w:pStyle w:val="14Footnote"/>
      </w:pPr>
      <w:r w:rsidRPr="00AD2F44">
        <w:rPr>
          <w:i/>
          <w:iCs/>
        </w:rPr>
        <w:t>First Circuit:</w:t>
      </w:r>
      <w:r w:rsidRPr="00AD2F44">
        <w:t xml:space="preserve"> Herman v. Hector I. Nieves Transp., Inc., 91 F. Supp. 2d 435, 446–47, 6 WH Cases2d 1469 (D.P.R. 2000) (employer failed to rebut reasonableness of the inferences drawn from the representative testimony presented).</w:t>
      </w:r>
    </w:p>
    <w:p w14:paraId="33F9CF7E" w14:textId="77777777" w:rsidR="004322B1" w:rsidRPr="00AD2F44" w:rsidRDefault="004322B1">
      <w:pPr>
        <w:pStyle w:val="14Footnote"/>
      </w:pPr>
      <w:r w:rsidRPr="00AD2F44">
        <w:rPr>
          <w:i/>
          <w:iCs/>
        </w:rPr>
        <w:t xml:space="preserve">Second Circuit: </w:t>
      </w:r>
      <w:r w:rsidRPr="00AD2F44">
        <w:t>Reich v. Southern New Engl. Telecomms. Corp., 121 F.3d 58, 70 n.3, 4 WH Cases2d 33 (2d Cir. 1997) (same); Reich v. New Mt. Pleasant Bakery, Inc., 1993 WL 372270, at *6 (N.D.N.Y. Sept. 13, 1993) (same).</w:t>
      </w:r>
    </w:p>
    <w:p w14:paraId="1199DFA1" w14:textId="77777777" w:rsidR="004322B1" w:rsidRPr="00AD2F44" w:rsidRDefault="004322B1">
      <w:pPr>
        <w:pStyle w:val="14Footnote"/>
      </w:pPr>
      <w:r w:rsidRPr="00AD2F44">
        <w:rPr>
          <w:i/>
          <w:iCs/>
        </w:rPr>
        <w:t xml:space="preserve">Third Circuit: </w:t>
      </w:r>
      <w:r w:rsidRPr="00AD2F44">
        <w:t xml:space="preserve">Dole v. Solid Waste Servs., Inc., 733 F. Supp. 895, 926–27, 29 WH Cases 1490 (E.D. Pa. 1989), </w:t>
      </w:r>
      <w:r w:rsidRPr="00AD2F44">
        <w:rPr>
          <w:i/>
          <w:iCs/>
        </w:rPr>
        <w:t>aff’d</w:t>
      </w:r>
      <w:r w:rsidRPr="00AD2F44">
        <w:t>, 897 F.2d 521 (3d Cir. 1990) (same); McLaughlin v. DialAmerica Mktg., Inc., 716 F. Supp. 812, 817, 826, 29 WH Cases 645 (D.N.J. 1989) (same); Marshall v. R &amp; M Erectors, Inc., 429 F. Supp. 771, 778 (D. Del. 1977) (same).</w:t>
      </w:r>
    </w:p>
    <w:p w14:paraId="5724E892" w14:textId="77777777" w:rsidR="004322B1" w:rsidRPr="00AD2F44" w:rsidRDefault="004322B1">
      <w:pPr>
        <w:pStyle w:val="14Footnote"/>
      </w:pPr>
      <w:r w:rsidRPr="00AD2F44">
        <w:rPr>
          <w:i/>
          <w:iCs/>
        </w:rPr>
        <w:t>Fourth Circuit:</w:t>
      </w:r>
      <w:r w:rsidRPr="00AD2F44">
        <w:t xml:space="preserve"> Donovan v. Bel-Loc Diner, Inc., 780 F.2d 1113, 1116, 27 WH Cases 745 (4th Cir. 1985) (same).</w:t>
      </w:r>
    </w:p>
    <w:p w14:paraId="3DFB1503" w14:textId="77777777" w:rsidR="004322B1" w:rsidRPr="00AD2F44" w:rsidRDefault="004322B1">
      <w:pPr>
        <w:pStyle w:val="14Footnote"/>
      </w:pPr>
      <w:r w:rsidRPr="00AD2F44">
        <w:rPr>
          <w:i/>
          <w:iCs/>
        </w:rPr>
        <w:t>Ninth Circuit:</w:t>
      </w:r>
      <w:r w:rsidRPr="00AD2F44">
        <w:t xml:space="preserve"> McLaughlin v. Ho Fat Seto, 850 F.2d 586, 589, 28 WH Cases 1225 (9th Cir. 1988) (same); Donovan v. New Floridian Hotel, Inc., 676 F.2d 468, 473, 25 WH Cases 645 (11th Cir. 1982) (same).</w:t>
      </w:r>
    </w:p>
    <w:p w14:paraId="6461E41D" w14:textId="77777777" w:rsidR="004322B1" w:rsidRPr="00AD2F44" w:rsidRDefault="004322B1">
      <w:pPr>
        <w:pStyle w:val="14Footnote"/>
      </w:pPr>
      <w:r w:rsidRPr="00AD2F44">
        <w:rPr>
          <w:i/>
          <w:iCs/>
        </w:rPr>
        <w:t>Tenth Circuit:</w:t>
      </w:r>
      <w:r w:rsidRPr="00AD2F44">
        <w:t xml:space="preserve"> Donovan v. Simmons Petroleum Corp., 725 F.2d 83, 86, 26 WH Cases 936 (10th Cir. 1983) (same); Donovan v. Hudson Stations, Inc., 1983 WL 21110, at *8, 26 WH Cases 795 (D. Kan. Oct. 14, 1983) (same).</w:t>
      </w:r>
    </w:p>
  </w:footnote>
  <w:footnote w:id="830">
    <w:p w14:paraId="1A790614" w14:textId="77777777" w:rsidR="004322B1" w:rsidRPr="00AD2F44" w:rsidRDefault="004322B1">
      <w:pPr>
        <w:pStyle w:val="14Footnote"/>
      </w:pPr>
      <w:r w:rsidRPr="00AD2F44">
        <w:rPr>
          <w:vertAlign w:val="superscript"/>
        </w:rPr>
        <w:footnoteRef/>
      </w:r>
      <w:r w:rsidRPr="00AD2F44">
        <w:rPr>
          <w:i/>
          <w:iCs/>
        </w:rPr>
        <w:t>See, e.g.,</w:t>
      </w:r>
    </w:p>
    <w:p w14:paraId="2FEAE311" w14:textId="77777777" w:rsidR="004322B1" w:rsidRPr="00AD2F44" w:rsidRDefault="004322B1">
      <w:pPr>
        <w:pStyle w:val="14Footnote"/>
      </w:pPr>
      <w:r w:rsidRPr="00AD2F44">
        <w:rPr>
          <w:i/>
          <w:iCs/>
        </w:rPr>
        <w:t>Third Circuit:</w:t>
      </w:r>
      <w:r w:rsidRPr="00AD2F44">
        <w:t xml:space="preserve"> Reich v. Chez Robert, Inc., 821 F. Supp. 967, 979–84 (D.N.J. 1993) (making precise findings concerning damages to be awarded to particular witnesses based on arguments and evidence presented by defendant), </w:t>
      </w:r>
      <w:r w:rsidRPr="00AD2F44">
        <w:rPr>
          <w:i/>
          <w:iCs/>
        </w:rPr>
        <w:t>rev’d on other grounds</w:t>
      </w:r>
      <w:r w:rsidRPr="00AD2F44">
        <w:t xml:space="preserve">, 28 F.3d 401, 2 WH Cases2d 257 (3d Cir. 1994); </w:t>
      </w:r>
      <w:r w:rsidRPr="00AD2F44">
        <w:rPr>
          <w:i/>
          <w:iCs/>
        </w:rPr>
        <w:t>R &amp; M Erectors, Inc</w:t>
      </w:r>
      <w:r w:rsidRPr="00AD2F44">
        <w:t>., 429 F. Supp. at 779–81 (denying back wages to 11 individuals who Secretary had not adequately identified, and considering, but denying on merits, challenge to one individual who defendant claimed was not entitled to award because he was not employee).</w:t>
      </w:r>
    </w:p>
    <w:p w14:paraId="6115C6AF" w14:textId="77777777" w:rsidR="004322B1" w:rsidRPr="00AD2F44" w:rsidRDefault="004322B1">
      <w:pPr>
        <w:pStyle w:val="14Footnote"/>
      </w:pPr>
      <w:r w:rsidRPr="00AD2F44">
        <w:rPr>
          <w:i/>
          <w:iCs/>
        </w:rPr>
        <w:t>Fifth Circuit:</w:t>
      </w:r>
      <w:r w:rsidRPr="00AD2F44">
        <w:t xml:space="preserve"> Brennan v. General Motors Acceptance Corp., 482 F.2d 825, 829, 21 WH Cases 187 (5th Cir. 1973) (declining to award damages to 11 individuals that defendant showed had reported all overtime hours); Roussell v. Brinker, Int’l, Inc., 2009 WL 595978, at *1–2 (S.D. Tex. Mar. 6, 2009) (recognizing defendant’s right to show that individual employees were exempted from allegedly violative pattern or practice, and refusing to limit defendant’s evidence to 14 locations where plaintiffs’ witnesses worked).</w:t>
      </w:r>
    </w:p>
    <w:p w14:paraId="1B741AAB" w14:textId="77777777" w:rsidR="004322B1" w:rsidRPr="00AD2F44" w:rsidRDefault="004322B1">
      <w:pPr>
        <w:pStyle w:val="14Footnote"/>
      </w:pPr>
      <w:r w:rsidRPr="00AD2F44">
        <w:rPr>
          <w:i/>
          <w:iCs/>
        </w:rPr>
        <w:t>Ninth Circuit:</w:t>
      </w:r>
      <w:r w:rsidRPr="00AD2F44">
        <w:t xml:space="preserve"> Thiebes v. Wal-Mart Stores, Inc., 2004 WL 1688544, at *1 (D. Or. July 26, 2004) (allowing motions to dismiss individual plaintiffs following initial liability phase of bifurcated trial).</w:t>
      </w:r>
    </w:p>
    <w:p w14:paraId="502FC599" w14:textId="77777777" w:rsidR="004322B1" w:rsidRPr="00AD2F44" w:rsidRDefault="004322B1">
      <w:pPr>
        <w:pStyle w:val="14Footnote"/>
      </w:pPr>
      <w:r w:rsidRPr="00AD2F44">
        <w:rPr>
          <w:i/>
          <w:iCs/>
        </w:rPr>
        <w:t>See also</w:t>
      </w:r>
      <w:r w:rsidRPr="00AD2F44">
        <w:t xml:space="preserve"> Bueno v. Mattner, 633 F. Supp. 1446, 1456–60, 27 WH Cases 1257 (W.D. Mich. 1986) (finding that particular plaintiffs had failed to produce sufficient evidence to justify award, or full award, to those individuals). At least one district court has held that denying defendants the right to bring such evidence, especially where there are individualized issues, would create due process problems. </w:t>
      </w:r>
      <w:r w:rsidRPr="00AD2F44">
        <w:rPr>
          <w:i/>
          <w:iCs/>
        </w:rPr>
        <w:t>See</w:t>
      </w:r>
      <w:r w:rsidRPr="00AD2F44">
        <w:t xml:space="preserve"> Johnson v. Big Lots Stores, Inc., 561 F. Supp. 2d 567, 586–87 (E.D. La. 2008)</w:t>
      </w:r>
    </w:p>
  </w:footnote>
  <w:footnote w:id="831">
    <w:p w14:paraId="53BC5041" w14:textId="77777777" w:rsidR="004322B1" w:rsidRPr="00AD2F44" w:rsidRDefault="004322B1">
      <w:pPr>
        <w:pStyle w:val="14Footnote"/>
      </w:pPr>
      <w:r w:rsidRPr="00AD2F44">
        <w:rPr>
          <w:vertAlign w:val="superscript"/>
        </w:rPr>
        <w:footnoteRef/>
      </w:r>
      <w:r w:rsidRPr="00AD2F44">
        <w:rPr>
          <w:i/>
          <w:iCs/>
        </w:rPr>
        <w:t>See, e.g.,</w:t>
      </w:r>
    </w:p>
    <w:p w14:paraId="7A5FA700" w14:textId="77777777" w:rsidR="004322B1" w:rsidRPr="00AD2F44" w:rsidRDefault="004322B1">
      <w:pPr>
        <w:pStyle w:val="14Footnote"/>
      </w:pPr>
      <w:r w:rsidRPr="00AD2F44">
        <w:rPr>
          <w:i/>
          <w:iCs/>
        </w:rPr>
        <w:t>Fifth Circuit:</w:t>
      </w:r>
      <w:r w:rsidRPr="00AD2F44">
        <w:t xml:space="preserve"> Johnson v. Big Lots Stores, Inc., 2008 WL 1930681, at *14 (E.D. La. Apr. 29, 2008).</w:t>
      </w:r>
    </w:p>
    <w:p w14:paraId="42969F97" w14:textId="77777777" w:rsidR="004322B1" w:rsidRPr="00AD2F44" w:rsidRDefault="004322B1">
      <w:pPr>
        <w:pStyle w:val="14Footnote"/>
      </w:pPr>
      <w:r w:rsidRPr="00AD2F44">
        <w:rPr>
          <w:i/>
          <w:iCs/>
        </w:rPr>
        <w:t>Eighth Circuit:</w:t>
      </w:r>
      <w:r w:rsidRPr="00AD2F44">
        <w:t xml:space="preserve"> Gomez v. Tyson Foods, Inc., 976 F. Supp. 2d 1169, 1177 n.8, 1182 (D. Neb. 2013).</w:t>
      </w:r>
    </w:p>
    <w:p w14:paraId="27752F9C" w14:textId="77777777" w:rsidR="004322B1" w:rsidRPr="00AD2F44" w:rsidRDefault="004322B1">
      <w:pPr>
        <w:pStyle w:val="14Footnote"/>
      </w:pPr>
      <w:r w:rsidRPr="00AD2F44">
        <w:rPr>
          <w:i/>
          <w:iCs/>
        </w:rPr>
        <w:t>Ninth Circuit:</w:t>
      </w:r>
      <w:r w:rsidRPr="00AD2F44">
        <w:t xml:space="preserve"> Chavez v. IBP, Inc., 2004 WL 5520002, at *12 (E.D. Wash. Dec. 8, 2004).</w:t>
      </w:r>
    </w:p>
  </w:footnote>
  <w:footnote w:id="832">
    <w:p w14:paraId="55B03FA6" w14:textId="77777777" w:rsidR="004322B1" w:rsidRPr="00AD2F44" w:rsidRDefault="004322B1">
      <w:pPr>
        <w:pStyle w:val="14Footnote"/>
      </w:pPr>
      <w:r w:rsidRPr="00AD2F44">
        <w:rPr>
          <w:vertAlign w:val="superscript"/>
        </w:rPr>
        <w:footnoteRef/>
      </w:r>
      <w:r w:rsidRPr="00AD2F44">
        <w:rPr>
          <w:smallCaps/>
        </w:rPr>
        <w:t>Fed. R. Evid.</w:t>
      </w:r>
      <w:r w:rsidRPr="00AD2F44">
        <w:t xml:space="preserve"> 702. The admissibility of expert testimony to support a motion for summary judgment on FLSA collective claims is similarly governed by Rule 702. </w:t>
      </w:r>
      <w:r w:rsidRPr="00AD2F44">
        <w:rPr>
          <w:i/>
          <w:iCs/>
        </w:rPr>
        <w:t>See, e.g</w:t>
      </w:r>
      <w:r w:rsidRPr="00AD2F44">
        <w:t>.,</w:t>
      </w:r>
    </w:p>
    <w:p w14:paraId="6586A42F" w14:textId="77777777" w:rsidR="004322B1" w:rsidRPr="00AD2F44" w:rsidRDefault="004322B1">
      <w:pPr>
        <w:pStyle w:val="14Footnote"/>
      </w:pPr>
      <w:r w:rsidRPr="00AD2F44">
        <w:rPr>
          <w:i/>
          <w:iCs/>
        </w:rPr>
        <w:t>First Circuit:</w:t>
      </w:r>
      <w:r w:rsidRPr="00AD2F44">
        <w:t xml:space="preserve"> Lassen v. Hoyt Livery, Inc., 2016 WL 7165716 (D. Conn. Dec. 8, 2016) (allowing expert testimony only as to nine drivers for whom expert was provided specific data instead of extrapolating his findings to other drivers because he was ultimately given data on all drivers and chose not to make individual assessments).</w:t>
      </w:r>
    </w:p>
    <w:p w14:paraId="795599F4" w14:textId="77777777" w:rsidR="004322B1" w:rsidRPr="00AD2F44" w:rsidRDefault="004322B1">
      <w:pPr>
        <w:pStyle w:val="14Footnote"/>
      </w:pPr>
      <w:r w:rsidRPr="00AD2F44">
        <w:rPr>
          <w:i/>
          <w:iCs/>
        </w:rPr>
        <w:t>Fifth Circuit:</w:t>
      </w:r>
      <w:r w:rsidRPr="00AD2F44">
        <w:t xml:space="preserve"> Roussell v. Brinker Int’l, Inc., 2008 WL 2714079, at *26–27 (S.D. Tex. July 9, 2008) (excluding expert testimony where opinion was not published, subjected to peer review, or tested, and no evidence that expert’s very small sample provided sufficient support for his conclusions).</w:t>
      </w:r>
    </w:p>
    <w:p w14:paraId="640021A5" w14:textId="77777777" w:rsidR="004322B1" w:rsidRPr="00AD2F44" w:rsidRDefault="004322B1">
      <w:pPr>
        <w:pStyle w:val="14Footnote"/>
      </w:pPr>
      <w:r w:rsidRPr="00AD2F44">
        <w:rPr>
          <w:i/>
          <w:iCs/>
        </w:rPr>
        <w:t>Sixth Circuit:</w:t>
      </w:r>
      <w:r w:rsidRPr="00AD2F44">
        <w:t xml:space="preserve"> Cowan v. Treetop Enter., Inc., 120 F. Supp. 2d 672, 681–84 (M.D. Tenn. 1999) (excluding expert testimony supporting motion for summary judgment where based on unreliable methodology).</w:t>
      </w:r>
    </w:p>
    <w:p w14:paraId="7417A874" w14:textId="77777777" w:rsidR="004322B1" w:rsidRPr="00AD2F44" w:rsidRDefault="004322B1">
      <w:pPr>
        <w:pStyle w:val="14Footnote"/>
      </w:pPr>
      <w:r w:rsidRPr="00AD2F44">
        <w:rPr>
          <w:i/>
          <w:iCs/>
        </w:rPr>
        <w:t>Seventh Circuit:</w:t>
      </w:r>
      <w:r w:rsidRPr="00AD2F44">
        <w:t xml:space="preserve"> Smith v. Family Video Movie Club, Inc., 2015 WL 1542663, at *1–6 (N.D. Ill. Mar. 31, 2015) (finding testimony from certified public accountant (CPA) regarding plaintiffs’ damages admissible where methodology was reliable and would assist trier of fact); Kasten v. Saint-Gobain Performance Plastics Corp., 556 F. Supp. 2d 941, 945–46 (W.D. Wis. 2008).</w:t>
      </w:r>
    </w:p>
    <w:p w14:paraId="4AA67176" w14:textId="77777777" w:rsidR="004322B1" w:rsidRPr="00AD2F44" w:rsidRDefault="004322B1">
      <w:pPr>
        <w:pStyle w:val="14Footnote"/>
      </w:pPr>
      <w:r w:rsidRPr="00AD2F44">
        <w:rPr>
          <w:i/>
          <w:iCs/>
        </w:rPr>
        <w:t>Eighth Circuit:</w:t>
      </w:r>
      <w:r w:rsidRPr="00AD2F44">
        <w:t xml:space="preserve"> Childress v. Ozark Delivery of Mo., LLC, 2014 WL 7181038, at *6 (W.D. Mo. Dec. 16, 2014) (permitting expert testimony on damages in FLSA collective action for calculations for 56 plaintiffs over three-year span).</w:t>
      </w:r>
    </w:p>
    <w:p w14:paraId="6E5B9781" w14:textId="77777777" w:rsidR="004322B1" w:rsidRPr="00AD2F44" w:rsidRDefault="004322B1">
      <w:pPr>
        <w:pStyle w:val="14Footnote"/>
      </w:pPr>
      <w:r w:rsidRPr="00AD2F44">
        <w:rPr>
          <w:i/>
          <w:iCs/>
        </w:rPr>
        <w:t>Eleventh Circuit:</w:t>
      </w:r>
      <w:r w:rsidRPr="00AD2F44">
        <w:t xml:space="preserve"> Benton v. Deli Mgmt., Inc., 396 F. Supp. 3d 1261 (N.D. Ga. 2019) (denying motion to exclude expert who provided testimony on industry standards and reimbursement rates, finding employer’s argument went to weight of testimony and could be developed on cross examination); Geter v. Galardi S. Enters., Inc., 2015 WL 2155721, at *1–4 (S.D. Fla. May 7, 2015) (excluding CPA’s testimony as expert testimony on damages but permitting it as lay witness testimony where “the calculations are of the type that even most teenagers readily understand: an hourly wage, an overtime rate, the number of hours worked, and fees Plaintiffs were required to pay to perform”).</w:t>
      </w:r>
    </w:p>
    <w:p w14:paraId="4AD00F52" w14:textId="77777777" w:rsidR="004322B1" w:rsidRPr="00AD2F44" w:rsidRDefault="004322B1">
      <w:pPr>
        <w:pStyle w:val="14Footnote"/>
      </w:pPr>
      <w:r w:rsidRPr="00AD2F44">
        <w:t xml:space="preserve">At least one district court has held that expert testimony submitted at the “notice” or “conditional certification” stage need not meet the standards for admissibility at trial or the standards under Rule 56(e). </w:t>
      </w:r>
      <w:r w:rsidRPr="00AD2F44">
        <w:rPr>
          <w:i/>
          <w:iCs/>
        </w:rPr>
        <w:t>See</w:t>
      </w:r>
      <w:r w:rsidRPr="00AD2F44">
        <w:t xml:space="preserve"> White v. MPW Indus. Servs., 236 F.R.D. 363, 369–70 (E.D. Tenn. 2006) (denying motion to strike expert’s testimony in support of plaintiffs’ notice motion despite inclusion of hearsay statements and legal conclusions).</w:t>
      </w:r>
    </w:p>
  </w:footnote>
  <w:footnote w:id="833">
    <w:p w14:paraId="2AE8A684" w14:textId="77777777" w:rsidR="004322B1" w:rsidRPr="00AD2F44" w:rsidRDefault="004322B1">
      <w:pPr>
        <w:pStyle w:val="14Footnote"/>
      </w:pPr>
      <w:r w:rsidRPr="00AD2F44">
        <w:rPr>
          <w:vertAlign w:val="superscript"/>
        </w:rPr>
        <w:footnoteRef/>
      </w:r>
      <w:r w:rsidRPr="00AD2F44">
        <w:t>509 U.S. 579 (1993).</w:t>
      </w:r>
    </w:p>
  </w:footnote>
  <w:footnote w:id="834">
    <w:p w14:paraId="3A48D4BE"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589; </w:t>
      </w:r>
      <w:r w:rsidRPr="00AD2F44">
        <w:rPr>
          <w:i/>
          <w:iCs/>
        </w:rPr>
        <w:t>see also</w:t>
      </w:r>
      <w:r w:rsidRPr="00AD2F44">
        <w:t xml:space="preserve"> </w:t>
      </w:r>
      <w:r w:rsidRPr="00AD2F44">
        <w:rPr>
          <w:smallCaps/>
        </w:rPr>
        <w:t xml:space="preserve">Fed. R. Evid. </w:t>
      </w:r>
      <w:r w:rsidRPr="00AD2F44">
        <w:t>702 advisory committee’s note (2000 amendments) (discussing additional factors relevant in determining whether expert testimony is sufficiently reliable to be considered by the fact finder).</w:t>
      </w:r>
    </w:p>
  </w:footnote>
  <w:footnote w:id="835">
    <w:p w14:paraId="17165F1B" w14:textId="77777777" w:rsidR="004322B1" w:rsidRPr="00AD2F44" w:rsidRDefault="004322B1">
      <w:pPr>
        <w:pStyle w:val="14Footnote"/>
      </w:pPr>
      <w:r w:rsidRPr="00AD2F44">
        <w:rPr>
          <w:vertAlign w:val="superscript"/>
        </w:rPr>
        <w:footnoteRef/>
      </w:r>
      <w:r w:rsidRPr="00AD2F44">
        <w:rPr>
          <w:i/>
          <w:iCs/>
        </w:rPr>
        <w:t>Daubert</w:t>
      </w:r>
      <w:r w:rsidRPr="00AD2F44">
        <w:t>, 509 U.S. at 592–93.</w:t>
      </w:r>
    </w:p>
  </w:footnote>
  <w:footnote w:id="836">
    <w:p w14:paraId="504B5FBB" w14:textId="77777777" w:rsidR="004322B1" w:rsidRPr="00AD2F44" w:rsidRDefault="004322B1">
      <w:pPr>
        <w:pStyle w:val="14Footnote"/>
      </w:pPr>
      <w:r w:rsidRPr="00AD2F44">
        <w:rPr>
          <w:vertAlign w:val="superscript"/>
        </w:rPr>
        <w:footnoteRef/>
      </w:r>
      <w:r w:rsidRPr="00AD2F44">
        <w:rPr>
          <w:i/>
          <w:iCs/>
        </w:rPr>
        <w:t>See</w:t>
      </w:r>
      <w:r w:rsidRPr="00AD2F44">
        <w:t xml:space="preserve"> Bourjaily v. United States, 483 U.S. 171, 175 (1987); Moore v. Ashland Chem. Inc., 151 F.3d 269, 276 (5th Cir. 1998).</w:t>
      </w:r>
    </w:p>
  </w:footnote>
  <w:footnote w:id="837">
    <w:p w14:paraId="76A4695D" w14:textId="77777777" w:rsidR="004322B1" w:rsidRPr="00AD2F44" w:rsidRDefault="004322B1">
      <w:pPr>
        <w:pStyle w:val="14Footnote"/>
      </w:pPr>
      <w:r w:rsidRPr="00AD2F44">
        <w:rPr>
          <w:vertAlign w:val="superscript"/>
        </w:rPr>
        <w:footnoteRef/>
      </w:r>
      <w:r w:rsidRPr="00AD2F44">
        <w:t>Kumho Tire Co. v. Carmichael, 526 U.S. 137, 141–42 (1999).</w:t>
      </w:r>
    </w:p>
  </w:footnote>
  <w:footnote w:id="838">
    <w:p w14:paraId="1C6B0C39" w14:textId="77777777" w:rsidR="004322B1" w:rsidRPr="00AD2F44" w:rsidRDefault="004322B1">
      <w:pPr>
        <w:pStyle w:val="14Footnote"/>
        <w:rPr>
          <w:i/>
          <w:iCs/>
        </w:rPr>
      </w:pPr>
      <w:r w:rsidRPr="00AD2F44">
        <w:rPr>
          <w:vertAlign w:val="superscript"/>
        </w:rPr>
        <w:footnoteRef/>
      </w:r>
      <w:r w:rsidRPr="00AD2F44">
        <w:rPr>
          <w:i/>
          <w:iCs/>
        </w:rPr>
        <w:t>See, e.g</w:t>
      </w:r>
      <w:r w:rsidRPr="00AD2F44">
        <w:t xml:space="preserve">., Ayers v. SGS Control Servs., Inc., 2007 WL 3171342, at *1 (S.D.N.Y. Oct. 9, 2007) (denying both parties’ motions to exclude expert testimony in bench trial on FLSA collective actions as neither party would be prejudiced by admission); </w:t>
      </w:r>
      <w:r w:rsidRPr="00AD2F44">
        <w:rPr>
          <w:i/>
          <w:iCs/>
        </w:rPr>
        <w:t>see also</w:t>
      </w:r>
    </w:p>
    <w:p w14:paraId="51C0AEDD" w14:textId="77777777" w:rsidR="004322B1" w:rsidRPr="00AD2F44" w:rsidRDefault="004322B1">
      <w:pPr>
        <w:pStyle w:val="14Footnote"/>
      </w:pPr>
      <w:r w:rsidRPr="00AD2F44">
        <w:rPr>
          <w:i/>
          <w:iCs/>
        </w:rPr>
        <w:t>Federal Circuit:</w:t>
      </w:r>
      <w:r w:rsidRPr="00AD2F44">
        <w:t xml:space="preserve"> Seaboard Lumber Co. v. United States, 308 F.3d 1283, 1301–02 (Fed. Cir. 2002).</w:t>
      </w:r>
    </w:p>
    <w:p w14:paraId="68012B0D" w14:textId="77777777" w:rsidR="004322B1" w:rsidRPr="00AD2F44" w:rsidRDefault="004322B1">
      <w:pPr>
        <w:pStyle w:val="14Footnote"/>
      </w:pPr>
      <w:r w:rsidRPr="00AD2F44">
        <w:rPr>
          <w:i/>
          <w:iCs/>
        </w:rPr>
        <w:t>Fifth Circuit:</w:t>
      </w:r>
      <w:r w:rsidRPr="00AD2F44">
        <w:t xml:space="preserve"> Gibbs v. Gibbs, 210 F.3d 491, 500 (5th Cir. 2000); Johnson v. Big Lots Stores, Inc., 2008 WL 1930681, at *2 (E.D. La. Apr. 29, 2008).</w:t>
      </w:r>
    </w:p>
    <w:p w14:paraId="0FDD789A" w14:textId="77777777" w:rsidR="004322B1" w:rsidRPr="00AD2F44" w:rsidRDefault="004322B1">
      <w:pPr>
        <w:pStyle w:val="14Footnote"/>
      </w:pPr>
      <w:r w:rsidRPr="00AD2F44">
        <w:rPr>
          <w:i/>
          <w:iCs/>
        </w:rPr>
        <w:t>Seventh Circuit:</w:t>
      </w:r>
      <w:r w:rsidRPr="00AD2F44">
        <w:t xml:space="preserve"> SmithKline Beecham Corp. v. Apotex Corp., 247 F. Supp. 2d 1011, 1042 (N.D. Ill. 2003), </w:t>
      </w:r>
      <w:r w:rsidRPr="00AD2F44">
        <w:rPr>
          <w:i/>
          <w:iCs/>
        </w:rPr>
        <w:t>aff’d on other grounds</w:t>
      </w:r>
      <w:r w:rsidRPr="00AD2F44">
        <w:t>, 403 F.3d 1331 (Fed. Cir. 2005).</w:t>
      </w:r>
    </w:p>
    <w:p w14:paraId="3E686E7B" w14:textId="77777777" w:rsidR="004322B1" w:rsidRPr="00AD2F44" w:rsidRDefault="004322B1">
      <w:pPr>
        <w:pStyle w:val="14Footnote"/>
      </w:pPr>
      <w:r w:rsidRPr="00AD2F44">
        <w:rPr>
          <w:i/>
          <w:iCs/>
        </w:rPr>
        <w:t>Ninth Circuit:</w:t>
      </w:r>
      <w:r w:rsidRPr="00AD2F44">
        <w:t xml:space="preserve"> Volk v. United States, 57 F. Supp. 2d 888, 896 n.5 (N.D. Cal. 1999).</w:t>
      </w:r>
    </w:p>
  </w:footnote>
  <w:footnote w:id="839">
    <w:p w14:paraId="476349E9" w14:textId="77777777" w:rsidR="004322B1" w:rsidRPr="00AD2F44" w:rsidRDefault="004322B1">
      <w:pPr>
        <w:pStyle w:val="14Footnote"/>
      </w:pPr>
      <w:r w:rsidRPr="00AD2F44">
        <w:rPr>
          <w:vertAlign w:val="superscript"/>
        </w:rPr>
        <w:footnoteRef/>
      </w:r>
      <w:r w:rsidRPr="00AD2F44">
        <w:rPr>
          <w:i/>
          <w:iCs/>
        </w:rPr>
        <w:t>Kumho Tire Co</w:t>
      </w:r>
      <w:r w:rsidRPr="00AD2F44">
        <w:t xml:space="preserve">., 526 U.S. at 141–42; </w:t>
      </w:r>
      <w:r w:rsidRPr="00AD2F44">
        <w:rPr>
          <w:i/>
          <w:iCs/>
        </w:rPr>
        <w:t>see also</w:t>
      </w:r>
      <w:r w:rsidRPr="00AD2F44">
        <w:t xml:space="preserve"> United States. v. Frazier, 387 F.3d 1244, 1262–63 (11th Cir. 2004) (“The same criteria that are used to assess the reliability of a scientific opinion may be used to evaluate the reliability of non-specific, experience-based testimony.”).</w:t>
      </w:r>
    </w:p>
  </w:footnote>
  <w:footnote w:id="840">
    <w:p w14:paraId="471758B2" w14:textId="77777777" w:rsidR="004322B1" w:rsidRPr="00AD2F44" w:rsidRDefault="004322B1">
      <w:pPr>
        <w:pStyle w:val="14Footnote"/>
      </w:pPr>
      <w:r w:rsidRPr="00AD2F44">
        <w:rPr>
          <w:vertAlign w:val="superscript"/>
        </w:rPr>
        <w:footnoteRef/>
      </w:r>
      <w:r w:rsidRPr="00AD2F44">
        <w:rPr>
          <w:i/>
          <w:iCs/>
        </w:rPr>
        <w:t>See, e.g</w:t>
      </w:r>
      <w:r w:rsidRPr="00AD2F44">
        <w:t>., Scott v. City of N.Y., 591 F. Supp. 2d 554, 562–64 (S.D.N.Y. 2008) (permitting expert testimony by former employee of New York City Police Department where expert testimony based on “wealth of social science literature concerning organization theory generally and police management in particular” and “personal observations made in a lengthy career at the NYPD”); Zheng v. Liberty Apparel Co., Inc., 556 F. Supp. 2d 284, 291–83 (S.D.N.Y. 2008) (allowing testimony of two experts for plaintiffs, one a former DOL investigator and compliance officer regarding the custom and historical practices in the garment industry and one a history professor regarding the labor practices in the garment industry); Perez v. Radioshack Corp., 2005 WL 3455858, at *3 (N.D. Ill. Dec. 13, 2005) (permitting testimony of former DOL employee</w:t>
      </w:r>
      <w:r w:rsidRPr="00AD2F44">
        <w:rPr>
          <w:i/>
          <w:iCs/>
        </w:rPr>
        <w:t xml:space="preserve"> </w:t>
      </w:r>
      <w:r w:rsidRPr="00AD2F44">
        <w:t>regarding DOL’s standards and practices in assessing employees’ exempt status).</w:t>
      </w:r>
    </w:p>
  </w:footnote>
  <w:footnote w:id="841">
    <w:p w14:paraId="65B27177" w14:textId="77777777" w:rsidR="004322B1" w:rsidRPr="00AD2F44" w:rsidRDefault="004322B1">
      <w:pPr>
        <w:pStyle w:val="14Footnote"/>
      </w:pPr>
      <w:r w:rsidRPr="00AD2F44">
        <w:rPr>
          <w:vertAlign w:val="superscript"/>
        </w:rPr>
        <w:footnoteRef/>
      </w:r>
      <w:r w:rsidRPr="00AD2F44">
        <w:rPr>
          <w:i/>
          <w:iCs/>
        </w:rPr>
        <w:t>See Kumho Tire Co</w:t>
      </w:r>
      <w:r w:rsidRPr="00AD2F44">
        <w:t xml:space="preserve">., 526 U.S. at 141–42; </w:t>
      </w:r>
      <w:r w:rsidRPr="00AD2F44">
        <w:rPr>
          <w:i/>
          <w:iCs/>
        </w:rPr>
        <w:t>see also</w:t>
      </w:r>
      <w:r w:rsidRPr="00AD2F44">
        <w:t xml:space="preserve"> Watkins v. Telsmith, Inc., 121 F.3d 984, 991 (5th Cir. 1997) (“[I]t seems exactly backwards that experts who purport to rely on general engineering principles and practical experience might escape screening by the district court simply by stating that their conclusions were not reached by any particular method or technique.”).</w:t>
      </w:r>
    </w:p>
  </w:footnote>
  <w:footnote w:id="842">
    <w:p w14:paraId="09B7C30B" w14:textId="77777777" w:rsidR="004322B1" w:rsidRPr="00AD2F44" w:rsidRDefault="004322B1" w:rsidP="000B6C5F">
      <w:pPr>
        <w:pStyle w:val="FootnoteText"/>
      </w:pPr>
      <w:r w:rsidRPr="00AD2F44">
        <w:rPr>
          <w:rStyle w:val="FootnoteReference"/>
        </w:rPr>
        <w:footnoteRef/>
      </w:r>
      <w:r w:rsidRPr="00AD2F44">
        <w:t xml:space="preserve">Tyger v. Precision Drilling Corp., 832 F. App’x 108 (3d Cir. 2020) (holding that plaintiffs may rely on lay witness testimony and documentary evidence to show that donning and doffing was integral and indispensable to plaintiffs’ work drilling oil and gas wells). </w:t>
      </w:r>
    </w:p>
  </w:footnote>
  <w:footnote w:id="843">
    <w:p w14:paraId="69C2242E" w14:textId="77777777" w:rsidR="004322B1" w:rsidRPr="00AD2F44" w:rsidRDefault="004322B1">
      <w:pPr>
        <w:pStyle w:val="14Footnote"/>
      </w:pPr>
      <w:r w:rsidRPr="00AD2F44">
        <w:rPr>
          <w:vertAlign w:val="superscript"/>
        </w:rPr>
        <w:footnoteRef/>
      </w:r>
      <w:r w:rsidRPr="00AD2F44">
        <w:rPr>
          <w:i/>
        </w:rPr>
        <w:t>See</w:t>
      </w:r>
    </w:p>
    <w:p w14:paraId="57F2F8D6" w14:textId="77777777" w:rsidR="004322B1" w:rsidRPr="00AD2F44" w:rsidRDefault="004322B1">
      <w:pPr>
        <w:pStyle w:val="14Footnote"/>
      </w:pPr>
      <w:r w:rsidRPr="00AD2F44">
        <w:rPr>
          <w:i/>
          <w:iCs/>
        </w:rPr>
        <w:t>Fifth Circuit:</w:t>
      </w:r>
      <w:r w:rsidRPr="00AD2F44">
        <w:t xml:space="preserve"> Little v. Technical Specialty Prods., LLC, 940 F. Supp. 2d 460, 468–69 (E.D. Tex. 2011) (permitting testimony from damages expert under </w:t>
      </w:r>
      <w:r w:rsidRPr="00AD2F44">
        <w:rPr>
          <w:i/>
          <w:iCs/>
        </w:rPr>
        <w:t xml:space="preserve">Daubert </w:t>
      </w:r>
      <w:r w:rsidRPr="00AD2F44">
        <w:t>standard where expert’s methodology appeared to be based on mathematical calculations and, as such, could be “tested and verified for accuracy”).</w:t>
      </w:r>
    </w:p>
    <w:p w14:paraId="1F411AD0" w14:textId="77777777" w:rsidR="004322B1" w:rsidRPr="00AD2F44" w:rsidRDefault="004322B1">
      <w:pPr>
        <w:pStyle w:val="14Footnote"/>
      </w:pPr>
      <w:r w:rsidRPr="00AD2F44">
        <w:rPr>
          <w:i/>
          <w:iCs/>
        </w:rPr>
        <w:t>Seventh Circuit:</w:t>
      </w:r>
      <w:r w:rsidRPr="00AD2F44">
        <w:t xml:space="preserve"> Smith v. Family Video Movie Club, Inc., 2015 WL 1542663, at *1–6 (N.D. Ill. Mar. 31, 2015) (finding testimony from CPA regarding plaintiffs’ damages admissible where methodology was reliable and would assist trier of fact).</w:t>
      </w:r>
    </w:p>
    <w:p w14:paraId="1FAE54B6" w14:textId="77777777" w:rsidR="004322B1" w:rsidRPr="00AD2F44" w:rsidRDefault="004322B1">
      <w:pPr>
        <w:pStyle w:val="14Footnote"/>
      </w:pPr>
      <w:r w:rsidRPr="00AD2F44">
        <w:rPr>
          <w:i/>
          <w:iCs/>
        </w:rPr>
        <w:t>Eighth Circuit:</w:t>
      </w:r>
      <w:r w:rsidRPr="00AD2F44">
        <w:t xml:space="preserve"> Childress v. Ozark Delivery of Mo., LLC, 2014 WL 7181038, at *6 (W.D. Mo. Dec. 16, 2014) (permitting expert testimony on damages calculations for 56 plaintiffs over three-year span, finding that calculations—which relied on three separate forms of pay data, segregated weeks where employees worked fewer than 40 hours, and calculated averages to missing data—were helpful to jury).</w:t>
      </w:r>
    </w:p>
    <w:p w14:paraId="7DF497F7" w14:textId="77777777" w:rsidR="004322B1" w:rsidRPr="00AD2F44" w:rsidRDefault="004322B1">
      <w:pPr>
        <w:pStyle w:val="14Footnote"/>
      </w:pPr>
      <w:r w:rsidRPr="00AD2F44">
        <w:rPr>
          <w:i/>
          <w:iCs/>
        </w:rPr>
        <w:t>Tenth Circuit</w:t>
      </w:r>
      <w:r w:rsidRPr="00AD2F44">
        <w:t xml:space="preserve">: Coronado v. Flowers Foods, Inc., 2021 BL 373711, 2021 WL 4477910 (D.N.M. Sept. 30, 2021) (granting in part and rejecting in part defendant’s motion to exclude plaintiffs’ economist expert testimony on damages, finding parts of expert report conflicted with FLSA legal standards regarding business expenses and regular rate calculations). </w:t>
      </w:r>
    </w:p>
    <w:p w14:paraId="2B76D45F" w14:textId="77777777" w:rsidR="004322B1" w:rsidRPr="00AD2F44" w:rsidRDefault="004322B1">
      <w:pPr>
        <w:pStyle w:val="14Footnote"/>
      </w:pPr>
      <w:r w:rsidRPr="00AD2F44">
        <w:rPr>
          <w:i/>
          <w:iCs/>
        </w:rPr>
        <w:t>Eleventh Circuit:</w:t>
      </w:r>
      <w:r w:rsidRPr="00AD2F44">
        <w:t xml:space="preserve"> Geter v. Galardi S. Enters., Inc., 2015 WL 2155721, at *1–4 (S.D. Fla. May 7, 2015) (excluding CPA’s testimony as expert testimony on damages but permitting it as lay witness testimony where “the calculations are of the type that even most teenagers readily understand: an hourly wage, an overtime rate, the number of hours worked, and fees Plaintiffs were required to pay to perform”).</w:t>
      </w:r>
    </w:p>
    <w:p w14:paraId="08BDFAE2" w14:textId="77777777" w:rsidR="004322B1" w:rsidRPr="00AD2F44" w:rsidRDefault="004322B1">
      <w:pPr>
        <w:pStyle w:val="14Footnote"/>
      </w:pPr>
      <w:r w:rsidRPr="00AD2F44">
        <w:rPr>
          <w:i/>
          <w:iCs/>
        </w:rPr>
        <w:t xml:space="preserve">Federal Circuit: </w:t>
      </w:r>
      <w:r w:rsidRPr="00AD2F44">
        <w:t>Abbey v. United States, 106 Fed. Cl. 254, 272, 2012 WHCases2d 155801 (2012) (accrediting expert’s damages calculation using first-in, first-out method on use of compensatory time).</w:t>
      </w:r>
    </w:p>
  </w:footnote>
  <w:footnote w:id="844">
    <w:p w14:paraId="7B4E76AE" w14:textId="77777777" w:rsidR="004322B1" w:rsidRPr="00AD2F44" w:rsidRDefault="004322B1">
      <w:pPr>
        <w:pStyle w:val="14Footnote"/>
      </w:pPr>
      <w:r w:rsidRPr="00AD2F44">
        <w:rPr>
          <w:vertAlign w:val="superscript"/>
        </w:rPr>
        <w:footnoteRef/>
      </w:r>
      <w:r w:rsidRPr="00AD2F44">
        <w:t xml:space="preserve">Valladon v. City of Oakland, 2009 WL 585804, at *2–3 (N.D. Cal. Mar. 5, 2009). </w:t>
      </w:r>
    </w:p>
  </w:footnote>
  <w:footnote w:id="845">
    <w:p w14:paraId="0C2BF576" w14:textId="77777777" w:rsidR="004322B1" w:rsidRPr="00AD2F44" w:rsidRDefault="004322B1">
      <w:pPr>
        <w:pStyle w:val="14Footnote"/>
      </w:pPr>
      <w:r w:rsidRPr="00AD2F44">
        <w:rPr>
          <w:vertAlign w:val="superscript"/>
        </w:rPr>
        <w:footnoteRef/>
      </w:r>
      <w:r w:rsidRPr="00AD2F44">
        <w:rPr>
          <w:i/>
          <w:iCs/>
        </w:rPr>
        <w:t>Id</w:t>
      </w:r>
      <w:r w:rsidRPr="00AD2F44">
        <w:t xml:space="preserve">. at *2; </w:t>
      </w:r>
      <w:r w:rsidRPr="00AD2F44">
        <w:rPr>
          <w:i/>
          <w:iCs/>
        </w:rPr>
        <w:t xml:space="preserve">see also </w:t>
      </w:r>
      <w:r w:rsidRPr="00AD2F44">
        <w:t>Singer v. City of Waco, 324 F.3d 813, 822 (5th Cir. 2003) (permitting former DOL official to testify generally on how FLSA applies to firefighters but excluding him from testifying regarding ultimate issue of FLSA violations or willfulness by employer); Zheng v. Liberty Apparel Co., Inc., 556 F. Supp. 2d 284, 292–93 (S.D.N.Y. 2008)</w:t>
      </w:r>
      <w:r w:rsidRPr="00AD2F44">
        <w:rPr>
          <w:i/>
          <w:iCs/>
        </w:rPr>
        <w:t xml:space="preserve"> </w:t>
      </w:r>
      <w:r w:rsidRPr="00AD2F44">
        <w:t xml:space="preserve">(permitting testimony of former DOL official to assist trier of fact in understanding “custom and historical practices” in garment industry as such information related to issues regarding joint employment); </w:t>
      </w:r>
      <w:r w:rsidRPr="00AD2F44">
        <w:rPr>
          <w:i/>
          <w:iCs/>
        </w:rPr>
        <w:t>cf</w:t>
      </w:r>
      <w:r w:rsidRPr="00AD2F44">
        <w:t xml:space="preserve">. </w:t>
      </w:r>
      <w:r w:rsidRPr="00AD2F44">
        <w:rPr>
          <w:i/>
          <w:iCs/>
        </w:rPr>
        <w:t>Geter</w:t>
      </w:r>
      <w:r w:rsidRPr="00AD2F44">
        <w:t xml:space="preserve">, 2015 WL 2155721, at *4–5 (excluding CPA’s testimony on ultimate issue of whether worker was independent contractor, in part because “whether Plaintiffs are independent contractors is a question of law and is not the proper subject of expert opinion”). </w:t>
      </w:r>
    </w:p>
  </w:footnote>
  <w:footnote w:id="846">
    <w:p w14:paraId="0D747A46" w14:textId="77777777" w:rsidR="004322B1" w:rsidRPr="00AD2F44" w:rsidRDefault="004322B1">
      <w:pPr>
        <w:pStyle w:val="14Footnote"/>
      </w:pPr>
      <w:r w:rsidRPr="00AD2F44">
        <w:rPr>
          <w:vertAlign w:val="superscript"/>
        </w:rPr>
        <w:footnoteRef/>
      </w:r>
      <w:r w:rsidRPr="00AD2F44">
        <w:rPr>
          <w:i/>
          <w:iCs/>
        </w:rPr>
        <w:t>See</w:t>
      </w:r>
      <w:r w:rsidRPr="00AD2F44">
        <w:t xml:space="preserve"> Davis v. City of Loganville, 2006 WL 826713, at *4, 7–9 (M.D. Ga. Mar. 28, 2006) (accepting expert’s opinion as to whether employer’s pay plan failed to qualify for exemption where expert’s methodology adhered to many steps followed by DOL in investigating an overtime violation claim, including reviewing employer’s time records, job descriptions, and relevant memorandum, as well as reviewing FLSA fact sheets, regulations, and DOL opinion letters). </w:t>
      </w:r>
    </w:p>
  </w:footnote>
  <w:footnote w:id="847">
    <w:p w14:paraId="48839111" w14:textId="77777777" w:rsidR="004322B1" w:rsidRPr="00AD2F44" w:rsidRDefault="004322B1">
      <w:pPr>
        <w:pStyle w:val="14Footnote"/>
      </w:pPr>
      <w:r w:rsidRPr="00AD2F44">
        <w:rPr>
          <w:vertAlign w:val="superscript"/>
        </w:rPr>
        <w:footnoteRef/>
      </w:r>
      <w:r w:rsidRPr="00AD2F44">
        <w:rPr>
          <w:i/>
          <w:iCs/>
        </w:rPr>
        <w:t>Id</w:t>
      </w:r>
      <w:r w:rsidRPr="00AD2F44">
        <w:t xml:space="preserve">. at *9–10; </w:t>
      </w:r>
      <w:r w:rsidRPr="00AD2F44">
        <w:rPr>
          <w:i/>
          <w:iCs/>
        </w:rPr>
        <w:t>see also</w:t>
      </w:r>
      <w:r w:rsidRPr="00AD2F44">
        <w:t xml:space="preserve"> Roussell v. Brinker Int’l, Inc., 2008 WL 2714079, at *27 (S.D. Tex. July 9, 2008) (excluding defendant’s social science “tipping” expert, who attempted to opine on whether tip sharing was voluntary or coerced, because opinions had not been subjected to peer scrutiny or testing, sample was too small and unreliable from which to draw conclusions, and analysis based on consumer tipping was not readily transferable to employee context); Johnson v. Big Lots Stores, Inc., 2008 WL 1930681, at *14–20 (E.D. La. Apr. 29, 2008) (finding same expert was “marginally” qualified given his two decades of experience with DOL, but precluding his opinion where based on flawed methodology involving small, handpicked, pre-screened sample of in-person interviews conducted with attorney involvement). </w:t>
      </w:r>
    </w:p>
  </w:footnote>
  <w:footnote w:id="848">
    <w:p w14:paraId="7A611782" w14:textId="77777777" w:rsidR="004322B1" w:rsidRPr="00AD2F44" w:rsidRDefault="004322B1">
      <w:pPr>
        <w:pStyle w:val="14Footnote"/>
      </w:pPr>
      <w:r w:rsidRPr="00AD2F44">
        <w:rPr>
          <w:vertAlign w:val="superscript"/>
        </w:rPr>
        <w:footnoteRef/>
      </w:r>
      <w:r w:rsidRPr="00AD2F44">
        <w:t xml:space="preserve">Perez v. RadioShack Corp., 2005 WL 3455858, at *3 (N.D. Ill. Dec. 13, 2005). </w:t>
      </w:r>
    </w:p>
  </w:footnote>
  <w:footnote w:id="849">
    <w:p w14:paraId="79CFCA5D" w14:textId="77777777" w:rsidR="004322B1" w:rsidRPr="00AD2F44" w:rsidRDefault="004322B1">
      <w:pPr>
        <w:pStyle w:val="14Footnote"/>
      </w:pPr>
      <w:r w:rsidRPr="00AD2F44">
        <w:rPr>
          <w:vertAlign w:val="superscript"/>
        </w:rPr>
        <w:footnoteRef/>
      </w:r>
      <w:r w:rsidRPr="00AD2F44">
        <w:rPr>
          <w:i/>
        </w:rPr>
        <w:t>Id.</w:t>
      </w:r>
      <w:r w:rsidRPr="00AD2F44">
        <w:t xml:space="preserve"> </w:t>
      </w:r>
    </w:p>
  </w:footnote>
  <w:footnote w:id="850">
    <w:p w14:paraId="3393409B" w14:textId="77777777" w:rsidR="004322B1" w:rsidRPr="00AD2F44" w:rsidRDefault="004322B1">
      <w:pPr>
        <w:pStyle w:val="14Footnote"/>
      </w:pPr>
      <w:r w:rsidRPr="00AD2F44">
        <w:rPr>
          <w:vertAlign w:val="superscript"/>
        </w:rPr>
        <w:footnoteRef/>
      </w:r>
      <w:r w:rsidRPr="00AD2F44">
        <w:rPr>
          <w:i/>
          <w:iCs/>
        </w:rPr>
        <w:t>Id.</w:t>
      </w:r>
      <w:r w:rsidRPr="00AD2F44">
        <w:t xml:space="preserve"> at *2. </w:t>
      </w:r>
    </w:p>
  </w:footnote>
  <w:footnote w:id="851">
    <w:p w14:paraId="332246A9" w14:textId="77777777" w:rsidR="004322B1" w:rsidRPr="00AD2F44" w:rsidRDefault="004322B1">
      <w:pPr>
        <w:pStyle w:val="14Footnote"/>
      </w:pPr>
      <w:r w:rsidRPr="00AD2F44">
        <w:rPr>
          <w:vertAlign w:val="superscript"/>
        </w:rPr>
        <w:footnoteRef/>
      </w:r>
      <w:r w:rsidRPr="00AD2F44">
        <w:rPr>
          <w:i/>
          <w:iCs/>
        </w:rPr>
        <w:t>Id</w:t>
      </w:r>
      <w:r w:rsidRPr="00AD2F44">
        <w:t xml:space="preserve">. at *2–3. The court similarly limited the plaintiffs’ expert report on calculation of overtime damages to “DOL’s standards and practices.” </w:t>
      </w:r>
      <w:r w:rsidRPr="00AD2F44">
        <w:rPr>
          <w:i/>
          <w:iCs/>
        </w:rPr>
        <w:t>Id</w:t>
      </w:r>
      <w:r w:rsidRPr="00AD2F44">
        <w:t xml:space="preserve">. at *4. Apparently, the plaintiffs’ counsel had moved to strike the report of RadioShack’s expert in a prior case in federal court in Pennsylvania, where the expert, a former senior DOL official, testified that the store managers did meet the primary duty test. </w:t>
      </w:r>
      <w:r w:rsidRPr="00AD2F44">
        <w:rPr>
          <w:i/>
          <w:iCs/>
        </w:rPr>
        <w:t>Id</w:t>
      </w:r>
      <w:r w:rsidRPr="00AD2F44">
        <w:t xml:space="preserve">. at *2 n.7. </w:t>
      </w:r>
    </w:p>
  </w:footnote>
  <w:footnote w:id="852">
    <w:p w14:paraId="44FD9EC1" w14:textId="77777777" w:rsidR="004322B1" w:rsidRPr="00AD2F44" w:rsidRDefault="004322B1">
      <w:pPr>
        <w:pStyle w:val="14Footnote"/>
      </w:pPr>
      <w:r w:rsidRPr="00AD2F44">
        <w:rPr>
          <w:vertAlign w:val="superscript"/>
        </w:rPr>
        <w:footnoteRef/>
      </w:r>
      <w:r w:rsidRPr="00AD2F44">
        <w:t xml:space="preserve">Reich v. Newspapers of New Eng., Inc., 44 F.3d 1060, 1067 (1st Cir. 1995) (considering competing expert testimony of journalist professors on issue of whether §541 regulations issued in 1940s were pertinent to modern journalism and deserved </w:t>
      </w:r>
      <w:r w:rsidRPr="00AD2F44">
        <w:rPr>
          <w:i/>
          <w:iCs/>
        </w:rPr>
        <w:t>Skidmore</w:t>
      </w:r>
      <w:r w:rsidRPr="00AD2F44">
        <w:t xml:space="preserve"> deference—</w:t>
      </w:r>
      <w:r w:rsidRPr="00AD2F44">
        <w:rPr>
          <w:i/>
          <w:iCs/>
        </w:rPr>
        <w:t>Skidmore v. Swift &amp; Co.</w:t>
      </w:r>
      <w:r w:rsidRPr="00AD2F44">
        <w:t xml:space="preserve">, 323 U.S. 134 (1944)); </w:t>
      </w:r>
      <w:r w:rsidRPr="00AD2F44">
        <w:rPr>
          <w:i/>
          <w:iCs/>
        </w:rPr>
        <w:t>Zheng</w:t>
      </w:r>
      <w:r w:rsidRPr="00AD2F44">
        <w:t xml:space="preserve">, 556 F. Supp. 2d at 292–93 (permitting testimony of history professor to assist trier of fact in understanding “historical practices” in garment industry as they related to joint employment issues). </w:t>
      </w:r>
    </w:p>
  </w:footnote>
  <w:footnote w:id="853">
    <w:p w14:paraId="50C03864" w14:textId="77777777" w:rsidR="004322B1" w:rsidRPr="00AD2F44" w:rsidRDefault="004322B1">
      <w:pPr>
        <w:pStyle w:val="14Footnote"/>
      </w:pPr>
      <w:r w:rsidRPr="00AD2F44">
        <w:rPr>
          <w:vertAlign w:val="superscript"/>
        </w:rPr>
        <w:footnoteRef/>
      </w:r>
      <w:r w:rsidRPr="00AD2F44">
        <w:t xml:space="preserve">To find that an employer willfully violated the FLSA, the plaintiff must show that the employer “either knew or showed reckless disregard for the matter of whether its conduct was prohibited by the [FLSA].” McLaughlin v. Richland Shoe Co., 486 U.S. 128, 133 (1988). </w:t>
      </w:r>
    </w:p>
  </w:footnote>
  <w:footnote w:id="854">
    <w:p w14:paraId="79402BD7" w14:textId="77777777" w:rsidR="004322B1" w:rsidRPr="00AD2F44" w:rsidRDefault="004322B1">
      <w:pPr>
        <w:pStyle w:val="14Footnote"/>
      </w:pPr>
      <w:r w:rsidRPr="00AD2F44">
        <w:rPr>
          <w:vertAlign w:val="superscript"/>
        </w:rPr>
        <w:footnoteRef/>
      </w:r>
      <w:r w:rsidRPr="00AD2F44">
        <w:rPr>
          <w:i/>
          <w:iCs/>
        </w:rPr>
        <w:t>See Johnson</w:t>
      </w:r>
      <w:r w:rsidRPr="00AD2F44">
        <w:t xml:space="preserve">, 2008 WL 1930681, at *10 (considering expert testimony on employer’s profit motive because whether employer had such incentive to misclassify potentially bears on whether employer willfully misclassified its employees); Davis v. City of Loganville, 2006 WL 826713, at *10–12 (M.D. Ga. Mar. 28, 2006). </w:t>
      </w:r>
      <w:r w:rsidRPr="00AD2F44">
        <w:rPr>
          <w:i/>
          <w:iCs/>
        </w:rPr>
        <w:t xml:space="preserve">But see </w:t>
      </w:r>
      <w:r w:rsidRPr="00AD2F44">
        <w:t xml:space="preserve">Singer v. City of Waco, 324 F.3d 813, 822 (5th Cir. 2003) (holding that district court did not abuse its discretion by excluding testimony of former DOL district director on issue of willfulness where it was “unclear how [the DOL official] could have been aware of whether the City ‘knew or showed reckless disregard for … whether its conduct was prohibited by the statute.’ [The DOL official] was not an employee of the City, and [did] not appear to have been a party to any of the events leading up to this litigation.”) (citation omitted). </w:t>
      </w:r>
    </w:p>
  </w:footnote>
  <w:footnote w:id="855">
    <w:p w14:paraId="2DDEDD4E" w14:textId="77777777" w:rsidR="004322B1" w:rsidRPr="00AD2F44" w:rsidRDefault="004322B1">
      <w:pPr>
        <w:pStyle w:val="14Footnote"/>
      </w:pPr>
      <w:r w:rsidRPr="00AD2F44">
        <w:rPr>
          <w:vertAlign w:val="superscript"/>
        </w:rPr>
        <w:footnoteRef/>
      </w:r>
      <w:r w:rsidRPr="00AD2F44">
        <w:rPr>
          <w:i/>
          <w:iCs/>
        </w:rPr>
        <w:t>Davis</w:t>
      </w:r>
      <w:r w:rsidRPr="00AD2F44">
        <w:t xml:space="preserve">, 2006 WL 826713, at *10–12 (using expert’s methodology to conclude employer acted in “reckless disregard” fatally flawed where expert did not provide any basis for his conclusion). </w:t>
      </w:r>
    </w:p>
  </w:footnote>
  <w:footnote w:id="856">
    <w:p w14:paraId="59DCB919" w14:textId="77777777" w:rsidR="004322B1" w:rsidRPr="00AD2F44" w:rsidRDefault="004322B1">
      <w:pPr>
        <w:pStyle w:val="14Footnote"/>
      </w:pPr>
      <w:r w:rsidRPr="00AD2F44">
        <w:rPr>
          <w:vertAlign w:val="superscript"/>
        </w:rPr>
        <w:footnoteRef/>
      </w:r>
      <w:r w:rsidRPr="00AD2F44">
        <w:t xml:space="preserve">2008 WL 1930681 (E.D. La. Apr. 29, 2008). </w:t>
      </w:r>
    </w:p>
  </w:footnote>
  <w:footnote w:id="857">
    <w:p w14:paraId="03B5E407" w14:textId="77777777" w:rsidR="004322B1" w:rsidRPr="00AD2F44" w:rsidRDefault="004322B1">
      <w:pPr>
        <w:pStyle w:val="14Footnote"/>
      </w:pPr>
      <w:r w:rsidRPr="00AD2F44">
        <w:rPr>
          <w:vertAlign w:val="superscript"/>
        </w:rPr>
        <w:footnoteRef/>
      </w:r>
      <w:r w:rsidRPr="00AD2F44">
        <w:rPr>
          <w:i/>
          <w:iCs/>
        </w:rPr>
        <w:t>Id</w:t>
      </w:r>
      <w:r w:rsidRPr="00AD2F44">
        <w:t xml:space="preserve">. at *3. </w:t>
      </w:r>
    </w:p>
  </w:footnote>
  <w:footnote w:id="858">
    <w:p w14:paraId="73F9A241" w14:textId="77777777" w:rsidR="004322B1" w:rsidRPr="00AD2F44" w:rsidRDefault="004322B1">
      <w:pPr>
        <w:pStyle w:val="14Footnote"/>
      </w:pPr>
      <w:r w:rsidRPr="00AD2F44">
        <w:rPr>
          <w:vertAlign w:val="superscript"/>
        </w:rPr>
        <w:footnoteRef/>
      </w:r>
      <w:r w:rsidRPr="00AD2F44">
        <w:t>Daubert v. Merrell Dow Pharmaceuticals, Inc.,</w:t>
      </w:r>
      <w:r w:rsidRPr="00AD2F44">
        <w:rPr>
          <w:i/>
          <w:iCs/>
        </w:rPr>
        <w:t xml:space="preserve"> </w:t>
      </w:r>
      <w:r w:rsidRPr="00AD2F44">
        <w:t xml:space="preserve">509 U.S. 579 (1993). </w:t>
      </w:r>
    </w:p>
  </w:footnote>
  <w:footnote w:id="859">
    <w:p w14:paraId="4AD27CEA" w14:textId="77777777" w:rsidR="004322B1" w:rsidRPr="00AD2F44" w:rsidRDefault="004322B1">
      <w:pPr>
        <w:pStyle w:val="14Footnote"/>
      </w:pPr>
      <w:r w:rsidRPr="00AD2F44">
        <w:rPr>
          <w:vertAlign w:val="superscript"/>
        </w:rPr>
        <w:footnoteRef/>
      </w:r>
      <w:r w:rsidRPr="00AD2F44">
        <w:rPr>
          <w:i/>
          <w:iCs/>
        </w:rPr>
        <w:t>Johnson</w:t>
      </w:r>
      <w:r w:rsidRPr="00AD2F44">
        <w:t xml:space="preserve">, 2008 WL 1930681, at *4. </w:t>
      </w:r>
    </w:p>
  </w:footnote>
  <w:footnote w:id="860">
    <w:p w14:paraId="080F0D08" w14:textId="77777777" w:rsidR="004322B1" w:rsidRPr="00AD2F44" w:rsidRDefault="004322B1">
      <w:pPr>
        <w:pStyle w:val="14Footnote"/>
      </w:pPr>
      <w:r w:rsidRPr="00AD2F44">
        <w:rPr>
          <w:vertAlign w:val="superscript"/>
        </w:rPr>
        <w:footnoteRef/>
      </w:r>
      <w:r w:rsidRPr="00AD2F44">
        <w:rPr>
          <w:i/>
          <w:iCs/>
        </w:rPr>
        <w:t>Id</w:t>
      </w:r>
      <w:r w:rsidRPr="00AD2F44">
        <w:t xml:space="preserve">. at *5 (noting that Rule 703 of the Federal Rules of Evidence provided that “if of a type reasonably relied upon by experts in the particular field in forming opinions or inferences based upon the subject, the facts or data need not be admissible in evidence in order for the opinion or inference to be admitted”) (note that Rule 703 was amended in 2011). </w:t>
      </w:r>
    </w:p>
  </w:footnote>
  <w:footnote w:id="861">
    <w:p w14:paraId="44738E39" w14:textId="77777777" w:rsidR="004322B1" w:rsidRPr="00AD2F44" w:rsidRDefault="004322B1">
      <w:pPr>
        <w:pStyle w:val="14Footnote"/>
      </w:pPr>
      <w:r w:rsidRPr="00AD2F44">
        <w:rPr>
          <w:vertAlign w:val="superscript"/>
        </w:rPr>
        <w:footnoteRef/>
      </w:r>
      <w:r w:rsidRPr="00AD2F44">
        <w:rPr>
          <w:i/>
          <w:iCs/>
        </w:rPr>
        <w:t>Id</w:t>
      </w:r>
      <w:r w:rsidRPr="00AD2F44">
        <w:t xml:space="preserve">. (finding probative value of survey information in assisting court in evaluating expert’s opinion substantially outweighed any possible prejudicial effect, as required under Rule 703 of Federal Rules of Evidence, and emphasizing that Rule 703 and Advisory Committee’s Notes focus on screening from jury). </w:t>
      </w:r>
    </w:p>
  </w:footnote>
  <w:footnote w:id="862">
    <w:p w14:paraId="202401E4" w14:textId="77777777" w:rsidR="004322B1" w:rsidRPr="00AD2F44" w:rsidRDefault="004322B1">
      <w:pPr>
        <w:pStyle w:val="14Footnote"/>
      </w:pPr>
      <w:r w:rsidRPr="00AD2F44">
        <w:rPr>
          <w:vertAlign w:val="superscript"/>
        </w:rPr>
        <w:footnoteRef/>
      </w:r>
      <w:r w:rsidRPr="00AD2F44">
        <w:t xml:space="preserve">Johnson v. Big Lots Stores, Inc., 2008 WL 1930681, at *8 (E.D. La. Apr. 29, 2008) (potential flaws in survey do not provide grounds to exclude survey, but do provide grounds for “vigorous cross-examination at trial”). In the same action, the defendant sought to introduce expert testimony of its own economist addressing the conclusions of the plaintiffs’ expert. </w:t>
      </w:r>
      <w:r w:rsidRPr="00AD2F44">
        <w:rPr>
          <w:i/>
          <w:iCs/>
        </w:rPr>
        <w:t>Id</w:t>
      </w:r>
      <w:r w:rsidRPr="00AD2F44">
        <w:t xml:space="preserve">. at *10. The court dismissed the plaintiffs’ argument that any testimony criticizing their expert should be excluded as the defendant’s expert did not conduct an independent study of the employees’ job responsibilities. The court found no authority requiring the defendant’s expert to conduct an independent survey and “no reliability issue” in allowing the defendant’s expert to use the plaintiffs’ survey data to reach an opposite conclusion. </w:t>
      </w:r>
      <w:r w:rsidRPr="00AD2F44">
        <w:rPr>
          <w:i/>
          <w:iCs/>
        </w:rPr>
        <w:t>Id</w:t>
      </w:r>
      <w:r w:rsidRPr="00AD2F44">
        <w:t xml:space="preserve">. at *11; </w:t>
      </w:r>
      <w:r w:rsidRPr="00AD2F44">
        <w:rPr>
          <w:i/>
          <w:iCs/>
        </w:rPr>
        <w:t>see also</w:t>
      </w:r>
      <w:r w:rsidRPr="00AD2F44">
        <w:t xml:space="preserve"> Scott v. City of N.Y., 591 F. Supp. 2d 554 (S.D.N.Y. 2008) (admitting survey over plaintiffs’ objections in case involving more than 15,000 current and former New York City police officers and detectives). </w:t>
      </w:r>
    </w:p>
  </w:footnote>
  <w:footnote w:id="863">
    <w:p w14:paraId="206951DC" w14:textId="77777777" w:rsidR="004322B1" w:rsidRPr="00AD2F44" w:rsidRDefault="004322B1">
      <w:pPr>
        <w:pStyle w:val="14Footnote"/>
      </w:pPr>
      <w:r w:rsidRPr="00AD2F44">
        <w:rPr>
          <w:vertAlign w:val="superscript"/>
        </w:rPr>
        <w:footnoteRef/>
      </w:r>
      <w:r w:rsidRPr="00AD2F44">
        <w:rPr>
          <w:i/>
          <w:iCs/>
        </w:rPr>
        <w:t>See, e</w:t>
      </w:r>
      <w:r w:rsidRPr="00AD2F44">
        <w:t>.</w:t>
      </w:r>
      <w:r w:rsidRPr="00AD2F44">
        <w:rPr>
          <w:i/>
          <w:iCs/>
        </w:rPr>
        <w:t>g</w:t>
      </w:r>
      <w:r w:rsidRPr="00AD2F44">
        <w:t>.</w:t>
      </w:r>
      <w:r w:rsidRPr="00AD2F44">
        <w:rPr>
          <w:i/>
          <w:iCs/>
        </w:rPr>
        <w:t>,</w:t>
      </w:r>
      <w:r w:rsidRPr="00AD2F44">
        <w:t xml:space="preserve"> Hurt v. Commerce Energy, Inc., 2015 WL 410703 (N.D. Ohio Jan. 29, 2015). </w:t>
      </w:r>
    </w:p>
  </w:footnote>
  <w:footnote w:id="864">
    <w:p w14:paraId="03762A16" w14:textId="77777777" w:rsidR="004322B1" w:rsidRPr="00AD2F44" w:rsidRDefault="004322B1">
      <w:pPr>
        <w:pStyle w:val="14Footnote"/>
      </w:pPr>
      <w:r w:rsidRPr="00AD2F44">
        <w:rPr>
          <w:vertAlign w:val="superscript"/>
        </w:rPr>
        <w:footnoteRef/>
      </w:r>
      <w:r w:rsidRPr="00AD2F44">
        <w:rPr>
          <w:i/>
          <w:iCs/>
        </w:rPr>
        <w:t>See, e</w:t>
      </w:r>
      <w:r w:rsidRPr="00AD2F44">
        <w:t>.</w:t>
      </w:r>
      <w:r w:rsidRPr="00AD2F44">
        <w:rPr>
          <w:i/>
          <w:iCs/>
        </w:rPr>
        <w:t>g</w:t>
      </w:r>
      <w:r w:rsidRPr="00AD2F44">
        <w:t xml:space="preserve">., Gomez v. Tyson Foods, Inc., 976 F. Supp. 2d 1169, 1177, 1182 (D. Neb. 2013) (relying on testimony of time-study expert and several plaintiffs in donning and doffing case); Martinez-Hernandez v. Butterball, LLC, 2011 WL 4460332 (E.D.N.C. Sept. 26, 2011) (denying plaintiffs’ motion to exclude report and testimony of time and motion study expert). </w:t>
      </w:r>
    </w:p>
  </w:footnote>
  <w:footnote w:id="865">
    <w:p w14:paraId="67393434" w14:textId="77777777" w:rsidR="004322B1" w:rsidRPr="00AD2F44" w:rsidRDefault="004322B1">
      <w:pPr>
        <w:pStyle w:val="14Footnote"/>
      </w:pPr>
      <w:r w:rsidRPr="00AD2F44">
        <w:rPr>
          <w:vertAlign w:val="superscript"/>
        </w:rPr>
        <w:footnoteRef/>
      </w:r>
      <w:r w:rsidRPr="00AD2F44">
        <w:t xml:space="preserve">Anderson v. Mt. Clemens Pottery Co., 328 U.S. 680, 687 (1946). </w:t>
      </w:r>
    </w:p>
  </w:footnote>
  <w:footnote w:id="866">
    <w:p w14:paraId="1894A129" w14:textId="77777777" w:rsidR="004322B1" w:rsidRPr="00AD2F44" w:rsidRDefault="004322B1">
      <w:pPr>
        <w:pStyle w:val="14Footnote"/>
      </w:pPr>
      <w:r w:rsidRPr="00AD2F44">
        <w:rPr>
          <w:vertAlign w:val="superscript"/>
        </w:rPr>
        <w:footnoteRef/>
      </w:r>
      <w:r w:rsidRPr="00AD2F44">
        <w:t xml:space="preserve">136 S. Ct. 1036 (2016). </w:t>
      </w:r>
    </w:p>
  </w:footnote>
  <w:footnote w:id="867">
    <w:p w14:paraId="18F75573" w14:textId="77777777" w:rsidR="004322B1" w:rsidRPr="00AD2F44" w:rsidRDefault="004322B1">
      <w:pPr>
        <w:pStyle w:val="14Footnote"/>
      </w:pPr>
      <w:r w:rsidRPr="00AD2F44">
        <w:rPr>
          <w:vertAlign w:val="superscript"/>
        </w:rPr>
        <w:footnoteRef/>
      </w:r>
      <w:r w:rsidRPr="00AD2F44">
        <w:rPr>
          <w:i/>
          <w:iCs/>
        </w:rPr>
        <w:t>Id</w:t>
      </w:r>
      <w:r w:rsidRPr="00AD2F44">
        <w:t xml:space="preserve">. at 1043. </w:t>
      </w:r>
    </w:p>
  </w:footnote>
  <w:footnote w:id="868">
    <w:p w14:paraId="6395CF0D" w14:textId="77777777" w:rsidR="004322B1" w:rsidRPr="00AD2F44" w:rsidRDefault="004322B1">
      <w:pPr>
        <w:pStyle w:val="14Footnote"/>
      </w:pPr>
      <w:r w:rsidRPr="00AD2F44">
        <w:rPr>
          <w:vertAlign w:val="superscript"/>
        </w:rPr>
        <w:footnoteRef/>
      </w:r>
      <w:r w:rsidRPr="00AD2F44">
        <w:rPr>
          <w:i/>
          <w:iCs/>
        </w:rPr>
        <w:t>Id</w:t>
      </w:r>
      <w:r w:rsidRPr="00AD2F44">
        <w:t xml:space="preserve">. </w:t>
      </w:r>
    </w:p>
  </w:footnote>
  <w:footnote w:id="869">
    <w:p w14:paraId="0535215C" w14:textId="77777777" w:rsidR="004322B1" w:rsidRPr="00AD2F44" w:rsidRDefault="004322B1">
      <w:pPr>
        <w:pStyle w:val="14Footnote"/>
      </w:pPr>
      <w:r w:rsidRPr="00AD2F44">
        <w:rPr>
          <w:vertAlign w:val="superscript"/>
        </w:rPr>
        <w:footnoteRef/>
      </w:r>
      <w:r w:rsidRPr="00AD2F44">
        <w:rPr>
          <w:i/>
          <w:iCs/>
        </w:rPr>
        <w:t>Id</w:t>
      </w:r>
      <w:r w:rsidRPr="00AD2F44">
        <w:t xml:space="preserve">. at 1044. </w:t>
      </w:r>
    </w:p>
  </w:footnote>
  <w:footnote w:id="870">
    <w:p w14:paraId="624D6EA8" w14:textId="77777777" w:rsidR="004322B1" w:rsidRPr="00AD2F44" w:rsidRDefault="004322B1">
      <w:pPr>
        <w:pStyle w:val="14Footnote"/>
      </w:pPr>
      <w:r w:rsidRPr="00AD2F44">
        <w:rPr>
          <w:vertAlign w:val="superscript"/>
        </w:rPr>
        <w:footnoteRef/>
      </w:r>
      <w:r w:rsidRPr="00AD2F44">
        <w:rPr>
          <w:i/>
          <w:iCs/>
        </w:rPr>
        <w:t>Id</w:t>
      </w:r>
      <w:r w:rsidRPr="00AD2F44">
        <w:t xml:space="preserve">. at 1044–50. </w:t>
      </w:r>
    </w:p>
  </w:footnote>
  <w:footnote w:id="871">
    <w:p w14:paraId="4F9B11A0" w14:textId="77777777" w:rsidR="004322B1" w:rsidRPr="00AD2F44" w:rsidRDefault="004322B1">
      <w:pPr>
        <w:pStyle w:val="14Footnote"/>
      </w:pPr>
      <w:r w:rsidRPr="00AD2F44">
        <w:rPr>
          <w:vertAlign w:val="superscript"/>
        </w:rPr>
        <w:footnoteRef/>
      </w:r>
      <w:r w:rsidRPr="00AD2F44">
        <w:rPr>
          <w:i/>
          <w:iCs/>
        </w:rPr>
        <w:t>Id.</w:t>
      </w:r>
      <w:r w:rsidRPr="00AD2F44">
        <w:t xml:space="preserve"> at 1046–47 (“If the sample could have sustained a reasonable jury finding as to hours worked in each employee’s individual action, that sample is a permissible means of establishing the employees’ hours worked in a class action.”). </w:t>
      </w:r>
    </w:p>
  </w:footnote>
  <w:footnote w:id="872">
    <w:p w14:paraId="0B0004DD" w14:textId="77777777" w:rsidR="004322B1" w:rsidRPr="00AD2F44" w:rsidRDefault="004322B1">
      <w:pPr>
        <w:pStyle w:val="14Footnote"/>
      </w:pPr>
      <w:r w:rsidRPr="00AD2F44">
        <w:rPr>
          <w:vertAlign w:val="superscript"/>
        </w:rPr>
        <w:footnoteRef/>
      </w:r>
      <w:r w:rsidRPr="00AD2F44">
        <w:t xml:space="preserve">564 U.S. 338 (2011). </w:t>
      </w:r>
    </w:p>
  </w:footnote>
  <w:footnote w:id="873">
    <w:p w14:paraId="1AC74EAE" w14:textId="77777777" w:rsidR="004322B1" w:rsidRPr="00AD2F44" w:rsidRDefault="004322B1">
      <w:pPr>
        <w:pStyle w:val="14Footnote"/>
      </w:pPr>
      <w:r w:rsidRPr="00AD2F44">
        <w:rPr>
          <w:vertAlign w:val="superscript"/>
        </w:rPr>
        <w:footnoteRef/>
      </w:r>
      <w:r w:rsidRPr="00AD2F44">
        <w:rPr>
          <w:i/>
          <w:iCs/>
        </w:rPr>
        <w:t>Tyson Foods</w:t>
      </w:r>
      <w:r w:rsidRPr="00AD2F44">
        <w:t xml:space="preserve">, 136 S. Ct. at 1048; </w:t>
      </w:r>
      <w:r w:rsidRPr="00AD2F44">
        <w:rPr>
          <w:i/>
          <w:iCs/>
        </w:rPr>
        <w:t>see also</w:t>
      </w:r>
      <w:r w:rsidRPr="00AD2F44">
        <w:t xml:space="preserve"> Alvarez v. IBP, Inc., 2001 WL 34897841, at *7 (E.D. Wash. Sept. 14, 2001) (citing Castillo v. Givens, 704 F.2d 181, 195 (5th Cir. 1983) (plaintiffs met their burden of proof by demonstrating that they performed work and were not compensated where 13 of 39 plaintiffs testified regarding hours worked and plaintiffs’ statistics expert “calculated a minimum and maximum number of hours each plaintiff worked, basing his calculations on plaintiffs’ testimony”)); McLaughlin v. DialAmerica Mktg., Inc., 716 F. Supp. 812 (D.N.J. 1989) (in bench trial on non-collective action, court relied on mathematical analysis undertaken by DOL compliance officer that was substantially based on employer’s business records, combined with employee testimony, to find that nontestifying employees were entitled to back wages). </w:t>
      </w:r>
    </w:p>
  </w:footnote>
  <w:footnote w:id="874">
    <w:p w14:paraId="6B222C1F" w14:textId="77777777" w:rsidR="004322B1" w:rsidRPr="00AD2F44" w:rsidRDefault="004322B1">
      <w:pPr>
        <w:pStyle w:val="14Footnote"/>
      </w:pPr>
      <w:r w:rsidRPr="00AD2F44">
        <w:rPr>
          <w:vertAlign w:val="superscript"/>
        </w:rPr>
        <w:footnoteRef/>
      </w:r>
      <w:r w:rsidRPr="00AD2F44">
        <w:rPr>
          <w:i/>
          <w:iCs/>
        </w:rPr>
        <w:t>See, e</w:t>
      </w:r>
      <w:r w:rsidRPr="00AD2F44">
        <w:t>.</w:t>
      </w:r>
      <w:r w:rsidRPr="00AD2F44">
        <w:rPr>
          <w:i/>
          <w:iCs/>
        </w:rPr>
        <w:t>g</w:t>
      </w:r>
      <w:r w:rsidRPr="00AD2F44">
        <w:t xml:space="preserve">., Gonzalez v. Farmington Foods, Inc., 296 F. Supp. 2d 912, 928–29 (N.D. Ill. 2003) (relying in part on plaintiffs’ time-study expert to deny defendant’s motion for summary judgment, which argued that time at issue was de minimis as matter of law); Perez v. Mountaire Farms, Inc., 2009 WL 588039, at *11 (D. Md. Mar. 9, 2009) (same). </w:t>
      </w:r>
    </w:p>
  </w:footnote>
  <w:footnote w:id="875">
    <w:p w14:paraId="190382F9" w14:textId="77777777" w:rsidR="004322B1" w:rsidRPr="00AD2F44" w:rsidRDefault="004322B1">
      <w:pPr>
        <w:pStyle w:val="14Footnote"/>
      </w:pPr>
      <w:r w:rsidRPr="00AD2F44">
        <w:rPr>
          <w:vertAlign w:val="superscript"/>
        </w:rPr>
        <w:footnoteRef/>
      </w:r>
      <w:r w:rsidRPr="00AD2F44">
        <w:rPr>
          <w:i/>
          <w:iCs/>
        </w:rPr>
        <w:t>Compare</w:t>
      </w:r>
      <w:r w:rsidRPr="00AD2F44">
        <w:t xml:space="preserve"> Perez v. Mountaire Farms, Inc., 650 F.3d 350, 371 (4th Cir. 2011) (affirming district court’s decision to rely largely on plaintiff’s expert, because he based his studies on practical, real-time circumstances compared to defendant’s expert who conducted study in conference room, which court described as “academic … exercise”), </w:t>
      </w:r>
      <w:r w:rsidRPr="00AD2F44">
        <w:rPr>
          <w:i/>
          <w:iCs/>
        </w:rPr>
        <w:t>with</w:t>
      </w:r>
      <w:r w:rsidRPr="00AD2F44">
        <w:t xml:space="preserve"> Anderson v. Sara Lee Corp., 2004 WL 5615651, at *3–4 (E.D.N.C. Dec. 7, 2004) (admitting plaintiffs’ time-study expert’s testimony in support of summary judgment motion even though study was not conducted under circumstances similar to those experienced by employees). </w:t>
      </w:r>
    </w:p>
  </w:footnote>
  <w:footnote w:id="876">
    <w:p w14:paraId="36C4388A" w14:textId="77777777" w:rsidR="004322B1" w:rsidRPr="00AD2F44" w:rsidRDefault="004322B1">
      <w:pPr>
        <w:pStyle w:val="14Footnote"/>
      </w:pPr>
      <w:r w:rsidRPr="00AD2F44">
        <w:rPr>
          <w:vertAlign w:val="superscript"/>
        </w:rPr>
        <w:footnoteRef/>
      </w:r>
      <w:r w:rsidRPr="00AD2F44">
        <w:rPr>
          <w:i/>
          <w:iCs/>
        </w:rPr>
        <w:t>Alvarez</w:t>
      </w:r>
      <w:r w:rsidRPr="00AD2F44">
        <w:t xml:space="preserve">, 2001 WL 34897841, at *22–23 (“recovery should … be based on an individualized basis as much as possible”), </w:t>
      </w:r>
      <w:r w:rsidRPr="00AD2F44">
        <w:rPr>
          <w:i/>
          <w:iCs/>
        </w:rPr>
        <w:t>aff’d</w:t>
      </w:r>
      <w:r w:rsidRPr="00AD2F44">
        <w:t xml:space="preserve">, Alvarez v. IBP, Inc., 339 F.3d 894, 914 (9th Cir. 2003); Chavez v. IBP, Inc., 2004 WL 5520002, at *12 (E.D. Wash. Dec. 8, 2004); </w:t>
      </w:r>
      <w:r w:rsidRPr="00AD2F44">
        <w:rPr>
          <w:i/>
          <w:iCs/>
        </w:rPr>
        <w:t>see also</w:t>
      </w:r>
      <w:r w:rsidRPr="00AD2F44">
        <w:t xml:space="preserve"> Gomez v. Tyson Foods, Inc., 976 F. Supp. 2d 1169, 1177 n.8 (D. Neb. 2013) (noting that time study and accompanying expert testimony were admissible and “must be viewed through the lens of the limited burden plaintiffs bear on the issue of damages when an employer fails to comply with its timekeeping obligations under the FLSA,” and that “plaintiffs are not required to produce evidence that is ‘scientific’ or that rises to the level of scientific certainty”). </w:t>
      </w:r>
    </w:p>
  </w:footnote>
  <w:footnote w:id="877">
    <w:p w14:paraId="20B9D4CF"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smallCaps/>
        </w:rPr>
        <w:t>Fed. R. Evid.</w:t>
      </w:r>
      <w:r w:rsidRPr="00AD2F44">
        <w:t xml:space="preserve"> 403; </w:t>
      </w:r>
      <w:r w:rsidRPr="00AD2F44">
        <w:rPr>
          <w:i/>
          <w:iCs/>
        </w:rPr>
        <w:t>see also</w:t>
      </w:r>
      <w:r w:rsidRPr="00AD2F44">
        <w:t xml:space="preserve"> Secretary of Labor v. DeSisto, 929 F.2d 789, 794–95, 30 WH Cases 345 (1st Cir. 1991).</w:t>
      </w:r>
    </w:p>
  </w:footnote>
  <w:footnote w:id="878">
    <w:p w14:paraId="1425D867" w14:textId="77777777" w:rsidR="004322B1" w:rsidRPr="00AD2F44" w:rsidRDefault="004322B1">
      <w:pPr>
        <w:pStyle w:val="14Footnote"/>
      </w:pPr>
      <w:r w:rsidRPr="00AD2F44">
        <w:rPr>
          <w:vertAlign w:val="superscript"/>
        </w:rPr>
        <w:footnoteRef/>
      </w:r>
      <w:r w:rsidRPr="00AD2F44">
        <w:rPr>
          <w:i/>
        </w:rPr>
        <w:t>See</w:t>
      </w:r>
    </w:p>
    <w:p w14:paraId="0AEB9AAC" w14:textId="77777777" w:rsidR="004322B1" w:rsidRPr="00AD2F44" w:rsidRDefault="004322B1">
      <w:pPr>
        <w:pStyle w:val="14Footnote"/>
      </w:pPr>
      <w:r w:rsidRPr="00AD2F44">
        <w:rPr>
          <w:i/>
          <w:iCs/>
        </w:rPr>
        <w:t>First Circuit:</w:t>
      </w:r>
      <w:r w:rsidRPr="00AD2F44">
        <w:t xml:space="preserve"> </w:t>
      </w:r>
      <w:r w:rsidRPr="00AD2F44">
        <w:rPr>
          <w:i/>
          <w:iCs/>
        </w:rPr>
        <w:t>DeSisto</w:t>
      </w:r>
      <w:r w:rsidRPr="00AD2F44">
        <w:t>, 929 F.2d at 791 (limiting trial witnesses to DOL’s compliance officer and two other witnesses, one from each side); Donovan v. Burger King Corp., 672 F.2d 221, 224–25, 25 WH Cases 428 (1st Cir. 1982) (limiting testimony to 6 of 44 restaurants and limiting defendant to 6 of 26 planned witnesses concerning those restaurants).</w:t>
      </w:r>
    </w:p>
    <w:p w14:paraId="0B997541" w14:textId="77777777" w:rsidR="004322B1" w:rsidRPr="00AD2F44" w:rsidRDefault="004322B1">
      <w:pPr>
        <w:pStyle w:val="14Footnote"/>
      </w:pPr>
      <w:r w:rsidRPr="00AD2F44">
        <w:rPr>
          <w:i/>
          <w:iCs/>
        </w:rPr>
        <w:t>Fifth Circuit:</w:t>
      </w:r>
      <w:r w:rsidRPr="00AD2F44">
        <w:t xml:space="preserve"> Johnson v. Big Lots Stores, Inc., 561 F. Supp. 2d 567, 569–70 (E.D. La. 2008) (limiting each party to 20 fact witnesses at trial, explaining that any larger number would be cumulative).</w:t>
      </w:r>
    </w:p>
    <w:p w14:paraId="1933FE01" w14:textId="77777777" w:rsidR="004322B1" w:rsidRPr="00AD2F44" w:rsidRDefault="004322B1">
      <w:pPr>
        <w:pStyle w:val="14Footnote"/>
      </w:pPr>
      <w:r w:rsidRPr="00AD2F44">
        <w:rPr>
          <w:i/>
          <w:iCs/>
        </w:rPr>
        <w:t>Eighth Circuit:</w:t>
      </w:r>
      <w:r w:rsidRPr="00AD2F44">
        <w:t xml:space="preserve"> Gomez v. Tyson Foods, Inc., 976 F. Supp. 2d 1169, 1177–79 (D. Neb. 2013) (relying on testimony of five employees and one time-study expert).</w:t>
      </w:r>
    </w:p>
    <w:p w14:paraId="7AA43976" w14:textId="77777777" w:rsidR="004322B1" w:rsidRPr="00AD2F44" w:rsidRDefault="004322B1">
      <w:pPr>
        <w:pStyle w:val="14Footnote"/>
      </w:pPr>
      <w:r w:rsidRPr="00AD2F44">
        <w:rPr>
          <w:i/>
          <w:iCs/>
        </w:rPr>
        <w:t>Ninth Circuit:</w:t>
      </w:r>
      <w:r w:rsidRPr="00AD2F44">
        <w:t xml:space="preserve"> McLaughlin v. Ho Fat Seto, 850 F.2d 586, 588, 28 WH Cases 1225 (9th Cir. 1988) (limiting plaintiff to five employee witnesses).</w:t>
      </w:r>
    </w:p>
    <w:p w14:paraId="093D608D" w14:textId="77777777" w:rsidR="004322B1" w:rsidRPr="00AD2F44" w:rsidRDefault="004322B1">
      <w:pPr>
        <w:pStyle w:val="14Footnote"/>
      </w:pPr>
      <w:r w:rsidRPr="00AD2F44">
        <w:rPr>
          <w:i/>
          <w:iCs/>
        </w:rPr>
        <w:t>Eleventh Circuit:</w:t>
      </w:r>
      <w:r w:rsidRPr="00AD2F44">
        <w:t xml:space="preserve"> Morgan v. Family Dollar Stores, Inc., 551 F.3d 1233, 1278 &amp; n.72 (11th Cir. 2008) (district court limited defense to 40 hours, of which defense used only 10).</w:t>
      </w:r>
    </w:p>
  </w:footnote>
  <w:footnote w:id="879">
    <w:p w14:paraId="12ADBE4B" w14:textId="77777777" w:rsidR="004322B1" w:rsidRPr="00AD2F44" w:rsidRDefault="004322B1">
      <w:pPr>
        <w:pStyle w:val="14Footnote"/>
      </w:pPr>
      <w:r w:rsidRPr="00AD2F44">
        <w:rPr>
          <w:vertAlign w:val="superscript"/>
        </w:rPr>
        <w:footnoteRef/>
      </w:r>
      <w:r w:rsidRPr="00AD2F44">
        <w:rPr>
          <w:i/>
          <w:iCs/>
        </w:rPr>
        <w:t>See Burger King Corp</w:t>
      </w:r>
      <w:r w:rsidRPr="00AD2F44">
        <w:t xml:space="preserve">., 672 F.2d at 224–25 (defendant conceded at trial that court could limit testimony to six stores and parties stipulated that 20 additional witnesses that defendant planned on calling at trial “would give substantially the same testimony” as the six witnesses defendant had called); </w:t>
      </w:r>
      <w:r w:rsidRPr="00AD2F44">
        <w:rPr>
          <w:i/>
          <w:iCs/>
        </w:rPr>
        <w:t>Ho Fat Seto</w:t>
      </w:r>
      <w:r w:rsidRPr="00AD2F44">
        <w:t>, 850 F.2d at 588 (plaintiff represented that the testimony of 23 remaining employees would be largely similar to those that testified).</w:t>
      </w:r>
    </w:p>
  </w:footnote>
  <w:footnote w:id="880">
    <w:p w14:paraId="2E69F826"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i/>
          <w:iCs/>
        </w:rPr>
        <w:t>DeSisto</w:t>
      </w:r>
      <w:r w:rsidRPr="00AD2F44">
        <w:t xml:space="preserve">, 929 F.2d at 795 (citing </w:t>
      </w:r>
      <w:r w:rsidRPr="00AD2F44">
        <w:rPr>
          <w:smallCaps/>
        </w:rPr>
        <w:t>Weinstein’s Evidence</w:t>
      </w:r>
      <w:r w:rsidRPr="00AD2F44">
        <w:t xml:space="preserve"> ¶403[6] at 403–99 (1990)).</w:t>
      </w:r>
    </w:p>
  </w:footnote>
  <w:footnote w:id="881">
    <w:p w14:paraId="3261866C" w14:textId="77777777" w:rsidR="004322B1" w:rsidRPr="00AD2F44" w:rsidRDefault="004322B1">
      <w:pPr>
        <w:pStyle w:val="14Footnote"/>
      </w:pPr>
      <w:r w:rsidRPr="00AD2F44">
        <w:rPr>
          <w:vertAlign w:val="superscript"/>
        </w:rPr>
        <w:footnoteRef/>
      </w:r>
      <w:r w:rsidRPr="00AD2F44">
        <w:t>See the discussion in §VIII.A [Trial; Representative Testimony and Evidence] of this chapter.</w:t>
      </w:r>
    </w:p>
  </w:footnote>
  <w:footnote w:id="882">
    <w:p w14:paraId="626EB50C"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AD2F44">
        <w:rPr>
          <w:i/>
          <w:iCs/>
        </w:rPr>
        <w:t>DeSisto</w:t>
      </w:r>
      <w:r w:rsidRPr="00AD2F44">
        <w:t>, 929 F.2d at 792–96 (finding that plaintiff did not meet burden of presenting sufficient representative testimony, but that court had improperly limited each party to one witness at trial). While no courts have expressly reached the issue, there is no reason to think that this principle would not apply with equal force to defendants’ evidentiary presentations.</w:t>
      </w:r>
    </w:p>
  </w:footnote>
  <w:footnote w:id="883">
    <w:p w14:paraId="4C248911" w14:textId="77777777" w:rsidR="004322B1" w:rsidRPr="00AD2F44" w:rsidRDefault="004322B1">
      <w:pPr>
        <w:pStyle w:val="14Footnote"/>
      </w:pPr>
      <w:r w:rsidRPr="00AD2F44">
        <w:rPr>
          <w:vertAlign w:val="superscript"/>
        </w:rPr>
        <w:footnoteRef/>
      </w:r>
      <w:r w:rsidRPr="00AD2F44">
        <w:rPr>
          <w:i/>
          <w:iCs/>
        </w:rPr>
        <w:t>See</w:t>
      </w:r>
      <w:r w:rsidRPr="00AD2F44">
        <w:t xml:space="preserve"> Morgan v. Family Dollar Stores, Inc., 551 F.3d 1233, 1277–78, 14 WH Cases2d 587 (11th Cir. 2008) (a party cannot complain that its opponent has failed to present sufficient representative evidence if it has opposed the introduction of additional evidence from that adversary).</w:t>
      </w:r>
    </w:p>
  </w:footnote>
  <w:footnote w:id="884">
    <w:p w14:paraId="30AB26BF" w14:textId="77777777" w:rsidR="004322B1" w:rsidRPr="00AD2F44" w:rsidRDefault="004322B1">
      <w:pPr>
        <w:pStyle w:val="14Footnote"/>
      </w:pPr>
      <w:r w:rsidRPr="00AD2F44">
        <w:rPr>
          <w:vertAlign w:val="superscript"/>
        </w:rPr>
        <w:footnoteRef/>
      </w:r>
      <w:r w:rsidRPr="00AD2F44">
        <w:rPr>
          <w:i/>
          <w:iCs/>
        </w:rPr>
        <w:t>See, e.g.,</w:t>
      </w:r>
    </w:p>
    <w:p w14:paraId="30FA317F" w14:textId="77777777" w:rsidR="004322B1" w:rsidRPr="00AD2F44" w:rsidRDefault="004322B1">
      <w:pPr>
        <w:pStyle w:val="14Footnote"/>
      </w:pPr>
      <w:r w:rsidRPr="00AD2F44">
        <w:rPr>
          <w:i/>
          <w:iCs/>
        </w:rPr>
        <w:t>Third Circuit:</w:t>
      </w:r>
      <w:r w:rsidRPr="00AD2F44">
        <w:t xml:space="preserve"> Chabrier v. Wilmington Fin., Inc., 2008 WL 938872, at *3 (E.D. Pa. Apr. 4, 2008) (acknowledging that bifurcation of liability and damages is an aid in making individualized fact determinations in FLSA collective actions).</w:t>
      </w:r>
    </w:p>
    <w:p w14:paraId="0949B340" w14:textId="77777777" w:rsidR="004322B1" w:rsidRPr="00AD2F44" w:rsidRDefault="004322B1">
      <w:pPr>
        <w:pStyle w:val="14Footnote"/>
      </w:pPr>
      <w:r w:rsidRPr="00AD2F44">
        <w:rPr>
          <w:i/>
          <w:iCs/>
        </w:rPr>
        <w:t>Fifth Circuit:</w:t>
      </w:r>
      <w:r w:rsidRPr="00AD2F44">
        <w:t xml:space="preserve"> Falcon v. Starbucks Corp., 580 F. Supp. 2d 528, 540–41 (S.D. Tex. 2008) (suggesting that bifurcation of liability and damages in an FLSA collective action may better allow for individualized determinations while preserving judicial economy).</w:t>
      </w:r>
    </w:p>
    <w:p w14:paraId="6B6E571E" w14:textId="77777777" w:rsidR="004322B1" w:rsidRPr="00AD2F44" w:rsidRDefault="004322B1">
      <w:pPr>
        <w:pStyle w:val="14Footnote"/>
      </w:pPr>
      <w:r w:rsidRPr="00AD2F44">
        <w:rPr>
          <w:i/>
          <w:iCs/>
        </w:rPr>
        <w:t xml:space="preserve">Eighth Circuit: </w:t>
      </w:r>
      <w:r w:rsidRPr="00AD2F44">
        <w:t>Nerland v. Caribou Coffee Co., 564 F. Supp. 2d 1010, 1025 (D. Minn. 2007) (recommending bifurcation of the trial in an FLSA action into liability and damages phases to promote greater manageability).</w:t>
      </w:r>
    </w:p>
    <w:p w14:paraId="031114EF" w14:textId="77777777" w:rsidR="004322B1" w:rsidRPr="00AD2F44" w:rsidRDefault="004322B1">
      <w:pPr>
        <w:pStyle w:val="14Footnote"/>
      </w:pPr>
      <w:r w:rsidRPr="00AD2F44">
        <w:rPr>
          <w:i/>
          <w:iCs/>
        </w:rPr>
        <w:t>Ninth Circuit:</w:t>
      </w:r>
      <w:r w:rsidRPr="00AD2F44">
        <w:t xml:space="preserve"> Thiebes v. Wal-Mart Stores, Inc., 2004 WL 1688544, at *1 (D. Or. July 26, 2004) (bifurcating liability and damages in an FLSA collective action).</w:t>
      </w:r>
    </w:p>
    <w:p w14:paraId="415CD231" w14:textId="77777777" w:rsidR="004322B1" w:rsidRPr="00AD2F44" w:rsidRDefault="004322B1">
      <w:pPr>
        <w:pStyle w:val="14Footnote"/>
      </w:pPr>
      <w:r w:rsidRPr="00AD2F44">
        <w:rPr>
          <w:i/>
          <w:iCs/>
        </w:rPr>
        <w:t>Eleventh Circuit:</w:t>
      </w:r>
      <w:r w:rsidRPr="00AD2F44">
        <w:t xml:space="preserve"> Davis v. City of Loganville, 2006 WL 1312411, at *4 (M.D. Ga. May 11, 2006) (acknowledging that bifurcation of liability and damages is appropriate in an FLSA collective action where it serves judicial economy and avoids the risk of prejudice and jury confusion).</w:t>
      </w:r>
    </w:p>
    <w:p w14:paraId="20F87294" w14:textId="77777777" w:rsidR="004322B1" w:rsidRPr="00AD2F44" w:rsidRDefault="004322B1">
      <w:pPr>
        <w:pStyle w:val="14Footnote"/>
      </w:pPr>
      <w:r w:rsidRPr="00AD2F44">
        <w:t>See also detailed discussion of bifurcation of liability and damages in collective actions in §V.B [Case Management Issues; Bifurcation of Liability and Damages] of this chapter.</w:t>
      </w:r>
    </w:p>
  </w:footnote>
  <w:footnote w:id="885">
    <w:p w14:paraId="76505AE6"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smallCaps/>
        </w:rPr>
        <w:t>Fed. R. Civ. P.</w:t>
      </w:r>
      <w:r w:rsidRPr="00AD2F44">
        <w:t xml:space="preserve"> 42(b). See also §V.B [Case Management Issues; Bifurcation of Liability and Damages] of this chapter.</w:t>
      </w:r>
    </w:p>
  </w:footnote>
  <w:footnote w:id="886">
    <w:p w14:paraId="03BC202C" w14:textId="77777777" w:rsidR="004322B1" w:rsidRPr="00AD2F44" w:rsidRDefault="004322B1">
      <w:pPr>
        <w:pStyle w:val="14Footnote"/>
      </w:pPr>
      <w:r w:rsidRPr="00AD2F44">
        <w:rPr>
          <w:vertAlign w:val="superscript"/>
        </w:rPr>
        <w:footnoteRef/>
      </w:r>
      <w:r w:rsidRPr="00AD2F44">
        <w:t xml:space="preserve">Anderson v. Mt. Clemens Pottery Co., 328 U.S. 680, 6 WH Cases 83 (1946). </w:t>
      </w:r>
    </w:p>
  </w:footnote>
  <w:footnote w:id="887">
    <w:p w14:paraId="632AD9C6" w14:textId="77777777" w:rsidR="004322B1" w:rsidRPr="00AD2F44" w:rsidRDefault="004322B1">
      <w:pPr>
        <w:pStyle w:val="14Footnote"/>
      </w:pPr>
      <w:r w:rsidRPr="00AD2F44">
        <w:rPr>
          <w:vertAlign w:val="superscript"/>
        </w:rPr>
        <w:footnoteRef/>
      </w:r>
      <w:r w:rsidRPr="00AD2F44">
        <w:rPr>
          <w:i/>
          <w:iCs/>
        </w:rPr>
        <w:t>First Circuit:</w:t>
      </w:r>
      <w:r w:rsidRPr="00AD2F44">
        <w:t xml:space="preserve"> Herman v. Hector I. Nieves Transp., Inc., 91 F. Supp. 2d 435, 447, 6 WH Cases2d 1469 (D.P.R. 2000).</w:t>
      </w:r>
    </w:p>
    <w:p w14:paraId="7DF17E0E" w14:textId="77777777" w:rsidR="004322B1" w:rsidRPr="00AD2F44" w:rsidRDefault="004322B1">
      <w:pPr>
        <w:pStyle w:val="14Footnote"/>
      </w:pPr>
      <w:r w:rsidRPr="00AD2F44">
        <w:rPr>
          <w:i/>
          <w:iCs/>
        </w:rPr>
        <w:t>Second Circuit:</w:t>
      </w:r>
      <w:r w:rsidRPr="00AD2F44">
        <w:t xml:space="preserve"> Donovan v. Sovereign Sec., Ltd., 1982 WL 2192, at *6, 25 WH Cases 1222 (E.D.N.Y. Apr. 28, 1982).</w:t>
      </w:r>
    </w:p>
    <w:p w14:paraId="347DEC54" w14:textId="77777777" w:rsidR="004322B1" w:rsidRPr="00AD2F44" w:rsidRDefault="004322B1">
      <w:pPr>
        <w:pStyle w:val="14Footnote"/>
      </w:pPr>
      <w:r w:rsidRPr="00AD2F44">
        <w:rPr>
          <w:i/>
          <w:iCs/>
        </w:rPr>
        <w:t>Third Circuit:</w:t>
      </w:r>
      <w:r w:rsidRPr="00AD2F44">
        <w:t xml:space="preserve"> Reich v. Gateway Press, Inc., 13 F.3d 685, 702, 1 WH Cases2d 1313 (3d Cir. 1994); Martin v. Selker Bros., Inc., 949 F.2d 1286, 1298, 30 WH Cases 1061 (3d Cir. 1991); McLaughlin v. DialAmerica Mktg., Inc., 716 F. Supp. 812, 824–25, 29 WH Cases 645 (D.N.J. 1989); Marshall v. Brunner, 500 F. Supp. 116, 122, 27 WH Cases 1050 (W.D. Pa. 1980), </w:t>
      </w:r>
      <w:r w:rsidRPr="00AD2F44">
        <w:rPr>
          <w:i/>
          <w:iCs/>
        </w:rPr>
        <w:t>aff’d in part and rev’d in part on other grounds</w:t>
      </w:r>
      <w:r w:rsidRPr="00AD2F44">
        <w:t>, 668 F.2d 748 (3d Cir. 1982); Marshall v. R &amp; M Erectors, Inc., 429 F. Supp. 771, 777 (D. Del. 1977).</w:t>
      </w:r>
    </w:p>
    <w:p w14:paraId="5DE01520" w14:textId="77777777" w:rsidR="004322B1" w:rsidRPr="00AD2F44" w:rsidRDefault="004322B1">
      <w:pPr>
        <w:pStyle w:val="14Footnote"/>
      </w:pPr>
      <w:r w:rsidRPr="00AD2F44">
        <w:rPr>
          <w:i/>
          <w:iCs/>
        </w:rPr>
        <w:t>Fourth Circuit:</w:t>
      </w:r>
      <w:r w:rsidRPr="00AD2F44">
        <w:t xml:space="preserve"> Pforr v. Food Lion, Inc., 851 F.2d 106, 109 (4th Cir. 1988); Donovan v. Bel-Loc Diner, Inc., 780 F.2d 1113, 1116, 27 WH Cases 745 (4th Cir. 1985).</w:t>
      </w:r>
    </w:p>
    <w:p w14:paraId="789758D1" w14:textId="77777777" w:rsidR="004322B1" w:rsidRPr="00AD2F44" w:rsidRDefault="004322B1">
      <w:pPr>
        <w:pStyle w:val="14Footnote"/>
      </w:pPr>
      <w:r w:rsidRPr="00AD2F44">
        <w:rPr>
          <w:i/>
          <w:iCs/>
        </w:rPr>
        <w:t>Sixth Circuit:</w:t>
      </w:r>
      <w:r w:rsidRPr="00AD2F44">
        <w:t xml:space="preserve"> Bueno v. Mattner, 633 F. Supp. 1446, 1453, 27 WH Cases 1257 (W.D. Mich. 1986); Martin v. Petroleum Sales, Inc., 1992 WL 439740, at *14, 1 WH Cases2d 363 (W.D. Tenn. July 9, 1992), </w:t>
      </w:r>
      <w:r w:rsidRPr="00AD2F44">
        <w:rPr>
          <w:i/>
          <w:iCs/>
        </w:rPr>
        <w:t>rev’d on other grounds</w:t>
      </w:r>
      <w:r w:rsidRPr="00AD2F44">
        <w:t>, Reich v. Petroleum Sales, Inc., 30 F.3d 654, 2 WH Cases2d 431 (6th Cir. 1994).</w:t>
      </w:r>
    </w:p>
    <w:p w14:paraId="61375537" w14:textId="77777777" w:rsidR="004322B1" w:rsidRPr="00AD2F44" w:rsidRDefault="004322B1">
      <w:pPr>
        <w:pStyle w:val="14Footnote"/>
      </w:pPr>
      <w:r w:rsidRPr="00AD2F44">
        <w:rPr>
          <w:i/>
          <w:iCs/>
        </w:rPr>
        <w:t>Eighth Circuit:</w:t>
      </w:r>
      <w:r w:rsidRPr="00AD2F44">
        <w:t xml:space="preserve"> Murray v. Stuckey’s, Inc., 939 F.2d 614, 621–22, 30 WH Cases 705 (8th Cir. 1991); Brock v. Tony and Susan Alamo Found., 842 F.2d 1018, 1051–52, 28 WH Cases 897 (8th Cir. 1988).</w:t>
      </w:r>
    </w:p>
    <w:p w14:paraId="22CD1299" w14:textId="77777777" w:rsidR="004322B1" w:rsidRPr="00AD2F44" w:rsidRDefault="004322B1">
      <w:pPr>
        <w:pStyle w:val="14Footnote"/>
      </w:pPr>
      <w:r w:rsidRPr="00AD2F44">
        <w:rPr>
          <w:i/>
          <w:iCs/>
        </w:rPr>
        <w:t>Ninth Circuit:</w:t>
      </w:r>
      <w:r w:rsidRPr="00AD2F44">
        <w:t xml:space="preserve"> Alvarez v. IBP, Inc., 2001 WL 34897841, at *7 (E.D. Wash. 2001), </w:t>
      </w:r>
      <w:r w:rsidRPr="00AD2F44">
        <w:rPr>
          <w:i/>
          <w:iCs/>
        </w:rPr>
        <w:t>aff’d in part and rev’d in part on other grounds</w:t>
      </w:r>
      <w:r w:rsidRPr="00AD2F44">
        <w:t xml:space="preserve">, 339 F.3d 894 (9th Cir. 2003), </w:t>
      </w:r>
      <w:r w:rsidRPr="00AD2F44">
        <w:rPr>
          <w:i/>
          <w:iCs/>
        </w:rPr>
        <w:t>aff’d</w:t>
      </w:r>
      <w:r w:rsidRPr="00AD2F44">
        <w:t>, 546 U.S. 21, 10 WH Cases2d 1825 (2006).</w:t>
      </w:r>
    </w:p>
    <w:p w14:paraId="304F3579" w14:textId="77777777" w:rsidR="004322B1" w:rsidRPr="00AD2F44" w:rsidRDefault="004322B1">
      <w:pPr>
        <w:pStyle w:val="14Footnote"/>
      </w:pPr>
      <w:r w:rsidRPr="00AD2F44">
        <w:rPr>
          <w:i/>
          <w:iCs/>
        </w:rPr>
        <w:t>Tenth Circuit:</w:t>
      </w:r>
      <w:r w:rsidRPr="00AD2F44">
        <w:t xml:space="preserve"> Donovan v. Simmons Petroleum Corp., 725 F.2d 83, 86, 26 WH Cases 936 (10th Cir. 1983).</w:t>
      </w:r>
    </w:p>
  </w:footnote>
  <w:footnote w:id="888">
    <w:p w14:paraId="69C33E24" w14:textId="77777777" w:rsidR="004322B1" w:rsidRPr="00AD2F44" w:rsidRDefault="004322B1">
      <w:pPr>
        <w:pStyle w:val="14Footnote"/>
      </w:pPr>
      <w:r w:rsidRPr="00AD2F44">
        <w:rPr>
          <w:vertAlign w:val="superscript"/>
        </w:rPr>
        <w:footnoteRef/>
      </w:r>
      <w:r w:rsidRPr="00AD2F44">
        <w:rPr>
          <w:i/>
          <w:iCs/>
        </w:rPr>
        <w:t>See, e.g.,</w:t>
      </w:r>
    </w:p>
    <w:p w14:paraId="0233ED75" w14:textId="77777777" w:rsidR="004322B1" w:rsidRPr="00AD2F44" w:rsidRDefault="004322B1">
      <w:pPr>
        <w:pStyle w:val="14Footnote"/>
      </w:pPr>
      <w:r w:rsidRPr="00AD2F44">
        <w:rPr>
          <w:i/>
          <w:iCs/>
        </w:rPr>
        <w:t>Second Circuit:</w:t>
      </w:r>
      <w:r w:rsidRPr="00AD2F44">
        <w:t xml:space="preserve"> Donovan v. Kaszycki &amp; Sons Contractors, Inc., 599 F. Supp. 860, 872 (Appx. A), 27 WH Cases 35 (S.D.N.Y. 1984).</w:t>
      </w:r>
    </w:p>
    <w:p w14:paraId="1D295715" w14:textId="77777777" w:rsidR="004322B1" w:rsidRPr="00AD2F44" w:rsidRDefault="004322B1">
      <w:pPr>
        <w:pStyle w:val="14Footnote"/>
      </w:pPr>
      <w:r w:rsidRPr="00AD2F44">
        <w:rPr>
          <w:i/>
          <w:iCs/>
        </w:rPr>
        <w:t>Third Circuit:</w:t>
      </w:r>
      <w:r w:rsidRPr="00AD2F44">
        <w:t xml:space="preserve"> Reich v. Chez Robert, Inc., 821 F. Supp. 967, 988–93 (Appx. A &amp; B) (D.N.J. 1993), </w:t>
      </w:r>
      <w:r w:rsidRPr="00AD2F44">
        <w:rPr>
          <w:i/>
          <w:iCs/>
        </w:rPr>
        <w:t>rev’d on other grounds</w:t>
      </w:r>
      <w:r w:rsidRPr="00AD2F44">
        <w:t xml:space="preserve">, 28 F.3d 401, 2 WH Cases2d 257 (3d Cir. 1994); Dole v. Solid Waste Servs., Inc., 733 F. Supp. 895, 933, 29 WH Cases 1490 (E.D. Pa. 1989), </w:t>
      </w:r>
      <w:r w:rsidRPr="00AD2F44">
        <w:rPr>
          <w:i/>
          <w:iCs/>
        </w:rPr>
        <w:t>aff’d</w:t>
      </w:r>
      <w:r w:rsidRPr="00AD2F44">
        <w:t xml:space="preserve">, 897 F.2d 521 (3d Cir. 1990); </w:t>
      </w:r>
      <w:r w:rsidRPr="00AD2F44">
        <w:rPr>
          <w:i/>
          <w:iCs/>
        </w:rPr>
        <w:t>Brunner</w:t>
      </w:r>
      <w:r w:rsidRPr="00AD2F44">
        <w:t xml:space="preserve">, 500 F. Supp. at 124 (Sched. A); </w:t>
      </w:r>
      <w:r w:rsidRPr="00AD2F44">
        <w:rPr>
          <w:i/>
          <w:iCs/>
        </w:rPr>
        <w:t>R &amp; M Erectors, Inc</w:t>
      </w:r>
      <w:r w:rsidRPr="00AD2F44">
        <w:t>., 429 F. Supp. at 778 n.37.</w:t>
      </w:r>
    </w:p>
    <w:p w14:paraId="55FE6F3C" w14:textId="77777777" w:rsidR="004322B1" w:rsidRPr="00AD2F44" w:rsidRDefault="004322B1">
      <w:pPr>
        <w:pStyle w:val="14Footnote"/>
      </w:pPr>
      <w:r w:rsidRPr="00AD2F44">
        <w:rPr>
          <w:i/>
          <w:iCs/>
        </w:rPr>
        <w:t>Sixth Circuit:</w:t>
      </w:r>
      <w:r w:rsidRPr="00AD2F44">
        <w:t xml:space="preserve"> </w:t>
      </w:r>
      <w:r w:rsidRPr="00AD2F44">
        <w:rPr>
          <w:i/>
          <w:iCs/>
        </w:rPr>
        <w:t>Bueno</w:t>
      </w:r>
      <w:r w:rsidRPr="00AD2F44">
        <w:t>, 633 F. Supp. at 1456–60, 1468.</w:t>
      </w:r>
    </w:p>
  </w:footnote>
  <w:footnote w:id="889">
    <w:p w14:paraId="1CFE40E4" w14:textId="77777777" w:rsidR="004322B1" w:rsidRPr="00AD2F44" w:rsidRDefault="004322B1">
      <w:pPr>
        <w:pStyle w:val="14Footnote"/>
      </w:pPr>
      <w:r w:rsidRPr="00AD2F44">
        <w:rPr>
          <w:vertAlign w:val="superscript"/>
        </w:rPr>
        <w:footnoteRef/>
      </w:r>
      <w:r w:rsidRPr="00AD2F44">
        <w:rPr>
          <w:i/>
          <w:iCs/>
        </w:rPr>
        <w:t>See</w:t>
      </w:r>
      <w:r w:rsidRPr="00AD2F44">
        <w:t xml:space="preserve"> </w:t>
      </w:r>
      <w:r w:rsidRPr="00AD2F44">
        <w:rPr>
          <w:smallCaps/>
        </w:rPr>
        <w:t>Fed. R. Civ. P.</w:t>
      </w:r>
      <w:r w:rsidRPr="00AD2F44">
        <w:t xml:space="preserve"> 42(b) (bifurcation appropriate to promote convenience, avoid prejudice, expedite, and economize); Davis v. City of Loganville, 2006 WL 1312411, at *4 (M.D. Ga. May 11, 2006) (bifurcation appropriate to avoid complexity and jury confusion).</w:t>
      </w:r>
    </w:p>
  </w:footnote>
  <w:footnote w:id="890">
    <w:p w14:paraId="610C3A7A" w14:textId="77777777" w:rsidR="004322B1" w:rsidRPr="00AD2F44" w:rsidRDefault="004322B1">
      <w:pPr>
        <w:pStyle w:val="14Footnote"/>
      </w:pPr>
      <w:r w:rsidRPr="00AD2F44">
        <w:rPr>
          <w:vertAlign w:val="superscript"/>
        </w:rPr>
        <w:footnoteRef/>
      </w:r>
      <w:r w:rsidRPr="00AD2F44">
        <w:rPr>
          <w:i/>
          <w:iCs/>
        </w:rPr>
        <w:t xml:space="preserve">See </w:t>
      </w:r>
      <w:r w:rsidRPr="00AD2F44">
        <w:t>Morgan v. Family Dollar Stores, Inc., 551 F.3d 1233, 1277 n.69, 14 WH Cases2d 587 (11th Cir. 2008).</w:t>
      </w:r>
    </w:p>
  </w:footnote>
  <w:footnote w:id="891">
    <w:p w14:paraId="2D2C3762" w14:textId="77777777" w:rsidR="004322B1" w:rsidRPr="00AD2F44" w:rsidRDefault="004322B1">
      <w:pPr>
        <w:pStyle w:val="14Footnote"/>
      </w:pPr>
      <w:r w:rsidRPr="00AD2F44">
        <w:rPr>
          <w:vertAlign w:val="superscript"/>
        </w:rPr>
        <w:footnoteRef/>
      </w:r>
      <w:r w:rsidRPr="00AD2F44">
        <w:rPr>
          <w:i/>
          <w:iCs/>
        </w:rPr>
        <w:t>See</w:t>
      </w:r>
      <w:r w:rsidRPr="00AD2F44">
        <w:t xml:space="preserve"> Reyes v. EZ Pawn, L.P., 2007 WL 3143315 (S.D. Tex. Oct. 24, 2007); Goldman v. Radioshack Corp., 2005 WL 1155751 (E.D. Pa. May 13, 2005).</w:t>
      </w:r>
    </w:p>
  </w:footnote>
  <w:footnote w:id="892">
    <w:p w14:paraId="14557502" w14:textId="77777777" w:rsidR="004322B1" w:rsidRPr="00AD2F44" w:rsidRDefault="004322B1">
      <w:pPr>
        <w:pStyle w:val="14Footnote"/>
      </w:pPr>
      <w:r w:rsidRPr="00AD2F44">
        <w:rPr>
          <w:vertAlign w:val="superscript"/>
        </w:rPr>
        <w:footnoteRef/>
      </w:r>
      <w:r w:rsidRPr="00AD2F44">
        <w:rPr>
          <w:i/>
        </w:rPr>
        <w:t>See</w:t>
      </w:r>
    </w:p>
    <w:p w14:paraId="2D768F5D" w14:textId="77777777" w:rsidR="004322B1" w:rsidRPr="00AD2F44" w:rsidRDefault="004322B1">
      <w:pPr>
        <w:pStyle w:val="14Footnote"/>
      </w:pPr>
      <w:r w:rsidRPr="00AD2F44">
        <w:rPr>
          <w:i/>
          <w:iCs/>
        </w:rPr>
        <w:t>Third Circuit:</w:t>
      </w:r>
      <w:r w:rsidRPr="00AD2F44">
        <w:t xml:space="preserve"> Lusardi v. Xerox Corp. (Lusardi I), 747 F.2d 174, 176 (3d Cir. 1984) (decision under the ADEA, which incorporates §216(b)).</w:t>
      </w:r>
    </w:p>
    <w:p w14:paraId="3866C11F" w14:textId="77777777" w:rsidR="004322B1" w:rsidRPr="00AD2F44" w:rsidRDefault="004322B1">
      <w:pPr>
        <w:pStyle w:val="14Footnote"/>
      </w:pPr>
      <w:r w:rsidRPr="00AD2F44">
        <w:rPr>
          <w:i/>
          <w:iCs/>
        </w:rPr>
        <w:t>Fifth Circuit:</w:t>
      </w:r>
      <w:r w:rsidRPr="00AD2F44">
        <w:t xml:space="preserve"> Baldridge v. SBC Commc’ns, Inc., 404 F.3d 930, 931 (5th Cir. 2005).</w:t>
      </w:r>
    </w:p>
    <w:p w14:paraId="590B9009" w14:textId="77777777" w:rsidR="004322B1" w:rsidRPr="00AD2F44" w:rsidRDefault="004322B1">
      <w:pPr>
        <w:pStyle w:val="14Footnote"/>
      </w:pPr>
      <w:r w:rsidRPr="00AD2F44">
        <w:rPr>
          <w:i/>
          <w:iCs/>
        </w:rPr>
        <w:t>Sixth Circuit:</w:t>
      </w:r>
      <w:r w:rsidRPr="00AD2F44">
        <w:t xml:space="preserve"> Taylor v. Pilot Corp., 697 F. App’x 854, 858 (6th Cir. 2017) (relying on 28 U.S.C. §1291 to hold that FLSA conditional certification orders are not subject to interlocutory appeal because such decisions are not final).</w:t>
      </w:r>
    </w:p>
    <w:p w14:paraId="2BA197F1" w14:textId="77777777" w:rsidR="004322B1" w:rsidRPr="00AD2F44" w:rsidRDefault="004322B1">
      <w:pPr>
        <w:pStyle w:val="14Footnote"/>
      </w:pPr>
      <w:r w:rsidRPr="00AD2F44">
        <w:rPr>
          <w:i/>
          <w:iCs/>
        </w:rPr>
        <w:t>Ninth Circuit:</w:t>
      </w:r>
      <w:r w:rsidRPr="00AD2F44">
        <w:t xml:space="preserve"> McElmurry v. U.S. Bank Nat’l Ass’n, 495 F.3d 1136, 1139 (9th Cir. 2007).</w:t>
      </w:r>
    </w:p>
    <w:p w14:paraId="714EB6E3" w14:textId="77777777" w:rsidR="004322B1" w:rsidRPr="00AD2F44" w:rsidRDefault="004322B1">
      <w:pPr>
        <w:pStyle w:val="14Footnote"/>
      </w:pPr>
      <w:r w:rsidRPr="00AD2F44">
        <w:t xml:space="preserve">The parties either have not sought review under 28 U.S.C. §1292’s interlocutory review provision, which allows district courts to certify questions for interlocutory review, </w:t>
      </w:r>
      <w:r w:rsidRPr="00AD2F44">
        <w:rPr>
          <w:i/>
          <w:iCs/>
        </w:rPr>
        <w:t>see McElmurry</w:t>
      </w:r>
      <w:r w:rsidRPr="00AD2F44">
        <w:t xml:space="preserve">, 495 F.3d at 1139 (appellants did not seek review under §1292); Comer v. Wal-Mart Stores, Inc. 454 F.3d 544 (6th Cir. 2006) (§1292 not mentioned); Lusardi v. Lechner (Lusardi II), 855 F.2d 1062, 1068 (3d Cir. 1988), or such requests have been rejected, </w:t>
      </w:r>
      <w:r w:rsidRPr="00AD2F44">
        <w:rPr>
          <w:i/>
          <w:iCs/>
        </w:rPr>
        <w:t>see Baldridge</w:t>
      </w:r>
      <w:r w:rsidRPr="00AD2F44">
        <w:t xml:space="preserve">, 404 F.3d at 931 (district court rejected such review); </w:t>
      </w:r>
      <w:r w:rsidRPr="00AD2F44">
        <w:rPr>
          <w:i/>
          <w:iCs/>
        </w:rPr>
        <w:t>Lusardi</w:t>
      </w:r>
      <w:r w:rsidRPr="00AD2F44">
        <w:t xml:space="preserve"> </w:t>
      </w:r>
      <w:r w:rsidRPr="00AD2F44">
        <w:rPr>
          <w:i/>
          <w:iCs/>
        </w:rPr>
        <w:t>I</w:t>
      </w:r>
      <w:r w:rsidRPr="00AD2F44">
        <w:t>, 747 F.2d at 176 (district court denied review and prior panel rejected mandamus petition challenging denial).</w:t>
      </w:r>
    </w:p>
  </w:footnote>
  <w:footnote w:id="893">
    <w:p w14:paraId="73CB2776" w14:textId="77777777" w:rsidR="004322B1" w:rsidRPr="00AD2F44" w:rsidRDefault="004322B1">
      <w:pPr>
        <w:pStyle w:val="14Footnote"/>
      </w:pPr>
      <w:r w:rsidRPr="00AD2F44">
        <w:rPr>
          <w:vertAlign w:val="superscript"/>
        </w:rPr>
        <w:footnoteRef/>
      </w:r>
      <w:r w:rsidRPr="00AD2F44">
        <w:rPr>
          <w:i/>
          <w:iCs/>
        </w:rPr>
        <w:t xml:space="preserve">See generally </w:t>
      </w:r>
      <w:r w:rsidRPr="00AD2F44">
        <w:t>29 U.S.C. §216(b).</w:t>
      </w:r>
    </w:p>
  </w:footnote>
  <w:footnote w:id="894">
    <w:p w14:paraId="53B5C397" w14:textId="77777777" w:rsidR="004322B1" w:rsidRPr="00AD2F44" w:rsidRDefault="004322B1">
      <w:pPr>
        <w:pStyle w:val="14Footnote"/>
      </w:pPr>
      <w:r w:rsidRPr="00AD2F44">
        <w:rPr>
          <w:vertAlign w:val="superscript"/>
        </w:rPr>
        <w:footnoteRef/>
      </w:r>
      <w:r w:rsidRPr="00AD2F44">
        <w:t>337 U.S. 541 (1949). The “</w:t>
      </w:r>
      <w:r w:rsidRPr="00AD2F44">
        <w:rPr>
          <w:i/>
          <w:iCs/>
        </w:rPr>
        <w:t>Cohen</w:t>
      </w:r>
      <w:r w:rsidRPr="00AD2F44">
        <w:t xml:space="preserve"> test” permits review of an otherwise unreviewable district court order if (1) it conclusively determines a disputed question; (2) that question is separate from the merits of the action; and (3) the matters decided in the order at issue will be effectively unreviewable on appeal from a final judgment. </w:t>
      </w:r>
      <w:r w:rsidRPr="00AD2F44">
        <w:rPr>
          <w:i/>
          <w:iCs/>
        </w:rPr>
        <w:t>Id</w:t>
      </w:r>
      <w:r w:rsidRPr="00AD2F44">
        <w:t xml:space="preserve">. at 545–46. One appellate court has suggested a fourth factor from </w:t>
      </w:r>
      <w:r w:rsidRPr="00AD2F44">
        <w:rPr>
          <w:i/>
          <w:iCs/>
        </w:rPr>
        <w:t>Cohen</w:t>
      </w:r>
      <w:r w:rsidRPr="00AD2F44">
        <w:t xml:space="preserve">—namely, that the decision is not “tentative, informal, or incomplete.” </w:t>
      </w:r>
      <w:r w:rsidRPr="00AD2F44">
        <w:rPr>
          <w:i/>
          <w:iCs/>
        </w:rPr>
        <w:t>Comer</w:t>
      </w:r>
      <w:r w:rsidRPr="00AD2F44">
        <w:t>, 454 F.3d at 548.</w:t>
      </w:r>
    </w:p>
  </w:footnote>
  <w:footnote w:id="895">
    <w:p w14:paraId="7F1D5D14" w14:textId="77777777" w:rsidR="004322B1" w:rsidRPr="00AD2F44" w:rsidRDefault="004322B1">
      <w:pPr>
        <w:pStyle w:val="14Footnote"/>
        <w:rPr>
          <w:i/>
          <w:iCs/>
        </w:rPr>
      </w:pPr>
      <w:r w:rsidRPr="00AD2F44">
        <w:rPr>
          <w:vertAlign w:val="superscript"/>
        </w:rPr>
        <w:footnoteRef/>
      </w:r>
      <w:r w:rsidRPr="00AD2F44">
        <w:rPr>
          <w:i/>
          <w:iCs/>
        </w:rPr>
        <w:t>See</w:t>
      </w:r>
    </w:p>
    <w:p w14:paraId="2488D7AE" w14:textId="77777777" w:rsidR="004322B1" w:rsidRPr="00AD2F44" w:rsidRDefault="004322B1">
      <w:pPr>
        <w:pStyle w:val="14Footnote"/>
      </w:pPr>
      <w:r w:rsidRPr="00AD2F44">
        <w:rPr>
          <w:i/>
          <w:iCs/>
        </w:rPr>
        <w:t>Third Circuit: Lusardi I,</w:t>
      </w:r>
      <w:r w:rsidRPr="00AD2F44">
        <w:t xml:space="preserve"> 747 F.2d 174.</w:t>
      </w:r>
    </w:p>
    <w:p w14:paraId="30C6FB2A" w14:textId="77777777" w:rsidR="004322B1" w:rsidRPr="00AD2F44" w:rsidRDefault="004322B1">
      <w:pPr>
        <w:pStyle w:val="14Footnote"/>
      </w:pPr>
      <w:r w:rsidRPr="00AD2F44">
        <w:rPr>
          <w:i/>
          <w:iCs/>
        </w:rPr>
        <w:t>Fifth Circuit: Baldridge,</w:t>
      </w:r>
      <w:r w:rsidRPr="00AD2F44">
        <w:t xml:space="preserve"> 404 F.3d 930.</w:t>
      </w:r>
    </w:p>
    <w:p w14:paraId="5C9E42A3" w14:textId="77777777" w:rsidR="004322B1" w:rsidRPr="00AD2F44" w:rsidRDefault="004322B1">
      <w:pPr>
        <w:pStyle w:val="14Footnote"/>
      </w:pPr>
      <w:r w:rsidRPr="00AD2F44">
        <w:rPr>
          <w:i/>
          <w:iCs/>
        </w:rPr>
        <w:t>Sixth Circuit: Comer,</w:t>
      </w:r>
      <w:r w:rsidRPr="00AD2F44">
        <w:t xml:space="preserve"> 454 F.3d 544.</w:t>
      </w:r>
    </w:p>
    <w:p w14:paraId="3E6F52E3" w14:textId="77777777" w:rsidR="004322B1" w:rsidRPr="00AD2F44" w:rsidRDefault="004322B1">
      <w:pPr>
        <w:pStyle w:val="14Footnote"/>
      </w:pPr>
      <w:r w:rsidRPr="00AD2F44">
        <w:rPr>
          <w:i/>
          <w:iCs/>
        </w:rPr>
        <w:t>Ninth Circuit: McElmurry,</w:t>
      </w:r>
      <w:r w:rsidRPr="00AD2F44">
        <w:t xml:space="preserve"> 495 F.3d 1136</w:t>
      </w:r>
    </w:p>
  </w:footnote>
  <w:footnote w:id="896">
    <w:p w14:paraId="4FCBA8FA" w14:textId="77777777" w:rsidR="004322B1" w:rsidRPr="00AD2F44" w:rsidRDefault="004322B1">
      <w:pPr>
        <w:pStyle w:val="14Footnote"/>
      </w:pPr>
      <w:r w:rsidRPr="00AD2F44">
        <w:rPr>
          <w:vertAlign w:val="superscript"/>
        </w:rPr>
        <w:footnoteRef/>
      </w:r>
      <w:r w:rsidRPr="00AD2F44">
        <w:rPr>
          <w:i/>
          <w:iCs/>
        </w:rPr>
        <w:t>Fifth Circuit:</w:t>
      </w:r>
      <w:r w:rsidRPr="00AD2F44">
        <w:t xml:space="preserve"> Baldridge v. SBC Commc’ns, Inc., 404 F.3d 930 (5th Cir. 2005).</w:t>
      </w:r>
    </w:p>
    <w:p w14:paraId="531E68D8" w14:textId="77777777" w:rsidR="004322B1" w:rsidRPr="00AD2F44" w:rsidRDefault="004322B1">
      <w:pPr>
        <w:pStyle w:val="14Footnote"/>
      </w:pPr>
      <w:r w:rsidRPr="00AD2F44">
        <w:rPr>
          <w:i/>
          <w:iCs/>
        </w:rPr>
        <w:t>Sixth Circuit:</w:t>
      </w:r>
      <w:r w:rsidRPr="00AD2F44">
        <w:t xml:space="preserve"> Comer v. Wal-Mart Stores, Inc., 454 F.3d 544 (6th Cir. 2006).</w:t>
      </w:r>
    </w:p>
    <w:p w14:paraId="50A90122" w14:textId="77777777" w:rsidR="004322B1" w:rsidRPr="00AD2F44" w:rsidRDefault="004322B1">
      <w:pPr>
        <w:pStyle w:val="14Footnote"/>
      </w:pPr>
      <w:r w:rsidRPr="00AD2F44">
        <w:rPr>
          <w:i/>
          <w:iCs/>
        </w:rPr>
        <w:t xml:space="preserve">Ninth Circuit: </w:t>
      </w:r>
      <w:r w:rsidRPr="00AD2F44">
        <w:t>Villarreal v.</w:t>
      </w:r>
      <w:r w:rsidRPr="00AD2F44">
        <w:rPr>
          <w:i/>
          <w:iCs/>
        </w:rPr>
        <w:t xml:space="preserve"> </w:t>
      </w:r>
      <w:r w:rsidRPr="00AD2F44">
        <w:t>Caremark, LLC, 85 F. Supp. 3d 1063, 1073 (D. Ariz. 2015); Lillehagen v. Alorica, Inc., 2014 WL 2009031 (C.D. Cal. May 15, 2014); Ellerd v. County of Los Angeles, 2009 WL 3462179, at *6 (C.D. Cal. Oct. 22, 2009).</w:t>
      </w:r>
    </w:p>
  </w:footnote>
  <w:footnote w:id="897">
    <w:p w14:paraId="7E9D46F2" w14:textId="77777777" w:rsidR="004322B1" w:rsidRPr="00AD2F44" w:rsidRDefault="004322B1">
      <w:pPr>
        <w:pStyle w:val="14Footnote"/>
      </w:pPr>
      <w:r w:rsidRPr="00AD2F44">
        <w:rPr>
          <w:vertAlign w:val="superscript"/>
        </w:rPr>
        <w:footnoteRef/>
      </w:r>
      <w:r w:rsidRPr="00AD2F44">
        <w:rPr>
          <w:i/>
          <w:iCs/>
        </w:rPr>
        <w:t>McElmurry</w:t>
      </w:r>
      <w:r w:rsidRPr="00AD2F44">
        <w:t>, 495 F.3d 1136.</w:t>
      </w:r>
    </w:p>
  </w:footnote>
  <w:footnote w:id="898">
    <w:p w14:paraId="72B7AAB2" w14:textId="77777777" w:rsidR="004322B1" w:rsidRPr="00AD2F44" w:rsidRDefault="004322B1">
      <w:pPr>
        <w:pStyle w:val="14Footnote"/>
      </w:pPr>
      <w:r w:rsidRPr="00AD2F44">
        <w:rPr>
          <w:vertAlign w:val="superscript"/>
        </w:rPr>
        <w:footnoteRef/>
      </w:r>
      <w:r w:rsidRPr="00AD2F44">
        <w:t xml:space="preserve">Lusardi v. Lechner </w:t>
      </w:r>
      <w:r w:rsidRPr="00AD2F44">
        <w:rPr>
          <w:i/>
          <w:iCs/>
        </w:rPr>
        <w:t>(Lusardi II),</w:t>
      </w:r>
      <w:r w:rsidRPr="00AD2F44">
        <w:t xml:space="preserve"> 855 F.2d 1062, 1068–69 (3d Cir. 1988) (“A decertification order is reviewable on appeal from a final judgment.”); </w:t>
      </w:r>
      <w:r w:rsidRPr="00AD2F44">
        <w:rPr>
          <w:i/>
          <w:iCs/>
        </w:rPr>
        <w:t>accord</w:t>
      </w:r>
      <w:r w:rsidRPr="00AD2F44">
        <w:t xml:space="preserve"> </w:t>
      </w:r>
      <w:r w:rsidRPr="00AD2F44">
        <w:rPr>
          <w:i/>
          <w:iCs/>
        </w:rPr>
        <w:t>Baldridge</w:t>
      </w:r>
      <w:r w:rsidRPr="00AD2F44">
        <w:t>, 404 F.3d at 932 n.3 (a decertification decision would revise an earlier order granting conditional certification, and allowing appeal of that decision still implicates “the final judgment rule—preventing the hazard [of] piecemeal appeals [that] burden the efficacious administration of justice and unnecessarily protract litigation”) (alterations in original); Stevens v. HMSHost Corp.,</w:t>
      </w:r>
      <w:r w:rsidRPr="00AD2F44">
        <w:rPr>
          <w:i/>
          <w:iCs/>
        </w:rPr>
        <w:t xml:space="preserve"> </w:t>
      </w:r>
      <w:r w:rsidRPr="00AD2F44">
        <w:t>2015 WL 926007, at *4 (E.D.N.Y. Mar. 4, 2015) (denying petition for interlocutory appeal after decertification of FLSA collective action).</w:t>
      </w:r>
    </w:p>
  </w:footnote>
  <w:footnote w:id="899">
    <w:p w14:paraId="0B1C6761" w14:textId="77777777" w:rsidR="004322B1" w:rsidRPr="00AD2F44" w:rsidRDefault="004322B1">
      <w:pPr>
        <w:pStyle w:val="14Footnote"/>
      </w:pPr>
      <w:r w:rsidRPr="00AD2F44">
        <w:rPr>
          <w:vertAlign w:val="superscript"/>
        </w:rPr>
        <w:footnoteRef/>
      </w:r>
      <w:r w:rsidRPr="00AD2F44">
        <w:t xml:space="preserve">Halle v. West Penn Allegheny Health Sys. Inc., 842 F.3d 215, 231 (3d Cir. 2016). </w:t>
      </w:r>
    </w:p>
  </w:footnote>
  <w:footnote w:id="900">
    <w:p w14:paraId="5BB69954" w14:textId="77777777" w:rsidR="004322B1" w:rsidRPr="00AD2F44" w:rsidRDefault="004322B1">
      <w:pPr>
        <w:pStyle w:val="14Footnote"/>
      </w:pPr>
      <w:r w:rsidRPr="00AD2F44">
        <w:rPr>
          <w:vertAlign w:val="superscript"/>
        </w:rPr>
        <w:footnoteRef/>
      </w:r>
      <w:r w:rsidRPr="00AD2F44">
        <w:t xml:space="preserve">Campbell v. City of L.A., 903 F.3d 1090, 1106 (9th Cir. 2018). </w:t>
      </w:r>
    </w:p>
  </w:footnote>
  <w:footnote w:id="901">
    <w:p w14:paraId="072501FD" w14:textId="77777777" w:rsidR="004322B1" w:rsidRPr="00AD2F44" w:rsidRDefault="004322B1">
      <w:pPr>
        <w:pStyle w:val="14Footnote"/>
      </w:pPr>
      <w:r w:rsidRPr="00AD2F44">
        <w:rPr>
          <w:vertAlign w:val="superscript"/>
        </w:rPr>
        <w:footnoteRef/>
      </w:r>
      <w:r w:rsidRPr="00AD2F44">
        <w:t>Mickles v. Country Club, Inc., 887 F.3d 1270 (11th Cir. 2018).</w:t>
      </w:r>
      <w:r w:rsidRPr="00AD2F44">
        <w:rPr>
          <w:b/>
          <w:bCs/>
        </w:rPr>
        <w:t xml:space="preserve"> </w:t>
      </w:r>
    </w:p>
  </w:footnote>
  <w:footnote w:id="902">
    <w:p w14:paraId="31C9EB8D" w14:textId="77777777" w:rsidR="004322B1" w:rsidRPr="00AD2F44" w:rsidRDefault="004322B1">
      <w:pPr>
        <w:pStyle w:val="14Footnote"/>
      </w:pPr>
      <w:r w:rsidRPr="00AD2F44">
        <w:rPr>
          <w:vertAlign w:val="superscript"/>
        </w:rPr>
        <w:footnoteRef/>
      </w:r>
      <w:r w:rsidRPr="00AD2F44">
        <w:t>437 U.S. 463 (1978).</w:t>
      </w:r>
    </w:p>
  </w:footnote>
  <w:footnote w:id="903">
    <w:p w14:paraId="2A5E533F" w14:textId="77777777" w:rsidR="004322B1" w:rsidRPr="00AD2F44" w:rsidRDefault="004322B1">
      <w:pPr>
        <w:pStyle w:val="14Footnote"/>
        <w:rPr>
          <w:i/>
          <w:iCs/>
        </w:rPr>
      </w:pPr>
      <w:r w:rsidRPr="00AD2F44">
        <w:rPr>
          <w:vertAlign w:val="superscript"/>
        </w:rPr>
        <w:footnoteRef/>
      </w:r>
      <w:r w:rsidRPr="00AD2F44">
        <w:rPr>
          <w:i/>
          <w:iCs/>
        </w:rPr>
        <w:t>Id</w:t>
      </w:r>
      <w:r w:rsidRPr="00AD2F44">
        <w:t xml:space="preserve">. at 469. </w:t>
      </w:r>
      <w:r w:rsidRPr="00AD2F44">
        <w:rPr>
          <w:i/>
          <w:iCs/>
        </w:rPr>
        <w:t>See</w:t>
      </w:r>
    </w:p>
    <w:p w14:paraId="7FAC5540" w14:textId="77777777" w:rsidR="004322B1" w:rsidRPr="00AD2F44" w:rsidRDefault="004322B1">
      <w:pPr>
        <w:pStyle w:val="14Footnote"/>
      </w:pPr>
      <w:r w:rsidRPr="00AD2F44">
        <w:rPr>
          <w:i/>
          <w:iCs/>
        </w:rPr>
        <w:t>Second Circuit:</w:t>
      </w:r>
      <w:r w:rsidRPr="00AD2F44">
        <w:t xml:space="preserve"> Baldridge v. SBC Commc’ns, Inc., 404 F.3d 930, 931–32 (5th Cir. 2005).</w:t>
      </w:r>
    </w:p>
    <w:p w14:paraId="114F6F64" w14:textId="77777777" w:rsidR="004322B1" w:rsidRPr="00AD2F44" w:rsidRDefault="004322B1">
      <w:pPr>
        <w:pStyle w:val="14Footnote"/>
      </w:pPr>
      <w:r w:rsidRPr="00AD2F44">
        <w:rPr>
          <w:i/>
          <w:iCs/>
        </w:rPr>
        <w:t>Third Circuit:</w:t>
      </w:r>
      <w:r w:rsidRPr="00AD2F44">
        <w:t xml:space="preserve"> Lusardi v. Xerox Corp. (Lusardi I), 747 F.2d 174, 177 (3d Cir. 1984).</w:t>
      </w:r>
    </w:p>
    <w:p w14:paraId="2F70FB9D" w14:textId="77777777" w:rsidR="004322B1" w:rsidRPr="00AD2F44" w:rsidRDefault="004322B1">
      <w:pPr>
        <w:pStyle w:val="14Footnote"/>
      </w:pPr>
      <w:r w:rsidRPr="00AD2F44">
        <w:rPr>
          <w:i/>
          <w:iCs/>
        </w:rPr>
        <w:t>Sixth Circuit:</w:t>
      </w:r>
      <w:r w:rsidRPr="00AD2F44">
        <w:t xml:space="preserve"> Comer v. Wal-Mart Stores, Inc., 454 F.3d 544, 549 (6th Cir. 2006) (“adopt[ing] the approach of the Fifth Circuit” in </w:t>
      </w:r>
      <w:r w:rsidRPr="00AD2F44">
        <w:rPr>
          <w:i/>
          <w:iCs/>
        </w:rPr>
        <w:t>Baldridge</w:t>
      </w:r>
      <w:r w:rsidRPr="00AD2F44">
        <w:t>).</w:t>
      </w:r>
    </w:p>
    <w:p w14:paraId="1C7176ED" w14:textId="77777777" w:rsidR="004322B1" w:rsidRPr="00AD2F44" w:rsidRDefault="004322B1">
      <w:pPr>
        <w:pStyle w:val="14Footnote"/>
      </w:pPr>
      <w:r w:rsidRPr="00AD2F44">
        <w:rPr>
          <w:i/>
          <w:iCs/>
        </w:rPr>
        <w:t>Ninth Circuit:</w:t>
      </w:r>
      <w:r w:rsidRPr="00AD2F44">
        <w:t xml:space="preserve"> McElmurry v. U.S. Bank Nat’l Ass’n, 495 F.3d 1136, 1141 (9th Cir. 2007).</w:t>
      </w:r>
    </w:p>
  </w:footnote>
  <w:footnote w:id="904">
    <w:p w14:paraId="47EC211D" w14:textId="77777777" w:rsidR="004322B1" w:rsidRPr="00AD2F44" w:rsidRDefault="004322B1">
      <w:pPr>
        <w:pStyle w:val="14Footnote"/>
      </w:pPr>
      <w:r w:rsidRPr="00AD2F44">
        <w:rPr>
          <w:vertAlign w:val="superscript"/>
        </w:rPr>
        <w:footnoteRef/>
      </w:r>
      <w:r w:rsidRPr="00AD2F44">
        <w:rPr>
          <w:i/>
          <w:iCs/>
        </w:rPr>
        <w:t>McElmurry</w:t>
      </w:r>
      <w:r w:rsidRPr="00AD2F44">
        <w:t xml:space="preserve">, 495 F.3d at 1141; </w:t>
      </w:r>
      <w:r w:rsidRPr="00AD2F44">
        <w:rPr>
          <w:i/>
          <w:iCs/>
        </w:rPr>
        <w:t>Baldridge</w:t>
      </w:r>
      <w:r w:rsidRPr="00AD2F44">
        <w:t>, 404 F.3d at 932.</w:t>
      </w:r>
    </w:p>
  </w:footnote>
  <w:footnote w:id="905">
    <w:p w14:paraId="48BF2628" w14:textId="77777777" w:rsidR="004322B1" w:rsidRPr="00AD2F44" w:rsidRDefault="004322B1">
      <w:pPr>
        <w:pStyle w:val="14Footnote"/>
      </w:pPr>
      <w:r w:rsidRPr="00AD2F44">
        <w:rPr>
          <w:vertAlign w:val="superscript"/>
        </w:rPr>
        <w:footnoteRef/>
      </w:r>
      <w:r w:rsidRPr="00AD2F44">
        <w:rPr>
          <w:i/>
          <w:iCs/>
        </w:rPr>
        <w:t>McElmurry</w:t>
      </w:r>
      <w:r w:rsidRPr="00AD2F44">
        <w:t>, 495 F.3d at 1141 n.4.</w:t>
      </w:r>
    </w:p>
  </w:footnote>
  <w:footnote w:id="906">
    <w:p w14:paraId="6827B774" w14:textId="77777777" w:rsidR="004322B1" w:rsidRPr="00AD2F44" w:rsidRDefault="004322B1">
      <w:pPr>
        <w:pStyle w:val="14Footnote"/>
      </w:pPr>
      <w:r w:rsidRPr="00AD2F44">
        <w:rPr>
          <w:vertAlign w:val="superscript"/>
        </w:rPr>
        <w:footnoteRef/>
      </w:r>
      <w:r w:rsidRPr="00AD2F44">
        <w:t>Myers v. Hertz Corp., 624 F.3d 537, 555 (2d Cir. 2010).</w:t>
      </w:r>
    </w:p>
  </w:footnote>
  <w:footnote w:id="907">
    <w:p w14:paraId="56B5BEB2" w14:textId="77777777" w:rsidR="004322B1" w:rsidRPr="00AD2F44" w:rsidRDefault="004322B1">
      <w:pPr>
        <w:pStyle w:val="14Footnote"/>
      </w:pPr>
      <w:r w:rsidRPr="00AD2F44">
        <w:rPr>
          <w:vertAlign w:val="superscript"/>
        </w:rPr>
        <w:footnoteRef/>
      </w:r>
      <w:r w:rsidRPr="00AD2F44">
        <w:rPr>
          <w:i/>
          <w:iCs/>
        </w:rPr>
        <w:t>Id</w:t>
      </w:r>
      <w:r w:rsidRPr="00AD2F44">
        <w:t>. at 556.</w:t>
      </w:r>
    </w:p>
  </w:footnote>
  <w:footnote w:id="908">
    <w:p w14:paraId="15619F8A" w14:textId="77777777" w:rsidR="004322B1" w:rsidRPr="00AD2F44" w:rsidRDefault="004322B1">
      <w:pPr>
        <w:pStyle w:val="14Footnote"/>
      </w:pPr>
      <w:r w:rsidRPr="00AD2F44">
        <w:rPr>
          <w:vertAlign w:val="superscript"/>
        </w:rPr>
        <w:footnoteRef/>
      </w:r>
      <w:r w:rsidRPr="00AD2F44">
        <w:t>912 F.3d 115, 2018 WH Cases2d 482651 (3d Cir. 2018).</w:t>
      </w:r>
    </w:p>
  </w:footnote>
  <w:footnote w:id="909">
    <w:p w14:paraId="5D3221AF"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124. </w:t>
      </w:r>
      <w:r w:rsidRPr="00AD2F44">
        <w:rPr>
          <w:i/>
          <w:iCs/>
        </w:rPr>
        <w:t>See also</w:t>
      </w:r>
      <w:r w:rsidRPr="00AD2F44">
        <w:t xml:space="preserve"> Reinig v. RBS Citizens, N.A., 386 F. Supp. 3d 602, 607 (W.D. Pa. 2019) (on remand, refusing to reconsider denial of defendant’s decertification motion, emphasizing that Third Circuit held that “Rule 23 analysis did not apply to the issue of FLSA certification because the two standards are ‘fundamentally different’”). </w:t>
      </w:r>
    </w:p>
  </w:footnote>
  <w:footnote w:id="910">
    <w:p w14:paraId="67432B63" w14:textId="77777777" w:rsidR="004322B1" w:rsidRPr="00AD2F44" w:rsidRDefault="004322B1">
      <w:pPr>
        <w:pStyle w:val="14Footnote"/>
      </w:pPr>
      <w:r w:rsidRPr="00AD2F44">
        <w:rPr>
          <w:vertAlign w:val="superscript"/>
        </w:rPr>
        <w:footnoteRef/>
      </w:r>
      <w:r w:rsidRPr="00AD2F44">
        <w:t>For a discussion of the use of offers of judgment in collective actions, see Section VII.A [Pretrial Disposition of Cases; Offers of Judgment in Collective and Class Actions] of this chapter.</w:t>
      </w:r>
    </w:p>
  </w:footnote>
  <w:footnote w:id="911">
    <w:p w14:paraId="16E455A0" w14:textId="77777777" w:rsidR="004322B1" w:rsidRPr="00AD2F44" w:rsidRDefault="004322B1">
      <w:pPr>
        <w:pStyle w:val="14Footnote"/>
      </w:pPr>
      <w:r w:rsidRPr="00AD2F44">
        <w:rPr>
          <w:vertAlign w:val="superscript"/>
        </w:rPr>
        <w:footnoteRef/>
      </w:r>
      <w:r w:rsidRPr="00AD2F44">
        <w:t>570 F.3d 1119 (9th Cir. 2009).</w:t>
      </w:r>
    </w:p>
  </w:footnote>
  <w:footnote w:id="912">
    <w:p w14:paraId="50B59ABD" w14:textId="77777777" w:rsidR="004322B1" w:rsidRPr="00AD2F44" w:rsidRDefault="004322B1">
      <w:pPr>
        <w:pStyle w:val="14Footnote"/>
      </w:pPr>
      <w:r w:rsidRPr="00AD2F44">
        <w:rPr>
          <w:vertAlign w:val="superscript"/>
        </w:rPr>
        <w:footnoteRef/>
      </w:r>
      <w:r w:rsidRPr="00AD2F44">
        <w:rPr>
          <w:i/>
          <w:iCs/>
        </w:rPr>
        <w:t>Id</w:t>
      </w:r>
      <w:r w:rsidRPr="00AD2F44">
        <w:t>. at 1122.</w:t>
      </w:r>
    </w:p>
  </w:footnote>
  <w:footnote w:id="913">
    <w:p w14:paraId="61FE26AA" w14:textId="77777777" w:rsidR="004322B1" w:rsidRPr="00AD2F44" w:rsidRDefault="004322B1">
      <w:pPr>
        <w:pStyle w:val="14Footnote"/>
      </w:pPr>
      <w:r w:rsidRPr="00AD2F44">
        <w:rPr>
          <w:vertAlign w:val="superscript"/>
        </w:rPr>
        <w:footnoteRef/>
      </w:r>
      <w:r w:rsidRPr="00AD2F44">
        <w:rPr>
          <w:i/>
          <w:iCs/>
        </w:rPr>
        <w:t>Id</w:t>
      </w:r>
      <w:r w:rsidRPr="00AD2F44">
        <w:t>. at 1121.</w:t>
      </w:r>
    </w:p>
  </w:footnote>
  <w:footnote w:id="914">
    <w:p w14:paraId="6E1E3813" w14:textId="77777777" w:rsidR="004322B1" w:rsidRPr="00AD2F44" w:rsidRDefault="004322B1">
      <w:pPr>
        <w:pStyle w:val="14Footnote"/>
      </w:pPr>
      <w:r w:rsidRPr="00AD2F44">
        <w:rPr>
          <w:vertAlign w:val="superscript"/>
        </w:rPr>
        <w:footnoteRef/>
      </w:r>
      <w:r w:rsidRPr="00AD2F44">
        <w:rPr>
          <w:i/>
          <w:iCs/>
        </w:rPr>
        <w:t>Id</w:t>
      </w:r>
      <w:r w:rsidRPr="00AD2F44">
        <w:t>. at 1122.</w:t>
      </w:r>
    </w:p>
  </w:footnote>
  <w:footnote w:id="915">
    <w:p w14:paraId="185A1575" w14:textId="77777777" w:rsidR="004322B1" w:rsidRPr="00AD2F44" w:rsidRDefault="004322B1">
      <w:pPr>
        <w:pStyle w:val="14Footnote"/>
      </w:pPr>
      <w:r w:rsidRPr="00AD2F44">
        <w:rPr>
          <w:vertAlign w:val="superscript"/>
        </w:rPr>
        <w:footnoteRef/>
      </w:r>
      <w:r w:rsidRPr="00AD2F44">
        <w:rPr>
          <w:i/>
          <w:iCs/>
        </w:rPr>
        <w:t>Id</w:t>
      </w:r>
      <w:r w:rsidRPr="00AD2F44">
        <w:t>. at 1123.</w:t>
      </w:r>
    </w:p>
  </w:footnote>
  <w:footnote w:id="916">
    <w:p w14:paraId="52F5FA5A" w14:textId="77777777" w:rsidR="004322B1" w:rsidRPr="00AD2F44" w:rsidRDefault="004322B1">
      <w:pPr>
        <w:pStyle w:val="14Footnote"/>
      </w:pPr>
      <w:r w:rsidRPr="00AD2F44">
        <w:rPr>
          <w:vertAlign w:val="superscript"/>
        </w:rPr>
        <w:footnoteRef/>
      </w:r>
      <w:r w:rsidRPr="00AD2F44">
        <w:t>688 F.3d 872 (7th Cir. 2012).</w:t>
      </w:r>
    </w:p>
  </w:footnote>
  <w:footnote w:id="917">
    <w:p w14:paraId="41922829" w14:textId="77777777" w:rsidR="004322B1" w:rsidRPr="00AD2F44" w:rsidRDefault="004322B1">
      <w:pPr>
        <w:pStyle w:val="14Footnote"/>
      </w:pPr>
      <w:r w:rsidRPr="00AD2F44">
        <w:rPr>
          <w:vertAlign w:val="superscript"/>
        </w:rPr>
        <w:footnoteRef/>
      </w:r>
      <w:r w:rsidRPr="00AD2F44">
        <w:rPr>
          <w:i/>
          <w:iCs/>
        </w:rPr>
        <w:t>Id.</w:t>
      </w:r>
      <w:r w:rsidRPr="00AD2F44">
        <w:t xml:space="preserve"> at 877–78.</w:t>
      </w:r>
    </w:p>
  </w:footnote>
  <w:footnote w:id="918">
    <w:p w14:paraId="1F1B8217" w14:textId="77777777" w:rsidR="004322B1" w:rsidRPr="00AD2F44" w:rsidRDefault="004322B1">
      <w:pPr>
        <w:pStyle w:val="14Footnote"/>
      </w:pPr>
      <w:r w:rsidRPr="00AD2F44">
        <w:rPr>
          <w:vertAlign w:val="superscript"/>
        </w:rPr>
        <w:footnoteRef/>
      </w:r>
      <w:r w:rsidRPr="00AD2F44">
        <w:rPr>
          <w:i/>
        </w:rPr>
        <w:t>Id.</w:t>
      </w:r>
    </w:p>
  </w:footnote>
  <w:footnote w:id="919">
    <w:p w14:paraId="7D5A73FC" w14:textId="77777777" w:rsidR="004322B1" w:rsidRPr="00AD2F44" w:rsidRDefault="004322B1" w:rsidP="000B6C5F">
      <w:pPr>
        <w:pStyle w:val="FootnoteText"/>
      </w:pPr>
      <w:r w:rsidRPr="00AD2F44">
        <w:rPr>
          <w:rStyle w:val="FootnoteReference"/>
        </w:rPr>
        <w:footnoteRef/>
      </w:r>
      <w:r w:rsidRPr="00AD2F44">
        <w:t xml:space="preserve">Jin v. Shanghai Original Inc., 990 F.3d 251, 261 (2d Cir. 2021). </w:t>
      </w:r>
    </w:p>
  </w:footnote>
  <w:footnote w:id="920">
    <w:p w14:paraId="12207D44" w14:textId="77777777" w:rsidR="004322B1" w:rsidRPr="00AD2F44" w:rsidRDefault="004322B1">
      <w:pPr>
        <w:pStyle w:val="14Footnote"/>
      </w:pPr>
      <w:r w:rsidRPr="00AD2F44">
        <w:rPr>
          <w:vertAlign w:val="superscript"/>
        </w:rPr>
        <w:footnoteRef/>
      </w:r>
      <w:r w:rsidRPr="00AD2F44">
        <w:rPr>
          <w:i/>
          <w:iCs/>
        </w:rPr>
        <w:t>In re</w:t>
      </w:r>
      <w:r w:rsidRPr="00AD2F44">
        <w:t xml:space="preserve"> New Albertsons, Inc., 2021 BL 38816, 2021 WL 4028428 (7th Cir. Sept. 1, 2021); McElmurry v. U.S. Bank Nat’l Ass’n, 495 F.3d 1136, 1142 (9th Cir. 2007); Lusardi v. Lechner (</w:t>
      </w:r>
      <w:r w:rsidRPr="00AD2F44">
        <w:rPr>
          <w:i/>
          <w:iCs/>
        </w:rPr>
        <w:t>Lusardi II</w:t>
      </w:r>
      <w:r w:rsidRPr="00AD2F44">
        <w:t>), 855 F.2d 1062, 1064 (3d Cir. 1988).</w:t>
      </w:r>
    </w:p>
  </w:footnote>
  <w:footnote w:id="921">
    <w:p w14:paraId="037250C8" w14:textId="77777777" w:rsidR="004322B1" w:rsidRPr="00AD2F44" w:rsidRDefault="004322B1">
      <w:pPr>
        <w:pStyle w:val="14Footnote"/>
      </w:pPr>
      <w:r w:rsidRPr="00AD2F44">
        <w:rPr>
          <w:vertAlign w:val="superscript"/>
        </w:rPr>
        <w:footnoteRef/>
      </w:r>
      <w:r w:rsidRPr="00AD2F44">
        <w:rPr>
          <w:i/>
          <w:iCs/>
        </w:rPr>
        <w:t>In re New Albertsons, Inc.,</w:t>
      </w:r>
      <w:r w:rsidRPr="00AD2F44">
        <w:t xml:space="preserve"> 2021 BL 38816, 2021 WL 4028428 (holding that because district courts have wide discretion to manage collective actions, lower court’s use of widely approved two-step process was not patently erroneous); </w:t>
      </w:r>
      <w:r w:rsidRPr="00AD2F44">
        <w:rPr>
          <w:i/>
          <w:iCs/>
        </w:rPr>
        <w:t xml:space="preserve">McElmurry, </w:t>
      </w:r>
      <w:r w:rsidRPr="00AD2F44">
        <w:t xml:space="preserve">495 F.3d at 1142 (petitioner had other adequate means to attain relief and any error could be corrected on appeal); </w:t>
      </w:r>
      <w:r w:rsidRPr="00AD2F44">
        <w:rPr>
          <w:i/>
          <w:iCs/>
        </w:rPr>
        <w:t>Lusardi II</w:t>
      </w:r>
      <w:r w:rsidRPr="00AD2F44">
        <w:t xml:space="preserve">, 855 F.2d at 1068, 1070–71 (petitioner had other adequate means to attain relief and district court did not commit clear error of law; rejecting argument that decision to decertify violated law of case doctrine given that initial certification decision was expressly conditional and court had made clear it might decertify conditional collective action). </w:t>
      </w:r>
      <w:r w:rsidRPr="00AD2F44">
        <w:rPr>
          <w:i/>
          <w:iCs/>
        </w:rPr>
        <w:t>But see</w:t>
      </w:r>
      <w:r w:rsidRPr="00AD2F44">
        <w:t xml:space="preserve"> </w:t>
      </w:r>
      <w:r w:rsidRPr="00AD2F44">
        <w:rPr>
          <w:i/>
          <w:iCs/>
        </w:rPr>
        <w:t>In re</w:t>
      </w:r>
      <w:r w:rsidRPr="00AD2F44">
        <w:t xml:space="preserve"> Citizens Bank, 15 F.4th 607 (3d Cir. 2021) (where Third Circuit previously stayed case pending writ of mandamus on issue of whether Rule 23 class certification decision should precede individual FLSA trial, lifting stay and holding writ moot due to pending reassignment of case for trial). </w:t>
      </w:r>
    </w:p>
  </w:footnote>
  <w:footnote w:id="922">
    <w:p w14:paraId="5391A92D" w14:textId="77777777" w:rsidR="004322B1" w:rsidRDefault="004322B1" w:rsidP="000B6C5F">
      <w:pPr>
        <w:pStyle w:val="FootnoteText"/>
      </w:pPr>
      <w:r>
        <w:rPr>
          <w:rStyle w:val="FootnoteReference"/>
        </w:rPr>
        <w:footnoteRef/>
      </w:r>
      <w:r>
        <w:t xml:space="preserve">Babbitt v. Target Corp., </w:t>
      </w:r>
      <w:r w:rsidRPr="00505F53">
        <w:t>2023 BL 85557</w:t>
      </w:r>
      <w:r>
        <w:t xml:space="preserve">, 2023 WL 2540450 (D. Minn. Mar. 16, 2023) (denying motion for interlocutory appeal, finding the Fifth Circuit decision in </w:t>
      </w:r>
      <w:r w:rsidRPr="002F69CA">
        <w:rPr>
          <w:i/>
          <w:iCs/>
        </w:rPr>
        <w:t>Swales</w:t>
      </w:r>
      <w:r>
        <w:t xml:space="preserve"> only changed the timing of notice and thus none of the three criteria for immediate appeal were met).</w:t>
      </w:r>
    </w:p>
  </w:footnote>
  <w:footnote w:id="923">
    <w:p w14:paraId="1613F6BF" w14:textId="77777777" w:rsidR="004322B1" w:rsidRPr="00AD2F44" w:rsidRDefault="004322B1" w:rsidP="000B6C5F">
      <w:pPr>
        <w:pStyle w:val="FootnoteText"/>
      </w:pPr>
      <w:r w:rsidRPr="00AD2F44">
        <w:rPr>
          <w:rStyle w:val="FootnoteReference"/>
        </w:rPr>
        <w:footnoteRef/>
      </w:r>
      <w:r w:rsidRPr="00AD2F44">
        <w:rPr>
          <w:i/>
          <w:iCs/>
          <w:bdr w:val="none" w:sz="0" w:space="0" w:color="auto" w:frame="1"/>
        </w:rPr>
        <w:t xml:space="preserve">In re </w:t>
      </w:r>
      <w:r w:rsidRPr="00AD2F44">
        <w:rPr>
          <w:bdr w:val="none" w:sz="0" w:space="0" w:color="auto" w:frame="1"/>
        </w:rPr>
        <w:t>A&amp;D Interests, Inc</w:t>
      </w:r>
      <w:r w:rsidRPr="00AD2F44">
        <w:rPr>
          <w:i/>
          <w:iCs/>
          <w:bdr w:val="none" w:sz="0" w:space="0" w:color="auto" w:frame="1"/>
        </w:rPr>
        <w:t>.</w:t>
      </w:r>
      <w:r w:rsidRPr="00AD2F44">
        <w:t>, 33 F.4th 254 (5th Cir. 2022).</w:t>
      </w:r>
    </w:p>
  </w:footnote>
  <w:footnote w:id="924">
    <w:p w14:paraId="16EDB73C" w14:textId="77777777" w:rsidR="004322B1" w:rsidRPr="00AD2F44" w:rsidRDefault="004322B1" w:rsidP="00E24E29">
      <w:pPr>
        <w:pStyle w:val="14Footnote"/>
      </w:pPr>
      <w:r w:rsidRPr="00AD2F44">
        <w:rPr>
          <w:vertAlign w:val="superscript"/>
        </w:rPr>
        <w:footnoteRef/>
      </w:r>
      <w:r w:rsidRPr="00AD2F44">
        <w:t>Redmond v. NPC Int’l, Inc.,</w:t>
      </w:r>
      <w:r w:rsidRPr="00AD2F44">
        <w:rPr>
          <w:i/>
          <w:iCs/>
        </w:rPr>
        <w:t xml:space="preserve"> </w:t>
      </w:r>
      <w:r w:rsidRPr="00AD2F44">
        <w:t xml:space="preserve">2015 WL 3537428, at *4 (W.D. Tenn. June 4, 2015) (acknowledging circuit split over whether district court retains jurisdiction following filing of appeal concerning motion to compel arbitration, but electing to follow majority view of Third, Fourth, Seventh, Tenth, and Eleventh Circuits that such appeal divests district court of jurisdiction, and rejecting views of Fifth and Ninth Circuits). </w:t>
      </w:r>
    </w:p>
  </w:footnote>
  <w:footnote w:id="925">
    <w:p w14:paraId="389B34F7" w14:textId="77777777" w:rsidR="004322B1" w:rsidRPr="00AD2F44" w:rsidRDefault="004322B1">
      <w:pPr>
        <w:pStyle w:val="14Footnote"/>
      </w:pPr>
      <w:r w:rsidRPr="00AD2F44">
        <w:rPr>
          <w:vertAlign w:val="superscript"/>
        </w:rPr>
        <w:footnoteRef/>
      </w:r>
      <w:r w:rsidRPr="00AD2F44">
        <w:t xml:space="preserve">Taylor v. Pilot Corp., 697 F. App’x 854, 858 (6th Cir. 2017), </w:t>
      </w:r>
      <w:r w:rsidRPr="00AD2F44">
        <w:rPr>
          <w:i/>
          <w:iCs/>
        </w:rPr>
        <w:t xml:space="preserve">upheld on appeal of reconsideration order, </w:t>
      </w:r>
      <w:r w:rsidRPr="00AD2F44">
        <w:t xml:space="preserve">955 F.3d 972 (6th Cir. 2020) (holding court lacked subject matter jurisdiction over claim that lower court delayed decision on motion to compel because it did not constitute denial of petition to arbitrate). </w:t>
      </w:r>
    </w:p>
  </w:footnote>
  <w:footnote w:id="926">
    <w:p w14:paraId="354BBC1A" w14:textId="77777777" w:rsidR="004322B1" w:rsidRPr="00AD2F44" w:rsidRDefault="004322B1">
      <w:pPr>
        <w:pStyle w:val="14Footnote"/>
      </w:pPr>
      <w:r w:rsidRPr="00AD2F44">
        <w:rPr>
          <w:vertAlign w:val="superscript"/>
        </w:rPr>
        <w:footnoteRef/>
      </w:r>
      <w:r w:rsidRPr="00AD2F44">
        <w:rPr>
          <w:i/>
          <w:iCs/>
        </w:rPr>
        <w:t>See, e.g.</w:t>
      </w:r>
      <w:r w:rsidRPr="00AD2F44">
        <w:t>, Beltran v. AuPairCare, Inc., 907 F.3d 1240 (10th Cir. 2018) (overturning lower court’s refusal to sever offending clause from arbitration agreement and not compelling arbitration); Cohen v. UBS Fin. Servs., Inc., 799 F.3d 174 (2d Cir. 2015) (reviewing de novo district court’s grant of motion to compel individual arbitrations before Financial Industry Regulatory Authority (FINRA)); Sutherland v. Ernst &amp; Young LLP, 726 F.3d 290, 295 (2d Cir. 2013) (explaining Federal Arbitration Act authorizes interlocutory appeals from denials of motions to compel arbitration and review is de novo).</w:t>
      </w:r>
    </w:p>
  </w:footnote>
  <w:footnote w:id="927">
    <w:p w14:paraId="357BF927" w14:textId="77777777" w:rsidR="004322B1" w:rsidRPr="00AD2F44" w:rsidRDefault="004322B1">
      <w:pPr>
        <w:pStyle w:val="14Footnote"/>
      </w:pPr>
      <w:r w:rsidRPr="00AD2F44">
        <w:rPr>
          <w:vertAlign w:val="superscript"/>
        </w:rPr>
        <w:footnoteRef/>
      </w:r>
      <w:r w:rsidRPr="00AD2F44">
        <w:t xml:space="preserve">Reinig v. RBS Citizens, N.A., 912 F.3d 115, 131 (3d Cir. 2018) (citing Myers v. Hertz Corp., 624 F.3d 537 (2d Cir. 2010)). </w:t>
      </w:r>
    </w:p>
  </w:footnote>
  <w:footnote w:id="928">
    <w:p w14:paraId="7012207C" w14:textId="77777777" w:rsidR="004322B1" w:rsidRPr="00AD2F44" w:rsidRDefault="004322B1">
      <w:pPr>
        <w:pStyle w:val="14Footnote"/>
      </w:pPr>
      <w:r w:rsidRPr="00AD2F44">
        <w:rPr>
          <w:vertAlign w:val="superscript"/>
        </w:rPr>
        <w:footnoteRef/>
      </w:r>
      <w:r w:rsidRPr="00AD2F44">
        <w:t>912 F.3d at 133.</w:t>
      </w:r>
      <w:r w:rsidRPr="00AD2F44">
        <w:rPr>
          <w:b/>
          <w:bCs/>
        </w:rPr>
        <w:t xml:space="preserve"> </w:t>
      </w:r>
    </w:p>
  </w:footnote>
  <w:footnote w:id="929">
    <w:p w14:paraId="027534A7" w14:textId="77777777" w:rsidR="004322B1" w:rsidRPr="00AD2F44" w:rsidRDefault="004322B1">
      <w:pPr>
        <w:pStyle w:val="14Footnote"/>
      </w:pPr>
      <w:r w:rsidRPr="00AD2F44">
        <w:rPr>
          <w:vertAlign w:val="superscript"/>
        </w:rPr>
        <w:footnoteRef/>
      </w:r>
      <w:r w:rsidRPr="00AD2F44">
        <w:t xml:space="preserve">9 U.S.C. §2. </w:t>
      </w:r>
    </w:p>
  </w:footnote>
  <w:footnote w:id="930">
    <w:p w14:paraId="6571AB08" w14:textId="77777777" w:rsidR="004322B1" w:rsidRPr="00AD2F44" w:rsidRDefault="004322B1">
      <w:pPr>
        <w:pStyle w:val="14Footnote"/>
      </w:pPr>
      <w:r w:rsidRPr="00AD2F44">
        <w:rPr>
          <w:vertAlign w:val="superscript"/>
        </w:rPr>
        <w:footnoteRef/>
      </w:r>
      <w:r w:rsidRPr="00AD2F44">
        <w:t>A general discussion of arbitration in the context of FLSA litigation appears in Chapter 16, Litigation Issues §III [FLSA Claims in Arbitration].</w:t>
      </w:r>
    </w:p>
  </w:footnote>
  <w:footnote w:id="931">
    <w:p w14:paraId="54BB2CDF" w14:textId="77777777" w:rsidR="004322B1" w:rsidRPr="00AD2F44" w:rsidRDefault="004322B1">
      <w:pPr>
        <w:pStyle w:val="14Footnote"/>
      </w:pPr>
      <w:r w:rsidRPr="00AD2F44">
        <w:rPr>
          <w:vertAlign w:val="superscript"/>
        </w:rPr>
        <w:footnoteRef/>
      </w:r>
      <w:r w:rsidRPr="00AD2F44">
        <w:rPr>
          <w:i/>
          <w:iCs/>
        </w:rPr>
        <w:t>See, e.g.</w:t>
      </w:r>
      <w:r w:rsidRPr="00AD2F44">
        <w:t xml:space="preserve">, Walthour v. Chipio Windshield Repair, LLC, 745 F.3d 1326, 22 W&amp;H Cas. 2d 310 (11th Cir. 2014), </w:t>
      </w:r>
      <w:r w:rsidRPr="00AD2F44">
        <w:rPr>
          <w:i/>
          <w:iCs/>
        </w:rPr>
        <w:t>cert. denied</w:t>
      </w:r>
      <w:r w:rsidRPr="00AD2F44">
        <w:t>, 134 S. Ct. 2886 (2014).</w:t>
      </w:r>
    </w:p>
  </w:footnote>
  <w:footnote w:id="932">
    <w:p w14:paraId="2BB54520" w14:textId="77777777" w:rsidR="004322B1" w:rsidRPr="00AD2F44" w:rsidRDefault="004322B1">
      <w:pPr>
        <w:pStyle w:val="14Footnote"/>
      </w:pPr>
      <w:r w:rsidRPr="00AD2F44">
        <w:rPr>
          <w:vertAlign w:val="superscript"/>
        </w:rPr>
        <w:footnoteRef/>
      </w:r>
      <w:r w:rsidRPr="00AD2F44">
        <w:rPr>
          <w:i/>
          <w:iCs/>
        </w:rPr>
        <w:t>See, e.g., id</w:t>
      </w:r>
      <w:r w:rsidRPr="00AD2F44">
        <w:t xml:space="preserve">. </w:t>
      </w:r>
      <w:r w:rsidRPr="00AD2F44">
        <w:rPr>
          <w:i/>
          <w:iCs/>
        </w:rPr>
        <w:t>See also</w:t>
      </w:r>
      <w:r w:rsidRPr="00AD2F44">
        <w:t xml:space="preserve"> </w:t>
      </w:r>
    </w:p>
    <w:p w14:paraId="6429957E" w14:textId="77777777" w:rsidR="004322B1" w:rsidRPr="00AD2F44" w:rsidRDefault="004322B1">
      <w:pPr>
        <w:pStyle w:val="14Footnote"/>
      </w:pPr>
      <w:r w:rsidRPr="00AD2F44">
        <w:rPr>
          <w:i/>
          <w:iCs/>
        </w:rPr>
        <w:t xml:space="preserve">Second Circuit: </w:t>
      </w:r>
      <w:r w:rsidRPr="00AD2F44">
        <w:t>Lusk v. Serve U Brands, Inc., 2019 BL 346307, 2019 WL 4415122 (W.D.N.Y. Sept. 16, 2019) (recognizing that class and collective waivers outside arbitration context have been found unenforceable in Sixth Circuit but enforceable in other circuits because right to proceed collectively may be waived) (citing Killion v. KeHE Distribs., LLC, 761 F.3d 574 (6th Cir. 2014)).</w:t>
      </w:r>
    </w:p>
    <w:p w14:paraId="2A58FDCF" w14:textId="77777777" w:rsidR="004322B1" w:rsidRPr="00AD2F44" w:rsidRDefault="004322B1">
      <w:pPr>
        <w:pStyle w:val="14Footnote"/>
      </w:pPr>
      <w:r w:rsidRPr="00AD2F44">
        <w:rPr>
          <w:i/>
          <w:iCs/>
        </w:rPr>
        <w:t>Third Circuit:</w:t>
      </w:r>
      <w:r w:rsidRPr="00AD2F44">
        <w:t xml:space="preserve"> Vaughn v. Pittsburgh Fondue, LLC, 2021 BL 263418, 2021 WL 2952902 (W.D. Pa. July 14, 2021) (finding separate signed class waiver enforceable and consistent with FLSA case law despite being outside</w:t>
      </w:r>
      <w:r>
        <w:t xml:space="preserve"> </w:t>
      </w:r>
      <w:r w:rsidRPr="00AD2F44">
        <w:t xml:space="preserve">arbitration context). </w:t>
      </w:r>
    </w:p>
    <w:p w14:paraId="330DAB6B" w14:textId="77777777" w:rsidR="004322B1" w:rsidRDefault="004322B1">
      <w:pPr>
        <w:pStyle w:val="14Footnote"/>
      </w:pPr>
      <w:r w:rsidRPr="00AD2F44">
        <w:rPr>
          <w:i/>
          <w:iCs/>
        </w:rPr>
        <w:t xml:space="preserve">Fourth Circuit: </w:t>
      </w:r>
      <w:r w:rsidRPr="00AD2F44">
        <w:t>Hutchens v. Capital One Servs. LLC, 2020 BL 212194, 2020 WL 3053657 (E.D. Va. June 8, 2020) (dismissing plaintiff’s collective FLSA claims where plaintiff signed severance agreement containing collective action waiver).</w:t>
      </w:r>
    </w:p>
    <w:p w14:paraId="2E75EAB5" w14:textId="77777777" w:rsidR="004322B1" w:rsidRPr="00AE02E3" w:rsidRDefault="004322B1">
      <w:pPr>
        <w:pStyle w:val="14Footnote"/>
      </w:pPr>
      <w:r>
        <w:rPr>
          <w:i/>
          <w:iCs/>
        </w:rPr>
        <w:t>Ninth Circuit</w:t>
      </w:r>
      <w:r>
        <w:t xml:space="preserve">: </w:t>
      </w:r>
      <w:r w:rsidRPr="00AE02E3">
        <w:t>Barnett v. Concentrix Sols</w:t>
      </w:r>
      <w:r>
        <w:t>.</w:t>
      </w:r>
      <w:r w:rsidRPr="00AE02E3">
        <w:t xml:space="preserve"> Corp</w:t>
      </w:r>
      <w:r>
        <w:t xml:space="preserve">., </w:t>
      </w:r>
      <w:r w:rsidRPr="00237357">
        <w:t>2022 BL 437975</w:t>
      </w:r>
      <w:r>
        <w:t xml:space="preserve">, </w:t>
      </w:r>
      <w:r w:rsidRPr="00AE02E3">
        <w:t>2022 WL 17486813 (D. Ariz. Dec. 7, 2022)</w:t>
      </w:r>
      <w:r>
        <w:t xml:space="preserve"> (holding</w:t>
      </w:r>
      <w:r w:rsidRPr="00AE02E3">
        <w:t xml:space="preserve"> class and collective action waiver was valid and enforceable</w:t>
      </w:r>
      <w:r>
        <w:t xml:space="preserve">, dismissing </w:t>
      </w:r>
      <w:r w:rsidRPr="00AE02E3">
        <w:t xml:space="preserve">plaintiff’s </w:t>
      </w:r>
      <w:r>
        <w:t xml:space="preserve">FLSA </w:t>
      </w:r>
      <w:r w:rsidRPr="00AE02E3">
        <w:t>claims</w:t>
      </w:r>
      <w:r>
        <w:t>).</w:t>
      </w:r>
    </w:p>
    <w:p w14:paraId="7CB9FC7D" w14:textId="77777777" w:rsidR="004322B1" w:rsidRPr="00AD2F44" w:rsidRDefault="004322B1">
      <w:pPr>
        <w:pStyle w:val="14Footnote"/>
      </w:pPr>
      <w:r w:rsidRPr="00CA6DD8">
        <w:rPr>
          <w:i/>
          <w:iCs/>
        </w:rPr>
        <w:t xml:space="preserve">Eleventh Circuit: </w:t>
      </w:r>
      <w:r w:rsidRPr="00CA6DD8">
        <w:t xml:space="preserve">Figueredo-Chavez v. RCI Hosp. </w:t>
      </w:r>
      <w:r w:rsidRPr="00AD2F44">
        <w:t xml:space="preserve">Holdings, Inc., 574 F. Supp. 3d 1175 (S.D. Fla. 2021), </w:t>
      </w:r>
      <w:r w:rsidRPr="00AD2F44">
        <w:rPr>
          <w:i/>
          <w:iCs/>
        </w:rPr>
        <w:t>reconsideration denied</w:t>
      </w:r>
      <w:r w:rsidRPr="00AD2F44">
        <w:t xml:space="preserve">, 2022 WL 457848 (S.D. Fla. Jan. 6, 2022) (holding where arbitration agreement was found unenforceable that class action waiver in arbitration agreement was severable and enforceable to preclude collective treatment); Bailey v. Vulcan Materials Co., 2021 BL 469329, 2021 WL 5860743 (N.D. Ga. Nov. 16, 2021) (dismissing plaintiff’s FLSA collective claim where plaintiff signed “independent contractor service agreement” including collective action waiver, reasoning it was not inconsistent with FLSA). </w:t>
      </w:r>
    </w:p>
  </w:footnote>
  <w:footnote w:id="933">
    <w:p w14:paraId="06184658" w14:textId="77777777" w:rsidR="004322B1" w:rsidRPr="00AD2F44" w:rsidRDefault="004322B1">
      <w:pPr>
        <w:pStyle w:val="14Footnote"/>
      </w:pPr>
      <w:r w:rsidRPr="00AD2F44">
        <w:rPr>
          <w:vertAlign w:val="superscript"/>
        </w:rPr>
        <w:footnoteRef/>
      </w:r>
      <w:r w:rsidRPr="00AD2F44">
        <w:rPr>
          <w:i/>
          <w:iCs/>
        </w:rPr>
        <w:t>See</w:t>
      </w:r>
      <w:r w:rsidRPr="00AD2F44">
        <w:t xml:space="preserve"> Skirchak v. Dynamics Rsch. Corp., 432 F. Supp. 2d 175, 179 (D. Mass. 2006), </w:t>
      </w:r>
      <w:r w:rsidRPr="00AD2F44">
        <w:rPr>
          <w:i/>
          <w:iCs/>
        </w:rPr>
        <w:t>aff’d and remanded</w:t>
      </w:r>
      <w:r w:rsidRPr="00AD2F44">
        <w:t>, 508 F.3d 49, 62 (1st Cir. 2007) (recognizing “policy debate about whether class action waivers essentially act as exculpatory clauses, allowing for violations of laws where individual cases involve low dollar amounts and so will not adequately address or prevent illegality”);</w:t>
      </w:r>
      <w:r w:rsidRPr="00AD2F44">
        <w:rPr>
          <w:i/>
          <w:iCs/>
        </w:rPr>
        <w:t xml:space="preserve"> </w:t>
      </w:r>
      <w:r w:rsidRPr="00AD2F44">
        <w:t>Walker v. Ryan’s Family Steak Houses, Inc., 289 F. Supp. 2d 916, 922–23 (M.D. Tenn. 2003) (noting that the preclusion of class actions in an arbitral forum was “troublesome and support[s] a finding of structural bias in favor of employers … particularly [in an FLSA case where] often each individual claim results in a small monetary remedy, whereas class actions often result in practice and programmatic change that benefit all employees”).</w:t>
      </w:r>
    </w:p>
  </w:footnote>
  <w:footnote w:id="934">
    <w:p w14:paraId="6C4F460E" w14:textId="77777777" w:rsidR="004322B1" w:rsidRPr="00AD2F44" w:rsidRDefault="004322B1">
      <w:pPr>
        <w:pStyle w:val="14Footnote"/>
      </w:pPr>
      <w:r w:rsidRPr="00AD2F44">
        <w:rPr>
          <w:vertAlign w:val="superscript"/>
        </w:rPr>
        <w:footnoteRef/>
      </w:r>
      <w:r w:rsidRPr="00AD2F44">
        <w:t>362 F.3d 294 (5th Cir. 2004).</w:t>
      </w:r>
    </w:p>
  </w:footnote>
  <w:footnote w:id="935">
    <w:p w14:paraId="383F67BF" w14:textId="77777777" w:rsidR="004322B1" w:rsidRPr="00AD2F44" w:rsidRDefault="004322B1">
      <w:pPr>
        <w:pStyle w:val="14Footnote"/>
      </w:pPr>
      <w:r w:rsidRPr="00AD2F44">
        <w:rPr>
          <w:vertAlign w:val="superscript"/>
        </w:rPr>
        <w:footnoteRef/>
      </w:r>
      <w:r w:rsidRPr="00AD2F44">
        <w:rPr>
          <w:i/>
          <w:iCs/>
        </w:rPr>
        <w:t>Id.</w:t>
      </w:r>
      <w:r w:rsidRPr="00AD2F44">
        <w:t xml:space="preserve"> at 297–98 (affirming district court’s decision to compel arbitration).</w:t>
      </w:r>
    </w:p>
  </w:footnote>
  <w:footnote w:id="936">
    <w:p w14:paraId="737BCA26" w14:textId="77777777" w:rsidR="004322B1" w:rsidRPr="00AD2F44" w:rsidRDefault="004322B1">
      <w:pPr>
        <w:pStyle w:val="14Footnote"/>
      </w:pPr>
      <w:r w:rsidRPr="00AD2F44">
        <w:rPr>
          <w:vertAlign w:val="superscript"/>
        </w:rPr>
        <w:footnoteRef/>
      </w:r>
      <w:r w:rsidRPr="00AD2F44">
        <w:t>428 F.3d 1359 (11th Cir. 2005).</w:t>
      </w:r>
    </w:p>
  </w:footnote>
  <w:footnote w:id="937">
    <w:p w14:paraId="6F0703BF" w14:textId="77777777" w:rsidR="004322B1" w:rsidRPr="00AD2F44" w:rsidRDefault="004322B1">
      <w:pPr>
        <w:pStyle w:val="14Footnote"/>
      </w:pPr>
      <w:r w:rsidRPr="00AD2F44">
        <w:rPr>
          <w:vertAlign w:val="superscript"/>
        </w:rPr>
        <w:footnoteRef/>
      </w:r>
      <w:r w:rsidRPr="00AD2F44">
        <w:rPr>
          <w:i/>
          <w:iCs/>
        </w:rPr>
        <w:t>Id</w:t>
      </w:r>
      <w:r w:rsidRPr="00AD2F44">
        <w:t xml:space="preserve">. at 1378 (internal citation omitted). In </w:t>
      </w:r>
      <w:r w:rsidRPr="00AD2F44">
        <w:rPr>
          <w:i/>
          <w:iCs/>
        </w:rPr>
        <w:t>Gilmer v</w:t>
      </w:r>
      <w:r w:rsidRPr="00AD2F44">
        <w:t>.</w:t>
      </w:r>
      <w:r w:rsidRPr="00AD2F44">
        <w:rPr>
          <w:i/>
          <w:iCs/>
        </w:rPr>
        <w:t xml:space="preserve"> Interstate/Johnson Lane Corp</w:t>
      </w:r>
      <w:r w:rsidRPr="00AD2F44">
        <w:t>., 500 U.S. 20, 32 (1991), a case that paved the way for arbitration of statutory employment claims, the Court stated that “even if the arbitration could not go forward as a class action or class relief could not be granted by the arbitrator, the fact that the [ADEA] provides for the possibility of bringing a collective action does not mean that the individual attempts at conciliation were intended to be barred.”</w:t>
      </w:r>
    </w:p>
  </w:footnote>
  <w:footnote w:id="938">
    <w:p w14:paraId="7B279E9C" w14:textId="77777777" w:rsidR="004322B1" w:rsidRPr="00AD2F44" w:rsidRDefault="004322B1">
      <w:pPr>
        <w:pStyle w:val="14Footnote"/>
      </w:pPr>
      <w:r w:rsidRPr="00AD2F44">
        <w:rPr>
          <w:vertAlign w:val="superscript"/>
        </w:rPr>
        <w:footnoteRef/>
      </w:r>
      <w:r w:rsidRPr="00AD2F44">
        <w:t xml:space="preserve">Adkins v. Labor Ready, Inc., 303 F.3d 496, 502–03 (4th Cir. 2002) (inability of FLSA plaintiff to bring class action “cannot by itself suffice to defeat the strong congressional preference for an arbitral forum”). In </w:t>
      </w:r>
      <w:r w:rsidRPr="00AD2F44">
        <w:rPr>
          <w:i/>
          <w:iCs/>
        </w:rPr>
        <w:t>Adams v</w:t>
      </w:r>
      <w:r w:rsidRPr="00AD2F44">
        <w:t>.</w:t>
      </w:r>
      <w:r w:rsidRPr="00AD2F44">
        <w:rPr>
          <w:i/>
          <w:iCs/>
        </w:rPr>
        <w:t xml:space="preserve"> Citicorp Credit Services, Inc</w:t>
      </w:r>
      <w:r w:rsidRPr="00AD2F44">
        <w:t xml:space="preserve">., 93 F. Supp. 3d 441 (M.D.N.C. 2015), the district court considered “textual and intent-based arguments that were neither before the </w:t>
      </w:r>
      <w:r w:rsidRPr="00AD2F44">
        <w:rPr>
          <w:i/>
          <w:iCs/>
        </w:rPr>
        <w:t>Adkins</w:t>
      </w:r>
      <w:r w:rsidRPr="00AD2F44">
        <w:t xml:space="preserve"> panel, nor considered by that court” and concluded that they did not change </w:t>
      </w:r>
      <w:r w:rsidRPr="00AD2F44">
        <w:rPr>
          <w:i/>
          <w:iCs/>
        </w:rPr>
        <w:t>Adkins</w:t>
      </w:r>
      <w:r w:rsidRPr="00AD2F44">
        <w:t xml:space="preserve">’ holding that arbitration agreements prohibiting collective actions are enforceable. </w:t>
      </w:r>
      <w:r w:rsidRPr="00AD2F44">
        <w:rPr>
          <w:i/>
          <w:iCs/>
        </w:rPr>
        <w:t>Adams</w:t>
      </w:r>
      <w:r w:rsidRPr="00AD2F44">
        <w:t xml:space="preserve">, 93 F. Supp. 3d at 449–51. </w:t>
      </w:r>
    </w:p>
  </w:footnote>
  <w:footnote w:id="939">
    <w:p w14:paraId="39FCB9FD" w14:textId="77777777" w:rsidR="004322B1" w:rsidRPr="00AD2F44" w:rsidRDefault="004322B1">
      <w:pPr>
        <w:pStyle w:val="14Footnote"/>
      </w:pPr>
      <w:r w:rsidRPr="00AD2F44">
        <w:rPr>
          <w:vertAlign w:val="superscript"/>
        </w:rPr>
        <w:footnoteRef/>
      </w:r>
      <w:r w:rsidRPr="00AD2F44">
        <w:t xml:space="preserve">Horenstein v. Mortgage Mkt., Inc., 9 F. App’x 618, 619 (9th Cir. 2001) (holding arbitration agreement’s elimination of statutory right to collective action is insufficient to render agreement unenforceable). </w:t>
      </w:r>
    </w:p>
  </w:footnote>
  <w:footnote w:id="940">
    <w:p w14:paraId="2F77E75E" w14:textId="77777777" w:rsidR="004322B1" w:rsidRPr="00AD2F44" w:rsidRDefault="004322B1">
      <w:pPr>
        <w:pStyle w:val="14Footnote"/>
      </w:pPr>
      <w:r w:rsidRPr="00AD2F44">
        <w:rPr>
          <w:vertAlign w:val="superscript"/>
        </w:rPr>
        <w:footnoteRef/>
      </w:r>
      <w:r w:rsidRPr="00AD2F44">
        <w:t>563 U.S. 333 (2011).</w:t>
      </w:r>
    </w:p>
  </w:footnote>
  <w:footnote w:id="941">
    <w:p w14:paraId="25F3CD6D" w14:textId="77777777" w:rsidR="004322B1" w:rsidRPr="00AD2F44" w:rsidRDefault="004322B1">
      <w:pPr>
        <w:pStyle w:val="14Footnote"/>
      </w:pPr>
      <w:r w:rsidRPr="00AD2F44">
        <w:rPr>
          <w:vertAlign w:val="superscript"/>
        </w:rPr>
        <w:footnoteRef/>
      </w:r>
      <w:r w:rsidRPr="00AD2F44">
        <w:t>563 U.S. at 352.</w:t>
      </w:r>
    </w:p>
  </w:footnote>
  <w:footnote w:id="942">
    <w:p w14:paraId="151CA4FE" w14:textId="77777777" w:rsidR="004322B1" w:rsidRPr="00AD2F44" w:rsidRDefault="004322B1">
      <w:pPr>
        <w:pStyle w:val="14Footnote"/>
      </w:pPr>
      <w:r w:rsidRPr="00AD2F44">
        <w:rPr>
          <w:vertAlign w:val="superscript"/>
        </w:rPr>
        <w:footnoteRef/>
      </w:r>
      <w:r w:rsidRPr="00AD2F44">
        <w:rPr>
          <w:i/>
          <w:iCs/>
        </w:rPr>
        <w:t>Id</w:t>
      </w:r>
      <w:r w:rsidRPr="00AD2F44">
        <w:t>. at 344 (emphasis in original).</w:t>
      </w:r>
    </w:p>
  </w:footnote>
  <w:footnote w:id="943">
    <w:p w14:paraId="06F26850" w14:textId="77777777" w:rsidR="004322B1" w:rsidRPr="00AD2F44" w:rsidRDefault="004322B1">
      <w:pPr>
        <w:pStyle w:val="14Footnote"/>
      </w:pPr>
      <w:r w:rsidRPr="00AD2F44">
        <w:rPr>
          <w:vertAlign w:val="superscript"/>
        </w:rPr>
        <w:footnoteRef/>
      </w:r>
      <w:r w:rsidRPr="00AD2F44">
        <w:rPr>
          <w:i/>
          <w:iCs/>
        </w:rPr>
        <w:t>Id</w:t>
      </w:r>
      <w:r w:rsidRPr="00AD2F44">
        <w:t>. at 345.</w:t>
      </w:r>
    </w:p>
  </w:footnote>
  <w:footnote w:id="944">
    <w:p w14:paraId="1C9875D8" w14:textId="77777777" w:rsidR="004322B1" w:rsidRPr="00AD2F44" w:rsidRDefault="004322B1">
      <w:pPr>
        <w:pStyle w:val="14Footnote"/>
      </w:pPr>
      <w:r w:rsidRPr="00AD2F44">
        <w:rPr>
          <w:vertAlign w:val="superscript"/>
        </w:rPr>
        <w:footnoteRef/>
      </w:r>
      <w:r w:rsidRPr="00AD2F44">
        <w:rPr>
          <w:i/>
          <w:iCs/>
        </w:rPr>
        <w:t>Id</w:t>
      </w:r>
      <w:r w:rsidRPr="00AD2F44">
        <w:t>. at 348.</w:t>
      </w:r>
    </w:p>
  </w:footnote>
  <w:footnote w:id="945">
    <w:p w14:paraId="1FED9C76" w14:textId="77777777" w:rsidR="004322B1" w:rsidRPr="00AD2F44" w:rsidRDefault="004322B1">
      <w:pPr>
        <w:pStyle w:val="14Footnote"/>
      </w:pPr>
      <w:r w:rsidRPr="00AD2F44">
        <w:rPr>
          <w:vertAlign w:val="superscript"/>
        </w:rPr>
        <w:footnoteRef/>
      </w:r>
      <w:r w:rsidRPr="00AD2F44">
        <w:rPr>
          <w:i/>
          <w:iCs/>
        </w:rPr>
        <w:t>Id.</w:t>
      </w:r>
      <w:r w:rsidRPr="00AD2F44">
        <w:t xml:space="preserve"> at 349 (emphasis in original).</w:t>
      </w:r>
    </w:p>
  </w:footnote>
  <w:footnote w:id="946">
    <w:p w14:paraId="79982F29" w14:textId="77777777" w:rsidR="004322B1" w:rsidRPr="00AD2F44" w:rsidRDefault="004322B1">
      <w:pPr>
        <w:pStyle w:val="14Footnote"/>
      </w:pPr>
      <w:r w:rsidRPr="00AD2F44">
        <w:rPr>
          <w:vertAlign w:val="superscript"/>
        </w:rPr>
        <w:footnoteRef/>
      </w:r>
      <w:r w:rsidRPr="00AD2F44">
        <w:rPr>
          <w:i/>
          <w:iCs/>
        </w:rPr>
        <w:t>Id</w:t>
      </w:r>
      <w:r w:rsidRPr="00AD2F44">
        <w:t>. at 350.</w:t>
      </w:r>
    </w:p>
  </w:footnote>
  <w:footnote w:id="947">
    <w:p w14:paraId="5E561EFF" w14:textId="77777777" w:rsidR="004322B1" w:rsidRPr="00AD2F44" w:rsidRDefault="004322B1">
      <w:pPr>
        <w:pStyle w:val="14Footnote"/>
      </w:pPr>
      <w:r w:rsidRPr="00AD2F44">
        <w:rPr>
          <w:vertAlign w:val="superscript"/>
        </w:rPr>
        <w:footnoteRef/>
      </w:r>
      <w:r w:rsidRPr="00AD2F44">
        <w:t>702 F.3d 1050 (8th Cir. 2013).</w:t>
      </w:r>
    </w:p>
  </w:footnote>
  <w:footnote w:id="948">
    <w:p w14:paraId="28EFF414" w14:textId="77777777" w:rsidR="004322B1" w:rsidRPr="00AD2F44" w:rsidRDefault="004322B1">
      <w:pPr>
        <w:pStyle w:val="14Footnote"/>
      </w:pPr>
      <w:r w:rsidRPr="00AD2F44">
        <w:rPr>
          <w:vertAlign w:val="superscript"/>
        </w:rPr>
        <w:footnoteRef/>
      </w:r>
      <w:r w:rsidRPr="00AD2F44">
        <w:rPr>
          <w:i/>
          <w:iCs/>
        </w:rPr>
        <w:t>Id.</w:t>
      </w:r>
      <w:r w:rsidRPr="00AD2F44">
        <w:t xml:space="preserve"> at 1054 (citing Caley v. Gulfstream Aerospace Corp., 428 F.3d 1359, 1378 (11th Cir. 2005); Carter v. Countrywide Credit Indus., Inc., 362 F.3d 294, 298 (5th Cir. 2004); Adkins v. Labor Ready, Inc., 303 F.3d 496, 503 (4th Cir. 2002)); </w:t>
      </w:r>
      <w:r w:rsidRPr="00AD2F44">
        <w:rPr>
          <w:i/>
          <w:iCs/>
        </w:rPr>
        <w:t>see also</w:t>
      </w:r>
      <w:r w:rsidRPr="00AD2F44">
        <w:t xml:space="preserve"> Quilloin v. Tenet Healthsystem Phila., Inc., 673 F.3d 221, 232 (3d Cir. 2012) (noting “even if the agreement explicitly waived Quilloin’s right to pursue class actions, the Pennsylvania law prohibiting class action waivers [would] surely [be] preempted by the FAA under </w:t>
      </w:r>
      <w:r w:rsidRPr="00AD2F44">
        <w:rPr>
          <w:i/>
          <w:iCs/>
        </w:rPr>
        <w:t>Concepcion</w:t>
      </w:r>
      <w:r w:rsidRPr="00AD2F44">
        <w:t>”).</w:t>
      </w:r>
    </w:p>
  </w:footnote>
  <w:footnote w:id="949">
    <w:p w14:paraId="18737C22" w14:textId="77777777" w:rsidR="004322B1" w:rsidRPr="00AD2F44" w:rsidRDefault="004322B1">
      <w:pPr>
        <w:pStyle w:val="14Footnote"/>
      </w:pPr>
      <w:r w:rsidRPr="00AD2F44">
        <w:rPr>
          <w:vertAlign w:val="superscript"/>
        </w:rPr>
        <w:footnoteRef/>
      </w:r>
      <w:r w:rsidRPr="00AD2F44">
        <w:t>726 F.3d 290 (2d Cir. 2013).</w:t>
      </w:r>
    </w:p>
  </w:footnote>
  <w:footnote w:id="950">
    <w:p w14:paraId="216DE82A" w14:textId="77777777" w:rsidR="004322B1" w:rsidRPr="00AD2F44" w:rsidRDefault="004322B1">
      <w:pPr>
        <w:pStyle w:val="14Footnote"/>
      </w:pPr>
      <w:r w:rsidRPr="00AD2F44">
        <w:rPr>
          <w:vertAlign w:val="superscript"/>
        </w:rPr>
        <w:footnoteRef/>
      </w:r>
      <w:r w:rsidRPr="00AD2F44">
        <w:t>533 F. App’x 11 (2d Cir. 2013).</w:t>
      </w:r>
    </w:p>
  </w:footnote>
  <w:footnote w:id="951">
    <w:p w14:paraId="1070557F" w14:textId="77777777" w:rsidR="004322B1" w:rsidRPr="00AD2F44" w:rsidRDefault="004322B1">
      <w:pPr>
        <w:pStyle w:val="14Footnote"/>
      </w:pPr>
      <w:r w:rsidRPr="00AD2F44">
        <w:rPr>
          <w:vertAlign w:val="superscript"/>
        </w:rPr>
        <w:footnoteRef/>
      </w:r>
      <w:r w:rsidRPr="00AD2F44">
        <w:rPr>
          <w:i/>
          <w:iCs/>
        </w:rPr>
        <w:t>Sutherland</w:t>
      </w:r>
      <w:r w:rsidRPr="00AD2F44">
        <w:t xml:space="preserve">, 726 F.3d at 296. The Second Circuit subsequently held that the rules of the FINRA Code of Arbitration Procedures for Industry Disputes also do not constitute a “contrary congressional command” prohibiting an employee from waiving his or her right to proceed collectively under the FLSA in an arbitration agreement. Cohen v. UBS Fin. Serv., Inc., 799 F.3d 174 (2d Cir. 2015). In </w:t>
      </w:r>
      <w:r w:rsidRPr="00AD2F44">
        <w:rPr>
          <w:i/>
          <w:iCs/>
        </w:rPr>
        <w:t>Cohen</w:t>
      </w:r>
      <w:r w:rsidRPr="00AD2F44">
        <w:t xml:space="preserve">, the court acknowledged that Rule 13204 of FINRA’s arbitration code “bars arbitration of a claim so long as it is embedded in a class action or collective action.” </w:t>
      </w:r>
      <w:r w:rsidRPr="00AD2F44">
        <w:rPr>
          <w:i/>
          <w:iCs/>
        </w:rPr>
        <w:t>Id</w:t>
      </w:r>
      <w:r w:rsidRPr="00AD2F44">
        <w:t xml:space="preserve">. at 178. However, it found that the rule “does not preserve the right to assert a claim in a class or collective form notwithstanding a contractual waiver.” </w:t>
      </w:r>
      <w:r w:rsidRPr="00AD2F44">
        <w:rPr>
          <w:i/>
          <w:iCs/>
        </w:rPr>
        <w:t>Id</w:t>
      </w:r>
      <w:r w:rsidRPr="00AD2F44">
        <w:t xml:space="preserve">. The court distinguished between a “promise to [forgo] certain procedural mechanisms </w:t>
      </w:r>
      <w:r w:rsidRPr="00AD2F44">
        <w:rPr>
          <w:i/>
          <w:iCs/>
        </w:rPr>
        <w:t>in court</w:t>
      </w:r>
      <w:r w:rsidRPr="00AD2F44">
        <w:t xml:space="preserve">” and “[a]n agreement to arbitrate … , [which] is a promise to have a dispute heard in some forum </w:t>
      </w:r>
      <w:r w:rsidRPr="00AD2F44">
        <w:rPr>
          <w:i/>
          <w:iCs/>
        </w:rPr>
        <w:t>other than a court</w:t>
      </w:r>
      <w:r w:rsidRPr="00AD2F44">
        <w:t xml:space="preserve">.” </w:t>
      </w:r>
      <w:r w:rsidRPr="00AD2F44">
        <w:rPr>
          <w:i/>
          <w:iCs/>
        </w:rPr>
        <w:t>Id</w:t>
      </w:r>
      <w:r w:rsidRPr="00AD2F44">
        <w:t xml:space="preserve">. at 179. The court held that “Rule 13204 restricts the latter, but not the former.” </w:t>
      </w:r>
      <w:r w:rsidRPr="00AD2F44">
        <w:rPr>
          <w:i/>
          <w:iCs/>
        </w:rPr>
        <w:t>Id</w:t>
      </w:r>
      <w:r w:rsidRPr="00AD2F44">
        <w:t>.</w:t>
      </w:r>
    </w:p>
  </w:footnote>
  <w:footnote w:id="952">
    <w:p w14:paraId="408CB27E" w14:textId="77777777" w:rsidR="004322B1" w:rsidRPr="00AD2F44" w:rsidRDefault="004322B1">
      <w:pPr>
        <w:pStyle w:val="14Footnote"/>
      </w:pPr>
      <w:r w:rsidRPr="00AD2F44">
        <w:rPr>
          <w:vertAlign w:val="superscript"/>
        </w:rPr>
        <w:footnoteRef/>
      </w:r>
      <w:r w:rsidRPr="00AD2F44">
        <w:t xml:space="preserve">745 F.3d 1326, 22 WH Cases2d 310 (11th Cir. 2014), </w:t>
      </w:r>
      <w:r w:rsidRPr="00AD2F44">
        <w:rPr>
          <w:i/>
          <w:iCs/>
        </w:rPr>
        <w:t>cert. denied</w:t>
      </w:r>
      <w:r w:rsidRPr="00AD2F44">
        <w:t>, 573 U.S. 948 (2014).</w:t>
      </w:r>
    </w:p>
  </w:footnote>
  <w:footnote w:id="953">
    <w:p w14:paraId="70A85EF1" w14:textId="77777777" w:rsidR="004322B1" w:rsidRPr="00AD2F44" w:rsidRDefault="004322B1">
      <w:pPr>
        <w:pStyle w:val="14Footnote"/>
      </w:pPr>
      <w:r w:rsidRPr="00AD2F44">
        <w:rPr>
          <w:vertAlign w:val="superscript"/>
        </w:rPr>
        <w:footnoteRef/>
      </w:r>
      <w:r w:rsidRPr="00AD2F44">
        <w:t xml:space="preserve">745 F.3d at 1336. </w:t>
      </w:r>
      <w:r w:rsidRPr="00AD2F44">
        <w:rPr>
          <w:i/>
          <w:iCs/>
        </w:rPr>
        <w:t>But see</w:t>
      </w:r>
      <w:r w:rsidRPr="00AD2F44">
        <w:t xml:space="preserve"> Billingsley v. Citi Trends, Inc. 560 F. App’x 914 (11th Cir. Mar. 25, 2014) (district court refused to enforce arbitration agreement with a class waiver where employer rolled out arbitration agreements to putative class members after the collective action was filed and the court had already held a scheduling conference and issued a scheduling order; Eleventh Circuit affirmed in unpublished opinion).</w:t>
      </w:r>
    </w:p>
  </w:footnote>
  <w:footnote w:id="954">
    <w:p w14:paraId="064F3539" w14:textId="77777777" w:rsidR="004322B1" w:rsidRPr="00AD2F44" w:rsidRDefault="004322B1">
      <w:pPr>
        <w:pStyle w:val="14Footnote"/>
      </w:pPr>
      <w:r w:rsidRPr="00AD2F44">
        <w:rPr>
          <w:vertAlign w:val="superscript"/>
        </w:rPr>
        <w:footnoteRef/>
      </w:r>
      <w:r w:rsidRPr="00AD2F44">
        <w:t>570 U.S. 228 (2013).</w:t>
      </w:r>
    </w:p>
  </w:footnote>
  <w:footnote w:id="955">
    <w:p w14:paraId="27B96DF3"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AD2F44">
        <w:rPr>
          <w:i/>
          <w:iCs/>
        </w:rPr>
        <w:t>Walthour</w:t>
      </w:r>
      <w:r w:rsidRPr="00AD2F44">
        <w:t>, 745 F.3d at 1334–35; Sutherland v. Ernst &amp; Young LLP, 726 F.3d 290, 292–93 (2d Cir. 2013).</w:t>
      </w:r>
    </w:p>
  </w:footnote>
  <w:footnote w:id="956">
    <w:p w14:paraId="0FBBDD7F" w14:textId="77777777" w:rsidR="004322B1" w:rsidRPr="00AD2F44" w:rsidRDefault="004322B1">
      <w:pPr>
        <w:pStyle w:val="14Footnote"/>
      </w:pPr>
      <w:r w:rsidRPr="00AD2F44">
        <w:rPr>
          <w:vertAlign w:val="superscript"/>
        </w:rPr>
        <w:footnoteRef/>
      </w:r>
      <w:r w:rsidRPr="00AD2F44">
        <w:rPr>
          <w:i/>
          <w:iCs/>
        </w:rPr>
        <w:t>Italian Colors</w:t>
      </w:r>
      <w:r w:rsidRPr="00AD2F44">
        <w:t>, 570 U.S. at 231.</w:t>
      </w:r>
    </w:p>
  </w:footnote>
  <w:footnote w:id="957">
    <w:p w14:paraId="352CF8ED" w14:textId="77777777" w:rsidR="004322B1" w:rsidRPr="00AD2F44" w:rsidRDefault="004322B1">
      <w:pPr>
        <w:pStyle w:val="14Footnote"/>
      </w:pPr>
      <w:r w:rsidRPr="00AD2F44">
        <w:rPr>
          <w:vertAlign w:val="superscript"/>
        </w:rPr>
        <w:footnoteRef/>
      </w:r>
      <w:r w:rsidRPr="00AD2F44">
        <w:rPr>
          <w:i/>
          <w:iCs/>
        </w:rPr>
        <w:t>Id.</w:t>
      </w:r>
      <w:r w:rsidRPr="00AD2F44">
        <w:t xml:space="preserve"> at 233.</w:t>
      </w:r>
    </w:p>
  </w:footnote>
  <w:footnote w:id="958">
    <w:p w14:paraId="195660E2" w14:textId="77777777" w:rsidR="004322B1" w:rsidRPr="00AD2F44" w:rsidRDefault="004322B1">
      <w:pPr>
        <w:pStyle w:val="14Footnote"/>
      </w:pPr>
      <w:r w:rsidRPr="00AD2F44">
        <w:rPr>
          <w:vertAlign w:val="superscript"/>
        </w:rPr>
        <w:footnoteRef/>
      </w:r>
      <w:r w:rsidRPr="00AD2F44">
        <w:rPr>
          <w:i/>
          <w:iCs/>
        </w:rPr>
        <w:t>Id.</w:t>
      </w:r>
      <w:r w:rsidRPr="00AD2F44">
        <w:t xml:space="preserve"> at 238.</w:t>
      </w:r>
    </w:p>
  </w:footnote>
  <w:footnote w:id="959">
    <w:p w14:paraId="21CF8E34" w14:textId="77777777" w:rsidR="004322B1" w:rsidRPr="00AD2F44" w:rsidRDefault="004322B1">
      <w:pPr>
        <w:pStyle w:val="14Footnote"/>
      </w:pPr>
      <w:r w:rsidRPr="00AD2F44">
        <w:rPr>
          <w:vertAlign w:val="superscript"/>
        </w:rPr>
        <w:footnoteRef/>
      </w:r>
      <w:r w:rsidRPr="00AD2F44">
        <w:rPr>
          <w:i/>
          <w:iCs/>
        </w:rPr>
        <w:t>Id.</w:t>
      </w:r>
      <w:r w:rsidRPr="00AD2F44">
        <w:t xml:space="preserve"> at 253 n.5.</w:t>
      </w:r>
    </w:p>
  </w:footnote>
  <w:footnote w:id="960">
    <w:p w14:paraId="328F1B09" w14:textId="77777777" w:rsidR="004322B1" w:rsidRPr="00AD2F44" w:rsidRDefault="004322B1">
      <w:pPr>
        <w:pStyle w:val="14Footnote"/>
      </w:pPr>
      <w:r w:rsidRPr="00AD2F44">
        <w:rPr>
          <w:vertAlign w:val="superscript"/>
        </w:rPr>
        <w:footnoteRef/>
      </w:r>
      <w:r w:rsidRPr="00AD2F44">
        <w:rPr>
          <w:i/>
          <w:iCs/>
        </w:rPr>
        <w:t xml:space="preserve">Compare </w:t>
      </w:r>
      <w:r w:rsidRPr="00AD2F44">
        <w:t>Chavarria v. Ralph’s Grocery Co</w:t>
      </w:r>
      <w:r w:rsidRPr="00AD2F44">
        <w:rPr>
          <w:i/>
          <w:iCs/>
        </w:rPr>
        <w:t>.</w:t>
      </w:r>
      <w:r w:rsidRPr="00AD2F44">
        <w:t>, 733 F.3d 916, 926–27 (9th Cir. 2013) (“[</w:t>
      </w:r>
      <w:r w:rsidRPr="00AD2F44">
        <w:rPr>
          <w:i/>
          <w:iCs/>
        </w:rPr>
        <w:t>Italian Colors</w:t>
      </w:r>
      <w:r w:rsidRPr="00AD2F44">
        <w:t xml:space="preserve">] does not preclude us from considering the cost that [employer’s] arbitration agreement imposes on employees in order for them to bring a claim”; affirming substantive unconscionability of arbitration agreement where administrative and filing costs alone, which were imposed upfront and of which recovery was limited or precluded, dwarfed claims at issue and effectively—not speculatively—foreclosed pursuit of the claim), </w:t>
      </w:r>
      <w:r w:rsidRPr="00AD2F44">
        <w:rPr>
          <w:i/>
          <w:iCs/>
        </w:rPr>
        <w:t>with</w:t>
      </w:r>
      <w:r w:rsidRPr="00AD2F44">
        <w:t xml:space="preserve"> Sutherland v. Ernst &amp; Young LLP, 726 F.3d 290, 298 (2d Cir. 2013) (citing </w:t>
      </w:r>
      <w:r w:rsidRPr="00AD2F44">
        <w:rPr>
          <w:i/>
          <w:iCs/>
        </w:rPr>
        <w:t>Italian Colors</w:t>
      </w:r>
      <w:r w:rsidRPr="00AD2F44">
        <w:t xml:space="preserve"> as “compel[ling] the conclusion that [a] class-action waiver is not rendered invalid by virtue of the fact that [an employee’s] claim is not economically worth pursuing individually”).</w:t>
      </w:r>
    </w:p>
  </w:footnote>
  <w:footnote w:id="961">
    <w:p w14:paraId="370D0050" w14:textId="77777777" w:rsidR="004322B1" w:rsidRPr="00AD2F44" w:rsidRDefault="004322B1">
      <w:pPr>
        <w:pStyle w:val="14Footnote"/>
      </w:pPr>
      <w:r w:rsidRPr="00AD2F44">
        <w:rPr>
          <w:vertAlign w:val="superscript"/>
        </w:rPr>
        <w:footnoteRef/>
      </w:r>
      <w:r w:rsidRPr="00AD2F44">
        <w:t xml:space="preserve">Gilmer v. Interstate/Johnson Lane Corp., 500 U.S. 20 (1991). </w:t>
      </w:r>
    </w:p>
  </w:footnote>
  <w:footnote w:id="962">
    <w:p w14:paraId="08D1C0F4" w14:textId="77777777" w:rsidR="004322B1" w:rsidRPr="00AD2F44" w:rsidRDefault="004322B1">
      <w:pPr>
        <w:pStyle w:val="14Footnote"/>
      </w:pPr>
      <w:r w:rsidRPr="00AD2F44">
        <w:rPr>
          <w:vertAlign w:val="superscript"/>
        </w:rPr>
        <w:footnoteRef/>
      </w:r>
      <w:r w:rsidRPr="00AD2F44">
        <w:t xml:space="preserve">Walthour v. Chipio Windshield Repair, LLC, 745 F.3d 1326, 1335, 22 W&amp;H Cas. 2d 310 (11th Cir. 2014), </w:t>
      </w:r>
      <w:r w:rsidRPr="00AD2F44">
        <w:rPr>
          <w:i/>
          <w:iCs/>
        </w:rPr>
        <w:t>cert. denied</w:t>
      </w:r>
      <w:r w:rsidRPr="00AD2F44">
        <w:t>, 573 U.S. 948 (2014).</w:t>
      </w:r>
    </w:p>
  </w:footnote>
  <w:footnote w:id="963">
    <w:p w14:paraId="71E3F37B" w14:textId="77777777" w:rsidR="004322B1" w:rsidRPr="00AD2F44" w:rsidRDefault="004322B1">
      <w:pPr>
        <w:pStyle w:val="14Footnote"/>
      </w:pPr>
      <w:r w:rsidRPr="00AD2F44">
        <w:rPr>
          <w:vertAlign w:val="superscript"/>
        </w:rPr>
        <w:footnoteRef/>
      </w:r>
      <w:r w:rsidRPr="00AD2F44">
        <w:t xml:space="preserve">29 U.S.C. §151 </w:t>
      </w:r>
      <w:r w:rsidRPr="00AD2F44">
        <w:rPr>
          <w:i/>
          <w:iCs/>
        </w:rPr>
        <w:t>et seq</w:t>
      </w:r>
      <w:r w:rsidRPr="00AD2F44">
        <w:t xml:space="preserve">. </w:t>
      </w:r>
    </w:p>
  </w:footnote>
  <w:footnote w:id="964">
    <w:p w14:paraId="5100A148" w14:textId="77777777" w:rsidR="004322B1" w:rsidRPr="00AD2F44" w:rsidRDefault="004322B1">
      <w:pPr>
        <w:pStyle w:val="14Footnote"/>
      </w:pPr>
      <w:r w:rsidRPr="00AD2F44">
        <w:rPr>
          <w:vertAlign w:val="superscript"/>
        </w:rPr>
        <w:footnoteRef/>
      </w:r>
      <w:r w:rsidRPr="00AD2F44">
        <w:t xml:space="preserve">357 NLRB No. 184, 2012 WL 36274 (Jan. 3, 2012). </w:t>
      </w:r>
    </w:p>
  </w:footnote>
  <w:footnote w:id="965">
    <w:p w14:paraId="20381AB4" w14:textId="77777777" w:rsidR="004322B1" w:rsidRPr="00AD2F44" w:rsidRDefault="004322B1">
      <w:pPr>
        <w:pStyle w:val="14Footnote"/>
      </w:pPr>
      <w:r w:rsidRPr="00AD2F44">
        <w:rPr>
          <w:vertAlign w:val="superscript"/>
        </w:rPr>
        <w:footnoteRef/>
      </w:r>
      <w:r w:rsidRPr="00AD2F44">
        <w:t xml:space="preserve">D.R. Horton, Inc. v. NLRB, 737 F.3d 344, 362 (5th Cir. 2013) (enforcing order in part, but concluding that NLRB’s decision did not give proper weight to FAA, and arbitration agreement had to be enforced according to its terms). </w:t>
      </w:r>
    </w:p>
  </w:footnote>
  <w:footnote w:id="966">
    <w:p w14:paraId="2365332D" w14:textId="77777777" w:rsidR="004322B1" w:rsidRPr="00AD2F44" w:rsidRDefault="004322B1">
      <w:pPr>
        <w:pStyle w:val="14Footnote"/>
      </w:pPr>
      <w:r w:rsidRPr="00AD2F44">
        <w:rPr>
          <w:vertAlign w:val="superscript"/>
        </w:rPr>
        <w:footnoteRef/>
      </w:r>
      <w:r w:rsidRPr="00AD2F44">
        <w:t xml:space="preserve">Murphy Oil, Inc. &amp; Sheila M. Hobson, 361 NLRB 774, 201 LRRM 1385 (Oct. 28, 2014). Subsequent decisions suggest that the NLRB is internally divided on this question. </w:t>
      </w:r>
      <w:r w:rsidRPr="00AD2F44">
        <w:rPr>
          <w:i/>
          <w:iCs/>
        </w:rPr>
        <w:t>Compare</w:t>
      </w:r>
      <w:r w:rsidRPr="00AD2F44">
        <w:t xml:space="preserve"> Valley Health Sys., LLC, 2015 WL 1254854 (NLRB Mar. 18, 2015) (distinguishing </w:t>
      </w:r>
      <w:r w:rsidRPr="00AD2F44">
        <w:rPr>
          <w:i/>
          <w:iCs/>
        </w:rPr>
        <w:t>D</w:t>
      </w:r>
      <w:r w:rsidRPr="00AD2F44">
        <w:t>.</w:t>
      </w:r>
      <w:r w:rsidRPr="00AD2F44">
        <w:rPr>
          <w:i/>
          <w:iCs/>
        </w:rPr>
        <w:t>R</w:t>
      </w:r>
      <w:r w:rsidRPr="00AD2F44">
        <w:t>.</w:t>
      </w:r>
      <w:r w:rsidRPr="00AD2F44">
        <w:rPr>
          <w:i/>
          <w:iCs/>
        </w:rPr>
        <w:t xml:space="preserve"> Horton </w:t>
      </w:r>
      <w:r w:rsidRPr="00AD2F44">
        <w:t xml:space="preserve">and </w:t>
      </w:r>
      <w:r w:rsidRPr="00AD2F44">
        <w:rPr>
          <w:i/>
          <w:iCs/>
        </w:rPr>
        <w:t>Murphy Oil</w:t>
      </w:r>
      <w:r w:rsidRPr="00AD2F44">
        <w:t xml:space="preserve"> on basis that unlawful agreements there were mandatory; holding that employer’s arbitration program requiring individual arbitration but containing written opt-out provision was voluntary, thus not unlawful), </w:t>
      </w:r>
      <w:r w:rsidRPr="00AD2F44">
        <w:rPr>
          <w:i/>
          <w:iCs/>
        </w:rPr>
        <w:t>with</w:t>
      </w:r>
      <w:r w:rsidRPr="00AD2F44">
        <w:t xml:space="preserve"> Kenai Drilling Ltd. &amp; Eddie Stewart III, an Individual, 2015 WL 1647909 (NLRB Apr. 13, 2015) (recognizing obligation to follow NLRB’s holding in </w:t>
      </w:r>
      <w:r w:rsidRPr="00AD2F44">
        <w:rPr>
          <w:i/>
          <w:iCs/>
        </w:rPr>
        <w:t>D</w:t>
      </w:r>
      <w:r w:rsidRPr="00AD2F44">
        <w:t>.</w:t>
      </w:r>
      <w:r w:rsidRPr="00AD2F44">
        <w:rPr>
          <w:i/>
          <w:iCs/>
        </w:rPr>
        <w:t>R</w:t>
      </w:r>
      <w:r w:rsidRPr="00AD2F44">
        <w:t>.</w:t>
      </w:r>
      <w:r w:rsidRPr="00AD2F44">
        <w:rPr>
          <w:i/>
          <w:iCs/>
        </w:rPr>
        <w:t xml:space="preserve"> Horton </w:t>
      </w:r>
      <w:r w:rsidRPr="00AD2F44">
        <w:t xml:space="preserve">and </w:t>
      </w:r>
      <w:r w:rsidRPr="00AD2F44">
        <w:rPr>
          <w:i/>
          <w:iCs/>
        </w:rPr>
        <w:t>Murphy Oil</w:t>
      </w:r>
      <w:r w:rsidRPr="00AD2F44">
        <w:t xml:space="preserve">; declining to distinguish on grounds recognized in </w:t>
      </w:r>
      <w:r w:rsidRPr="00AD2F44">
        <w:rPr>
          <w:i/>
          <w:iCs/>
        </w:rPr>
        <w:t>Valley Health</w:t>
      </w:r>
      <w:r w:rsidRPr="00AD2F44">
        <w:t xml:space="preserve">; concluding that opt-out provision did not render agreement “voluntary”). Consistent with its decision in </w:t>
      </w:r>
      <w:r w:rsidRPr="00AD2F44">
        <w:rPr>
          <w:i/>
          <w:iCs/>
        </w:rPr>
        <w:t>D</w:t>
      </w:r>
      <w:r w:rsidRPr="00AD2F44">
        <w:t>.</w:t>
      </w:r>
      <w:r w:rsidRPr="00AD2F44">
        <w:rPr>
          <w:i/>
          <w:iCs/>
        </w:rPr>
        <w:t>R</w:t>
      </w:r>
      <w:r w:rsidRPr="00AD2F44">
        <w:t>.</w:t>
      </w:r>
      <w:r w:rsidRPr="00AD2F44">
        <w:rPr>
          <w:i/>
          <w:iCs/>
        </w:rPr>
        <w:t xml:space="preserve"> Horton</w:t>
      </w:r>
      <w:r w:rsidRPr="00AD2F44">
        <w:t xml:space="preserve">, the Fifth Circuit has since overruled the NLRB’s </w:t>
      </w:r>
      <w:r w:rsidRPr="00AD2F44">
        <w:rPr>
          <w:i/>
          <w:iCs/>
        </w:rPr>
        <w:t xml:space="preserve">Murphy Oil </w:t>
      </w:r>
      <w:r w:rsidRPr="00AD2F44">
        <w:t xml:space="preserve">decision. Murphy Oil USA, Inc. v. NLRB, 808 F.3d 1013, 1021 (5th Cir. 2015). </w:t>
      </w:r>
    </w:p>
  </w:footnote>
  <w:footnote w:id="967">
    <w:p w14:paraId="7C68F945" w14:textId="77777777" w:rsidR="004322B1" w:rsidRPr="00AD2F44" w:rsidRDefault="004322B1">
      <w:pPr>
        <w:pStyle w:val="14Footnote"/>
      </w:pPr>
      <w:r w:rsidRPr="00AD2F44">
        <w:rPr>
          <w:vertAlign w:val="superscript"/>
        </w:rPr>
        <w:footnoteRef/>
      </w:r>
      <w:r w:rsidRPr="00AD2F44">
        <w:rPr>
          <w:i/>
          <w:iCs/>
        </w:rPr>
        <w:t xml:space="preserve">Compare </w:t>
      </w:r>
      <w:r w:rsidRPr="00AD2F44">
        <w:t xml:space="preserve">Sutherland v. Ernst &amp; Young LLP, 726 F.3d 290, 297–98 n.8 (2d Cir. 2013) (rejecting </w:t>
      </w:r>
      <w:r w:rsidRPr="00AD2F44">
        <w:rPr>
          <w:i/>
          <w:iCs/>
        </w:rPr>
        <w:t>D</w:t>
      </w:r>
      <w:r w:rsidRPr="00AD2F44">
        <w:t>.</w:t>
      </w:r>
      <w:r w:rsidRPr="00AD2F44">
        <w:rPr>
          <w:i/>
          <w:iCs/>
        </w:rPr>
        <w:t>R</w:t>
      </w:r>
      <w:r w:rsidRPr="00AD2F44">
        <w:t>.</w:t>
      </w:r>
      <w:r w:rsidRPr="00AD2F44">
        <w:rPr>
          <w:i/>
          <w:iCs/>
        </w:rPr>
        <w:t xml:space="preserve"> Horton</w:t>
      </w:r>
      <w:r w:rsidRPr="00AD2F44">
        <w:t xml:space="preserve"> and upholding employee’s arbitration agreement with class and collective action waiver), Murphy Oil USA Inc. v. NLRB, 808 F.3d 1013 (5th Cir. 2015) (same), </w:t>
      </w:r>
      <w:r w:rsidRPr="00AD2F44">
        <w:rPr>
          <w:i/>
          <w:iCs/>
        </w:rPr>
        <w:t>and</w:t>
      </w:r>
      <w:r w:rsidRPr="00AD2F44">
        <w:t xml:space="preserve"> Owen v. Bristol Care, Inc., 702 F.3d 1050, 1055 (8th Cir. 2013) (same), </w:t>
      </w:r>
      <w:r w:rsidRPr="00AD2F44">
        <w:rPr>
          <w:i/>
          <w:iCs/>
        </w:rPr>
        <w:t xml:space="preserve">with </w:t>
      </w:r>
      <w:r w:rsidRPr="00AD2F44">
        <w:t xml:space="preserve">Lewis v. Epic Sys. Corp., 823 F.3d 1147 (7th Cir. 2016) (following </w:t>
      </w:r>
      <w:r w:rsidRPr="00AD2F44">
        <w:rPr>
          <w:i/>
          <w:iCs/>
        </w:rPr>
        <w:t>D</w:t>
      </w:r>
      <w:r w:rsidRPr="00AD2F44">
        <w:t>.</w:t>
      </w:r>
      <w:r w:rsidRPr="00AD2F44">
        <w:rPr>
          <w:i/>
          <w:iCs/>
        </w:rPr>
        <w:t>R</w:t>
      </w:r>
      <w:r w:rsidRPr="00AD2F44">
        <w:t>.</w:t>
      </w:r>
      <w:r w:rsidRPr="00AD2F44">
        <w:rPr>
          <w:i/>
          <w:iCs/>
        </w:rPr>
        <w:t xml:space="preserve"> Horton </w:t>
      </w:r>
      <w:r w:rsidRPr="00AD2F44">
        <w:t xml:space="preserve">and holding that arbitration provision prohibiting employees from seeking collective, representative, or class legal remedies violated NLRA), </w:t>
      </w:r>
      <w:r w:rsidRPr="00AD2F44">
        <w:rPr>
          <w:i/>
          <w:iCs/>
        </w:rPr>
        <w:t>and</w:t>
      </w:r>
      <w:r w:rsidRPr="00AD2F44">
        <w:t xml:space="preserve"> Morris v. Ernst &amp; Young, LLP, 834 F.3d 975 (9th Cir. 2016) (same). </w:t>
      </w:r>
    </w:p>
  </w:footnote>
  <w:footnote w:id="968">
    <w:p w14:paraId="622FC78C" w14:textId="77777777" w:rsidR="004322B1" w:rsidRPr="00AD2F44" w:rsidRDefault="004322B1">
      <w:pPr>
        <w:pStyle w:val="14Footnote"/>
      </w:pPr>
      <w:r w:rsidRPr="00AD2F44">
        <w:rPr>
          <w:vertAlign w:val="superscript"/>
        </w:rPr>
        <w:footnoteRef/>
      </w:r>
      <w:r w:rsidRPr="00AD2F44">
        <w:t xml:space="preserve">138 S. Ct. 1612 (2018). </w:t>
      </w:r>
    </w:p>
  </w:footnote>
  <w:footnote w:id="969">
    <w:p w14:paraId="5E072CE2" w14:textId="77777777" w:rsidR="004322B1" w:rsidRPr="00AD2F44" w:rsidRDefault="004322B1">
      <w:pPr>
        <w:pStyle w:val="14Footnote"/>
      </w:pPr>
      <w:r w:rsidRPr="00AD2F44">
        <w:rPr>
          <w:vertAlign w:val="superscript"/>
        </w:rPr>
        <w:footnoteRef/>
      </w:r>
      <w:r w:rsidRPr="00AD2F44">
        <w:rPr>
          <w:i/>
          <w:iCs/>
        </w:rPr>
        <w:t>Id</w:t>
      </w:r>
      <w:r w:rsidRPr="00AD2F44">
        <w:t xml:space="preserve">. at 1625. </w:t>
      </w:r>
    </w:p>
  </w:footnote>
  <w:footnote w:id="970">
    <w:p w14:paraId="5451D0F0" w14:textId="77777777" w:rsidR="004322B1" w:rsidRPr="00AD2F44" w:rsidRDefault="004322B1">
      <w:pPr>
        <w:pStyle w:val="14Footnote"/>
      </w:pPr>
      <w:r w:rsidRPr="00AD2F44">
        <w:rPr>
          <w:vertAlign w:val="superscript"/>
        </w:rPr>
        <w:footnoteRef/>
      </w:r>
      <w:r w:rsidRPr="00AD2F44">
        <w:rPr>
          <w:i/>
          <w:iCs/>
        </w:rPr>
        <w:t>Id</w:t>
      </w:r>
      <w:r w:rsidRPr="00AD2F44">
        <w:t xml:space="preserve">. </w:t>
      </w:r>
    </w:p>
  </w:footnote>
  <w:footnote w:id="971">
    <w:p w14:paraId="61C9642C" w14:textId="77777777" w:rsidR="004322B1" w:rsidRPr="00AD2F44" w:rsidRDefault="004322B1">
      <w:pPr>
        <w:pStyle w:val="14Footnote"/>
      </w:pPr>
      <w:r w:rsidRPr="00AD2F44">
        <w:rPr>
          <w:vertAlign w:val="superscript"/>
        </w:rPr>
        <w:footnoteRef/>
      </w:r>
      <w:r w:rsidRPr="00AD2F44">
        <w:rPr>
          <w:i/>
          <w:iCs/>
        </w:rPr>
        <w:t>Id</w:t>
      </w:r>
      <w:r w:rsidRPr="00AD2F44">
        <w:t xml:space="preserve">. at 1625–26. </w:t>
      </w:r>
    </w:p>
  </w:footnote>
  <w:footnote w:id="972">
    <w:p w14:paraId="0614D5C9" w14:textId="77777777" w:rsidR="004322B1" w:rsidRPr="00AD2F44" w:rsidRDefault="004322B1">
      <w:pPr>
        <w:pStyle w:val="14Footnote"/>
      </w:pPr>
      <w:r w:rsidRPr="00AD2F44">
        <w:rPr>
          <w:vertAlign w:val="superscript"/>
        </w:rPr>
        <w:footnoteRef/>
      </w:r>
      <w:r w:rsidRPr="00AD2F44">
        <w:rPr>
          <w:i/>
          <w:iCs/>
        </w:rPr>
        <w:t>Id</w:t>
      </w:r>
      <w:r w:rsidRPr="00AD2F44">
        <w:t xml:space="preserve">. at 1629–30. Justice Thomas joined the majority’s opinion, but wrote a separate concurring opinion in which he concluded that the “plain meaning” of the FAA precluded a court from invalidating an arbitration agreement with a class waiver. </w:t>
      </w:r>
      <w:r w:rsidRPr="00AD2F44">
        <w:rPr>
          <w:i/>
          <w:iCs/>
        </w:rPr>
        <w:t>Id</w:t>
      </w:r>
      <w:r w:rsidRPr="00AD2F44">
        <w:t xml:space="preserve">. at 1632–33. Justice Thomas based his conclusion on the FAA’s savings clause, which allows for invalidation of arbitration agreements “upon such grounds as exist at law or in equity for the revocation of any contract.” </w:t>
      </w:r>
      <w:r w:rsidRPr="00AD2F44">
        <w:rPr>
          <w:i/>
          <w:iCs/>
        </w:rPr>
        <w:t>Id</w:t>
      </w:r>
      <w:r w:rsidRPr="00AD2F44">
        <w:t xml:space="preserve">. Because illegality under the NLRA “is a public policy defense,” and such a defense did not “concern whether the contract was properly made,” the FAA’s savings clause did not apply by its terms. </w:t>
      </w:r>
      <w:r w:rsidRPr="00AD2F44">
        <w:rPr>
          <w:i/>
          <w:iCs/>
        </w:rPr>
        <w:t>Id</w:t>
      </w:r>
      <w:r w:rsidRPr="00AD2F44">
        <w:t xml:space="preserve">. </w:t>
      </w:r>
    </w:p>
  </w:footnote>
  <w:footnote w:id="973">
    <w:p w14:paraId="685A45C7" w14:textId="77777777" w:rsidR="004322B1" w:rsidRPr="00AD2F44" w:rsidRDefault="004322B1">
      <w:pPr>
        <w:pStyle w:val="14Footnote"/>
      </w:pPr>
      <w:r w:rsidRPr="00AD2F44">
        <w:rPr>
          <w:vertAlign w:val="superscript"/>
        </w:rPr>
        <w:footnoteRef/>
      </w:r>
      <w:r w:rsidRPr="00AD2F44">
        <w:rPr>
          <w:i/>
          <w:iCs/>
        </w:rPr>
        <w:t>Id</w:t>
      </w:r>
      <w:r w:rsidRPr="00AD2F44">
        <w:t xml:space="preserve">. at 1633–49. </w:t>
      </w:r>
    </w:p>
  </w:footnote>
  <w:footnote w:id="974">
    <w:p w14:paraId="6A33C140" w14:textId="77777777" w:rsidR="004322B1" w:rsidRPr="00AD2F44" w:rsidRDefault="004322B1">
      <w:pPr>
        <w:pStyle w:val="14Footnote"/>
      </w:pPr>
      <w:r w:rsidRPr="00AD2F44">
        <w:rPr>
          <w:vertAlign w:val="superscript"/>
        </w:rPr>
        <w:footnoteRef/>
      </w:r>
      <w:r w:rsidRPr="00AD2F44">
        <w:rPr>
          <w:i/>
          <w:iCs/>
        </w:rPr>
        <w:t>Epic Systems</w:t>
      </w:r>
      <w:r w:rsidRPr="00AD2F44">
        <w:t xml:space="preserve">, 138 S. Ct. at 1633. </w:t>
      </w:r>
    </w:p>
  </w:footnote>
  <w:footnote w:id="975">
    <w:p w14:paraId="5E89ABE9" w14:textId="77777777" w:rsidR="004322B1" w:rsidRPr="00AD2F44" w:rsidRDefault="004322B1">
      <w:pPr>
        <w:pStyle w:val="14Footnote"/>
      </w:pPr>
      <w:r w:rsidRPr="00AD2F44">
        <w:rPr>
          <w:vertAlign w:val="superscript"/>
        </w:rPr>
        <w:footnoteRef/>
      </w:r>
      <w:r w:rsidRPr="00AD2F44">
        <w:rPr>
          <w:i/>
          <w:iCs/>
        </w:rPr>
        <w:t>Id</w:t>
      </w:r>
      <w:r w:rsidRPr="00AD2F44">
        <w:t xml:space="preserve">. at 1637–38. </w:t>
      </w:r>
    </w:p>
  </w:footnote>
  <w:footnote w:id="976">
    <w:p w14:paraId="6294E68E" w14:textId="77777777" w:rsidR="004322B1" w:rsidRPr="00AD2F44" w:rsidRDefault="004322B1">
      <w:pPr>
        <w:pStyle w:val="14Footnote"/>
      </w:pPr>
      <w:r w:rsidRPr="00AD2F44">
        <w:rPr>
          <w:vertAlign w:val="superscript"/>
        </w:rPr>
        <w:footnoteRef/>
      </w:r>
      <w:r w:rsidRPr="00AD2F44">
        <w:rPr>
          <w:i/>
          <w:iCs/>
        </w:rPr>
        <w:t>Id</w:t>
      </w:r>
      <w:r w:rsidRPr="00AD2F44">
        <w:t xml:space="preserve">. at 1645–46. </w:t>
      </w:r>
    </w:p>
  </w:footnote>
  <w:footnote w:id="977">
    <w:p w14:paraId="055DB86C" w14:textId="77777777" w:rsidR="004322B1" w:rsidRPr="00AD2F44" w:rsidRDefault="004322B1">
      <w:pPr>
        <w:pStyle w:val="14Footnote"/>
      </w:pPr>
      <w:r w:rsidRPr="00AD2F44">
        <w:rPr>
          <w:vertAlign w:val="superscript"/>
        </w:rPr>
        <w:footnoteRef/>
      </w:r>
      <w:r w:rsidRPr="00AD2F44">
        <w:rPr>
          <w:i/>
          <w:iCs/>
        </w:rPr>
        <w:t>Id</w:t>
      </w:r>
      <w:r w:rsidRPr="00AD2F44">
        <w:t xml:space="preserve">. at 1646. </w:t>
      </w:r>
    </w:p>
  </w:footnote>
  <w:footnote w:id="978">
    <w:p w14:paraId="7778AABF" w14:textId="77777777" w:rsidR="004322B1" w:rsidRPr="00AD2F44" w:rsidRDefault="004322B1">
      <w:pPr>
        <w:pStyle w:val="14Footnote"/>
        <w:rPr>
          <w:i/>
          <w:iCs/>
        </w:rPr>
      </w:pPr>
      <w:r w:rsidRPr="00AD2F44">
        <w:rPr>
          <w:rStyle w:val="FootnoteReference"/>
        </w:rPr>
        <w:footnoteRef/>
      </w:r>
      <w:r w:rsidRPr="00AD2F44">
        <w:rPr>
          <w:i/>
          <w:iCs/>
        </w:rPr>
        <w:t xml:space="preserve">See, e.g., </w:t>
      </w:r>
    </w:p>
    <w:p w14:paraId="6B3B6555" w14:textId="77777777" w:rsidR="004322B1" w:rsidRPr="00AD2F44" w:rsidRDefault="004322B1">
      <w:pPr>
        <w:pStyle w:val="14Footnote"/>
        <w:rPr>
          <w:i/>
          <w:iCs/>
        </w:rPr>
      </w:pPr>
      <w:r w:rsidRPr="00AD2F44">
        <w:rPr>
          <w:i/>
          <w:iCs/>
        </w:rPr>
        <w:t>Sixth Circuit:</w:t>
      </w:r>
      <w:r w:rsidRPr="00AD2F44">
        <w:t xml:space="preserve"> Townsend v. Stand Up Mgmt., Inc., 2019 BL 295715, 2019 WL 3729266 (N.D. Ohio Aug. 8, 2019).</w:t>
      </w:r>
    </w:p>
    <w:p w14:paraId="60AB6922" w14:textId="77777777" w:rsidR="004322B1" w:rsidRPr="00AD2F44" w:rsidRDefault="004322B1">
      <w:pPr>
        <w:pStyle w:val="14Footnote"/>
      </w:pPr>
      <w:r w:rsidRPr="00AD2F44">
        <w:rPr>
          <w:i/>
          <w:iCs/>
        </w:rPr>
        <w:t xml:space="preserve">Seventh Circuit: </w:t>
      </w:r>
      <w:r w:rsidRPr="00AD2F44">
        <w:t xml:space="preserve">O’Shea v. Maplebear, Inc., 508 F. Supp. 3d 279 (N.D. Ill. 2020). </w:t>
      </w:r>
    </w:p>
    <w:p w14:paraId="2AED35EA" w14:textId="77777777" w:rsidR="004322B1" w:rsidRPr="00AD2F44" w:rsidRDefault="004322B1">
      <w:pPr>
        <w:pStyle w:val="14Footnote"/>
      </w:pPr>
      <w:r w:rsidRPr="00AD2F44">
        <w:rPr>
          <w:i/>
          <w:iCs/>
        </w:rPr>
        <w:t xml:space="preserve">Ninth Circuit: </w:t>
      </w:r>
      <w:r w:rsidRPr="00AD2F44">
        <w:t>Reno v Western Cab Co., 2020 BL 359171, 2020 WL 5606897 (D. Nev. Sept. 18, 2020);</w:t>
      </w:r>
      <w:r w:rsidRPr="00AD2F44">
        <w:rPr>
          <w:i/>
          <w:iCs/>
        </w:rPr>
        <w:t xml:space="preserve"> </w:t>
      </w:r>
      <w:r w:rsidRPr="00AD2F44">
        <w:t>Bryant v. Tristate Logistics of Ariz. LLC, 2020 WL 1455770 (D. Ariz. Mar. 25, 2020).</w:t>
      </w:r>
    </w:p>
  </w:footnote>
  <w:footnote w:id="979">
    <w:p w14:paraId="693A0F72" w14:textId="77777777" w:rsidR="004322B1" w:rsidRPr="00AD2F44" w:rsidRDefault="004322B1">
      <w:pPr>
        <w:pStyle w:val="14Footnote"/>
      </w:pPr>
      <w:r w:rsidRPr="00AD2F44">
        <w:rPr>
          <w:vertAlign w:val="superscript"/>
        </w:rPr>
        <w:footnoteRef/>
      </w:r>
      <w:r w:rsidRPr="00AD2F44">
        <w:rPr>
          <w:i/>
        </w:rPr>
        <w:t xml:space="preserve">See </w:t>
      </w:r>
    </w:p>
    <w:p w14:paraId="736F8684" w14:textId="77777777" w:rsidR="004322B1" w:rsidRPr="00AD2F44" w:rsidRDefault="004322B1">
      <w:pPr>
        <w:pStyle w:val="14Footnote"/>
      </w:pPr>
      <w:r w:rsidRPr="00AD2F44">
        <w:rPr>
          <w:i/>
          <w:iCs/>
        </w:rPr>
        <w:t>First Circuit</w:t>
      </w:r>
      <w:r w:rsidRPr="00AD2F44">
        <w:t xml:space="preserve">: Oliviera v. New Prime, Inc., 424 F. Supp. 3d 206, 208 (D. Mass. 2019) (upon remand from U.S. Supreme Court, holding that defendant’s actions representing that it would not seek to compel arbitration and spending years appealing issue were inconsistent with right to arbitrate). </w:t>
      </w:r>
    </w:p>
    <w:p w14:paraId="18886AB2" w14:textId="77777777" w:rsidR="004322B1" w:rsidRPr="00AD2F44" w:rsidRDefault="004322B1">
      <w:pPr>
        <w:pStyle w:val="14Footnote"/>
      </w:pPr>
      <w:r w:rsidRPr="00AD2F44">
        <w:rPr>
          <w:i/>
          <w:iCs/>
        </w:rPr>
        <w:t>Fifth Circuit</w:t>
      </w:r>
      <w:r w:rsidRPr="00AD2F44">
        <w:t xml:space="preserve">: Qazi v. Stage Stores, Inc., 2020 WL 1321538 (S.D. Tex. Mar. 17, 2020) (holding employers waived their right to compel arbitration by invoking judicial process). </w:t>
      </w:r>
    </w:p>
    <w:p w14:paraId="4471E224" w14:textId="77777777" w:rsidR="004322B1" w:rsidRPr="00AD2F44" w:rsidRDefault="004322B1">
      <w:pPr>
        <w:pStyle w:val="14Footnote"/>
      </w:pPr>
      <w:r w:rsidRPr="00AD2F44">
        <w:rPr>
          <w:i/>
          <w:iCs/>
        </w:rPr>
        <w:t xml:space="preserve">Ninth Circuit: </w:t>
      </w:r>
      <w:r w:rsidRPr="00AD2F44">
        <w:t>Martin v. Yasuda, 829 F.3d 1118, 1124–28 (9th Cir. 2016) (holding that defendant waived right to compel arbitration of FLSA claims by “actively litigating” case in federal court for 17 months); Ambrosio v. Cogent Commc’ns, Inc., 2016 WL 4436091, at *5–7 (N.D. Cal. Aug. 5, 2016) (holding defendant waived right to compel arbitration of FLSA claims by waiting “more than twenty months” to represent that it “intended to compel arbitration,” during which it opposed plaintiff’s motion for conditional certification).</w:t>
      </w:r>
    </w:p>
    <w:p w14:paraId="5FFD50C0" w14:textId="77777777" w:rsidR="004322B1" w:rsidRPr="00AD2F44" w:rsidRDefault="004322B1">
      <w:pPr>
        <w:pStyle w:val="14Footnote"/>
      </w:pPr>
      <w:r w:rsidRPr="00AD2F44">
        <w:rPr>
          <w:i/>
          <w:iCs/>
        </w:rPr>
        <w:t>Eleventh Circuit:</w:t>
      </w:r>
      <w:r w:rsidRPr="00AD2F44">
        <w:t xml:space="preserve"> Prowant v. Federal Nat’l Mortg. Ass’n, 255 F. Supp. 3d 1291, 1296–1301 (N.D. Ga. 2017) (holding that defendant waived right to compel arbitration of FLSA claims by instituting declaratory judgment action to stay arbitration and have federal court determine whether collective arbitration was permitted by agreement, including as to plaintiffs who opted in to federal lawsuit).</w:t>
      </w:r>
    </w:p>
    <w:p w14:paraId="140FAF24" w14:textId="77777777" w:rsidR="004322B1" w:rsidRDefault="004322B1">
      <w:pPr>
        <w:pStyle w:val="14Footnote"/>
      </w:pPr>
      <w:r w:rsidRPr="00AD2F44">
        <w:t xml:space="preserve"> </w:t>
      </w:r>
      <w:r w:rsidRPr="00AD2F44">
        <w:rPr>
          <w:i/>
          <w:iCs/>
        </w:rPr>
        <w:t>But see</w:t>
      </w:r>
      <w:r w:rsidRPr="00AD2F44">
        <w:t xml:space="preserve"> </w:t>
      </w:r>
    </w:p>
    <w:p w14:paraId="38BEC64E" w14:textId="77777777" w:rsidR="004322B1" w:rsidRPr="002F69CA" w:rsidRDefault="004322B1">
      <w:pPr>
        <w:pStyle w:val="14Footnote"/>
      </w:pPr>
      <w:r>
        <w:rPr>
          <w:i/>
          <w:iCs/>
        </w:rPr>
        <w:t>Fifth Circuit:</w:t>
      </w:r>
      <w:r>
        <w:t xml:space="preserve"> </w:t>
      </w:r>
      <w:r w:rsidRPr="007B57A0">
        <w:t>Naranjo v. Nick</w:t>
      </w:r>
      <w:r>
        <w:t>’</w:t>
      </w:r>
      <w:r w:rsidRPr="007B57A0">
        <w:t>'s M</w:t>
      </w:r>
      <w:r>
        <w:t xml:space="preserve">gmt., </w:t>
      </w:r>
      <w:r w:rsidRPr="007B57A0">
        <w:t>652 F. Supp. 3d 737 (N.D. Tex. 2023)</w:t>
      </w:r>
      <w:r>
        <w:t xml:space="preserve"> (holding</w:t>
      </w:r>
      <w:r w:rsidRPr="007B57A0">
        <w:t xml:space="preserve"> defendants’ seven-month delay in production of agreement did not constitute waiver</w:t>
      </w:r>
      <w:r>
        <w:t xml:space="preserve">). </w:t>
      </w:r>
    </w:p>
    <w:p w14:paraId="09CA6A18" w14:textId="77777777" w:rsidR="004322B1" w:rsidRDefault="004322B1">
      <w:pPr>
        <w:pStyle w:val="14Footnote"/>
      </w:pPr>
      <w:r>
        <w:rPr>
          <w:i/>
          <w:iCs/>
        </w:rPr>
        <w:t xml:space="preserve">Ninth Circuit: </w:t>
      </w:r>
      <w:r w:rsidRPr="00AD2F44">
        <w:t xml:space="preserve">Conde v. Open Door Mktg., LLC, </w:t>
      </w:r>
      <w:r w:rsidRPr="00237357">
        <w:t>2017 BL 402039</w:t>
      </w:r>
      <w:r>
        <w:t xml:space="preserve">, </w:t>
      </w:r>
      <w:r w:rsidRPr="00AD2F44">
        <w:t>2017 WL 5172271 (N.D. Cal. Nov. 8, 2017) (holding defendants did not waive their right to arbitration by continuing to litigate in court where they did not act inconsistently and plaintiffs were not prejudiced).</w:t>
      </w:r>
    </w:p>
    <w:p w14:paraId="3554C055" w14:textId="77777777" w:rsidR="004322B1" w:rsidRPr="00AD2F44" w:rsidRDefault="004322B1">
      <w:pPr>
        <w:pStyle w:val="14Footnote"/>
      </w:pPr>
      <w:r>
        <w:rPr>
          <w:i/>
          <w:iCs/>
        </w:rPr>
        <w:t xml:space="preserve">Tenth Circuit: </w:t>
      </w:r>
      <w:r w:rsidRPr="00AD2F44">
        <w:t>Roybal v. Community Options, 2020 WL 871579 (D.N.M. Feb. 21, 2020) (staying action and ordering arbitration, finding defendant had not effectively waived its arbitration right because it had not substantially invoked litigation process through use of dispositive motions)</w:t>
      </w:r>
      <w:r>
        <w:t xml:space="preserve">. </w:t>
      </w:r>
    </w:p>
  </w:footnote>
  <w:footnote w:id="980">
    <w:p w14:paraId="0F635DC4" w14:textId="77777777" w:rsidR="004322B1" w:rsidRPr="00AD2F44" w:rsidRDefault="004322B1">
      <w:pPr>
        <w:pStyle w:val="14Footnote"/>
      </w:pPr>
      <w:r w:rsidRPr="00AD2F44">
        <w:rPr>
          <w:vertAlign w:val="superscript"/>
        </w:rPr>
        <w:footnoteRef/>
      </w:r>
      <w:r w:rsidRPr="00AD2F44">
        <w:t>559 U.S. 662 (2010).</w:t>
      </w:r>
    </w:p>
  </w:footnote>
  <w:footnote w:id="981">
    <w:p w14:paraId="7210D65B" w14:textId="77777777" w:rsidR="004322B1" w:rsidRPr="00AD2F44" w:rsidRDefault="004322B1">
      <w:pPr>
        <w:pStyle w:val="14Footnote"/>
      </w:pPr>
      <w:r w:rsidRPr="00AD2F44">
        <w:rPr>
          <w:vertAlign w:val="superscript"/>
        </w:rPr>
        <w:footnoteRef/>
      </w:r>
      <w:r w:rsidRPr="00AD2F44">
        <w:rPr>
          <w:i/>
          <w:iCs/>
        </w:rPr>
        <w:t>Id</w:t>
      </w:r>
      <w:r w:rsidRPr="00AD2F44">
        <w:t>. at 676.</w:t>
      </w:r>
    </w:p>
  </w:footnote>
  <w:footnote w:id="982">
    <w:p w14:paraId="0AFC5D12" w14:textId="77777777" w:rsidR="004322B1" w:rsidRPr="00AD2F44" w:rsidRDefault="004322B1">
      <w:pPr>
        <w:pStyle w:val="14Footnote"/>
      </w:pPr>
      <w:r w:rsidRPr="00AD2F44">
        <w:rPr>
          <w:vertAlign w:val="superscript"/>
        </w:rPr>
        <w:footnoteRef/>
      </w:r>
      <w:r w:rsidRPr="00AD2F44">
        <w:rPr>
          <w:i/>
          <w:iCs/>
        </w:rPr>
        <w:t>Id</w:t>
      </w:r>
      <w:r w:rsidRPr="00AD2F44">
        <w:t>. at 687 (emphasis in original).</w:t>
      </w:r>
    </w:p>
  </w:footnote>
  <w:footnote w:id="983">
    <w:p w14:paraId="0E8B2055" w14:textId="77777777" w:rsidR="004322B1" w:rsidRPr="00AD2F44" w:rsidRDefault="004322B1">
      <w:pPr>
        <w:pStyle w:val="14Footnote"/>
      </w:pPr>
      <w:r w:rsidRPr="00AD2F44">
        <w:rPr>
          <w:vertAlign w:val="superscript"/>
        </w:rPr>
        <w:footnoteRef/>
      </w:r>
      <w:r w:rsidRPr="00AD2F44">
        <w:rPr>
          <w:i/>
        </w:rPr>
        <w:t xml:space="preserve">See, e.g., </w:t>
      </w:r>
    </w:p>
    <w:p w14:paraId="0A64177A" w14:textId="77777777" w:rsidR="004322B1" w:rsidRPr="00AD2F44" w:rsidRDefault="004322B1">
      <w:pPr>
        <w:pStyle w:val="14Footnote"/>
      </w:pPr>
      <w:r w:rsidRPr="00AD2F44">
        <w:rPr>
          <w:i/>
          <w:iCs/>
        </w:rPr>
        <w:t>Third Circuit:</w:t>
      </w:r>
      <w:r w:rsidRPr="00AD2F44">
        <w:t xml:space="preserve"> Opalinski v. Robert Half Int’l, Inc., 2015 WL 7306420, at *4–6 (D.N.J. Nov. 18, 2015) (holding that arbitration agreements that were silent on issue of classwide arbitration and limited arbitrable claims to those “arising out of or relating to” each employee’s relationship with employer could not be arbitrated as class or collective action), </w:t>
      </w:r>
      <w:r w:rsidRPr="00AD2F44">
        <w:rPr>
          <w:i/>
          <w:iCs/>
        </w:rPr>
        <w:t>aff’d</w:t>
      </w:r>
      <w:r w:rsidRPr="00AD2F44">
        <w:t>, 677 F. App’x 738 (3d Cir. 2017); Herzfeld v. 1416 Chancellor, Inc., 2015 WL 4480829, at *5–8 (E.D. Pa. July 22, 2015) (holding that arbitration agreement that was silent on issue of class or collective arbitration did not permit collective arbitration of claims because there was no “‘meeting of the minds’ on this monumental change to the parties’ agreement,” but later finding agreement unconscionable in part because plaintiff “did not consent” to loss of her right to proceed collectively).</w:t>
      </w:r>
    </w:p>
    <w:p w14:paraId="3CE55872" w14:textId="77777777" w:rsidR="004322B1" w:rsidRPr="00AD2F44" w:rsidRDefault="004322B1">
      <w:pPr>
        <w:pStyle w:val="14Footnote"/>
      </w:pPr>
      <w:r w:rsidRPr="00AD2F44">
        <w:rPr>
          <w:i/>
          <w:iCs/>
        </w:rPr>
        <w:t xml:space="preserve">Fifth Circuit: </w:t>
      </w:r>
      <w:r w:rsidRPr="00AD2F44">
        <w:t>Robinson v. J&amp;K Admin. Mgmt. Serv., Inc., 2015 WL 1310213, at *5 (N.D. Tex. Mar. 24, 2015) (holding on motion to compel that arbitration agreement gave arbitrator authority to determine whether it permitted collective arbitration because agreement stated “claims challenging the validity or enforceability of this Agreement … or challenging the applicability of the Agreement to a particular dispute of claim” were covered by agreement); International Bancshares Corp. v. Lopez, 57 F. Supp. 3d 784, 791 (S.D. Tex. 2014) (upholding arbitration award permitting collective action in arbitration of FLSA claims, where arbitrator determined that agreement “explicitly barred only class actions, not collective actions,” and AAA rules incorporated into agreement distinguished between two types of actions).</w:t>
      </w:r>
    </w:p>
    <w:p w14:paraId="457EDEF0" w14:textId="77777777" w:rsidR="004322B1" w:rsidRPr="00AD2F44" w:rsidRDefault="004322B1">
      <w:pPr>
        <w:pStyle w:val="14Footnote"/>
      </w:pPr>
      <w:r w:rsidRPr="00AD2F44">
        <w:rPr>
          <w:i/>
          <w:iCs/>
        </w:rPr>
        <w:t xml:space="preserve">Sixth Circuit: </w:t>
      </w:r>
      <w:r w:rsidRPr="00AD2F44">
        <w:t xml:space="preserve">Taylor v. American Income Life Ins. Co., 2013 WL 2087359 (N.D. Ohio May 14, 2013) (on motion to compel, finding that arbitration contract contained no language to indicate that plaintiffs had right to arbitrate collectively, and otherwise finding agreement enforceable, granting defendants’ motion to compel arbitration and dismiss plaintiffs’ claims); Porter v. MC Equities, LLC, 2012 WL 3778973 (N.D. Ohio Aug. 30, 2012) (finding that agreements did not require plaintiffs to submit to class or collective arbitration, but did require arbitration of their individual claims). </w:t>
      </w:r>
    </w:p>
    <w:p w14:paraId="2F3B68A4" w14:textId="77777777" w:rsidR="004322B1" w:rsidRPr="00AD2F44" w:rsidRDefault="004322B1">
      <w:pPr>
        <w:pStyle w:val="14Footnote"/>
      </w:pPr>
      <w:r w:rsidRPr="00AD2F44">
        <w:rPr>
          <w:i/>
          <w:iCs/>
        </w:rPr>
        <w:t>Ninth Circuit:</w:t>
      </w:r>
      <w:r w:rsidRPr="00AD2F44">
        <w:t xml:space="preserve"> Bufford v. VXI Global Sols. LLC, 2021 BL 21927, 2021 WL 229240 (D. Ariz. Jan. 22, 2021) (rejecting plaintiffs’ argument that class could proceed as collective action where arbitration agreement was silent on collective and class claims, holding named plaintiff could not represent collective in case she cannot litigate individually); Cobarruviaz v. Maplebear, Inc., 143 F. Supp. 3d 930, 944–46 (N.D. Cal. 2015) (concluding that arbitration agreement did not permit class or collective arbitration because there was “no evidence that the parties contemplated or agreed to class-wide arbitration”).</w:t>
      </w:r>
    </w:p>
    <w:p w14:paraId="152A320C" w14:textId="77777777" w:rsidR="004322B1" w:rsidRPr="00AD2F44" w:rsidRDefault="004322B1">
      <w:pPr>
        <w:pStyle w:val="14Footnote"/>
      </w:pPr>
      <w:r w:rsidRPr="00AD2F44">
        <w:rPr>
          <w:i/>
          <w:iCs/>
        </w:rPr>
        <w:t xml:space="preserve">Eleventh Circuit: </w:t>
      </w:r>
      <w:r w:rsidRPr="00AD2F44">
        <w:t xml:space="preserve">Chambers v. Groome Transp. of Ala., 41 F. Supp. 3d 1327, 1350 (M.D. Ala. 2014) (concluding that arbitration agreement did not permit classwide arbitration “because the Arbitration Agreement does not expressly provide for it” and “consent to class arbitration cannot be inferred where the agreement is silent as to the availability of class-action procedures”). </w:t>
      </w:r>
    </w:p>
    <w:p w14:paraId="0ECEC15E" w14:textId="77777777" w:rsidR="004322B1" w:rsidRPr="00AD2F44" w:rsidRDefault="004322B1">
      <w:pPr>
        <w:pStyle w:val="14Footnote"/>
      </w:pPr>
      <w:r w:rsidRPr="00AD2F44">
        <w:rPr>
          <w:i/>
          <w:iCs/>
        </w:rPr>
        <w:t>See also</w:t>
      </w:r>
      <w:r w:rsidRPr="00AD2F44">
        <w:t xml:space="preserve"> </w:t>
      </w:r>
      <w:r w:rsidRPr="00AD2F44">
        <w:rPr>
          <w:i/>
          <w:iCs/>
        </w:rPr>
        <w:t>Class Action Case Docket</w:t>
      </w:r>
      <w:r w:rsidRPr="00AD2F44">
        <w:t xml:space="preserve">, </w:t>
      </w:r>
      <w:r w:rsidRPr="00AD2F44">
        <w:rPr>
          <w:smallCaps/>
        </w:rPr>
        <w:t>American Arbitration Ass’n</w:t>
      </w:r>
      <w:r w:rsidRPr="00AD2F44">
        <w:t xml:space="preserve"> (searchable database of, among other things, clause construction awards in AAA employment class cases), https://www.adr.org/casedockets (last visited Oct. 10, 2020). </w:t>
      </w:r>
    </w:p>
  </w:footnote>
  <w:footnote w:id="984">
    <w:p w14:paraId="2CDCDFCF" w14:textId="77777777" w:rsidR="004322B1" w:rsidRPr="00AD2F44" w:rsidRDefault="004322B1">
      <w:pPr>
        <w:pStyle w:val="14Footnote"/>
      </w:pPr>
      <w:r w:rsidRPr="00AD2F44">
        <w:rPr>
          <w:vertAlign w:val="superscript"/>
        </w:rPr>
        <w:footnoteRef/>
      </w:r>
      <w:r w:rsidRPr="00AD2F44">
        <w:t xml:space="preserve">139 S. Ct. 1407 (2019). </w:t>
      </w:r>
    </w:p>
  </w:footnote>
  <w:footnote w:id="985">
    <w:p w14:paraId="3082C591" w14:textId="77777777" w:rsidR="004322B1" w:rsidRPr="00AD2F44" w:rsidRDefault="004322B1">
      <w:pPr>
        <w:pStyle w:val="14Footnote"/>
      </w:pPr>
      <w:r w:rsidRPr="00AD2F44">
        <w:rPr>
          <w:vertAlign w:val="superscript"/>
        </w:rPr>
        <w:footnoteRef/>
      </w:r>
      <w:r w:rsidRPr="00AD2F44">
        <w:rPr>
          <w:i/>
          <w:iCs/>
        </w:rPr>
        <w:t xml:space="preserve">Id. </w:t>
      </w:r>
      <w:r w:rsidRPr="00AD2F44">
        <w:t>at 1419.</w:t>
      </w:r>
    </w:p>
  </w:footnote>
  <w:footnote w:id="986">
    <w:p w14:paraId="23E21C73" w14:textId="77777777" w:rsidR="004322B1" w:rsidRPr="00AD2F44" w:rsidRDefault="004322B1">
      <w:pPr>
        <w:pStyle w:val="14Footnote"/>
      </w:pPr>
      <w:r w:rsidRPr="00AD2F44">
        <w:rPr>
          <w:vertAlign w:val="superscript"/>
        </w:rPr>
        <w:footnoteRef/>
      </w:r>
      <w:r w:rsidRPr="00AD2F44">
        <w:rPr>
          <w:i/>
        </w:rPr>
        <w:t>Id.</w:t>
      </w:r>
    </w:p>
  </w:footnote>
  <w:footnote w:id="987">
    <w:p w14:paraId="346A3A46" w14:textId="77777777" w:rsidR="004322B1" w:rsidRPr="00AD2F44" w:rsidRDefault="004322B1">
      <w:pPr>
        <w:pStyle w:val="14Footnote"/>
      </w:pPr>
      <w:r w:rsidRPr="00AD2F44">
        <w:rPr>
          <w:vertAlign w:val="superscript"/>
        </w:rPr>
        <w:footnoteRef/>
      </w:r>
      <w:r w:rsidRPr="00AD2F44">
        <w:t>Other alternative dispute resolution services have their own specialized rules, such as FINRA (governing ADR for securities-related disputes).</w:t>
      </w:r>
    </w:p>
  </w:footnote>
  <w:footnote w:id="988">
    <w:p w14:paraId="6A4A68BE" w14:textId="77777777" w:rsidR="004322B1" w:rsidRPr="00AD2F44" w:rsidRDefault="004322B1">
      <w:pPr>
        <w:pStyle w:val="14Footnote"/>
      </w:pPr>
      <w:r w:rsidRPr="00AD2F44">
        <w:rPr>
          <w:vertAlign w:val="superscript"/>
        </w:rPr>
        <w:footnoteRef/>
      </w:r>
      <w:r w:rsidRPr="00AD2F44">
        <w:t xml:space="preserve">409 F. Supp. 2d 682 (D.S.C. 2006), </w:t>
      </w:r>
      <w:r w:rsidRPr="00AD2F44">
        <w:rPr>
          <w:i/>
          <w:iCs/>
        </w:rPr>
        <w:t>aff’d</w:t>
      </w:r>
      <w:r w:rsidRPr="00AD2F44">
        <w:t>, 514 F.3d 345 (4th Cir. 2008).</w:t>
      </w:r>
    </w:p>
  </w:footnote>
  <w:footnote w:id="989">
    <w:p w14:paraId="43A12EA5" w14:textId="77777777" w:rsidR="004322B1" w:rsidRPr="00AD2F44" w:rsidRDefault="004322B1">
      <w:pPr>
        <w:pStyle w:val="14Footnote"/>
      </w:pPr>
      <w:r w:rsidRPr="00AD2F44">
        <w:rPr>
          <w:vertAlign w:val="superscript"/>
        </w:rPr>
        <w:footnoteRef/>
      </w:r>
      <w:r w:rsidRPr="00AD2F44">
        <w:t>Stolt-Nielsen S.A. v. AnimalFeeds Int’l Corp.,</w:t>
      </w:r>
      <w:r w:rsidRPr="00AD2F44">
        <w:rPr>
          <w:i/>
          <w:iCs/>
        </w:rPr>
        <w:t xml:space="preserve"> </w:t>
      </w:r>
      <w:r w:rsidRPr="00AD2F44">
        <w:t xml:space="preserve">559 U.S. 662 (2010). </w:t>
      </w:r>
    </w:p>
  </w:footnote>
  <w:footnote w:id="990">
    <w:p w14:paraId="19873FD1" w14:textId="77777777" w:rsidR="004322B1" w:rsidRPr="00AD2F44" w:rsidRDefault="004322B1">
      <w:pPr>
        <w:pStyle w:val="14Footnote"/>
      </w:pPr>
      <w:r w:rsidRPr="00AD2F44">
        <w:rPr>
          <w:vertAlign w:val="superscript"/>
        </w:rPr>
        <w:footnoteRef/>
      </w:r>
      <w:r w:rsidRPr="00AD2F44">
        <w:t>409 F. Supp. 2d at 678–88.</w:t>
      </w:r>
    </w:p>
  </w:footnote>
  <w:footnote w:id="991">
    <w:p w14:paraId="74A80087" w14:textId="77777777" w:rsidR="004322B1" w:rsidRPr="00AD2F44" w:rsidRDefault="004322B1">
      <w:pPr>
        <w:pStyle w:val="14Footnote"/>
      </w:pPr>
      <w:r w:rsidRPr="00AD2F44">
        <w:rPr>
          <w:vertAlign w:val="superscript"/>
        </w:rPr>
        <w:footnoteRef/>
      </w:r>
      <w:r w:rsidRPr="00AD2F44">
        <w:t>Long John Silver’s Restaurants, Inc. v. Cole, 514 F.3d 345 (4th Cir. 2008).</w:t>
      </w:r>
    </w:p>
  </w:footnote>
  <w:footnote w:id="992">
    <w:p w14:paraId="6C291F72" w14:textId="77777777" w:rsidR="004322B1" w:rsidRPr="00AD2F44" w:rsidRDefault="004322B1">
      <w:pPr>
        <w:pStyle w:val="14Footnote"/>
      </w:pPr>
      <w:r w:rsidRPr="00AD2F44">
        <w:rPr>
          <w:vertAlign w:val="superscript"/>
        </w:rPr>
        <w:footnoteRef/>
      </w:r>
      <w:r w:rsidRPr="00AD2F44">
        <w:rPr>
          <w:i/>
          <w:iCs/>
        </w:rPr>
        <w:t>Id</w:t>
      </w:r>
      <w:r w:rsidRPr="00AD2F44">
        <w:t>. at 351–52.</w:t>
      </w:r>
    </w:p>
  </w:footnote>
  <w:footnote w:id="993">
    <w:p w14:paraId="00A8418B" w14:textId="77777777" w:rsidR="004322B1" w:rsidRPr="00AD2F44" w:rsidRDefault="004322B1">
      <w:pPr>
        <w:pStyle w:val="14Footnote"/>
      </w:pPr>
      <w:r w:rsidRPr="00AD2F44">
        <w:rPr>
          <w:vertAlign w:val="superscript"/>
        </w:rPr>
        <w:footnoteRef/>
      </w:r>
      <w:r w:rsidRPr="00AD2F44">
        <w:rPr>
          <w:i/>
          <w:iCs/>
        </w:rPr>
        <w:t>Id</w:t>
      </w:r>
      <w:r w:rsidRPr="00AD2F44">
        <w:t>. at 352.</w:t>
      </w:r>
    </w:p>
  </w:footnote>
  <w:footnote w:id="994">
    <w:p w14:paraId="51E71EFA" w14:textId="77777777" w:rsidR="004322B1" w:rsidRPr="00AD2F44" w:rsidRDefault="004322B1">
      <w:pPr>
        <w:pStyle w:val="14Footnote"/>
      </w:pPr>
      <w:r w:rsidRPr="00AD2F44">
        <w:rPr>
          <w:vertAlign w:val="superscript"/>
        </w:rPr>
        <w:footnoteRef/>
      </w:r>
      <w:r w:rsidRPr="00AD2F44">
        <w:rPr>
          <w:i/>
          <w:iCs/>
        </w:rPr>
        <w:t xml:space="preserve">Id. </w:t>
      </w:r>
      <w:r w:rsidRPr="00AD2F44">
        <w:t>at 353;</w:t>
      </w:r>
      <w:r w:rsidRPr="00AD2F44">
        <w:rPr>
          <w:i/>
          <w:iCs/>
        </w:rPr>
        <w:t xml:space="preserve"> see</w:t>
      </w:r>
      <w:r w:rsidRPr="00AD2F44">
        <w:t xml:space="preserve"> American Arbitration Ass’n, Supplementary Class Rules, Rule 3.</w:t>
      </w:r>
    </w:p>
  </w:footnote>
  <w:footnote w:id="995">
    <w:p w14:paraId="2A9C407A" w14:textId="77777777" w:rsidR="004322B1" w:rsidRPr="00AD2F44" w:rsidRDefault="004322B1">
      <w:pPr>
        <w:pStyle w:val="14Footnote"/>
      </w:pPr>
      <w:r w:rsidRPr="00AD2F44">
        <w:rPr>
          <w:vertAlign w:val="superscript"/>
        </w:rPr>
        <w:footnoteRef/>
      </w:r>
      <w:r w:rsidRPr="00AD2F44">
        <w:t>Bowen v. Hovnanian Commc’ns, Inc., JAMS, No. 1220038720, p. 2 (Dec. 29, 2008); Bryant v. Joel Antunes, LLC, AAA, No. 11 160 01783 05, p. 2 (Sept. 17, 2007) (partial final award of class certification); Johnson v. Morton’s Rest. Grp., Inc., AAA, No. 11 160 01513 05, p. 19, n.28 (June 27, 2007) (class determination award, partial final award).</w:t>
      </w:r>
    </w:p>
  </w:footnote>
  <w:footnote w:id="996">
    <w:p w14:paraId="47625D97" w14:textId="77777777" w:rsidR="004322B1" w:rsidRPr="00AD2F44" w:rsidRDefault="004322B1">
      <w:pPr>
        <w:pStyle w:val="14Footnote"/>
      </w:pPr>
      <w:r w:rsidRPr="00AD2F44">
        <w:rPr>
          <w:rStyle w:val="FootnoteReference"/>
        </w:rPr>
        <w:footnoteRef/>
      </w:r>
      <w:r w:rsidRPr="00AD2F44">
        <w:t xml:space="preserve">Sun Coast Res. Inc. v. Conrad, 956 F.3d 335, 337 (5th Cir. 2020). </w:t>
      </w:r>
    </w:p>
  </w:footnote>
  <w:footnote w:id="997">
    <w:p w14:paraId="23AD3875" w14:textId="77777777" w:rsidR="004322B1" w:rsidRPr="00AD2F44" w:rsidRDefault="004322B1">
      <w:pPr>
        <w:pStyle w:val="14Footnote"/>
      </w:pPr>
      <w:r w:rsidRPr="00AD2F44">
        <w:rPr>
          <w:vertAlign w:val="superscript"/>
        </w:rPr>
        <w:footnoteRef/>
      </w:r>
      <w:r w:rsidRPr="00AD2F44">
        <w:t>Smith v. TeleTech Holdings, Inc., AAA, No. 11 16002726 04, p. 2 (Dec. 26, 2006) (partial final class certification award).</w:t>
      </w:r>
    </w:p>
  </w:footnote>
  <w:footnote w:id="998">
    <w:p w14:paraId="475BA8BC" w14:textId="77777777" w:rsidR="004322B1" w:rsidRPr="00AD2F44" w:rsidRDefault="004322B1">
      <w:pPr>
        <w:pStyle w:val="14Footnote"/>
      </w:pPr>
      <w:r w:rsidRPr="00AD2F44">
        <w:rPr>
          <w:vertAlign w:val="superscript"/>
        </w:rPr>
        <w:footnoteRef/>
      </w:r>
      <w:r w:rsidRPr="00AD2F44">
        <w:rPr>
          <w:i/>
          <w:iCs/>
        </w:rPr>
        <w:t>In re</w:t>
      </w:r>
      <w:r w:rsidRPr="00AD2F44">
        <w:t xml:space="preserve"> JPMorgan Chase &amp; Co., 916 F.3d 494, 501 (5th Cir. 2019). </w:t>
      </w:r>
      <w:r w:rsidRPr="00AD2F44">
        <w:rPr>
          <w:i/>
          <w:iCs/>
        </w:rPr>
        <w:t>See also</w:t>
      </w:r>
      <w:r w:rsidRPr="00AD2F44">
        <w:t xml:space="preserve"> </w:t>
      </w:r>
      <w:r w:rsidRPr="00AD2F44">
        <w:rPr>
          <w:i/>
          <w:iCs/>
        </w:rPr>
        <w:t>In re</w:t>
      </w:r>
      <w:r w:rsidRPr="00AD2F44">
        <w:t xml:space="preserve"> A&amp;D Ints., Inc., 33 F.4th 254 (5th Cir. 2022) (reversing district court’s grant of conditional certification where enforceable arbitration agreement precluded class actions). </w:t>
      </w:r>
    </w:p>
  </w:footnote>
  <w:footnote w:id="999">
    <w:p w14:paraId="22651209" w14:textId="77777777" w:rsidR="004322B1" w:rsidRPr="00AD2F44" w:rsidRDefault="004322B1">
      <w:pPr>
        <w:pStyle w:val="14Footnote"/>
      </w:pPr>
      <w:r w:rsidRPr="00AD2F44">
        <w:rPr>
          <w:vertAlign w:val="superscript"/>
        </w:rPr>
        <w:footnoteRef/>
      </w:r>
      <w:r w:rsidRPr="00AD2F44">
        <w:rPr>
          <w:i/>
          <w:iCs/>
        </w:rPr>
        <w:t>Id.</w:t>
      </w:r>
      <w:r w:rsidRPr="00AD2F44">
        <w:t xml:space="preserve"> at 503.</w:t>
      </w:r>
    </w:p>
  </w:footnote>
  <w:footnote w:id="1000">
    <w:p w14:paraId="1A719FAA" w14:textId="77777777" w:rsidR="004322B1" w:rsidRPr="00AD2F44" w:rsidRDefault="004322B1">
      <w:pPr>
        <w:pStyle w:val="14Footnote"/>
      </w:pPr>
      <w:r w:rsidRPr="00AD2F44">
        <w:rPr>
          <w:vertAlign w:val="superscript"/>
        </w:rPr>
        <w:footnoteRef/>
      </w:r>
      <w:r w:rsidRPr="00AD2F44">
        <w:t xml:space="preserve">Bigger v. Facebook, Inc., 947 F.3d 1043, 1047 (7th Cir. 2020). </w:t>
      </w:r>
    </w:p>
  </w:footnote>
  <w:footnote w:id="1001">
    <w:p w14:paraId="1406FFAC" w14:textId="77777777" w:rsidR="004322B1" w:rsidRPr="00AD2F44" w:rsidRDefault="004322B1">
      <w:pPr>
        <w:pStyle w:val="14Footnote"/>
      </w:pPr>
      <w:r w:rsidRPr="00AD2F44">
        <w:rPr>
          <w:vertAlign w:val="superscript"/>
        </w:rPr>
        <w:footnoteRef/>
      </w:r>
      <w:r w:rsidRPr="00AD2F44">
        <w:rPr>
          <w:i/>
          <w:iCs/>
        </w:rPr>
        <w:t>Second Circuit:</w:t>
      </w:r>
      <w:r w:rsidRPr="00AD2F44">
        <w:t xml:space="preserve"> DeSimone v. TIAA Bank, 2021 BL 346860, 2021 WL 4198274 (S.D.N.Y. Sept. 14, 2021) (granting plaintiffs’ conditional certification motion and ordering notice where arbitration was compelled); Guzman v. Three Amigos SJL, Inc., 117 F. Supp. 3d 516, 526 (S.D.N.Y. 2015) (permitting notice to be sent to all putative class members, including those who allegedly were subject to arbitration agreements, because defendant had not produced such agreement for named plaintiff or moved to compel arbitration, and thus “the validity of the arbitration clause defense is speculative at this stage”); Hernandez v. Immortal Rise, Inc., 2012 WL 4369746, at *5 (E.D.N.Y. Sept. 24, 2012) (concluding “the existence of arbitration agreements is irrelevant to class certification, because it raises a merits-based determination”); D’Antuono v. C &amp; G of Groton, Inc., 2011 WL 5878045, at *4 (D. Conn. Nov. 23, 2011) (granting conditional certification despite allegation that some putative class members would have signed arbitration agreements).</w:t>
      </w:r>
    </w:p>
    <w:p w14:paraId="6B8B24D3" w14:textId="77777777" w:rsidR="004322B1" w:rsidRPr="00AD2F44" w:rsidRDefault="004322B1">
      <w:pPr>
        <w:pStyle w:val="14Footnote"/>
      </w:pPr>
      <w:r w:rsidRPr="00AD2F44">
        <w:rPr>
          <w:i/>
          <w:iCs/>
        </w:rPr>
        <w:t>Third Circuit:</w:t>
      </w:r>
      <w:r w:rsidRPr="00AD2F44">
        <w:t xml:space="preserve"> Krstic v. J.R. Contracting &amp; Envtl. Consulting, 2011 WL 1042732 (D.N.J. Mar. 16, 2011) (granting motion for conditional certification where some employees signed arbitration agreements and some did not, noting court could subdivide employees and compel arbitration for those who signed arbitration agreements while keeping claims of nonsigners in federal court).</w:t>
      </w:r>
    </w:p>
    <w:p w14:paraId="5410AD75" w14:textId="77777777" w:rsidR="004322B1" w:rsidRPr="00AD2F44" w:rsidRDefault="004322B1">
      <w:pPr>
        <w:pStyle w:val="14Footnote"/>
      </w:pPr>
      <w:r w:rsidRPr="00AD2F44">
        <w:rPr>
          <w:i/>
          <w:iCs/>
        </w:rPr>
        <w:t>Sixth Circuit:</w:t>
      </w:r>
      <w:r w:rsidRPr="00AD2F44">
        <w:t xml:space="preserve"> Holder v. A&amp;L Home Care &amp; Training Ctr., LLC, 552 F. Supp. 3d 731 (S.D. Ohio 2021) (granting conditional certification but limiting notice sent to workers for whom defendants could not produce evidence of signed arbitration agreements); Colley v. Scherzinger Corp., 176 F. Supp. 3d 730, 734–35 (S.D. Ohio 2016) (permitting notice to be sent to all putative class members, including those who allegedly were subject to arbitration agreements, because issue of enforceability of arbitration agreements “goes to the merits of Scherzinger’s contention, [and] is not before the Court at this juncture”). </w:t>
      </w:r>
      <w:r w:rsidRPr="00AD2F44">
        <w:rPr>
          <w:i/>
          <w:iCs/>
        </w:rPr>
        <w:t>Cf</w:t>
      </w:r>
      <w:r w:rsidRPr="00AD2F44">
        <w:t>.</w:t>
      </w:r>
      <w:r w:rsidRPr="00AD2F44">
        <w:rPr>
          <w:i/>
          <w:iCs/>
        </w:rPr>
        <w:t xml:space="preserve"> </w:t>
      </w:r>
      <w:r w:rsidRPr="00AD2F44">
        <w:t>Taylor v. Pilot Corp., 697 F. App’x 854 (6th Cir. 2017) (declining to reconsider lower court’s decision granting conditional certification and refusing to dismiss collective members who signed arbitration agreements or stay proceedings; holding that decision was not final order subject to appeal under 28 U.S.C. §1291).</w:t>
      </w:r>
    </w:p>
    <w:p w14:paraId="1EDB569F" w14:textId="77777777" w:rsidR="004322B1" w:rsidRPr="00AD2F44" w:rsidRDefault="004322B1">
      <w:pPr>
        <w:pStyle w:val="14Footnote"/>
      </w:pPr>
      <w:r w:rsidRPr="00AD2F44">
        <w:rPr>
          <w:i/>
          <w:iCs/>
        </w:rPr>
        <w:t>Eighth Circuit:</w:t>
      </w:r>
      <w:r w:rsidRPr="00AD2F44">
        <w:t xml:space="preserve"> Bowman v. Doe Run Res. Corp., 2014 WL 3579885, at *4 (E.D. Mo. July 21, 2014) (holding fact that some potential class members are subject to a mandatory arbitration provision is insufficient to defeat conditional certification); Davis v. NovaStar Mortg., Inc., 408 F. Supp. 2d 811, 818 (W.D. Mo. 2005) (granting conditional certification and approving notice to the entire putative class even though the defendants asserted that “most, if not all” of the purported class signed arbitration agreements; court would consider arbitral issues after conditional certification was granted and the identities of class members were known, or if the defendants moved to compel arbitration).</w:t>
      </w:r>
    </w:p>
    <w:p w14:paraId="5F96C190" w14:textId="77777777" w:rsidR="004322B1" w:rsidRPr="00AD2F44" w:rsidRDefault="004322B1">
      <w:pPr>
        <w:pStyle w:val="14Footnote"/>
      </w:pPr>
      <w:r w:rsidRPr="00AD2F44">
        <w:rPr>
          <w:i/>
          <w:iCs/>
        </w:rPr>
        <w:t xml:space="preserve">Ninth Circuit: </w:t>
      </w:r>
      <w:r w:rsidRPr="00AD2F44">
        <w:t>Agerkop v. Sisyphian LLC, 2021 BL 377197, 2021 WL 4348733 (C.D. Cal. Aug. 4, 2021) (granting conditional certification and denying defendants’ argument that notice should issue only to putative opt-in plaintiffs who had not signed arbitration agreements; denying defendants’ motion for interlocutory appeal on issue); Campanelli v. Image First Healthcare Laundry Specialists, Inc., 2018 WL 6727825, at *9 (N.D. Cal. Dec. 21, 2018) (denying defendant’s preemptive motion to deny FLSA conditional certification, holding that arbitration-related motions must come after notice); Conde v. Open Door Mktg., LLC, 2016 WL 1427641, at *10 (N.D. Cal. Apr. 12, 2016) (granting motion to facilitate notice and noting that “[t]o the extent any employee working directly for [defendant] did sign an arbitration agreement, the company will be free to move to dismiss the claims of any such employee who attempts to join this collective action”); Shaia v. Harvest Mgmt. Sub LLC, 306 F.R.D. 268, 276 (N.D. Cal. 2015) (permitting notice to be sent to all putative class members, including those who allegedly were subject to arbitration or waiver agreements, because “[t]he question whether certain employees are precluded from participating as members of the collective action by virtue of the arbitration/settlement agreements is not properly before the court at this first stage of the certification”); Saravia v. Dynamex, Inc., 310 F.R.D. 412, 424–25 (N.D. Cal. 2015) (granting motion to facilitate notice to putative class that may have signed arbitration agreements, but limiting class to California plaintiffs to “ensure that the arbitration clauses are subject to only one state’s laws” and noting that defendant may seek to compel arbitration of opt-in plaintiffs); Mowdy v. Beneto Bulk Transport, 2008 WL 901546, at *19–22 (N.D. Cal. Mar. 31, 2008) (where defendants failed to adequately develop the record and court could not determine the nature of the arbitration agreement, how many employees may have signed it, or whether the agreement was valid, court reserved its determination as to the validity of the agreement until the second stage of certification).</w:t>
      </w:r>
    </w:p>
    <w:p w14:paraId="358CAD2C" w14:textId="77777777" w:rsidR="004322B1" w:rsidRPr="00AD2F44" w:rsidRDefault="004322B1">
      <w:pPr>
        <w:pStyle w:val="14Footnote"/>
      </w:pPr>
      <w:r w:rsidRPr="00AD2F44">
        <w:rPr>
          <w:i/>
          <w:iCs/>
        </w:rPr>
        <w:t xml:space="preserve">Tenth Circuit: </w:t>
      </w:r>
      <w:r w:rsidRPr="009A6132">
        <w:t>Stoddard v. Love</w:t>
      </w:r>
      <w:r>
        <w:t>’</w:t>
      </w:r>
      <w:r w:rsidRPr="009A6132">
        <w:t xml:space="preserve">s Travel Stops &amp; Country Stores, Inc., </w:t>
      </w:r>
      <w:r w:rsidRPr="00237357">
        <w:t>2022 BL 259104</w:t>
      </w:r>
      <w:r>
        <w:t xml:space="preserve">, </w:t>
      </w:r>
      <w:r w:rsidRPr="009A6132">
        <w:t>2022 WL 2960131 (W.D. Ok</w:t>
      </w:r>
      <w:r>
        <w:t>la</w:t>
      </w:r>
      <w:r w:rsidRPr="009A6132">
        <w:t xml:space="preserve">. July 26, 2022) </w:t>
      </w:r>
      <w:r>
        <w:t xml:space="preserve">(granting notice despite fact that some putative plaintiffs may have signed arbitration agreements, noting the trend in the Tenth Circuit); </w:t>
      </w:r>
      <w:r w:rsidRPr="00AD2F44">
        <w:t>Pogue v. Chisholm Energy Operating, LLC, 2021 BL 471829, 2021 WL 5861184 (D.N.M. Dec. 10, 2021) (granting conditional certification despite existence of enforceable arbitration agreements);</w:t>
      </w:r>
      <w:r w:rsidRPr="00AD2F44">
        <w:rPr>
          <w:i/>
          <w:iCs/>
        </w:rPr>
        <w:t xml:space="preserve"> </w:t>
      </w:r>
      <w:r w:rsidRPr="00AD2F44">
        <w:t xml:space="preserve">Judd v. Keypoint Gov’t Sols., Inc., 2018 WL 7142193, at *6 (D. Colo. Dec. 4, 2018) (“The fact that claims not presently before the Court may be ordered to arbitration at a later date does not require that notice be withheld from potential members of the collective, under the FLSA’s long-established procedures for doing so, merely because some members signed an arbitration agreement.”), </w:t>
      </w:r>
      <w:r w:rsidRPr="00AD2F44">
        <w:rPr>
          <w:i/>
          <w:iCs/>
        </w:rPr>
        <w:t>order amended</w:t>
      </w:r>
      <w:r w:rsidRPr="00AD2F44">
        <w:t xml:space="preserve"> </w:t>
      </w:r>
      <w:r w:rsidRPr="00AD2F44">
        <w:rPr>
          <w:i/>
          <w:iCs/>
        </w:rPr>
        <w:t xml:space="preserve">sub nom. </w:t>
      </w:r>
      <w:r w:rsidRPr="00AD2F44">
        <w:t xml:space="preserve">Brayman v. Keypoint Gov’t. Sols., Inc., 2019 WL 3714773 (D. Colo. Aug. 7, 2019) (limiting notice to employees that were not subject to arbitration notice upon finding that plaintiffs failed to timely object to class action waiver). </w:t>
      </w:r>
    </w:p>
    <w:p w14:paraId="70DC2E20" w14:textId="77777777" w:rsidR="004322B1" w:rsidRPr="00AD2F44" w:rsidRDefault="004322B1">
      <w:pPr>
        <w:pStyle w:val="14Footnote"/>
      </w:pPr>
      <w:r w:rsidRPr="00AD2F44">
        <w:rPr>
          <w:i/>
          <w:iCs/>
        </w:rPr>
        <w:t>Eleventh Circuit:</w:t>
      </w:r>
      <w:r w:rsidRPr="00AD2F44">
        <w:t xml:space="preserve"> Williams v. Omainsky, 2016 WL 297718, at *7–8 (S.D. Ala. Jan. 21, 2016) (“By signing the [arbitration] Agreement, putative opt-in plaintiffs did not forfeit the right to receive notice of this litigation or to pursue FLSA claims … ; rather, they merely agreed to a different forum and procedure for resolving such disputes”; granting notice to putative class members who had signed arbitration agreement but noting that “defendants may move to compel mediation/arbitration of their claims” if they opt in)</w:t>
      </w:r>
    </w:p>
  </w:footnote>
  <w:footnote w:id="1002">
    <w:p w14:paraId="49E263DB" w14:textId="77777777" w:rsidR="004322B1" w:rsidRPr="00AD2F44" w:rsidRDefault="004322B1">
      <w:pPr>
        <w:pStyle w:val="14Footnote"/>
      </w:pPr>
      <w:r w:rsidRPr="00AD2F44">
        <w:rPr>
          <w:vertAlign w:val="superscript"/>
        </w:rPr>
        <w:footnoteRef/>
      </w:r>
      <w:r w:rsidRPr="00AD2F44">
        <w:rPr>
          <w:i/>
          <w:iCs/>
        </w:rPr>
        <w:t xml:space="preserve">Second Circuit: </w:t>
      </w:r>
      <w:r w:rsidRPr="00AD2F44">
        <w:t xml:space="preserve">Filho v. OTG Mgmt., LLC, 2021 BL 115064, 2021 WL 1191817 (S.D.N.Y. Mar. 30, 2021) (providing notice to employees with allegedly enforceable arbitration agreements); </w:t>
      </w:r>
      <w:r w:rsidRPr="00AD2F44">
        <w:rPr>
          <w:i/>
          <w:iCs/>
        </w:rPr>
        <w:t>D’Antuono</w:t>
      </w:r>
      <w:r w:rsidRPr="00AD2F44">
        <w:t>, 2011 WL 5878045, at *2 (conditionally certifying class, refusing to consider validity of arbitration agreements until close of discovery).</w:t>
      </w:r>
    </w:p>
    <w:p w14:paraId="0D1DA77F" w14:textId="77777777" w:rsidR="004322B1" w:rsidRPr="00AD2F44" w:rsidRDefault="004322B1">
      <w:pPr>
        <w:pStyle w:val="14Footnote"/>
        <w:rPr>
          <w:i/>
          <w:iCs/>
        </w:rPr>
      </w:pPr>
      <w:r w:rsidRPr="00AD2F44">
        <w:rPr>
          <w:i/>
          <w:iCs/>
        </w:rPr>
        <w:t xml:space="preserve">Third Circuit: </w:t>
      </w:r>
      <w:r w:rsidRPr="00AD2F44">
        <w:rPr>
          <w:bCs/>
        </w:rPr>
        <w:t>Bruno v. Wells Fargo Bank, N.A., 2021 BL 91043, 2021 WL 964938 (W.D. Pa. Mar. 15, 2021) (refusing to adopt defendant’s argument that arbitration issue forestalls sending notice after conditional certification determination).</w:t>
      </w:r>
    </w:p>
    <w:p w14:paraId="45AF6BEF" w14:textId="77777777" w:rsidR="004322B1" w:rsidRPr="00AD2F44" w:rsidRDefault="004322B1">
      <w:pPr>
        <w:pStyle w:val="14Footnote"/>
      </w:pPr>
      <w:r w:rsidRPr="00AD2F44">
        <w:rPr>
          <w:i/>
          <w:iCs/>
        </w:rPr>
        <w:t>Fourth Circuit:</w:t>
      </w:r>
      <w:r w:rsidRPr="00AD2F44">
        <w:t xml:space="preserve"> </w:t>
      </w:r>
      <w:r w:rsidRPr="004C050F">
        <w:t xml:space="preserve">Deryas v. Biscuitville, Inc., </w:t>
      </w:r>
      <w:r w:rsidRPr="00237357">
        <w:t>2023 BL 80547</w:t>
      </w:r>
      <w:r>
        <w:t xml:space="preserve">, </w:t>
      </w:r>
      <w:r w:rsidRPr="004C050F">
        <w:t>2023 WL 2447882, at *2 (M.D.N.C. Jan. 24, 2023)</w:t>
      </w:r>
      <w:r>
        <w:t xml:space="preserve"> (authorizing notice despite arbitration agreements); </w:t>
      </w:r>
      <w:r w:rsidRPr="00AD2F44">
        <w:t xml:space="preserve">Lancaster v. FQSR, 2020 BL 347852, 2020 WL 5500227 (D. Md. Sept. 11, 2020) (holding that existence and enforceability of arbitration agreement is merit-based inquiry not addressed at conditional certification stage). </w:t>
      </w:r>
    </w:p>
    <w:p w14:paraId="75CC7D86" w14:textId="77777777" w:rsidR="004322B1" w:rsidRPr="00AD2F44" w:rsidRDefault="004322B1">
      <w:pPr>
        <w:pStyle w:val="14Footnote"/>
      </w:pPr>
      <w:r w:rsidRPr="00AD2F44">
        <w:rPr>
          <w:i/>
          <w:iCs/>
        </w:rPr>
        <w:t xml:space="preserve">Sixth Circuit: </w:t>
      </w:r>
      <w:r w:rsidRPr="00AD2F44">
        <w:t>Bradford v. Team Pizza, Inc., 2020 BL 242132, 2020 WL 3496150 (S.D. Ohio June 29, 2020) (in granting conditional certification, refusing to determine existence and enforceability of arbitration agreements).</w:t>
      </w:r>
    </w:p>
    <w:p w14:paraId="40F86561" w14:textId="77777777" w:rsidR="004322B1" w:rsidRPr="00AD2F44" w:rsidRDefault="004322B1">
      <w:pPr>
        <w:pStyle w:val="14Footnote"/>
      </w:pPr>
      <w:r w:rsidRPr="00AD2F44">
        <w:rPr>
          <w:i/>
          <w:iCs/>
        </w:rPr>
        <w:t xml:space="preserve">Eighth Circuit: </w:t>
      </w:r>
      <w:r w:rsidRPr="00AD2F44">
        <w:t xml:space="preserve">Grove v. Meltech, Inc. 2020 BL 471997, 2020 WL 7133568, at *5 (D. Neb. Dec. 3, 2020) (holding that “withholding notice because of the existence of an arbitration agreement would presuppose the enforceability of the agreement”); </w:t>
      </w:r>
      <w:r w:rsidRPr="00AD2F44">
        <w:rPr>
          <w:i/>
          <w:iCs/>
        </w:rPr>
        <w:t>Davis</w:t>
      </w:r>
      <w:r w:rsidRPr="00AD2F44">
        <w:t>, 408 F. Supp. 2d at 818 (holding court would consider arbitration issues once the identity of the class members had been determined).</w:t>
      </w:r>
    </w:p>
    <w:p w14:paraId="14562311" w14:textId="77777777" w:rsidR="004322B1" w:rsidRPr="00AD2F44" w:rsidRDefault="004322B1">
      <w:pPr>
        <w:pStyle w:val="14Footnote"/>
      </w:pPr>
      <w:r w:rsidRPr="00AD2F44">
        <w:rPr>
          <w:i/>
          <w:iCs/>
        </w:rPr>
        <w:t>Ninth Circuit:</w:t>
      </w:r>
      <w:r w:rsidRPr="00AD2F44">
        <w:t xml:space="preserve"> Pittmon v. CACI Int’l, Inc., 2021 BL 387982, 2021 WL 4642022 (C.D. Cal. Aug. 27, 2021) (granting conditional certification and rejecting defendant’s argument to exclude putative collective members who might be subject to arbitration agreements); </w:t>
      </w:r>
      <w:r w:rsidRPr="00AD2F44">
        <w:rPr>
          <w:bCs/>
        </w:rPr>
        <w:t>Droesch v. Wells Fargo Bank N.A.</w:t>
      </w:r>
      <w:r w:rsidRPr="00AD2F44">
        <w:t xml:space="preserve">, 2021 BL 168635, </w:t>
      </w:r>
      <w:r w:rsidRPr="00AD2F44">
        <w:rPr>
          <w:bCs/>
        </w:rPr>
        <w:t xml:space="preserve">2021 WL 1817058 (N.D. Cal. May 6, 2021) (refusing to address arbitration issue during conditional certification stage); </w:t>
      </w:r>
      <w:r w:rsidRPr="00AD2F44">
        <w:t xml:space="preserve">Conde v. Open Door Mktg., LLC, 223 F. Supp. 3d 949, 966–70 (N.D. Cal. 2017) (granting motion to facilitate notice to putative class that included individuals who allegedly signed arbitration agreements and noting that “[s]hould individuals who have signed arbitration agreements opt into the collective action, [defendant] may then bring a motion to compel arbitration against those individuals, who would then have standing to dispute whether the agreement should be enforced against them”); </w:t>
      </w:r>
      <w:r w:rsidRPr="00AD2F44">
        <w:rPr>
          <w:i/>
          <w:iCs/>
        </w:rPr>
        <w:t>Saravia</w:t>
      </w:r>
      <w:r w:rsidRPr="00AD2F44">
        <w:t>, 310 F.R.D. at 424–25 (granting motion to facilitate notice to putative class that may have signed arbitration agreements, but noting that defendant may seek to compel arbitration of opt-in plaintiffs).</w:t>
      </w:r>
    </w:p>
    <w:p w14:paraId="478BFB12" w14:textId="77777777" w:rsidR="004322B1" w:rsidRPr="00AD2F44" w:rsidRDefault="004322B1">
      <w:pPr>
        <w:pStyle w:val="14Footnote"/>
      </w:pPr>
      <w:r w:rsidRPr="00AD2F44">
        <w:rPr>
          <w:i/>
          <w:iCs/>
        </w:rPr>
        <w:t>Tenth Circuit:</w:t>
      </w:r>
      <w:r w:rsidRPr="00AD2F44">
        <w:t xml:space="preserve"> Whittington v. Taco Bell of Am., Inc., 2011 WL 1772401, at *5 (D. Colo. May 10, 2011) (concluding that determination regarding arbitration agreements is premature where parties to agreement are not before the court).</w:t>
      </w:r>
    </w:p>
    <w:p w14:paraId="602BCEB5" w14:textId="77777777" w:rsidR="004322B1" w:rsidRPr="00AD2F44" w:rsidRDefault="004322B1">
      <w:pPr>
        <w:pStyle w:val="14Footnote"/>
      </w:pPr>
      <w:r w:rsidRPr="00AD2F44">
        <w:rPr>
          <w:i/>
          <w:iCs/>
        </w:rPr>
        <w:t xml:space="preserve">Eleventh Circuit: </w:t>
      </w:r>
      <w:r w:rsidRPr="00AD2F44">
        <w:t>Compagnone v. DL Pool Serv., LLC, 2016 WL 6575087, at *3–4 (M.D. Fla. Nov. 7, 2016) (granting motion to facilitate notice to putative class of approximately 40–80 individuals, where defendant alleged that more than 10 putative class members had signed arbitration agreements, but noting that defendant could address issue in later motion to compel arbitration or decertify class)</w:t>
      </w:r>
    </w:p>
  </w:footnote>
  <w:footnote w:id="1003">
    <w:p w14:paraId="0BA5E88C" w14:textId="77777777" w:rsidR="004322B1" w:rsidRPr="00AD2F44" w:rsidRDefault="004322B1">
      <w:pPr>
        <w:pStyle w:val="14Footnote"/>
      </w:pPr>
      <w:r w:rsidRPr="00AD2F44">
        <w:rPr>
          <w:vertAlign w:val="superscript"/>
        </w:rPr>
        <w:footnoteRef/>
      </w:r>
      <w:r w:rsidRPr="00AD2F44">
        <w:rPr>
          <w:i/>
        </w:rPr>
        <w:t>See</w:t>
      </w:r>
    </w:p>
    <w:p w14:paraId="76D700D2" w14:textId="77777777" w:rsidR="004322B1" w:rsidRPr="00AD2F44" w:rsidRDefault="004322B1">
      <w:pPr>
        <w:pStyle w:val="14Footnote"/>
      </w:pPr>
      <w:r w:rsidRPr="00AD2F44">
        <w:rPr>
          <w:i/>
          <w:iCs/>
        </w:rPr>
        <w:t xml:space="preserve">Second Circuit: </w:t>
      </w:r>
      <w:r w:rsidRPr="00AD2F44">
        <w:t>McLean v. Cornucopia Logistics, LLC, 2021 BL 315391, 2021 WL 3709260 (E.D.N.Y. Aug. 20, 2021) (denying conditional certification where putative opt-in plaintiffs would be subject to enforceable arbitration agreement);</w:t>
      </w:r>
      <w:r w:rsidRPr="00AD2F44">
        <w:rPr>
          <w:i/>
          <w:iCs/>
        </w:rPr>
        <w:t xml:space="preserve"> </w:t>
      </w:r>
      <w:r w:rsidRPr="00AD2F44">
        <w:t>Errickson v. Paychex, Inc., 447 F. Supp. 3d 14 (W.D.N.Y. 2020</w:t>
      </w:r>
      <w:r w:rsidRPr="00AD2F44">
        <w:rPr>
          <w:iCs/>
        </w:rPr>
        <w:t>)</w:t>
      </w:r>
      <w:r w:rsidRPr="00AD2F44">
        <w:t xml:space="preserve"> (declining to authorize notice to employees who signed arbitration agreements); Lanqing Lin v. Everyday Beauty Amore Inc., 2018 WL 6492741, at *5 (E.D.N.Y. Dec. 10, 2018) (denying motion for conditional certification as to employees who worked after defendant implemented its arbitration protocols, based on “defendants’ attestation that every retail sales employee has signed this [enforceable arbitration] provision as a condition of new or continued employment”); Hamaoudeh v. UnitedHealth Grp., Inc., 2016 WL 2894870, at *1–3 (E.D.N.Y. May 17, 2016) (denying motion to facilitate notice prior to resolution of motion to compel arbitration as to all named plaintiffs because “the stirring up of potential litigation in this manner would be an improper use of judicial authority”).</w:t>
      </w:r>
    </w:p>
    <w:p w14:paraId="314780CF" w14:textId="77777777" w:rsidR="004322B1" w:rsidRPr="00AD2F44" w:rsidRDefault="004322B1">
      <w:pPr>
        <w:pStyle w:val="14Footnote"/>
      </w:pPr>
      <w:r w:rsidRPr="00AD2F44">
        <w:rPr>
          <w:i/>
          <w:iCs/>
        </w:rPr>
        <w:t xml:space="preserve">Fifth Circuit: </w:t>
      </w:r>
      <w:r w:rsidRPr="00AD2F44">
        <w:t>White v. Turner, 2016 WL 1090107, at *4–6 (S.D. Tex. Mar. 21, 2016) (denying plaintiffs’ motion for conditional certification against defendant where court had compelled arbitration of all plaintiffs who had been employed by defendant, and thus “court lacks subject matter jurisdiction over the FLSA action against [defendant]”).</w:t>
      </w:r>
    </w:p>
    <w:p w14:paraId="1F255D3E" w14:textId="77777777" w:rsidR="004322B1" w:rsidRPr="00AD2F44" w:rsidRDefault="004322B1">
      <w:pPr>
        <w:pStyle w:val="14Footnote"/>
      </w:pPr>
      <w:r w:rsidRPr="00AD2F44">
        <w:rPr>
          <w:i/>
          <w:iCs/>
        </w:rPr>
        <w:t>Ninth Circuit:</w:t>
      </w:r>
      <w:r w:rsidRPr="00AD2F44">
        <w:t xml:space="preserve"> Droesch v. Wells Fargo Bank, N.A., 2021 BL 252260, 2021 WL 2805604 (N.D. Cal. July 6, 2021) (refusing to authorize notice to 27,000 putative collective members that defendant claimed had signed arbitration agreements that was previously found enforceable, and permitting discovery on issue); Longnecker v. American Express Co., 2014 WL 4071662, at *6–7 (D. Ariz. Aug. 18, 2014) (refusing to authorize notice to employees subject to arbitration agreement because court had “already determined that the Arbitration Policy is valid” and thus “there is no reason to give notice to any employee” subject to policy); Castle v. Wells Fargo Fin., Inc., 2007 WL 703609 (N.D. Cal. Mar. 5, 2007) (denying plaintiffs’ motion for conditional certification where all named plaintiffs and most opt-ins had signed arbitration agreements and defendant had filed motion to compel arbitration).</w:t>
      </w:r>
    </w:p>
    <w:p w14:paraId="7776D768" w14:textId="77777777" w:rsidR="004322B1" w:rsidRPr="00AD2F44" w:rsidRDefault="004322B1">
      <w:pPr>
        <w:pStyle w:val="14Footnote"/>
      </w:pPr>
      <w:r w:rsidRPr="00AD2F44">
        <w:rPr>
          <w:i/>
          <w:iCs/>
        </w:rPr>
        <w:t>Tenth Circuit: Brayman,</w:t>
      </w:r>
      <w:r w:rsidRPr="00AD2F44">
        <w:t xml:space="preserve"> 2019 WL 3714773 (reversing decision to provide notice after finding valid arbitration agreements). </w:t>
      </w:r>
    </w:p>
  </w:footnote>
  <w:footnote w:id="1004">
    <w:p w14:paraId="2532A05A" w14:textId="77777777" w:rsidR="004322B1" w:rsidRPr="00AD2F44" w:rsidRDefault="004322B1">
      <w:pPr>
        <w:pStyle w:val="14Footnote"/>
      </w:pPr>
      <w:r w:rsidRPr="00AD2F44">
        <w:rPr>
          <w:vertAlign w:val="superscript"/>
        </w:rPr>
        <w:footnoteRef/>
      </w:r>
      <w:r w:rsidRPr="00AD2F44">
        <w:rPr>
          <w:i/>
          <w:iCs/>
        </w:rPr>
        <w:t>See</w:t>
      </w:r>
    </w:p>
    <w:p w14:paraId="223E6202" w14:textId="77777777" w:rsidR="004322B1" w:rsidRPr="00AD2F44" w:rsidRDefault="004322B1">
      <w:pPr>
        <w:pStyle w:val="14Footnote"/>
      </w:pPr>
      <w:r w:rsidRPr="00AD2F44">
        <w:rPr>
          <w:i/>
          <w:iCs/>
        </w:rPr>
        <w:t xml:space="preserve">Fifth Circuit: </w:t>
      </w:r>
      <w:r w:rsidRPr="00AD2F44">
        <w:t xml:space="preserve">Kalenga v. Irving Holdings Inc., 2020 BL 203019, 2020 WL 2841396 (N.D. Tex. June 1, 2020) (granting defendant’s motion to compel arbitration over plaintiff’s arguments that implementation of arbitration agreements post-conditional certification was coercive or misleading). </w:t>
      </w:r>
    </w:p>
    <w:p w14:paraId="4E429AE0" w14:textId="77777777" w:rsidR="004322B1" w:rsidRPr="00AD2F44" w:rsidRDefault="004322B1">
      <w:pPr>
        <w:pStyle w:val="14Footnote"/>
      </w:pPr>
      <w:r w:rsidRPr="00AD2F44">
        <w:rPr>
          <w:i/>
          <w:iCs/>
        </w:rPr>
        <w:t xml:space="preserve">Ninth Circuit: </w:t>
      </w:r>
      <w:r w:rsidRPr="00AD2F44">
        <w:t>Hose v. Washington Inventory Servs., Inc., 2017 WL 3085846 (S.D. Cal. July 19, 2017) (declining to compel arbitration for employees who signed agreements after date of conditional certification).</w:t>
      </w:r>
    </w:p>
    <w:p w14:paraId="6C3C6D65" w14:textId="77777777" w:rsidR="004322B1" w:rsidRPr="00AD2F44" w:rsidRDefault="004322B1">
      <w:pPr>
        <w:pStyle w:val="14Footnote"/>
      </w:pPr>
      <w:r w:rsidRPr="00AD2F44">
        <w:rPr>
          <w:i/>
          <w:iCs/>
        </w:rPr>
        <w:t>Eleventh Circuit:</w:t>
      </w:r>
      <w:r w:rsidRPr="00AD2F44">
        <w:t xml:space="preserve"> Billingsley v. Citi Trends, Inc., 560 F. App’x 914 (11th Cir. 2014) (affirming district court order refusing to enforce arbitration agreements obtained during pendency of litigation as proper exercise of district court’s authority to manage collective actions); Espinoza v. Galardi S. Enters., 2014 WL 6473236 (S.D. Fla. Nov. 18, 2014) (acknowledging authority of district court to refuse to enforce agreement, but denying motion to send corrective notice or declare agreements unenforceable based on current record). </w:t>
      </w:r>
    </w:p>
  </w:footnote>
  <w:footnote w:id="1005">
    <w:p w14:paraId="653DBCB7" w14:textId="77777777" w:rsidR="004322B1" w:rsidRPr="00AD2F44" w:rsidRDefault="004322B1">
      <w:pPr>
        <w:pStyle w:val="14Footnote"/>
      </w:pPr>
      <w:r w:rsidRPr="00AD2F44">
        <w:rPr>
          <w:vertAlign w:val="superscript"/>
        </w:rPr>
        <w:footnoteRef/>
      </w:r>
      <w:r w:rsidRPr="00AD2F44">
        <w:t xml:space="preserve">Degidio v. Crazy Horse Saloon &amp; Rest., Inc., 880 F.3d 135 (4th Cir. 2018). </w:t>
      </w:r>
    </w:p>
  </w:footnote>
  <w:footnote w:id="1006">
    <w:p w14:paraId="0C7DB098" w14:textId="77777777" w:rsidR="004322B1" w:rsidRPr="00AD2F44" w:rsidRDefault="004322B1">
      <w:pPr>
        <w:pStyle w:val="14Footnote"/>
      </w:pPr>
      <w:r w:rsidRPr="00AD2F44">
        <w:rPr>
          <w:vertAlign w:val="superscript"/>
        </w:rPr>
        <w:footnoteRef/>
      </w:r>
      <w:r w:rsidRPr="00AD2F44">
        <w:t xml:space="preserve">Conners v. Gusano’s Chi. Style Pizzeria, 779 F.3d 835 (8th Cir. 2015) (plaintiffs lacked standing to obtain preliminary injunction prohibiting employer from obtaining arbitration agreements from current employees; plaintiffs were all former employees and failed to show that anyone subject to new arbitration agreement wanted to join lawsuit). </w:t>
      </w:r>
    </w:p>
  </w:footnote>
  <w:footnote w:id="1007">
    <w:p w14:paraId="4CEC7136" w14:textId="77777777" w:rsidR="004322B1" w:rsidRPr="00AD2F44" w:rsidRDefault="004322B1">
      <w:pPr>
        <w:pStyle w:val="14Footnote"/>
      </w:pPr>
      <w:r w:rsidRPr="00AD2F44">
        <w:rPr>
          <w:vertAlign w:val="superscript"/>
        </w:rPr>
        <w:footnoteRef/>
      </w:r>
      <w:r w:rsidRPr="00AD2F44">
        <w:rPr>
          <w:i/>
          <w:iCs/>
        </w:rPr>
        <w:t>See, e.g.,</w:t>
      </w:r>
    </w:p>
    <w:p w14:paraId="25C01516" w14:textId="77777777" w:rsidR="004322B1" w:rsidRPr="00AD2F44" w:rsidRDefault="004322B1">
      <w:pPr>
        <w:pStyle w:val="14Footnote"/>
      </w:pPr>
      <w:r w:rsidRPr="00AD2F44">
        <w:rPr>
          <w:i/>
          <w:iCs/>
        </w:rPr>
        <w:t>First Circuit:</w:t>
      </w:r>
      <w:r w:rsidRPr="00AD2F44">
        <w:t xml:space="preserve"> McCormick v. Festiva Dev. Grp., LLC, 2010 WL 582218, at *5 (D. Me. Feb. 11, 2010) (describing this category of case as “so-called ‘hybrid’ actions, combining FLSA collective actions with state law wage and hour Rule 23 class actions”).</w:t>
      </w:r>
    </w:p>
    <w:p w14:paraId="54F5B91E" w14:textId="77777777" w:rsidR="004322B1" w:rsidRPr="00AD2F44" w:rsidRDefault="004322B1">
      <w:pPr>
        <w:pStyle w:val="14Footnote"/>
      </w:pPr>
      <w:r w:rsidRPr="00AD2F44">
        <w:rPr>
          <w:i/>
          <w:iCs/>
        </w:rPr>
        <w:t xml:space="preserve">Third Circuit: </w:t>
      </w:r>
      <w:r w:rsidRPr="00AD2F44">
        <w:t>Zelinksy v. Staples, Inc., 2008 WL 4425814, at *5 (W.D. Pa. Sept. 29, 2008).</w:t>
      </w:r>
    </w:p>
    <w:p w14:paraId="71CBA2B7" w14:textId="77777777" w:rsidR="004322B1" w:rsidRPr="00AD2F44" w:rsidRDefault="004322B1">
      <w:pPr>
        <w:pStyle w:val="14Footnote"/>
      </w:pPr>
      <w:r w:rsidRPr="00AD2F44">
        <w:rPr>
          <w:i/>
          <w:iCs/>
        </w:rPr>
        <w:t>Eighth Circuit:</w:t>
      </w:r>
      <w:r w:rsidRPr="00AD2F44">
        <w:t xml:space="preserve"> Bouaphakeo v. Tyson Foods, Inc., 564 F. Supp. 2d 870, 880 (N.D. Iowa 2008).</w:t>
      </w:r>
    </w:p>
    <w:p w14:paraId="2C2E391F" w14:textId="77777777" w:rsidR="004322B1" w:rsidRPr="00AD2F44" w:rsidRDefault="004322B1">
      <w:pPr>
        <w:pStyle w:val="14Footnote"/>
      </w:pPr>
      <w:r w:rsidRPr="00AD2F44">
        <w:t xml:space="preserve">Such cases have also been referred to as “dual filed” actions; </w:t>
      </w:r>
      <w:r w:rsidRPr="00AD2F44">
        <w:rPr>
          <w:i/>
          <w:iCs/>
        </w:rPr>
        <w:t>see, e.g</w:t>
      </w:r>
      <w:r w:rsidRPr="00AD2F44">
        <w:t>., Musch v. Domtar Indus., Inc., 252 F.R.D. 456, 462 n.2 (W.D. Wis. 2008); Lehman v. Legg Mason, Inc., 532 F. Supp. 2d 726, 732 (M.D. Pa. 2007); Riddle v. National Sec. Agency, Inc., 2007 WL 2746597, at *8 (N.D. Ill. Sept. 13, 2007) (history omitted). Such cases have also been referred to as “‘combined’ actions.” Ervin v. OS Rest. Servs., Inc., 632 F.3d 971, 973–74 (7th Cir. 2011) (noting that “[w]e refer to these as ‘combined’ actions, rather than ‘hybrid’ actions, to avoid confusion with other uses of the term ‘hybrid’—</w:t>
      </w:r>
      <w:r w:rsidRPr="00AD2F44">
        <w:rPr>
          <w:i/>
          <w:iCs/>
        </w:rPr>
        <w:t>e</w:t>
      </w:r>
      <w:r w:rsidRPr="00AD2F44">
        <w:t>.</w:t>
      </w:r>
      <w:r w:rsidRPr="00AD2F44">
        <w:rPr>
          <w:i/>
          <w:iCs/>
        </w:rPr>
        <w:t>g</w:t>
      </w:r>
      <w:r w:rsidRPr="00AD2F44">
        <w:t xml:space="preserve">., for cases certified under more than one subsection of Rule 23(b)”); </w:t>
      </w:r>
      <w:r w:rsidRPr="00AD2F44">
        <w:rPr>
          <w:i/>
          <w:iCs/>
        </w:rPr>
        <w:t>see also</w:t>
      </w:r>
      <w:r w:rsidRPr="00AD2F44">
        <w:t xml:space="preserve"> Rachel K. Alexander, </w:t>
      </w:r>
      <w:r w:rsidRPr="00AD2F44">
        <w:rPr>
          <w:i/>
          <w:iCs/>
        </w:rPr>
        <w:t>Federal Tails and State Puppy Dogs: Preempting Parallel State Wage Claims to Preserve the Integrity of Federal Group Wage Actions</w:t>
      </w:r>
      <w:r w:rsidRPr="00AD2F44">
        <w:t xml:space="preserve">, 58 </w:t>
      </w:r>
      <w:r w:rsidRPr="00AD2F44">
        <w:rPr>
          <w:smallCaps/>
        </w:rPr>
        <w:t xml:space="preserve">Am. U. L. Rev. </w:t>
      </w:r>
      <w:r w:rsidRPr="00AD2F44">
        <w:t>515 (2009).</w:t>
      </w:r>
    </w:p>
  </w:footnote>
  <w:footnote w:id="1008">
    <w:p w14:paraId="045230CF" w14:textId="77777777" w:rsidR="004322B1" w:rsidRPr="00AD2F44" w:rsidRDefault="004322B1">
      <w:pPr>
        <w:pStyle w:val="14Footnote"/>
      </w:pPr>
      <w:r w:rsidRPr="00AD2F44">
        <w:rPr>
          <w:vertAlign w:val="superscript"/>
        </w:rPr>
        <w:footnoteRef/>
      </w:r>
      <w:r w:rsidRPr="00AD2F44">
        <w:t>A relatively simple example of a hybrid action would involve employees in New York who assert that their employer has failed to pay overtime wages that are required by both the FLSA and New York law. Plaintiffs would be seeking to have their FLSA claims certified as an opt-in collective action and their New York claims certified as an opt-out class action. Individuals who opted in to the FLSA action and did not opt out of the New York action would be members of both classes. Individuals who did not opt in to the FLSA action or opt out of the New York action would be included in the New York class, but not the FLSA class.</w:t>
      </w:r>
    </w:p>
  </w:footnote>
  <w:footnote w:id="1009">
    <w:p w14:paraId="602720CE" w14:textId="77777777" w:rsidR="004322B1" w:rsidRPr="00AD2F44" w:rsidRDefault="004322B1">
      <w:pPr>
        <w:pStyle w:val="14Footnote"/>
      </w:pPr>
      <w:r w:rsidRPr="00AD2F44">
        <w:rPr>
          <w:vertAlign w:val="superscript"/>
        </w:rPr>
        <w:footnoteRef/>
      </w:r>
      <w:r w:rsidRPr="00AD2F44">
        <w:t xml:space="preserve">Pub. L. No. 109-2 (2005). </w:t>
      </w:r>
    </w:p>
  </w:footnote>
  <w:footnote w:id="1010">
    <w:p w14:paraId="58227419" w14:textId="77777777" w:rsidR="004322B1" w:rsidRPr="00AD2F44" w:rsidRDefault="004322B1">
      <w:pPr>
        <w:pStyle w:val="14Footnote"/>
      </w:pPr>
      <w:r w:rsidRPr="00AD2F44">
        <w:rPr>
          <w:vertAlign w:val="superscript"/>
        </w:rPr>
        <w:footnoteRef/>
      </w:r>
      <w:r w:rsidRPr="00AD2F44">
        <w:rPr>
          <w:i/>
          <w:iCs/>
        </w:rPr>
        <w:t>See</w:t>
      </w:r>
      <w:r w:rsidRPr="00AD2F44">
        <w:t xml:space="preserve"> Osby v. Citigroup, Inc., 2008 WL 2074102, at *3 n.2 (W.D. Mo. May 14, 2008) (noting that “[d]istrict court cases permitting FLSA collective actions to proceed simultaneously with Rule 23 state actions are legion”). This section does not cite all hybrid actions, but rather focuses on those decisions that have expressly considered one or more of the recurring challenges that employers have raised to hybrid actions.</w:t>
      </w:r>
    </w:p>
  </w:footnote>
  <w:footnote w:id="1011">
    <w:p w14:paraId="3CCCC730" w14:textId="77777777" w:rsidR="004322B1" w:rsidRPr="00AD2F44" w:rsidRDefault="004322B1">
      <w:pPr>
        <w:pStyle w:val="14Footnote"/>
      </w:pPr>
      <w:r w:rsidRPr="00AD2F44">
        <w:rPr>
          <w:vertAlign w:val="superscript"/>
        </w:rPr>
        <w:footnoteRef/>
      </w:r>
      <w:r w:rsidRPr="00AD2F44">
        <w:t xml:space="preserve">28 U.S.C. §2072. </w:t>
      </w:r>
    </w:p>
  </w:footnote>
  <w:footnote w:id="1012">
    <w:p w14:paraId="170249B1" w14:textId="77777777" w:rsidR="004322B1" w:rsidRPr="00AD2F44" w:rsidRDefault="004322B1">
      <w:pPr>
        <w:pStyle w:val="14Footnote"/>
      </w:pPr>
      <w:r w:rsidRPr="00AD2F44">
        <w:rPr>
          <w:vertAlign w:val="superscript"/>
        </w:rPr>
        <w:footnoteRef/>
      </w:r>
      <w:r w:rsidRPr="00AD2F44">
        <w:t xml:space="preserve">For discussions of some of the reasons plaintiffs may have to include state law class claims, </w:t>
      </w:r>
      <w:r w:rsidRPr="00AD2F44">
        <w:rPr>
          <w:i/>
          <w:iCs/>
        </w:rPr>
        <w:t>see</w:t>
      </w:r>
      <w:r w:rsidRPr="00AD2F44">
        <w:t xml:space="preserve"> Matthew W. Lampe and E. Michael Rossman, </w:t>
      </w:r>
      <w:r w:rsidRPr="00AD2F44">
        <w:rPr>
          <w:i/>
          <w:iCs/>
        </w:rPr>
        <w:t>Procedural Approaches for Countering the Dual-Filed FLSA Collective Action and State-Law Wage Class Action</w:t>
      </w:r>
      <w:r w:rsidRPr="00AD2F44">
        <w:t xml:space="preserve">, 20 </w:t>
      </w:r>
      <w:r w:rsidRPr="00AD2F44">
        <w:rPr>
          <w:smallCaps/>
        </w:rPr>
        <w:t>The Labor Lawyer</w:t>
      </w:r>
      <w:r w:rsidRPr="00AD2F44">
        <w:t xml:space="preserve"> 311, 311–16 (2005), </w:t>
      </w:r>
      <w:r w:rsidRPr="00AD2F44">
        <w:rPr>
          <w:i/>
          <w:iCs/>
        </w:rPr>
        <w:t>and</w:t>
      </w:r>
      <w:r w:rsidRPr="00AD2F44">
        <w:t xml:space="preserve"> Noah A. Finkel, </w:t>
      </w:r>
      <w:r w:rsidRPr="00AD2F44">
        <w:rPr>
          <w:i/>
          <w:iCs/>
        </w:rPr>
        <w:t>State Wage-And-Hour Law Class Actions: The Real Wave of ‘FLSA’ Litigation?</w:t>
      </w:r>
      <w:r w:rsidRPr="00AD2F44">
        <w:t xml:space="preserve">, 7 </w:t>
      </w:r>
      <w:r w:rsidRPr="00AD2F44">
        <w:rPr>
          <w:smallCaps/>
        </w:rPr>
        <w:t xml:space="preserve">Emp. Rights &amp; Pol’y J. </w:t>
      </w:r>
      <w:r w:rsidRPr="00AD2F44">
        <w:t xml:space="preserve">159, 160–66, 180–82 (2003). On state wage and hour statutes and regulations generally, </w:t>
      </w:r>
      <w:r w:rsidRPr="00AD2F44">
        <w:rPr>
          <w:i/>
          <w:iCs/>
        </w:rPr>
        <w:t>see</w:t>
      </w:r>
      <w:r w:rsidRPr="00AD2F44">
        <w:t xml:space="preserve"> </w:t>
      </w:r>
      <w:r w:rsidRPr="00AD2F44">
        <w:rPr>
          <w:smallCaps/>
        </w:rPr>
        <w:t>Wage and Hour Laws: A State-by-State Survey</w:t>
      </w:r>
      <w:r w:rsidRPr="00AD2F44">
        <w:t xml:space="preserve"> (Gregory K. McGillivary, ed., Bloomberg L., 3d ed. 2016 &amp; Supp.).</w:t>
      </w:r>
    </w:p>
  </w:footnote>
  <w:footnote w:id="1013">
    <w:p w14:paraId="4DD1C931" w14:textId="77777777" w:rsidR="004322B1" w:rsidRPr="00AD2F44" w:rsidRDefault="004322B1">
      <w:pPr>
        <w:pStyle w:val="14Footnote"/>
      </w:pPr>
      <w:r w:rsidRPr="00AD2F44">
        <w:rPr>
          <w:vertAlign w:val="superscript"/>
        </w:rPr>
        <w:footnoteRef/>
      </w:r>
      <w:r w:rsidRPr="00AD2F44">
        <w:t>Whether the FLSA ever preempts state law as a general matter and when such preemption may occur is beyond the scope of this section. See Chapter 16, Litigation Issues, §IX.A [Remedies; Scope of Remedies Under the FLSA in Minimum Wage and Overtime Actions].</w:t>
      </w:r>
    </w:p>
  </w:footnote>
  <w:footnote w:id="1014">
    <w:p w14:paraId="042037FE" w14:textId="77777777" w:rsidR="004322B1" w:rsidRPr="00AD2F44" w:rsidRDefault="004322B1">
      <w:pPr>
        <w:pStyle w:val="14Footnote"/>
      </w:pPr>
      <w:r w:rsidRPr="00AD2F44">
        <w:rPr>
          <w:vertAlign w:val="superscript"/>
        </w:rPr>
        <w:footnoteRef/>
      </w:r>
      <w:r w:rsidRPr="00AD2F44">
        <w:rPr>
          <w:i/>
          <w:iCs/>
        </w:rPr>
        <w:t>See, e.g</w:t>
      </w:r>
      <w:r w:rsidRPr="00AD2F44">
        <w:t xml:space="preserve">., </w:t>
      </w:r>
      <w:r w:rsidRPr="00AD2F44">
        <w:rPr>
          <w:i/>
          <w:iCs/>
        </w:rPr>
        <w:t>In re</w:t>
      </w:r>
      <w:r w:rsidRPr="00AD2F44">
        <w:t xml:space="preserve"> Farmers Ins. Exch. Claims Reps. Overtime Pay Litig., 336 F. Supp. 2d 1077, 1112 (D. Or. 2004) (noting that the seven states at issue did not provide good faith defense to liability, so that court’s analysis of employer’s FLSA good faith defense to liability under 29 U.S.C. §259 did not apply to state law class actions) (subsequent history omitted).</w:t>
      </w:r>
    </w:p>
  </w:footnote>
  <w:footnote w:id="1015">
    <w:p w14:paraId="6310C0EC" w14:textId="77777777" w:rsidR="004322B1" w:rsidRPr="00AD2F44" w:rsidRDefault="004322B1">
      <w:pPr>
        <w:pStyle w:val="14Footnote"/>
      </w:pPr>
      <w:r w:rsidRPr="00AD2F44">
        <w:rPr>
          <w:vertAlign w:val="superscript"/>
        </w:rPr>
        <w:footnoteRef/>
      </w:r>
      <w:r w:rsidRPr="00AD2F44">
        <w:t xml:space="preserve">For example, Minnesota and New Mexico have statutory liquidated damage provisions that neither require proof of willfulness nor provide for any good faith defense. </w:t>
      </w:r>
      <w:r w:rsidRPr="00AD2F44">
        <w:rPr>
          <w:smallCaps/>
        </w:rPr>
        <w:t>Minn. Stat.</w:t>
      </w:r>
      <w:r w:rsidRPr="00AD2F44">
        <w:t xml:space="preserve"> §177.27(8); </w:t>
      </w:r>
      <w:r w:rsidRPr="00AD2F44">
        <w:rPr>
          <w:smallCaps/>
        </w:rPr>
        <w:t>N.M. Stat. Ann.</w:t>
      </w:r>
      <w:r w:rsidRPr="00AD2F44">
        <w:t xml:space="preserve"> §50-4-26(B)(1).</w:t>
      </w:r>
    </w:p>
  </w:footnote>
  <w:footnote w:id="1016">
    <w:p w14:paraId="14C5F9AD" w14:textId="77777777" w:rsidR="004322B1" w:rsidRPr="00AD2F44" w:rsidRDefault="004322B1">
      <w:pPr>
        <w:pStyle w:val="14Footnote"/>
      </w:pPr>
      <w:r w:rsidRPr="00AD2F44">
        <w:rPr>
          <w:vertAlign w:val="superscript"/>
        </w:rPr>
        <w:footnoteRef/>
      </w:r>
      <w:r w:rsidRPr="00AD2F44">
        <w:rPr>
          <w:i/>
          <w:iCs/>
        </w:rPr>
        <w:t>See, e.g</w:t>
      </w:r>
      <w:r w:rsidRPr="00AD2F44">
        <w:t xml:space="preserve">., Milner v. Farmers Ins. Exch., 748 N.W.2d 608, 616 (Minn. 2008) (Minnesota Fair Labor Standards Act); </w:t>
      </w:r>
      <w:r w:rsidRPr="00AD2F44">
        <w:rPr>
          <w:smallCaps/>
        </w:rPr>
        <w:t>R.I. Gen. Stat.</w:t>
      </w:r>
      <w:r w:rsidRPr="00AD2F44">
        <w:t xml:space="preserve"> §28-14-18.1(a) (Rhode Island wage payment statute).</w:t>
      </w:r>
    </w:p>
  </w:footnote>
  <w:footnote w:id="1017">
    <w:p w14:paraId="0A081075" w14:textId="77777777" w:rsidR="004322B1" w:rsidRPr="00AD2F44" w:rsidRDefault="004322B1">
      <w:pPr>
        <w:pStyle w:val="14Footnote"/>
      </w:pPr>
      <w:r w:rsidRPr="00AD2F44">
        <w:rPr>
          <w:vertAlign w:val="superscript"/>
        </w:rPr>
        <w:footnoteRef/>
      </w:r>
      <w:r w:rsidRPr="00AD2F44">
        <w:rPr>
          <w:i/>
          <w:iCs/>
        </w:rPr>
        <w:t>See, e.g</w:t>
      </w:r>
      <w:r w:rsidRPr="00AD2F44">
        <w:t>., Bailey v. Gulf Coast Transp., Inc., 280 F.3d 1333, 1335–37 (11th Cir. 2002).</w:t>
      </w:r>
    </w:p>
  </w:footnote>
  <w:footnote w:id="1018">
    <w:p w14:paraId="726C0B3A" w14:textId="77777777" w:rsidR="004322B1" w:rsidRPr="00AD2F44" w:rsidRDefault="004322B1">
      <w:pPr>
        <w:pStyle w:val="14Footnote"/>
      </w:pPr>
      <w:r w:rsidRPr="00AD2F44">
        <w:rPr>
          <w:vertAlign w:val="superscript"/>
        </w:rPr>
        <w:footnoteRef/>
      </w:r>
      <w:r w:rsidRPr="00AD2F44">
        <w:rPr>
          <w:i/>
          <w:iCs/>
        </w:rPr>
        <w:t>See, e.g</w:t>
      </w:r>
      <w:r w:rsidRPr="00AD2F44">
        <w:t xml:space="preserve">., Jones v. United States, 88 Fed. Cl. 789, 791 (2009) (noting that </w:t>
      </w:r>
      <w:r w:rsidRPr="00AD2F44">
        <w:br/>
        <w:t>“[u]nlike Federal Rules of Civil Procedure Rule 23 class actions, the commencement of an FLSA collective action does not toll the statute of limitations for putative class members”) (citing 29 U.S.C. §256(b)).</w:t>
      </w:r>
    </w:p>
  </w:footnote>
  <w:footnote w:id="1019">
    <w:p w14:paraId="35F7AF26" w14:textId="77777777" w:rsidR="004322B1" w:rsidRPr="00AD2F44" w:rsidRDefault="004322B1">
      <w:pPr>
        <w:pStyle w:val="14Footnote"/>
      </w:pPr>
      <w:r w:rsidRPr="00AD2F44">
        <w:rPr>
          <w:vertAlign w:val="superscript"/>
        </w:rPr>
        <w:footnoteRef/>
      </w:r>
      <w:r w:rsidRPr="00AD2F44">
        <w:t xml:space="preserve">Wang v. Chinese Daily News, Inc., 623 F.3d 743, 761 (9th Cir. 2010) (finding that “[b]ecause joining an FLSA action requires an affirmative act, an FLSA opt-in action will almost invariably have fewer participants than a closely related state law opt-out action when state and federal claims are brought in the same case.”), </w:t>
      </w:r>
      <w:r w:rsidRPr="00AD2F44">
        <w:rPr>
          <w:i/>
          <w:iCs/>
        </w:rPr>
        <w:t>judgment vacated on other grounds</w:t>
      </w:r>
      <w:r w:rsidRPr="00AD2F44">
        <w:t>, 132 S. Ct. 74 (2011).</w:t>
      </w:r>
    </w:p>
  </w:footnote>
  <w:footnote w:id="1020">
    <w:p w14:paraId="7A07210A" w14:textId="77777777" w:rsidR="004322B1" w:rsidRPr="00AD2F44" w:rsidRDefault="004322B1">
      <w:pPr>
        <w:pStyle w:val="14Footnote"/>
      </w:pPr>
      <w:r w:rsidRPr="00AD2F44">
        <w:rPr>
          <w:vertAlign w:val="superscript"/>
        </w:rPr>
        <w:footnoteRef/>
      </w:r>
      <w:r w:rsidRPr="00AD2F44">
        <w:t>If there is a settlement of FLSA claims, the employer is likely to insist on a broad release of claims that includes the state law claims. Knowing this may create an impetus for employees to include the state law claims in their complaint in the first instance.</w:t>
      </w:r>
    </w:p>
  </w:footnote>
  <w:footnote w:id="1021">
    <w:p w14:paraId="7E8B6D79" w14:textId="77777777" w:rsidR="004322B1" w:rsidRPr="00AD2F44" w:rsidRDefault="004322B1">
      <w:pPr>
        <w:pStyle w:val="14Footnote"/>
      </w:pPr>
      <w:r w:rsidRPr="00AD2F44">
        <w:rPr>
          <w:vertAlign w:val="superscript"/>
        </w:rPr>
        <w:footnoteRef/>
      </w:r>
      <w:r w:rsidRPr="00AD2F44">
        <w:rPr>
          <w:i/>
          <w:iCs/>
        </w:rPr>
        <w:t>See, e.g</w:t>
      </w:r>
      <w:r w:rsidRPr="00AD2F44">
        <w:t xml:space="preserve">., Bechtel Petroleum, Inc. v. Webster, 796 F.2d 252, 252–53 (9th Cir. 1986) (referring to “difficult questions involving application of res judicata principles” where there was an FLSA action being prosecuted by the Secretary of Labor in federal court and a state law action being prosecuted on behalf of same employees in state court); </w:t>
      </w:r>
      <w:r w:rsidRPr="00E726A2">
        <w:t>Beltran v. InterExchange, Inc.</w:t>
      </w:r>
      <w:r>
        <w:t xml:space="preserve">, </w:t>
      </w:r>
      <w:r w:rsidRPr="00237357">
        <w:t>2023 BL 59037</w:t>
      </w:r>
      <w:r>
        <w:t xml:space="preserve">, </w:t>
      </w:r>
      <w:r w:rsidRPr="00E726A2">
        <w:t>2023 WL 2187477</w:t>
      </w:r>
      <w:r>
        <w:t>, at *11</w:t>
      </w:r>
      <w:r w:rsidRPr="00E726A2">
        <w:t xml:space="preserve"> (D. Colo. Feb. 23, 2023)</w:t>
      </w:r>
      <w:r>
        <w:t xml:space="preserve"> (holding </w:t>
      </w:r>
      <w:r w:rsidRPr="00E726A2">
        <w:t>a final judgment in a hybrid class and collective action precludes Rule 23 class members who failed to opt-in to the FLSA action from pursuing FLSA claims arising from the same facts and time perio</w:t>
      </w:r>
      <w:r>
        <w:t>d; reasoning</w:t>
      </w:r>
      <w:r w:rsidRPr="00E726A2">
        <w:t xml:space="preserve"> that “the FLSA’s opt-in provision alone does not create an exception to the preclusive effects of settlement agreements and the strong policy interests these protect</w:t>
      </w:r>
      <w:r>
        <w:t xml:space="preserve">”); </w:t>
      </w:r>
      <w:r w:rsidRPr="00AD2F44">
        <w:t>Klein v. Ryan Beck Holdings, Inc., 2007 WL 2059828, at *7 (S.D.N.Y. July 13, 2007) (reasoning that adjudication of either FLSA claims or state law claims in proposed hybrid action before court could have preclusive effect on the other).</w:t>
      </w:r>
    </w:p>
  </w:footnote>
  <w:footnote w:id="1022">
    <w:p w14:paraId="45F3AA13" w14:textId="77777777" w:rsidR="004322B1" w:rsidRPr="00AD2F44" w:rsidRDefault="004322B1">
      <w:pPr>
        <w:pStyle w:val="14Footnote"/>
      </w:pPr>
      <w:r w:rsidRPr="00AD2F44">
        <w:rPr>
          <w:vertAlign w:val="superscript"/>
        </w:rPr>
        <w:footnoteRef/>
      </w:r>
      <w:r w:rsidRPr="00AD2F44">
        <w:rPr>
          <w:i/>
          <w:iCs/>
        </w:rPr>
        <w:t>See</w:t>
      </w:r>
      <w:r w:rsidRPr="00AD2F44">
        <w:t xml:space="preserve"> Espenscheid v. DirectSAT USA, LLC, 708 F. Supp. 2d 781, 789, 792 (W.D. Wis. 2010) (noting that same concerns that some have expressed about potential preclusive effect of Rule 23 state law judgment on FLSA claims of class members who did not opt in to FLSA action in hybrid case are also present in pure Rule 23 state law class action); Kuncl v. International Bus. Mach. Corp., 660 F. Supp. 2d 1246, 1249–53 &amp; n.3 (N.D. Okla. 2009) (discussing claim preclusion defense asserted against FLSA claim of individual who did not opt in to FLSA collective action in hybrid case action and did not opt out of Rule 23 state law class action, and observing that same claims preclusion issues would be present if judgment were entered in pure Rule 23 state law class action if facts giving rise to state law claim were same facts that formed basis of subsequent FLSA action).</w:t>
      </w:r>
    </w:p>
  </w:footnote>
  <w:footnote w:id="1023">
    <w:p w14:paraId="2FD08321" w14:textId="77777777" w:rsidR="004322B1" w:rsidRPr="00AD2F44" w:rsidRDefault="004322B1">
      <w:pPr>
        <w:pStyle w:val="14Footnote"/>
      </w:pPr>
      <w:r w:rsidRPr="00AD2F44">
        <w:rPr>
          <w:vertAlign w:val="superscript"/>
        </w:rPr>
        <w:footnoteRef/>
      </w:r>
      <w:r w:rsidRPr="00AD2F44">
        <w:rPr>
          <w:i/>
          <w:iCs/>
        </w:rPr>
        <w:t>See, e.g</w:t>
      </w:r>
      <w:r w:rsidRPr="00AD2F44">
        <w:t xml:space="preserve">., Rose v. Wildflower Bread Co., 2010 WL 1781011 (D. Ariz. May 4, 2010) (arguing that employer violated provision of Arizona Wage Act requiring timely payment of wages when it failed to pay overtime wages that were due under FLSA), </w:t>
      </w:r>
      <w:r w:rsidRPr="00AD2F44">
        <w:rPr>
          <w:i/>
          <w:iCs/>
        </w:rPr>
        <w:t>vacated in part by</w:t>
      </w:r>
      <w:r w:rsidRPr="00AD2F44">
        <w:t xml:space="preserve"> 2011 WL 196842 (D. Ariz. Jan 20, 2011); Spieth v. Adasen Distrib., Inc., 1989 WL 61187 (D. Ariz. Jan. 24, 1989) (holding Arizona law did not create any right to overtime pay, but an Arizona statute provided for treble damages where wages are due and demanded but not paid; employee sought to apply Arizona treble damages provision to demand for overtime that was allegedly due under FLSA); Smith v. Batchelor, 832 P.2d 467, 471–72 (Utah 1992) (involving employee who sought to apply a Utah penalty provision for late payment of wages that were allegedly due under the FLSA).</w:t>
      </w:r>
    </w:p>
  </w:footnote>
  <w:footnote w:id="1024">
    <w:p w14:paraId="6D4355DD" w14:textId="77777777" w:rsidR="004322B1" w:rsidRPr="00AD2F44" w:rsidRDefault="004322B1">
      <w:pPr>
        <w:pStyle w:val="14Footnote"/>
      </w:pPr>
      <w:r w:rsidRPr="00AD2F44">
        <w:rPr>
          <w:vertAlign w:val="superscript"/>
        </w:rPr>
        <w:footnoteRef/>
      </w:r>
      <w:r w:rsidRPr="00AD2F44">
        <w:rPr>
          <w:i/>
          <w:iCs/>
        </w:rPr>
        <w:t>See, e.g</w:t>
      </w:r>
      <w:r w:rsidRPr="00AD2F44">
        <w:t>., Ellis v. Edward D. Jones &amp; Co., L.P., 527 F. Supp. 2d 439, 443 (W.D. Pa. 2007) (history omitted) (describing complaint in proposed settlement class action that pleaded violations of state unfair and deceptive practices laws, alleging that employer’s failure to abide by FLSA resulted in violation of all such state laws); Barnett v. Washington Mut. Bank, FA, 2004 WL 2011462, at *4–7 (N.D. Cal. Sept. 9, 2004) (discussing claim brought under California’s unfair competition law where one component of alleged unfair competition was the failure to pay wages that were due under FLSA).</w:t>
      </w:r>
    </w:p>
  </w:footnote>
  <w:footnote w:id="1025">
    <w:p w14:paraId="4B41E70F" w14:textId="77777777" w:rsidR="004322B1" w:rsidRPr="00AD2F44" w:rsidRDefault="004322B1">
      <w:pPr>
        <w:pStyle w:val="14Footnote"/>
      </w:pPr>
      <w:r w:rsidRPr="00AD2F44">
        <w:rPr>
          <w:vertAlign w:val="superscript"/>
        </w:rPr>
        <w:footnoteRef/>
      </w:r>
      <w:r w:rsidRPr="00AD2F44">
        <w:t>As discussed in §II.B [Procedural Requirements of Section 216(b); The Consent Requirement] of this chapter, the FLSA, as amended by the Portal-to-Portal Act of 1947, requires that an individual file a written consent with the court in order to be included in an action brought by one or more employees under the FLSA “in behalf” of themselves and “other employees similarly situated.” 29 U.S.C. §216(b). Under Rule 23(b)(3) of the Federal Rules of Civil Procedure, in contrast, class members are included in the action unless they request to exclude themselves.</w:t>
      </w:r>
    </w:p>
  </w:footnote>
  <w:footnote w:id="1026">
    <w:p w14:paraId="3A4A1A51" w14:textId="77777777" w:rsidR="004322B1" w:rsidRPr="00AD2F44" w:rsidRDefault="004322B1">
      <w:pPr>
        <w:pStyle w:val="14Footnote"/>
      </w:pPr>
      <w:r w:rsidRPr="00AD2F44">
        <w:rPr>
          <w:vertAlign w:val="superscript"/>
        </w:rPr>
        <w:footnoteRef/>
      </w:r>
      <w:r w:rsidRPr="00AD2F44">
        <w:t>The terms “incompatibility” and “incompatibility theory” are used herein to describe a recurring line of argument that appears in the decisional law regarding hybrid actions. Not all the relevant decisions in this area actually use the term “incompatibility.” Other terms that have been used to make or describe the same argument include “inherent incompatibility,” “inconsistency,” “irreconcilability,” “conflict,” “preemption,” “implied preemption,” and “quasi-preemption.”</w:t>
      </w:r>
    </w:p>
  </w:footnote>
  <w:footnote w:id="1027">
    <w:p w14:paraId="47E07688" w14:textId="77777777" w:rsidR="004322B1" w:rsidRPr="00AD2F44" w:rsidRDefault="004322B1">
      <w:pPr>
        <w:pStyle w:val="14Footnote"/>
      </w:pPr>
      <w:r w:rsidRPr="00AD2F44">
        <w:rPr>
          <w:vertAlign w:val="superscript"/>
        </w:rPr>
        <w:footnoteRef/>
      </w:r>
      <w:r w:rsidRPr="00AD2F44">
        <w:rPr>
          <w:i/>
          <w:iCs/>
        </w:rPr>
        <w:t>First Circuit:</w:t>
      </w:r>
      <w:r w:rsidRPr="00AD2F44">
        <w:t xml:space="preserve"> McCormick v. Festiva Dev. Grp., LLC, 2010 WL 582218, at *4–8, 13 &amp; n.9 (D. Me. Feb. 11, 2010) (rejecting argument that Rule 23 action and FLSA action are “incompatible” so as to require dismissal of Rule 23 state law claims as a matter of law); Campbell v. Energy Nuclear Operations, Inc., No. 05-11951-JLT, 1–2 (D. Mass. Aug. 7, 2007); McLaughlin v. Liberty Mut. Ins. Co., 224 F.R.D. 304, 307–08 (D. Mass. 2004).</w:t>
      </w:r>
    </w:p>
    <w:p w14:paraId="093028D6" w14:textId="77777777" w:rsidR="004322B1" w:rsidRPr="00AD2F44" w:rsidRDefault="004322B1">
      <w:pPr>
        <w:pStyle w:val="14Footnote"/>
      </w:pPr>
      <w:r w:rsidRPr="00AD2F44">
        <w:rPr>
          <w:i/>
          <w:iCs/>
        </w:rPr>
        <w:t>Second Circuit:</w:t>
      </w:r>
      <w:r w:rsidRPr="00AD2F44">
        <w:t xml:space="preserve"> Shahriar v. Smith &amp; Wollensky Rest. Grp., Inc., 659 F.3d 234, 247–48 (2d Cir. 2011).</w:t>
      </w:r>
    </w:p>
    <w:p w14:paraId="179B3CA9" w14:textId="77777777" w:rsidR="004322B1" w:rsidRPr="00AD2F44" w:rsidRDefault="004322B1">
      <w:pPr>
        <w:pStyle w:val="14Footnote"/>
      </w:pPr>
      <w:r w:rsidRPr="00AD2F44">
        <w:rPr>
          <w:i/>
          <w:iCs/>
        </w:rPr>
        <w:t>Third Circuit:</w:t>
      </w:r>
      <w:r w:rsidRPr="00AD2F44">
        <w:t xml:space="preserve"> Knepper v. Rite Aid Corp., 675 F.3d 249, 261–62 (3d Cir. 2012) (reversing dismissal of Rule 23 class action for state law overtime wages filed in federal court pursuant to court’s CAFA jurisdiction and resolving split among district court decisions by explicitly rejecting “inherent incompatibility” argument, despite pendency of separate FLSA lawsuit by same plaintiffs asserting similar FLSA overtime claims).</w:t>
      </w:r>
    </w:p>
    <w:p w14:paraId="3972EB99" w14:textId="77777777" w:rsidR="004322B1" w:rsidRPr="00AD2F44" w:rsidRDefault="004322B1">
      <w:pPr>
        <w:pStyle w:val="14Footnote"/>
      </w:pPr>
      <w:r w:rsidRPr="00AD2F44">
        <w:rPr>
          <w:i/>
          <w:iCs/>
        </w:rPr>
        <w:t>Fourth Circuit:</w:t>
      </w:r>
      <w:r w:rsidRPr="00AD2F44">
        <w:t xml:space="preserve"> Calderon v. GEICO Gen. Ins. Co., 279 F.R.D. 337, 342 (D. Md. 2012) (recognizing Fourth Circuit has not spoken, finding no conflict); McLaurin v. Prestage Foods, Inc., 271 F.R.D. 465, 472–74 (E.D.N.C. 2010) (rejecting “procedural tension” between opt-out procedure for Rule 23 action and opt-in procedure for FLSA action as basis for declining to exercise supplemental jurisdiction over Rule 23 state law claims); Westfall v. Kendle Int’l, CPU, LLC, 2007 WL 486606, at *7 (N.D. W. Va. Feb. 15, 2007); Beltran-Benitez v. Sea Safari, Ltd., 180 F. Supp. 2d 772, 773–74 (E.D.N.C. 2001).</w:t>
      </w:r>
    </w:p>
    <w:p w14:paraId="08C51C02" w14:textId="77777777" w:rsidR="004322B1" w:rsidRPr="00AD2F44" w:rsidRDefault="004322B1">
      <w:pPr>
        <w:pStyle w:val="14Footnote"/>
      </w:pPr>
      <w:r w:rsidRPr="00AD2F44">
        <w:rPr>
          <w:i/>
          <w:iCs/>
        </w:rPr>
        <w:t>Fifth Circuit:</w:t>
      </w:r>
      <w:r w:rsidRPr="00AD2F44">
        <w:t xml:space="preserve"> Lang v. DirecTV, Inc., 735 F. Supp. 2d 421, 429 (E.D. La. 2010) (in denying motion to remand state law claims to state court following removal to federal court by defendant, court observed: “In cases with both FLSA collective action claims and Rule 23 class action claims based on state law, most courts have held that the differences between opt-in and opt-out procedures do not justify remanding the state law claims.”); Jackson v. City of San Antonio, 220 F.R.D. 55, 59–60 (W.D. Tex. 2003).</w:t>
      </w:r>
    </w:p>
    <w:p w14:paraId="0CD040E3" w14:textId="77777777" w:rsidR="004322B1" w:rsidRPr="00AD2F44" w:rsidRDefault="004322B1">
      <w:pPr>
        <w:pStyle w:val="14Footnote"/>
      </w:pPr>
      <w:r w:rsidRPr="00AD2F44">
        <w:rPr>
          <w:i/>
          <w:iCs/>
        </w:rPr>
        <w:t>Sixth Circuit:</w:t>
      </w:r>
      <w:r w:rsidRPr="00AD2F44">
        <w:t xml:space="preserve"> Peterson v. Cleveland Inst. of Art, 2011 WL 1297097, at *4–5 (N.D. Ohio Mar. 31, 2011) (discussing split among courts and holding that hearing state law and FLSA claims together “promotes judicial economy”); Wade v. Werner Trucking Co., 2011 WL 320233, at *2 (S.D. Ohio Jan. 28, 2011) (finding no inherent incompatibility).</w:t>
      </w:r>
    </w:p>
    <w:p w14:paraId="2C55F4DF" w14:textId="77777777" w:rsidR="004322B1" w:rsidRPr="00AD2F44" w:rsidRDefault="004322B1">
      <w:pPr>
        <w:pStyle w:val="14Footnote"/>
      </w:pPr>
      <w:r w:rsidRPr="00AD2F44">
        <w:rPr>
          <w:i/>
          <w:iCs/>
        </w:rPr>
        <w:t>Seventh Circuit:</w:t>
      </w:r>
      <w:r w:rsidRPr="00AD2F44">
        <w:t xml:space="preserve"> Ervin v. OS Rest. Servs., Inc., 632 F.3d 971, 976–81 (7th Cir. 2011).</w:t>
      </w:r>
    </w:p>
    <w:p w14:paraId="789FCF86" w14:textId="77777777" w:rsidR="004322B1" w:rsidRPr="00AD2F44" w:rsidRDefault="004322B1">
      <w:pPr>
        <w:pStyle w:val="14Footnote"/>
      </w:pPr>
      <w:r w:rsidRPr="00AD2F44">
        <w:rPr>
          <w:i/>
          <w:iCs/>
        </w:rPr>
        <w:t>Eighth Circuit:</w:t>
      </w:r>
      <w:r w:rsidRPr="00AD2F44">
        <w:t xml:space="preserve"> Donatti v. Charter Commc’ns, LLC, 2012 WL 5207585 (W.D. Mo. Oct. 22, 2012) (rejecting incompatibility argument and reaffirming that Rule 23 state law wage actions can coexist in same case with FLSA collective actions, emphasizing that two actions remain separate and subject to different joinder rules); Garner v. Butterball, LLC, 2012 WL 570000, at *6 (E.D. Ark. Feb. 22, 2012) (deciding with the majority of district courts within this circuit and majority of circuits, the court rejected defendant’s inherent incompatibility argument); Ondes v. Monsanto Co., 2011 WL 6152858, at *8 (E.D. Mo. Dec. 12, 2011) (denying motion to dismiss based on similarities of the FLSA and state claims); Perrin v. Papa John’s Int’l, Inc., 2011 U.S. Dist. LEXIS 22957, at *20 (E.D. Mo. Mar. 8, 2011) (holding that the better approach is to allow FLSA and state claims to proceed together); Arnold v. DirecTV, Inc., 2011 WL 839636, at *7 (E.D. Mo. Mar. 7, 2011) (following “weight of authority” in allowing FLSA and state law wage claims to proceed together because facts of claims overlap); Cortez v. Nebraska Beef, Inc., 266 F.R.D. 275, 281, 284 (D. Neb. 2010) (rejecting motion to dismiss Rule 23 state law claims based on “‘inherent incompatibility’ between Rule 23 and the FLSA”); Robertson v. LTS Mgmt. Servs. LLC, 642 F. Supp. 2d 922, 929 (W.D. Mo. 2008) (rejecting inherent incompatibility); Bouaphakeo v. Tyson Foods, Inc., 564 F. Supp. 2d 870, 886–89 (N.D. Iowa 2008); Osby v. Citigroup, Inc., 2008 WL 2074102, at *2–3 (W.D. Mo. May 14, 2008); Salazar v. Agriprocessors, Inc., 527 F. Supp. 2d 873, 886–87 (N.D. Iowa 2007); Frank v. Gold’n Plump Poultry, Inc., 2005 WL 2240336, at *5 (D. Minn. Sept. 14, 2005).</w:t>
      </w:r>
    </w:p>
    <w:p w14:paraId="25E93095" w14:textId="77777777" w:rsidR="004322B1" w:rsidRPr="00AD2F44" w:rsidRDefault="004322B1">
      <w:pPr>
        <w:pStyle w:val="14Footnote"/>
      </w:pPr>
      <w:r w:rsidRPr="00AD2F44">
        <w:rPr>
          <w:i/>
          <w:iCs/>
        </w:rPr>
        <w:t>Ninth Circuit:</w:t>
      </w:r>
      <w:r w:rsidRPr="00AD2F44">
        <w:t xml:space="preserve"> Busk v. Integrity Staffing Sols., 713 F.3d 525, 528 (9th Cir. 2013) (reversing dismissal of state law claims and rejecting incompatibility theory, finding that FLSA claims can “peacefully coexist” with state wage and hour claims),</w:t>
      </w:r>
      <w:r w:rsidRPr="00AD2F44">
        <w:rPr>
          <w:i/>
          <w:iCs/>
        </w:rPr>
        <w:t xml:space="preserve"> rev’d on other grounds, </w:t>
      </w:r>
      <w:r w:rsidRPr="00AD2F44">
        <w:t>Integrity Staffing Sols., Inc. v. Busk, 135 S. Ct. 513 (2014).</w:t>
      </w:r>
    </w:p>
    <w:p w14:paraId="7DF982FE" w14:textId="77777777" w:rsidR="004322B1" w:rsidRPr="00AD2F44" w:rsidRDefault="004322B1">
      <w:pPr>
        <w:pStyle w:val="14Footnote"/>
      </w:pPr>
      <w:r w:rsidRPr="00AD2F44">
        <w:rPr>
          <w:i/>
          <w:iCs/>
        </w:rPr>
        <w:t xml:space="preserve">Tenth Circuit: </w:t>
      </w:r>
      <w:r w:rsidRPr="00AD2F44">
        <w:t xml:space="preserve">Young v. Dollar Tree Stores, Inc., 2012 WL 3704994 (D. Colo. Aug. 24, 2012) (rejecting incompatibility argument, citing Seventh Circuit decision in </w:t>
      </w:r>
      <w:r w:rsidRPr="00AD2F44">
        <w:rPr>
          <w:i/>
          <w:iCs/>
        </w:rPr>
        <w:t>Ervin v. OS Restaurant Services, Inc.,</w:t>
      </w:r>
      <w:r w:rsidRPr="00AD2F44">
        <w:t xml:space="preserve"> 632 F.3d 971 (7th Cir. 2011)).</w:t>
      </w:r>
    </w:p>
    <w:p w14:paraId="68233352" w14:textId="77777777" w:rsidR="004322B1" w:rsidRPr="00AD2F44" w:rsidRDefault="004322B1">
      <w:pPr>
        <w:pStyle w:val="14Footnote"/>
      </w:pPr>
      <w:r w:rsidRPr="00AD2F44">
        <w:rPr>
          <w:i/>
          <w:iCs/>
        </w:rPr>
        <w:t xml:space="preserve">Eleventh Circuit: </w:t>
      </w:r>
      <w:r w:rsidRPr="00AD2F44">
        <w:t>Calderone v. Scott, 838 F.3d 1101, 1104–07 (11th Cir. 2016) (“[a]n FLSA collective action and a Rule 23(b)(3) class action may be fundamentally different creatures, but they are not ‘irreconcilable’ … .”); Resnick v. Oppenheimer &amp; Co., 2008 WL 113665, at *4 (S.D. Fla. Jan. 8, 2008) (rejecting inherent incompatibility argument where FLSA claim sought unpaid overtime compensation and state law claim sought unpaid minimum wage compensation).</w:t>
      </w:r>
    </w:p>
    <w:p w14:paraId="2974C41B" w14:textId="77777777" w:rsidR="004322B1" w:rsidRPr="00AD2F44" w:rsidRDefault="004322B1">
      <w:pPr>
        <w:pStyle w:val="14Footnote"/>
      </w:pPr>
      <w:r w:rsidRPr="00AD2F44">
        <w:rPr>
          <w:i/>
          <w:iCs/>
        </w:rPr>
        <w:t>D.C. Circuit: See</w:t>
      </w:r>
      <w:r w:rsidRPr="00AD2F44">
        <w:t xml:space="preserve"> Lindsay v. Government Emps. Ins. Co., 448 F.3d 416 (D.C. Cir. 2006); Cryer v. InterSolutions, Inc., 2007 WL 1191928, at *1–2 (D.D.C. Apr. 20, 2007).</w:t>
      </w:r>
    </w:p>
  </w:footnote>
  <w:footnote w:id="1028">
    <w:p w14:paraId="7F940830" w14:textId="77777777" w:rsidR="004322B1" w:rsidRPr="00AD2F44" w:rsidRDefault="004322B1">
      <w:pPr>
        <w:pStyle w:val="14Footnote"/>
      </w:pPr>
      <w:r w:rsidRPr="00AD2F44">
        <w:rPr>
          <w:vertAlign w:val="superscript"/>
        </w:rPr>
        <w:footnoteRef/>
      </w:r>
      <w:r w:rsidRPr="00AD2F44">
        <w:t xml:space="preserve">Lindsey v. Government Emp. Ins. Co., 448 F.3d 416, 424 (D.C. Cir. 2006). </w:t>
      </w:r>
      <w:r w:rsidRPr="00AD2F44">
        <w:rPr>
          <w:i/>
          <w:iCs/>
        </w:rPr>
        <w:t>Accord Busk</w:t>
      </w:r>
      <w:r w:rsidRPr="00AD2F44">
        <w:t>, 713 F.3d at 528 (agreeing that “[o]ur sister circuits have correctly reasoned that FLSA’s plain text does not suggest that a district court must dismiss a state law claim that would be certified using an opt-out procedure”),</w:t>
      </w:r>
      <w:r w:rsidRPr="00AD2F44">
        <w:rPr>
          <w:i/>
          <w:iCs/>
        </w:rPr>
        <w:t xml:space="preserve"> rev’d on other grounds, </w:t>
      </w:r>
      <w:r w:rsidRPr="00AD2F44">
        <w:t xml:space="preserve">Integrity Staffing Sols., Inc. v. Busk, 135 S. Ct. 513 (2014); Shahriar v. Smith &amp; Wollensky Rest. Grp., Inc., 659 F.3d 234, 247 (2d Cir. 2011) (rejecting argument that “‘conflict’ between the opt-in procedure under the FLSA and the opt-out procedure under Rule 23” is basis for declining supplemental jurisdiction in hybrid actions); </w:t>
      </w:r>
      <w:r w:rsidRPr="00AD2F44">
        <w:rPr>
          <w:i/>
          <w:iCs/>
        </w:rPr>
        <w:t>see also</w:t>
      </w:r>
      <w:r w:rsidRPr="00AD2F44">
        <w:t xml:space="preserve"> Knepper v. Rite Aid Corp., 675 F.3d 249, 261–62 (3d Cir. 2012) (reversing district court’s dismissal of Rule 23 state law class action under “inherent incompatibility” theory where separately filed parallel FLSA opt-in collective action based on same facts was also pending; Third Circuit rejected all arguments that opt-out class action based on state law claims that parallel FLSA is inherently incompatible with FLSA opt-in procedure, particularly where there is independent federal jurisdiction under CAFA).</w:t>
      </w:r>
    </w:p>
  </w:footnote>
  <w:footnote w:id="1029">
    <w:p w14:paraId="6D0B051B" w14:textId="77777777" w:rsidR="004322B1" w:rsidRPr="00AD2F44" w:rsidRDefault="004322B1">
      <w:pPr>
        <w:pStyle w:val="14Footnote"/>
      </w:pPr>
      <w:r w:rsidRPr="00AD2F44">
        <w:rPr>
          <w:vertAlign w:val="superscript"/>
        </w:rPr>
        <w:footnoteRef/>
      </w:r>
      <w:r w:rsidRPr="00AD2F44">
        <w:t xml:space="preserve">Wang v. Chinese Daily News, Inc., 623 F.3d 743, 761 (9th Cir. 2010), </w:t>
      </w:r>
      <w:r w:rsidRPr="00AD2F44">
        <w:rPr>
          <w:i/>
          <w:iCs/>
        </w:rPr>
        <w:t>judgment vacated on other grounds</w:t>
      </w:r>
      <w:r w:rsidRPr="00AD2F44">
        <w:t xml:space="preserve">, 132 S. Ct. 74 (2011); </w:t>
      </w:r>
      <w:r w:rsidRPr="00AD2F44">
        <w:rPr>
          <w:i/>
          <w:iCs/>
        </w:rPr>
        <w:t>see also</w:t>
      </w:r>
      <w:r w:rsidRPr="00AD2F44">
        <w:t xml:space="preserve"> </w:t>
      </w:r>
      <w:r w:rsidRPr="00AD2F44">
        <w:rPr>
          <w:i/>
          <w:iCs/>
        </w:rPr>
        <w:t>Busk</w:t>
      </w:r>
      <w:r w:rsidRPr="00AD2F44">
        <w:t xml:space="preserve">, 713 F.3d at 528–29 (“agree[ing] with all other circuits to consider the issue that such actions can peacefully coexist” and finding that neither the FLSA’s text nor legislative history indicated any congressional intent to preclude the use of Rule 23’s opt-out mechanism in an action also asserting opt-in FLSA claims), </w:t>
      </w:r>
      <w:r w:rsidRPr="00AD2F44">
        <w:rPr>
          <w:i/>
          <w:iCs/>
        </w:rPr>
        <w:t xml:space="preserve">rev’d on other grounds, </w:t>
      </w:r>
      <w:r w:rsidRPr="00AD2F44">
        <w:t xml:space="preserve">Integrity Staffing Sols., Inc. v. Busk, 135 S. Ct. 513 (2014). </w:t>
      </w:r>
    </w:p>
  </w:footnote>
  <w:footnote w:id="1030">
    <w:p w14:paraId="5ACFDDC2" w14:textId="77777777" w:rsidR="004322B1" w:rsidRPr="00AD2F44" w:rsidRDefault="004322B1">
      <w:pPr>
        <w:pStyle w:val="14Footnote"/>
      </w:pPr>
      <w:r w:rsidRPr="00AD2F44">
        <w:rPr>
          <w:vertAlign w:val="superscript"/>
        </w:rPr>
        <w:footnoteRef/>
      </w:r>
      <w:r w:rsidRPr="00AD2F44">
        <w:t>Ervin v. OS Rest. Servs., Inc., 632 F.3d 971, 976–79 (7th Cir. 2011).</w:t>
      </w:r>
    </w:p>
  </w:footnote>
  <w:footnote w:id="1031">
    <w:p w14:paraId="737B4C8A" w14:textId="77777777" w:rsidR="004322B1" w:rsidRPr="00AD2F44" w:rsidRDefault="004322B1">
      <w:pPr>
        <w:pStyle w:val="14Footnote"/>
      </w:pPr>
      <w:r w:rsidRPr="00AD2F44">
        <w:rPr>
          <w:vertAlign w:val="superscript"/>
        </w:rPr>
        <w:footnoteRef/>
      </w:r>
      <w:r w:rsidRPr="00AD2F44">
        <w:rPr>
          <w:i/>
          <w:iCs/>
        </w:rPr>
        <w:t>Id</w:t>
      </w:r>
      <w:r w:rsidRPr="00AD2F44">
        <w:t>. at 977.</w:t>
      </w:r>
    </w:p>
  </w:footnote>
  <w:footnote w:id="1032">
    <w:p w14:paraId="5C344E01" w14:textId="77777777" w:rsidR="004322B1" w:rsidRPr="00AD2F44" w:rsidRDefault="004322B1">
      <w:pPr>
        <w:pStyle w:val="14Footnote"/>
      </w:pPr>
      <w:r w:rsidRPr="00AD2F44">
        <w:rPr>
          <w:vertAlign w:val="superscript"/>
        </w:rPr>
        <w:footnoteRef/>
      </w:r>
      <w:r w:rsidRPr="00AD2F44">
        <w:rPr>
          <w:i/>
          <w:iCs/>
        </w:rPr>
        <w:t>Id</w:t>
      </w:r>
      <w:r w:rsidRPr="00AD2F44">
        <w:t>. at 978.</w:t>
      </w:r>
    </w:p>
  </w:footnote>
  <w:footnote w:id="1033">
    <w:p w14:paraId="5DA17093"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34">
    <w:p w14:paraId="1568AD0B"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35">
    <w:p w14:paraId="6BC33937" w14:textId="77777777" w:rsidR="004322B1" w:rsidRPr="00AD2F44" w:rsidRDefault="004322B1">
      <w:pPr>
        <w:pStyle w:val="14Footnote"/>
      </w:pPr>
      <w:r w:rsidRPr="00AD2F44">
        <w:rPr>
          <w:vertAlign w:val="superscript"/>
        </w:rPr>
        <w:footnoteRef/>
      </w:r>
      <w:r w:rsidRPr="00AD2F44">
        <w:t>Shahriar v. Smith &amp; Wollensky Rest. Grp., Inc., 659 F.3d 234, 247–50 (2d Cir. 2011) (agreeing with sister circuits and finding that worse confusion could ensue by declining supplemental jurisdiction and forcing action to proceed in two forums);</w:t>
      </w:r>
      <w:r w:rsidRPr="00AD2F44">
        <w:rPr>
          <w:i/>
          <w:iCs/>
        </w:rPr>
        <w:t xml:space="preserve"> </w:t>
      </w:r>
      <w:r w:rsidRPr="00AD2F44">
        <w:t>Knepper v. Rite Aid Corp., 675 F.3d 249, 259 (3d Cir. 2012) (reversing district court and holding that there is no inherent incompat</w:t>
      </w:r>
      <w:r>
        <w:t>i</w:t>
      </w:r>
      <w:r w:rsidRPr="00AD2F44">
        <w:t>bility).</w:t>
      </w:r>
    </w:p>
  </w:footnote>
  <w:footnote w:id="1036">
    <w:p w14:paraId="3B76D1FD" w14:textId="77777777" w:rsidR="004322B1" w:rsidRPr="00AD2F44" w:rsidRDefault="004322B1">
      <w:pPr>
        <w:pStyle w:val="14Footnote"/>
      </w:pPr>
      <w:r w:rsidRPr="00AD2F44">
        <w:rPr>
          <w:vertAlign w:val="superscript"/>
        </w:rPr>
        <w:footnoteRef/>
      </w:r>
      <w:r w:rsidRPr="00AD2F44">
        <w:t xml:space="preserve">Enger v. Thomas L. Cardella &amp; Assocs., Inc., 2020 BL 514953, </w:t>
      </w:r>
      <w:r w:rsidRPr="00AD2F44">
        <w:rPr>
          <w:iCs/>
        </w:rPr>
        <w:t xml:space="preserve">2020 WL 8225497 (N.D. Iowa Nov. 10, 2020) (holding that FLSA’s collective action mechanism preempts duplicative state law Rule 23 class claims, dismissing state wage and hour claims but declining to dismiss state law unjust enrichment and quantum meruit claims because those claims asserted failure to pay “gap time” not covered by FLSA); </w:t>
      </w:r>
      <w:r w:rsidRPr="00AD2F44">
        <w:t xml:space="preserve">Zanders v. Wells Fargo Bank, N.A., 55 F. Supp. 3d 1163, 1176 (S.D. Iowa 2014) (FLSA’s detailed collective action procedures preempt state law claims that are “[dependent] on, and duplicative of” federal claims, and thus would not allow plaintiffs to utilize Rule 23 class action procedures to recover for FLSA violations). </w:t>
      </w:r>
    </w:p>
  </w:footnote>
  <w:footnote w:id="1037">
    <w:p w14:paraId="5862BD09" w14:textId="77777777" w:rsidR="004322B1" w:rsidRPr="00AD2F44" w:rsidRDefault="004322B1">
      <w:pPr>
        <w:pStyle w:val="14Footnote"/>
      </w:pPr>
      <w:r w:rsidRPr="00AD2F44">
        <w:rPr>
          <w:vertAlign w:val="superscript"/>
        </w:rPr>
        <w:footnoteRef/>
      </w:r>
      <w:r w:rsidRPr="00AD2F44">
        <w:t xml:space="preserve">28 U.S.C. §2072. </w:t>
      </w:r>
    </w:p>
  </w:footnote>
  <w:footnote w:id="1038">
    <w:p w14:paraId="5EFAF236" w14:textId="77777777" w:rsidR="004322B1" w:rsidRPr="00AD2F44" w:rsidRDefault="004322B1">
      <w:pPr>
        <w:pStyle w:val="14Footnote"/>
      </w:pPr>
      <w:r w:rsidRPr="00AD2F44">
        <w:rPr>
          <w:vertAlign w:val="superscript"/>
        </w:rPr>
        <w:footnoteRef/>
      </w:r>
      <w:r w:rsidRPr="00AD2F44">
        <w:rPr>
          <w:i/>
          <w:iCs/>
        </w:rPr>
        <w:t>Id.</w:t>
      </w:r>
      <w:r w:rsidRPr="00AD2F44">
        <w:t xml:space="preserve"> §2072(a) and (b). </w:t>
      </w:r>
    </w:p>
  </w:footnote>
  <w:footnote w:id="1039">
    <w:p w14:paraId="5C2AE9B1" w14:textId="77777777" w:rsidR="004322B1" w:rsidRPr="00AD2F44" w:rsidRDefault="004322B1">
      <w:pPr>
        <w:pStyle w:val="14Footnote"/>
      </w:pPr>
      <w:r w:rsidRPr="00AD2F44">
        <w:rPr>
          <w:vertAlign w:val="superscript"/>
        </w:rPr>
        <w:footnoteRef/>
      </w:r>
      <w:r w:rsidRPr="00AD2F44">
        <w:rPr>
          <w:i/>
        </w:rPr>
        <w:t>See</w:t>
      </w:r>
    </w:p>
    <w:p w14:paraId="7554109A" w14:textId="77777777" w:rsidR="004322B1" w:rsidRPr="00AD2F44" w:rsidRDefault="004322B1">
      <w:pPr>
        <w:pStyle w:val="14Footnote"/>
      </w:pPr>
      <w:r w:rsidRPr="00AD2F44">
        <w:rPr>
          <w:i/>
          <w:iCs/>
        </w:rPr>
        <w:t>First Circuit:</w:t>
      </w:r>
      <w:r w:rsidRPr="00AD2F44">
        <w:t xml:space="preserve"> Campbell v. Energy Nuclear Operations, Inc., Civ. No. 05-11951-JLT, slip op. at 1–2 (D. Mass. Aug. 7, 2007).</w:t>
      </w:r>
    </w:p>
    <w:p w14:paraId="350DD3F7" w14:textId="77777777" w:rsidR="004322B1" w:rsidRPr="00AD2F44" w:rsidRDefault="004322B1">
      <w:pPr>
        <w:pStyle w:val="14Footnote"/>
      </w:pPr>
      <w:r w:rsidRPr="00AD2F44">
        <w:rPr>
          <w:i/>
          <w:iCs/>
        </w:rPr>
        <w:t>Second Circuit:</w:t>
      </w:r>
      <w:r w:rsidRPr="00AD2F44">
        <w:t xml:space="preserve"> Cohen v. Gerson Lehrman Grp., Inc., 686 F. Supp. 2d 317, 324 n.2 (S.D.N.Y. 2010); Damassia v. Duane Reade, Inc., 250 F.R.D. 152, 164–65 (S.D.N.Y. 2008); Hendricks v. JPMorgan Chase Bank, N.A., 2008 WL 5191819, at *3 (D. Conn. Nov. 21, 2008); Morrison v. Staples, Inc., 2008 WL 4911156, at *3–5 (D. Conn. Nov. 13, 2008); Guzman v. VLM, Inc., 2008 WL 597186, at *10 &amp; n.11 (E.D.N.Y. Mar. 2, 2008); Klein v. Ryan Beck Holdings, Inc., 2007 WL 2059828, at *5–7 (S.D.N.Y. July 13, 2007); Neary v. Metropolitan Prop. &amp; Cas. Ins. Co., 472 F. Supp. 2d 247, 249 (D. Conn. 2007); Westerfield v. Washington Mut. Bank, 2007 WL 2162989 (E.D.N.Y. July 26, 2007).</w:t>
      </w:r>
    </w:p>
    <w:p w14:paraId="6E89737C" w14:textId="77777777" w:rsidR="004322B1" w:rsidRPr="00AD2F44" w:rsidRDefault="004322B1">
      <w:pPr>
        <w:pStyle w:val="14Footnote"/>
      </w:pPr>
      <w:r w:rsidRPr="00AD2F44">
        <w:rPr>
          <w:i/>
          <w:iCs/>
        </w:rPr>
        <w:t>Third Circuit:</w:t>
      </w:r>
      <w:r w:rsidRPr="00AD2F44">
        <w:t xml:space="preserve"> Knepper v. Rite Aid Corp., 675 F.3d 249, 264–65 (3d Cir. 2012) (finding that the rights granted by §216(b) are procedural and do not abridge, enlarge, or modify any substantive right).</w:t>
      </w:r>
    </w:p>
    <w:p w14:paraId="2A204433" w14:textId="77777777" w:rsidR="004322B1" w:rsidRPr="00AD2F44" w:rsidRDefault="004322B1">
      <w:pPr>
        <w:pStyle w:val="14Footnote"/>
      </w:pPr>
      <w:r w:rsidRPr="00AD2F44">
        <w:rPr>
          <w:i/>
          <w:iCs/>
        </w:rPr>
        <w:t>Fourth Circuit:</w:t>
      </w:r>
      <w:r w:rsidRPr="00AD2F44">
        <w:t xml:space="preserve"> Calderon v. GEICO Gen. Ins. Co., 279 F.R.D. 337, 343 (D. Md. 2012) (acknowledging split among district courts, the court rejected the inherent incompatibility argument finding that to hold otherwise would be inefficient and would increase the possibility of inconsistent adjudications); Long John Silver’s Rests., Inc. v. Cole, 409 F. Supp. 2d 682, 684–86 (D.S.C. 2006) (upholding arbitrator’s decision to apply opt-out procedure in arbitration for FLSA claims over employer’s objection that FLSA gives employees substantive right to consent to any action filed on their behalf under FLSA), </w:t>
      </w:r>
      <w:r w:rsidRPr="00AD2F44">
        <w:rPr>
          <w:i/>
          <w:iCs/>
        </w:rPr>
        <w:t>aff’d</w:t>
      </w:r>
      <w:r w:rsidRPr="00AD2F44">
        <w:t>, 514 F.3d 345 (4th Cir. 2008).</w:t>
      </w:r>
    </w:p>
    <w:p w14:paraId="32E51E96" w14:textId="77777777" w:rsidR="004322B1" w:rsidRPr="00AD2F44" w:rsidRDefault="004322B1">
      <w:pPr>
        <w:pStyle w:val="14Footnote"/>
      </w:pPr>
      <w:r w:rsidRPr="00AD2F44">
        <w:rPr>
          <w:i/>
          <w:iCs/>
        </w:rPr>
        <w:t>Seventh Circuit:</w:t>
      </w:r>
      <w:r w:rsidRPr="00AD2F44">
        <w:t xml:space="preserve"> Espenscheid v. DirectSAT USA, LLC, 708 F. Supp. 2d 781, 789, 792–93 (W.D. Wis. 2010); Sjoblom v. Charter Commc’ns, LLC, 2007 WL 4560541, at *4–6 (W.D. Wis. Dec. 19, 2007).</w:t>
      </w:r>
    </w:p>
    <w:p w14:paraId="1AD333F7" w14:textId="77777777" w:rsidR="004322B1" w:rsidRPr="00AD2F44" w:rsidRDefault="004322B1">
      <w:pPr>
        <w:pStyle w:val="14Footnote"/>
      </w:pPr>
      <w:r w:rsidRPr="00AD2F44">
        <w:rPr>
          <w:i/>
          <w:iCs/>
        </w:rPr>
        <w:t>Eighth Circuit:</w:t>
      </w:r>
      <w:r w:rsidRPr="00AD2F44">
        <w:t xml:space="preserve"> Osby v. Citigroup, Inc., 2008 WL 2074102, at *4 (W.D. Mo. May 14, 2008); Robertson v. LTS Mgmt. Servs. LLC, 642 F. Supp. 2d 922, 930 (W.D. Mo. 2008).</w:t>
      </w:r>
    </w:p>
    <w:p w14:paraId="337D4B8B" w14:textId="77777777" w:rsidR="004322B1" w:rsidRPr="00AD2F44" w:rsidRDefault="004322B1">
      <w:pPr>
        <w:pStyle w:val="14Footnote"/>
      </w:pPr>
      <w:r w:rsidRPr="00AD2F44">
        <w:rPr>
          <w:i/>
          <w:iCs/>
        </w:rPr>
        <w:t xml:space="preserve">Eleventh Circuit: </w:t>
      </w:r>
      <w:r w:rsidRPr="00AD2F44">
        <w:t>Scantland v. Jeffry Knight, Inc., 2010 WL 4117683, at *4 (M.D. Fla. Sept. 29, 2010) (denying motion to dismiss based on difference in remedies between FLSA and Florida state claims).</w:t>
      </w:r>
    </w:p>
    <w:p w14:paraId="68C7F1E7" w14:textId="77777777" w:rsidR="004322B1" w:rsidRPr="00AD2F44" w:rsidRDefault="004322B1">
      <w:pPr>
        <w:pStyle w:val="14Footnote"/>
      </w:pPr>
      <w:r w:rsidRPr="00AD2F44">
        <w:rPr>
          <w:i/>
          <w:iCs/>
        </w:rPr>
        <w:t>D.C. Circuit:</w:t>
      </w:r>
      <w:r w:rsidRPr="00AD2F44">
        <w:t xml:space="preserve"> Cryer v. InterSolutions, Inc., 2007 WL 1191928, at *4 (D.D.C. Apr. 20, 2007).</w:t>
      </w:r>
    </w:p>
  </w:footnote>
  <w:footnote w:id="1040">
    <w:p w14:paraId="59982606" w14:textId="77777777" w:rsidR="004322B1" w:rsidRPr="00AD2F44" w:rsidRDefault="004322B1">
      <w:pPr>
        <w:pStyle w:val="14Footnote"/>
      </w:pPr>
      <w:r w:rsidRPr="00AD2F44">
        <w:rPr>
          <w:vertAlign w:val="superscript"/>
        </w:rPr>
        <w:footnoteRef/>
      </w:r>
      <w:r w:rsidRPr="00AD2F44">
        <w:rPr>
          <w:i/>
          <w:iCs/>
        </w:rPr>
        <w:t>Damassia</w:t>
      </w:r>
      <w:r w:rsidRPr="00AD2F44">
        <w:t>, 250 F.R.D. at 164–65.</w:t>
      </w:r>
    </w:p>
  </w:footnote>
  <w:footnote w:id="1041">
    <w:p w14:paraId="3CF79EBA" w14:textId="77777777" w:rsidR="004322B1" w:rsidRPr="00AD2F44" w:rsidRDefault="004322B1">
      <w:pPr>
        <w:pStyle w:val="14Footnote"/>
      </w:pPr>
      <w:r w:rsidRPr="00AD2F44">
        <w:rPr>
          <w:vertAlign w:val="superscript"/>
        </w:rPr>
        <w:footnoteRef/>
      </w:r>
      <w:r w:rsidRPr="00AD2F44">
        <w:rPr>
          <w:i/>
          <w:iCs/>
        </w:rPr>
        <w:t>Id</w:t>
      </w:r>
      <w:r w:rsidRPr="00AD2F44">
        <w:t>. at 164.</w:t>
      </w:r>
    </w:p>
  </w:footnote>
  <w:footnote w:id="1042">
    <w:p w14:paraId="02912AA7"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43">
    <w:p w14:paraId="161DFD6C"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44">
    <w:p w14:paraId="178FC6EB"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45">
    <w:p w14:paraId="01CEF613" w14:textId="77777777" w:rsidR="004322B1" w:rsidRPr="00AD2F44" w:rsidRDefault="004322B1">
      <w:pPr>
        <w:pStyle w:val="14Footnote"/>
      </w:pPr>
      <w:r w:rsidRPr="00AD2F44">
        <w:rPr>
          <w:vertAlign w:val="superscript"/>
        </w:rPr>
        <w:footnoteRef/>
      </w:r>
      <w:r w:rsidRPr="00AD2F44">
        <w:rPr>
          <w:i/>
          <w:iCs/>
        </w:rPr>
        <w:t>Id</w:t>
      </w:r>
      <w:r w:rsidRPr="00AD2F44">
        <w:t>. at 165.</w:t>
      </w:r>
    </w:p>
  </w:footnote>
  <w:footnote w:id="1046">
    <w:p w14:paraId="7BC2DC10" w14:textId="77777777" w:rsidR="004322B1" w:rsidRPr="00AD2F44" w:rsidRDefault="004322B1">
      <w:pPr>
        <w:pStyle w:val="14Footnote"/>
      </w:pPr>
      <w:r w:rsidRPr="00AD2F44">
        <w:rPr>
          <w:vertAlign w:val="superscript"/>
        </w:rPr>
        <w:footnoteRef/>
      </w:r>
      <w:r w:rsidRPr="00AD2F44">
        <w:t>Pub. L. No. 109-2 (2005).</w:t>
      </w:r>
    </w:p>
  </w:footnote>
  <w:footnote w:id="1047">
    <w:p w14:paraId="7D81559C" w14:textId="77777777" w:rsidR="004322B1" w:rsidRPr="00AD2F44" w:rsidRDefault="004322B1">
      <w:pPr>
        <w:pStyle w:val="14Footnote"/>
      </w:pPr>
      <w:r w:rsidRPr="00AD2F44">
        <w:rPr>
          <w:vertAlign w:val="superscript"/>
        </w:rPr>
        <w:footnoteRef/>
      </w:r>
      <w:r w:rsidRPr="00AD2F44">
        <w:t xml:space="preserve">28 U.S.C. §1332(d) (creating diversity jurisdiction over certain class actions); 28 U.S.C. §1453 (authorizing removal). CAFA applies to actions commenced on or after February 18, 2005. </w:t>
      </w:r>
      <w:r w:rsidRPr="00AD2F44">
        <w:rPr>
          <w:i/>
          <w:iCs/>
        </w:rPr>
        <w:t>See, e.g</w:t>
      </w:r>
      <w:r w:rsidRPr="00AD2F44">
        <w:t>., Springman v. AIG Mktg., Inc., 523 F.3d 685, 686 (7th Cir. 2008).</w:t>
      </w:r>
    </w:p>
  </w:footnote>
  <w:footnote w:id="1048">
    <w:p w14:paraId="65BE45EB" w14:textId="77777777" w:rsidR="004322B1" w:rsidRPr="00AD2F44" w:rsidRDefault="004322B1">
      <w:pPr>
        <w:pStyle w:val="14Footnote"/>
      </w:pPr>
      <w:r w:rsidRPr="00AD2F44">
        <w:rPr>
          <w:vertAlign w:val="superscript"/>
        </w:rPr>
        <w:footnoteRef/>
      </w:r>
      <w:r w:rsidRPr="00AD2F44">
        <w:t>28 U.S.C. §1332(d)(1)–(6).</w:t>
      </w:r>
    </w:p>
  </w:footnote>
  <w:footnote w:id="1049">
    <w:p w14:paraId="4F8D3923" w14:textId="77777777" w:rsidR="004322B1" w:rsidRPr="00AD2F44" w:rsidRDefault="004322B1">
      <w:pPr>
        <w:pStyle w:val="14Footnote"/>
      </w:pPr>
      <w:r w:rsidRPr="00AD2F44">
        <w:rPr>
          <w:vertAlign w:val="superscript"/>
        </w:rPr>
        <w:footnoteRef/>
      </w:r>
      <w:r w:rsidRPr="00AD2F44">
        <w:rPr>
          <w:i/>
          <w:iCs/>
        </w:rPr>
        <w:t>See, e.g.,</w:t>
      </w:r>
    </w:p>
    <w:p w14:paraId="77D5DBB6" w14:textId="77777777" w:rsidR="004322B1" w:rsidRPr="00AD2F44" w:rsidRDefault="004322B1">
      <w:pPr>
        <w:pStyle w:val="14Footnote"/>
      </w:pPr>
      <w:r w:rsidRPr="00AD2F44">
        <w:rPr>
          <w:i/>
          <w:iCs/>
        </w:rPr>
        <w:t xml:space="preserve">Second Circuit: </w:t>
      </w:r>
      <w:r w:rsidRPr="00AD2F44">
        <w:t>Cruz v. Hook-Superx, LLC, 2010 WL 3069558 (S.D.N.Y. Aug. 5, 2010) (exercising independent jurisdiction over state law claims under CAFA, which requires only minimal diversity).</w:t>
      </w:r>
    </w:p>
    <w:p w14:paraId="625AD9D0" w14:textId="77777777" w:rsidR="004322B1" w:rsidRPr="00AD2F44" w:rsidRDefault="004322B1">
      <w:pPr>
        <w:pStyle w:val="14Footnote"/>
      </w:pPr>
      <w:r w:rsidRPr="00AD2F44">
        <w:rPr>
          <w:i/>
          <w:iCs/>
        </w:rPr>
        <w:t>Third Circuit:</w:t>
      </w:r>
      <w:r w:rsidRPr="00AD2F44">
        <w:t xml:space="preserve"> Knepper v. Rite Aid Corp., 675 F.3d 249, 260–61, 265 (3d Cir. 2012) (rejecting “inherent incompatibility” argument and reversing dismissal of free-standing state law class action in federal court pursuant to CAFA jurisdiction despite existence of separate parallel FLSA action raising similar overtime claims); Hickton v. Enterprise Rent-A-Car Co., Inc., 2008 WL 4279818, at *6 (W.D. Pa. Sept. 12, 2008) (rejecting argument that Rule 23 state law claims should be dismissed due to “conflict” between opt-in and opt-out procedures, stating that “[t]he inherent incompatibility doctrine does not pertain to the court’s power to hear the case and does not provide a basis for declining to exercise original jurisdiction when the jurisdictional allegations are sufficiently pled”); Jackson v. Alpharma, Inc., 2008 WL 508664, at *4–5 &amp; n.6 (D.N.J. Feb. 21, 2008) (rejecting incompatibility argument at pleadings stage and stating that it would defer ruling on propriety of proceeding with both opt-in and opt-out claims until class certification stage).</w:t>
      </w:r>
    </w:p>
    <w:p w14:paraId="5262F4C7" w14:textId="77777777" w:rsidR="004322B1" w:rsidRPr="00AD2F44" w:rsidRDefault="004322B1">
      <w:pPr>
        <w:pStyle w:val="14Footnote"/>
      </w:pPr>
      <w:r w:rsidRPr="00AD2F44">
        <w:rPr>
          <w:i/>
          <w:iCs/>
        </w:rPr>
        <w:t>Seventh Circuit:</w:t>
      </w:r>
      <w:r w:rsidRPr="00AD2F44">
        <w:t xml:space="preserve"> Espenscheid v. DirectSAT USA, LLC, 708 F. Supp. 2d 781, 791–92 (W.D. Wis. 2010) (denying motion to dismiss state law claims that the district court exercised independent jurisdiction over pursuant to CAFA); DeKeyser v. Thyssenkrupp Waupaca, Inc., 589 F. Supp. 2d 1026, 1031–33 (E.D. Wis. 2008) (rejecting argument that state law claims were procedurally preempted in view of different procedures applicable to FLSA and Rule 23 class actions); Sjoblom v. Charter Commc’ns, LLC, 2007 WL 4560541, at *5 (W.D. Wis. Dec. 19, 2007) (rejecting argument that allowing hybrid action to proceed would conflict with congressional intent or violate Rules Enabling Act).</w:t>
      </w:r>
    </w:p>
    <w:p w14:paraId="39554591" w14:textId="77777777" w:rsidR="004322B1" w:rsidRPr="00AD2F44" w:rsidRDefault="004322B1">
      <w:pPr>
        <w:pStyle w:val="14Footnote"/>
      </w:pPr>
      <w:r w:rsidRPr="00AD2F44">
        <w:rPr>
          <w:i/>
          <w:iCs/>
        </w:rPr>
        <w:t>Eighth Circuit:</w:t>
      </w:r>
      <w:r w:rsidRPr="00AD2F44">
        <w:t xml:space="preserve"> Bouaphakeo v. Tyson Foods, Inc., 564 F. Supp. 2d 870, 886–89 (N.D. Iowa 2008) (concluding that differences between opt-in and opt-out procedures do not provide reason to deny, dismiss, or limit class action claims, “especially when such a claim has an independent jurisdictional basis” under CAFA); Osby v. Citigroup, Inc., 2008 WL 2074102, at *2–3 (W.D. Mo. May 14, 2008) (rejecting incompatibility and Rules Enabling Act challenges and finding that argument that claims could not be fairly adjudicated together was prematurely raised at pleadings stage, and that “[t]his is particularly so now that there is an independent basis for federal jurisdiction pursuant to the Class Action Fairness Act”).</w:t>
      </w:r>
    </w:p>
    <w:p w14:paraId="175AAC43" w14:textId="77777777" w:rsidR="004322B1" w:rsidRPr="00AD2F44" w:rsidRDefault="004322B1">
      <w:pPr>
        <w:pStyle w:val="14Footnote"/>
      </w:pPr>
      <w:r w:rsidRPr="00AD2F44">
        <w:rPr>
          <w:i/>
          <w:iCs/>
        </w:rPr>
        <w:t>Ninth Circuit:</w:t>
      </w:r>
      <w:r w:rsidRPr="00AD2F44">
        <w:t xml:space="preserve"> Baas v. Dollar Tree Stores, Inc., 2007 WL 2462150, at *3–4 (N.D. Cal. Aug. 29, 2007) (moving unsuccessfully to dismiss state law claims on ground that Rule 23 opt-out claims and FLSA opt-in claims may not be maintained together in same action); Ellison v. Autozone Inc., 2007 WL 2701923, at *2 (N.D. Cal. Sept. 13, 2007) (same, but noting that it might conclude at later stage in litigation that proceeding with both types of claims would be unworkable).</w:t>
      </w:r>
    </w:p>
  </w:footnote>
  <w:footnote w:id="1050">
    <w:p w14:paraId="0C8F3EFD" w14:textId="77777777" w:rsidR="004322B1" w:rsidRPr="00AD2F44" w:rsidRDefault="004322B1">
      <w:pPr>
        <w:pStyle w:val="14Footnote"/>
      </w:pPr>
      <w:r w:rsidRPr="00AD2F44">
        <w:rPr>
          <w:vertAlign w:val="superscript"/>
        </w:rPr>
        <w:footnoteRef/>
      </w:r>
      <w:r w:rsidRPr="00AD2F44">
        <w:t>Adoma v. University of Phoenix, Inc., 270 F.R.D. 543, 547 (E.D. Cal. 2010).</w:t>
      </w:r>
    </w:p>
  </w:footnote>
  <w:footnote w:id="1051">
    <w:p w14:paraId="6E702FAC" w14:textId="77777777" w:rsidR="004322B1" w:rsidRPr="00AD2F44" w:rsidRDefault="004322B1">
      <w:pPr>
        <w:pStyle w:val="14Footnote"/>
      </w:pPr>
      <w:r w:rsidRPr="00AD2F44">
        <w:rPr>
          <w:vertAlign w:val="superscript"/>
        </w:rPr>
        <w:footnoteRef/>
      </w:r>
      <w:r w:rsidRPr="00AD2F44">
        <w:t>28 U.S.C. §1367.</w:t>
      </w:r>
    </w:p>
  </w:footnote>
  <w:footnote w:id="1052">
    <w:p w14:paraId="60E1C96D" w14:textId="77777777" w:rsidR="004322B1" w:rsidRPr="00AD2F44" w:rsidRDefault="004322B1">
      <w:pPr>
        <w:pStyle w:val="14Footnote"/>
      </w:pPr>
      <w:r w:rsidRPr="00AD2F44">
        <w:rPr>
          <w:vertAlign w:val="superscript"/>
        </w:rPr>
        <w:footnoteRef/>
      </w:r>
      <w:r w:rsidRPr="00AD2F44">
        <w:rPr>
          <w:i/>
          <w:iCs/>
        </w:rPr>
        <w:t>Id.</w:t>
      </w:r>
      <w:r w:rsidRPr="00AD2F44">
        <w:t xml:space="preserve"> §1367(a) (“Except as … expressly provided otherwise by Federal statute … the district courts shall have supplemental jurisdiction”).</w:t>
      </w:r>
    </w:p>
  </w:footnote>
  <w:footnote w:id="1053">
    <w:p w14:paraId="50F942D2" w14:textId="77777777" w:rsidR="004322B1" w:rsidRPr="00AD2F44" w:rsidRDefault="004322B1">
      <w:pPr>
        <w:pStyle w:val="14Footnote"/>
      </w:pPr>
      <w:r w:rsidRPr="00AD2F44">
        <w:rPr>
          <w:vertAlign w:val="superscript"/>
        </w:rPr>
        <w:footnoteRef/>
      </w:r>
      <w:r w:rsidRPr="00AD2F44">
        <w:rPr>
          <w:i/>
          <w:iCs/>
        </w:rPr>
        <w:t>Third Circuit:</w:t>
      </w:r>
      <w:r w:rsidRPr="00AD2F44">
        <w:t xml:space="preserve"> De Asencio v. Tyson Foods, Inc., 342 F.3d 301, 309 (3d Cir. 2003) (finding that the FLSA “does not expressly address supplemental jurisdiction” over state law claims in hybrid actions).</w:t>
      </w:r>
    </w:p>
    <w:p w14:paraId="05856588" w14:textId="77777777" w:rsidR="004322B1" w:rsidRPr="00AD2F44" w:rsidRDefault="004322B1">
      <w:pPr>
        <w:pStyle w:val="14Footnote"/>
      </w:pPr>
      <w:r w:rsidRPr="00AD2F44">
        <w:rPr>
          <w:i/>
          <w:iCs/>
        </w:rPr>
        <w:t>Seventh Circuit:</w:t>
      </w:r>
      <w:r w:rsidRPr="00AD2F44">
        <w:t xml:space="preserve"> Ervin v. OS Rest. Servs., Inc., 632 F.3d 971, 979 (7th Cir. 2011) (finding that “it is important to emphasize that the FLSA is not a statute that ‘expressly provide[s]’ some limit to supplemental jurisdiction, as section 1367(a) contemplates that some federal statutes might”).</w:t>
      </w:r>
    </w:p>
    <w:p w14:paraId="6994D3D1" w14:textId="77777777" w:rsidR="004322B1" w:rsidRPr="00AD2F44" w:rsidRDefault="004322B1">
      <w:pPr>
        <w:pStyle w:val="14Footnote"/>
      </w:pPr>
      <w:r w:rsidRPr="00AD2F44">
        <w:rPr>
          <w:i/>
          <w:iCs/>
        </w:rPr>
        <w:t>D.C. Circuit:</w:t>
      </w:r>
      <w:r w:rsidRPr="00AD2F44">
        <w:t xml:space="preserve"> Lindsay v. Government Emps. Ins. Co., 448 F.3d 416, 422 (D.C. Cir. 2006).</w:t>
      </w:r>
    </w:p>
  </w:footnote>
  <w:footnote w:id="1054">
    <w:p w14:paraId="0D8EE8B9" w14:textId="77777777" w:rsidR="004322B1" w:rsidRPr="00AD2F44" w:rsidRDefault="004322B1">
      <w:pPr>
        <w:pStyle w:val="14Footnote"/>
      </w:pPr>
      <w:r w:rsidRPr="00AD2F44">
        <w:rPr>
          <w:vertAlign w:val="superscript"/>
        </w:rPr>
        <w:footnoteRef/>
      </w:r>
      <w:r w:rsidRPr="00AD2F44">
        <w:rPr>
          <w:i/>
          <w:iCs/>
        </w:rPr>
        <w:t>Lindsay</w:t>
      </w:r>
      <w:r w:rsidRPr="00AD2F44">
        <w:t>, 448 F.3d at 422.</w:t>
      </w:r>
    </w:p>
  </w:footnote>
  <w:footnote w:id="1055">
    <w:p w14:paraId="3E82B4FC" w14:textId="77777777" w:rsidR="004322B1" w:rsidRPr="00AD2F44" w:rsidRDefault="004322B1">
      <w:pPr>
        <w:pStyle w:val="14Footnote"/>
      </w:pPr>
      <w:r w:rsidRPr="00AD2F44">
        <w:rPr>
          <w:vertAlign w:val="superscript"/>
        </w:rPr>
        <w:footnoteRef/>
      </w:r>
      <w:r w:rsidRPr="00AD2F44">
        <w:rPr>
          <w:i/>
          <w:iCs/>
        </w:rPr>
        <w:t>Id</w:t>
      </w:r>
      <w:r w:rsidRPr="00AD2F44">
        <w:t xml:space="preserve">. at 421. </w:t>
      </w:r>
      <w:r w:rsidRPr="00AD2F44">
        <w:rPr>
          <w:i/>
          <w:iCs/>
        </w:rPr>
        <w:t>See also Ervin</w:t>
      </w:r>
      <w:r w:rsidRPr="00AD2F44">
        <w:t>, 632 F.3d at 979 (finding that “the FLSA is not a statute that ‘expressly provide[s]’ some limit to supplemental jurisdiction, as section 1367(a) contemplates that some federal statutes might”).</w:t>
      </w:r>
    </w:p>
  </w:footnote>
  <w:footnote w:id="1056">
    <w:p w14:paraId="3765EEBB" w14:textId="77777777" w:rsidR="004322B1" w:rsidRPr="00AD2F44" w:rsidRDefault="004322B1">
      <w:pPr>
        <w:pStyle w:val="14Footnote"/>
      </w:pPr>
      <w:r w:rsidRPr="00AD2F44">
        <w:rPr>
          <w:vertAlign w:val="superscript"/>
        </w:rPr>
        <w:footnoteRef/>
      </w:r>
      <w:r w:rsidRPr="00AD2F44">
        <w:rPr>
          <w:i/>
          <w:iCs/>
        </w:rPr>
        <w:t>Lindsay</w:t>
      </w:r>
      <w:r w:rsidRPr="00AD2F44">
        <w:t>, 448 F.3d at 422 &amp; n.8.</w:t>
      </w:r>
    </w:p>
  </w:footnote>
  <w:footnote w:id="1057">
    <w:p w14:paraId="5C8444D6" w14:textId="77777777" w:rsidR="004322B1" w:rsidRPr="00AD2F44" w:rsidRDefault="004322B1">
      <w:pPr>
        <w:pStyle w:val="14Footnote"/>
      </w:pPr>
      <w:r w:rsidRPr="00AD2F44">
        <w:rPr>
          <w:vertAlign w:val="superscript"/>
        </w:rPr>
        <w:footnoteRef/>
      </w:r>
      <w:r w:rsidRPr="00AD2F44">
        <w:rPr>
          <w:i/>
          <w:iCs/>
        </w:rPr>
        <w:t>Id</w:t>
      </w:r>
      <w:r w:rsidRPr="00AD2F44">
        <w:t>. (discussing Breuer v. Jim’s Concrete of Brevard, Inc., 538 U.S. 691 (2003)).</w:t>
      </w:r>
    </w:p>
  </w:footnote>
  <w:footnote w:id="1058">
    <w:p w14:paraId="5951BBD4" w14:textId="77777777" w:rsidR="004322B1" w:rsidRPr="00AD2F44" w:rsidRDefault="004322B1">
      <w:pPr>
        <w:pStyle w:val="14Footnote"/>
      </w:pPr>
      <w:r w:rsidRPr="00AD2F44">
        <w:rPr>
          <w:vertAlign w:val="superscript"/>
        </w:rPr>
        <w:footnoteRef/>
      </w:r>
      <w:r w:rsidRPr="00AD2F44">
        <w:rPr>
          <w:i/>
          <w:iCs/>
        </w:rPr>
        <w:t>See, e.g.</w:t>
      </w:r>
      <w:r w:rsidRPr="00AD2F44">
        <w:t>, Woodard v. FedEx Freight E., Inc., 250 F.R.D. 178, 183 (M.D. Pa. 2008) (holding that “[t]he FLSA does not expressly address supplemental jurisdiction; §1367(a), therefore, is inapplicable”); Salazar v. Agriprocessors, Inc., 527 F. Supp. 2d 873, 880 (N.D. Iowa 2007) (finding that “[t]he federal statute at issue here—the FLSA, specifically §216(b)—neither expressly prohibits the exercise of supplemental jurisdiction over state law claims of opt-out class members nor mentions supplemental jurisdiction”).</w:t>
      </w:r>
    </w:p>
  </w:footnote>
  <w:footnote w:id="1059">
    <w:p w14:paraId="2F9F980C" w14:textId="77777777" w:rsidR="004322B1" w:rsidRPr="00AD2F44" w:rsidRDefault="004322B1">
      <w:pPr>
        <w:pStyle w:val="14Footnote"/>
      </w:pPr>
      <w:r w:rsidRPr="00AD2F44">
        <w:rPr>
          <w:vertAlign w:val="superscript"/>
        </w:rPr>
        <w:footnoteRef/>
      </w:r>
      <w:r w:rsidRPr="00AD2F44">
        <w:t>28 U.S.C. §1367(a).</w:t>
      </w:r>
    </w:p>
  </w:footnote>
  <w:footnote w:id="1060">
    <w:p w14:paraId="1898CAA5" w14:textId="77777777" w:rsidR="004322B1" w:rsidRPr="00AD2F44" w:rsidRDefault="004322B1">
      <w:pPr>
        <w:pStyle w:val="14Footnote"/>
      </w:pPr>
      <w:r w:rsidRPr="00AD2F44">
        <w:rPr>
          <w:vertAlign w:val="superscript"/>
        </w:rPr>
        <w:footnoteRef/>
      </w:r>
      <w:r w:rsidRPr="00AD2F44">
        <w:t>342 F.3d 301 (3d Cir. 2003).</w:t>
      </w:r>
    </w:p>
  </w:footnote>
  <w:footnote w:id="1061">
    <w:p w14:paraId="38A2DDF4" w14:textId="77777777" w:rsidR="004322B1" w:rsidRPr="00AD2F44" w:rsidRDefault="004322B1">
      <w:pPr>
        <w:pStyle w:val="14Footnote"/>
      </w:pPr>
      <w:r w:rsidRPr="00AD2F44">
        <w:rPr>
          <w:vertAlign w:val="superscript"/>
        </w:rPr>
        <w:footnoteRef/>
      </w:r>
      <w:r w:rsidRPr="00AD2F44">
        <w:rPr>
          <w:i/>
          <w:iCs/>
        </w:rPr>
        <w:t>Id</w:t>
      </w:r>
      <w:r w:rsidRPr="00AD2F44">
        <w:t>. at 307–08.</w:t>
      </w:r>
    </w:p>
  </w:footnote>
  <w:footnote w:id="1062">
    <w:p w14:paraId="5B29B474" w14:textId="77777777" w:rsidR="004322B1" w:rsidRPr="00AD2F44" w:rsidRDefault="004322B1">
      <w:pPr>
        <w:pStyle w:val="14Footnote"/>
      </w:pPr>
      <w:r w:rsidRPr="00AD2F44">
        <w:rPr>
          <w:vertAlign w:val="superscript"/>
        </w:rPr>
        <w:footnoteRef/>
      </w:r>
      <w:r w:rsidRPr="00AD2F44">
        <w:rPr>
          <w:i/>
          <w:iCs/>
        </w:rPr>
        <w:t>Id</w:t>
      </w:r>
      <w:r w:rsidRPr="00AD2F44">
        <w:t xml:space="preserve">. (quoting United Mine Workers v. Gibbs, 383 U.S. 715, 725 (1966)); </w:t>
      </w:r>
      <w:r w:rsidRPr="00AD2F44">
        <w:rPr>
          <w:i/>
          <w:iCs/>
        </w:rPr>
        <w:t>see</w:t>
      </w:r>
      <w:r w:rsidRPr="00AD2F44">
        <w:t xml:space="preserve"> Chicago v. International Coll. Of Surgeons, 522 U.S. 156, 164–65 (1997).</w:t>
      </w:r>
    </w:p>
  </w:footnote>
  <w:footnote w:id="1063">
    <w:p w14:paraId="69FCA5AC" w14:textId="77777777" w:rsidR="004322B1" w:rsidRPr="00AD2F44" w:rsidRDefault="004322B1">
      <w:pPr>
        <w:pStyle w:val="14Footnote"/>
      </w:pPr>
      <w:r w:rsidRPr="00AD2F44">
        <w:rPr>
          <w:vertAlign w:val="superscript"/>
        </w:rPr>
        <w:footnoteRef/>
      </w:r>
      <w:r w:rsidRPr="00AD2F44">
        <w:rPr>
          <w:i/>
          <w:iCs/>
        </w:rPr>
        <w:t>Id</w:t>
      </w:r>
      <w:r w:rsidRPr="00AD2F44">
        <w:t xml:space="preserve">. at 308. </w:t>
      </w:r>
      <w:r w:rsidRPr="00AD2F44">
        <w:rPr>
          <w:i/>
          <w:iCs/>
        </w:rPr>
        <w:t xml:space="preserve">See also </w:t>
      </w:r>
      <w:r w:rsidRPr="00AD2F44">
        <w:t>Ervin v. OS Rest. Servs., Inc., 632 F.3d 971, 979 (7th Cir. 2011) (agreeing “with those of our sister circuits who have concluded that the requirements of section 1367(a) are satisfied in cases like this one, where state law labor claims [involving pay practices applicable to tipped employees] are closely related to an FLSA collective action”); Shahriar v. Smith &amp; Wollensky Rest. Grp., Inc., 659 F.3d 234, 245 (2d Cir. 2011) (finding that state and federal tip-pooling allegations arise from “common nucleus of operative facts” as required by §1367(a)).</w:t>
      </w:r>
    </w:p>
  </w:footnote>
  <w:footnote w:id="1064">
    <w:p w14:paraId="1C6CA807" w14:textId="77777777" w:rsidR="004322B1" w:rsidRPr="00AD2F44" w:rsidRDefault="004322B1">
      <w:pPr>
        <w:pStyle w:val="14Footnote"/>
      </w:pPr>
      <w:r w:rsidRPr="00AD2F44">
        <w:rPr>
          <w:vertAlign w:val="superscript"/>
        </w:rPr>
        <w:footnoteRef/>
      </w:r>
      <w:r w:rsidRPr="00AD2F44">
        <w:t>448 F.3d 416 (D.C. Cir. 2006).</w:t>
      </w:r>
    </w:p>
  </w:footnote>
  <w:footnote w:id="1065">
    <w:p w14:paraId="0F76E7A4" w14:textId="77777777" w:rsidR="004322B1" w:rsidRPr="00AD2F44" w:rsidRDefault="004322B1">
      <w:pPr>
        <w:pStyle w:val="14Footnote"/>
      </w:pPr>
      <w:r w:rsidRPr="00AD2F44">
        <w:rPr>
          <w:vertAlign w:val="superscript"/>
        </w:rPr>
        <w:footnoteRef/>
      </w:r>
      <w:r w:rsidRPr="00AD2F44">
        <w:rPr>
          <w:i/>
          <w:iCs/>
        </w:rPr>
        <w:t>Id</w:t>
      </w:r>
      <w:r w:rsidRPr="00AD2F44">
        <w:t>. at 424 (internal quotes omitted).</w:t>
      </w:r>
    </w:p>
  </w:footnote>
  <w:footnote w:id="1066">
    <w:p w14:paraId="5FA142E9" w14:textId="77777777" w:rsidR="004322B1" w:rsidRPr="00AD2F44" w:rsidRDefault="004322B1">
      <w:pPr>
        <w:pStyle w:val="14Footnote"/>
      </w:pPr>
      <w:r w:rsidRPr="00AD2F44">
        <w:rPr>
          <w:vertAlign w:val="superscript"/>
        </w:rPr>
        <w:footnoteRef/>
      </w:r>
      <w:r w:rsidRPr="00AD2F44">
        <w:rPr>
          <w:i/>
          <w:iCs/>
        </w:rPr>
        <w:t>See, e.g.,</w:t>
      </w:r>
    </w:p>
    <w:p w14:paraId="4890D7A9" w14:textId="77777777" w:rsidR="004322B1" w:rsidRPr="00AD2F44" w:rsidRDefault="004322B1">
      <w:pPr>
        <w:pStyle w:val="14Footnote"/>
      </w:pPr>
      <w:r w:rsidRPr="00AD2F44">
        <w:rPr>
          <w:i/>
          <w:iCs/>
        </w:rPr>
        <w:t xml:space="preserve">First Circuit: </w:t>
      </w:r>
      <w:r w:rsidRPr="00AD2F44">
        <w:t xml:space="preserve">Jean-Pierre v. J&amp;L Cable TV Servs. Inc., 538 F. Supp. 3d 208, 211 (D. Mass. 2021) (exercising supplemental jurisdiction, finding FLSA and state law claims has “similar overlap and can be considered a single case or controversy” in case involving cable technicians). </w:t>
      </w:r>
    </w:p>
    <w:p w14:paraId="77AE4143" w14:textId="77777777" w:rsidR="004322B1" w:rsidRPr="00AD2F44" w:rsidRDefault="004322B1">
      <w:pPr>
        <w:pStyle w:val="14Footnote"/>
      </w:pPr>
      <w:r w:rsidRPr="00AD2F44">
        <w:rPr>
          <w:i/>
          <w:iCs/>
        </w:rPr>
        <w:t>Second Circuit:</w:t>
      </w:r>
      <w:r w:rsidRPr="00AD2F44">
        <w:t xml:space="preserve"> Chaluisan v. Simsmetal East LLC, 698 F. Supp. 2d 397, 402–03 (S.D.N.Y. 2010) (holding that FLSA and state law claims arise from same compensation practices and thus a common nucleus of operative facts requiring similar evidence); Patel v. Baluchi’s Indian Rest., 2009 WL 2358620 at *6 (S.D.N.Y. July 30, 2009) (finding that FLSA action would necessarily address facts on which state law breach of contract is based and thus share a common nucleus of operative facts); Brickey v. Dolgencorp., Inc., 244 F.R.D. 176, 178 (W.D.N.Y. 2007) (involving claims for unpaid off-the-clock work and failure to pay overtime at proper rate brought under FLSA and laws of various states); Duchene v. Michael L. Cetta, Inc., 244 F.R.D. 202, 203 (S.D.N.Y. 2007) (involving claims for unpaid wages based on misappropriated tips brought under FLSA and New York Labor Law); Iglesias-Mendoza v. La Belle Farm, Inc., 239 F.R.D. 363, 374 (S.D.N.Y. 2007) (involving unpaid minimum wage and overtime claims under FLSA and New York Labor Law and claim for unpaid spread of hour wages under New York Labor Law); Ouedraogo v. Durso Assocs., Inc., 2005 WL 1423308, at *2 (S.D.N.Y. June 16, 2005) (involving unpaid minimum wage and overtime claims brought under FLSA and New York Labor Law).</w:t>
      </w:r>
    </w:p>
    <w:p w14:paraId="730AA37E" w14:textId="77777777" w:rsidR="004322B1" w:rsidRPr="00AD2F44" w:rsidRDefault="004322B1">
      <w:pPr>
        <w:pStyle w:val="14Footnote"/>
      </w:pPr>
      <w:r w:rsidRPr="00AD2F44">
        <w:rPr>
          <w:i/>
          <w:iCs/>
        </w:rPr>
        <w:t>Third Circuit:</w:t>
      </w:r>
      <w:r w:rsidRPr="00AD2F44">
        <w:t xml:space="preserve"> Troncone v. Velahos, 2011 WL 3236219, at *5 (D.N.J. July 28, 2011) (finding New Jersey Wage and Hour Law minimum wage and overtime claims identical under FLSA and New Jersey state law);</w:t>
      </w:r>
      <w:r w:rsidRPr="00AD2F44">
        <w:rPr>
          <w:b/>
          <w:bCs/>
        </w:rPr>
        <w:t xml:space="preserve"> </w:t>
      </w:r>
      <w:r w:rsidRPr="00AD2F44">
        <w:t>Woodard v. FedEx Freight E., Inc., 250 F.R.D. 178, 183 (M.D. Pa. 2008) (involving overtime claims based on misclassification brought under FLSA and Pennsylvania Minimum Wage Act and Wage Payment Collection Law).</w:t>
      </w:r>
    </w:p>
    <w:p w14:paraId="7A2F1839" w14:textId="77777777" w:rsidR="004322B1" w:rsidRPr="00AD2F44" w:rsidRDefault="004322B1">
      <w:pPr>
        <w:pStyle w:val="14Footnote"/>
      </w:pPr>
      <w:r w:rsidRPr="00AD2F44">
        <w:rPr>
          <w:i/>
          <w:iCs/>
        </w:rPr>
        <w:t xml:space="preserve">Fourth Circuit: </w:t>
      </w:r>
      <w:r w:rsidRPr="00AD2F44">
        <w:t>Romero v. Mountaire Farms, 796 F. Supp. 2d 700 (E.D.N.C. 2011) (involving claims for unpaid time spent donning, doffing, and maintaining protective gear and walking to and waiting at production line under FLSA and North Carolina Wage and Hour Act); McLaurin v. Prestage Foods, Inc., 271 F.R.D. 465, 468, 471 (E.D.N.C. 2010) (same); Calderon v. GEICO Gen. Ins. Co., 279 F.R.D. 337, 343–44 (D. Md. 2012) (holding state law claims that are predicated on the same facts that are the basis of the FLSA claim constitute the same case or controversy for purposes of extending supplemental jurisdiction).</w:t>
      </w:r>
    </w:p>
    <w:p w14:paraId="7BC141DB" w14:textId="77777777" w:rsidR="004322B1" w:rsidRPr="00AD2F44" w:rsidRDefault="004322B1">
      <w:pPr>
        <w:pStyle w:val="14Footnote"/>
      </w:pPr>
      <w:r w:rsidRPr="00AD2F44">
        <w:rPr>
          <w:i/>
          <w:iCs/>
        </w:rPr>
        <w:t>Fifth Circuit:</w:t>
      </w:r>
      <w:r w:rsidRPr="00AD2F44">
        <w:t xml:space="preserve"> Jackson v. City of San Antonio, 220 F.R.D. 55, 56, 59 (W.D. Tex. 2003) (involving unpaid overtime claims brought under FLSA and Texas Government Code).</w:t>
      </w:r>
    </w:p>
    <w:p w14:paraId="40087834" w14:textId="77777777" w:rsidR="004322B1" w:rsidRPr="00AD2F44" w:rsidRDefault="004322B1">
      <w:pPr>
        <w:pStyle w:val="14Footnote"/>
      </w:pPr>
      <w:r w:rsidRPr="00AD2F44">
        <w:rPr>
          <w:i/>
          <w:iCs/>
        </w:rPr>
        <w:t>Sixth Circuit:</w:t>
      </w:r>
      <w:r w:rsidRPr="00AD2F44">
        <w:t xml:space="preserve"> Stephenson v. Family Sols. Of Ohio, Inc., 2021 BL 124304, 2021 WL 1253459 (N.D. Ohio Apr. 5, 2021) (exercising supplemental jurisdiction on mental health specialist plaintiffs’ state law claims, finding state law claims did not substantially predominate over FLSA claims because they were substantially similar). </w:t>
      </w:r>
    </w:p>
    <w:p w14:paraId="1FF8304B" w14:textId="77777777" w:rsidR="004322B1" w:rsidRPr="00AD2F44" w:rsidRDefault="004322B1">
      <w:pPr>
        <w:pStyle w:val="14Footnote"/>
      </w:pPr>
      <w:r w:rsidRPr="00AD2F44">
        <w:rPr>
          <w:i/>
          <w:iCs/>
        </w:rPr>
        <w:t>Seventh Circuit:</w:t>
      </w:r>
      <w:r w:rsidRPr="00AD2F44">
        <w:t xml:space="preserve"> Pridemore v. Jiffy Mini-Marts, Inc., 2008 WL 5062754, at *2 (S.D. Ind. Nov. 24, 2008) (involving claims for minimum wages and overtime wages brought under the FLSA and Indiana statutes based on improper pay deductions); Schultz v. American Family Mut. Ins. Co., 2005 WL 5909003, at *6 (N.D. Ill. Nov. 1, 2005) (involving unpaid overtime claims based on misclassification brought under FLSA and Illinois Minimum Wage Law).</w:t>
      </w:r>
    </w:p>
    <w:p w14:paraId="0F617914" w14:textId="77777777" w:rsidR="004322B1" w:rsidRPr="00AD2F44" w:rsidRDefault="004322B1">
      <w:pPr>
        <w:pStyle w:val="14Footnote"/>
      </w:pPr>
      <w:r w:rsidRPr="00AD2F44">
        <w:rPr>
          <w:i/>
          <w:iCs/>
        </w:rPr>
        <w:t>Eighth Circuit:</w:t>
      </w:r>
      <w:r w:rsidRPr="00AD2F44">
        <w:t xml:space="preserve"> Salazar v. Agriprocessors, Inc., 527 F. Supp. 2d 873, 880 (N.D. Iowa 2007) (involving claims for unpaid time spent preparing, donning, doffing, obtaining, and sanitizing safety equipment and gear brought under FLSA and Iowa Wage Payment Collection Law); Nerland v. Caribou Coffee Co., Inc., 564 F. Supp. 2d 1010, 1027 (D. Minn. 2007) (involving unpaid overtime claims based on misclassification brought under FLSA and Minnesota Fair Labor Standards Act).</w:t>
      </w:r>
    </w:p>
    <w:p w14:paraId="296EA0DA" w14:textId="77777777" w:rsidR="004322B1" w:rsidRPr="00AD2F44" w:rsidRDefault="004322B1">
      <w:pPr>
        <w:pStyle w:val="14Footnote"/>
      </w:pPr>
      <w:r w:rsidRPr="00AD2F44">
        <w:rPr>
          <w:i/>
          <w:iCs/>
        </w:rPr>
        <w:t>Ninth Circuit:</w:t>
      </w:r>
      <w:r w:rsidRPr="00AD2F44">
        <w:t xml:space="preserve"> Gomez v. Rossi Concrete, Inc., 270 F.R.D. 579, 586 (S.D. Cal. 2010) (finding claims interwoven so that resolution of FLSA claims depended on resolution of state law wage claim and splitting the claims could result in inconsistent rulings and would be inefficient); Bamonte v. City of Mesa, 2007 WL 2022011, at *3 (D. Ariz. July 10, 2007) (involving claims for unpaid donning and doffing time under FLSA and Arizona wage and hour statutes); Silverman v. Smithkline Beecham Corp., 2007 WL 3072274, at *1, 3 (C.D. Cal. Oct. 16, 2007) (involving FLSA overtime claim based on misclassification and state law claims that also turned on question of whether employees were misclassified as exempt).</w:t>
      </w:r>
    </w:p>
    <w:p w14:paraId="141D8199" w14:textId="77777777" w:rsidR="004322B1" w:rsidRPr="00AD2F44" w:rsidRDefault="004322B1">
      <w:pPr>
        <w:pStyle w:val="14Footnote"/>
      </w:pPr>
      <w:r w:rsidRPr="00AD2F44">
        <w:rPr>
          <w:i/>
          <w:iCs/>
        </w:rPr>
        <w:t xml:space="preserve">Tenth Circuit: In re </w:t>
      </w:r>
      <w:r w:rsidRPr="00AD2F44">
        <w:t>American Family Mut. Ins. Co. Overtime Pay Litig., 638 F. Supp. 2d 1290, 1297 (D. Colo. 2009) (involving claims for unpaid overtime based on exempt misclassification under FLSA and several states’ overtime pay statutes).</w:t>
      </w:r>
    </w:p>
  </w:footnote>
  <w:footnote w:id="1067">
    <w:p w14:paraId="4B01791D" w14:textId="77777777" w:rsidR="004322B1" w:rsidRPr="00AD2F44" w:rsidRDefault="004322B1">
      <w:pPr>
        <w:pStyle w:val="14Footnote"/>
      </w:pPr>
      <w:r w:rsidRPr="00AD2F44">
        <w:rPr>
          <w:vertAlign w:val="superscript"/>
        </w:rPr>
        <w:footnoteRef/>
      </w:r>
      <w:r w:rsidRPr="00AD2F44">
        <w:rPr>
          <w:i/>
          <w:iCs/>
        </w:rPr>
        <w:t>Third Circuit:</w:t>
      </w:r>
      <w:r w:rsidRPr="00AD2F44">
        <w:t xml:space="preserve"> De Asencio v. Tyson Foods, Inc., 342 F.3d 301, 308–13 (3d Cir. 2003).</w:t>
      </w:r>
    </w:p>
    <w:p w14:paraId="12901FA9" w14:textId="77777777" w:rsidR="004322B1" w:rsidRPr="00AD2F44" w:rsidRDefault="004322B1">
      <w:pPr>
        <w:pStyle w:val="14Footnote"/>
      </w:pPr>
      <w:r w:rsidRPr="00AD2F44">
        <w:rPr>
          <w:i/>
          <w:iCs/>
        </w:rPr>
        <w:t>Seventh Circuit:</w:t>
      </w:r>
      <w:r w:rsidRPr="00AD2F44">
        <w:t xml:space="preserve"> Ervin v. OS Rest. Servs., Inc., 632 F.3d 971, 979–81 (7th Cir. 2011) (acknowledging that there will be many more state law class members than FLSA members).</w:t>
      </w:r>
    </w:p>
    <w:p w14:paraId="3E1B4CDE" w14:textId="77777777" w:rsidR="004322B1" w:rsidRPr="00AD2F44" w:rsidRDefault="004322B1">
      <w:pPr>
        <w:pStyle w:val="14Footnote"/>
      </w:pPr>
      <w:r w:rsidRPr="00AD2F44">
        <w:rPr>
          <w:i/>
          <w:iCs/>
        </w:rPr>
        <w:t>D.C. Circuit:</w:t>
      </w:r>
      <w:r w:rsidRPr="00AD2F44">
        <w:t xml:space="preserve"> Lindsay v. Government Emps. Ins. Co., 448 F.3d 416, 421–25 (D.C. Cir. 2006).</w:t>
      </w:r>
    </w:p>
  </w:footnote>
  <w:footnote w:id="1068">
    <w:p w14:paraId="3860BC83" w14:textId="77777777" w:rsidR="004322B1" w:rsidRPr="00AD2F44" w:rsidRDefault="004322B1">
      <w:pPr>
        <w:pStyle w:val="14Footnote"/>
      </w:pPr>
      <w:r w:rsidRPr="00AD2F44">
        <w:rPr>
          <w:vertAlign w:val="superscript"/>
        </w:rPr>
        <w:footnoteRef/>
      </w:r>
      <w:r w:rsidRPr="00AD2F44">
        <w:t>448 F.3d 416 (D.C. Cir. 2006).</w:t>
      </w:r>
    </w:p>
  </w:footnote>
  <w:footnote w:id="1069">
    <w:p w14:paraId="722CBB96" w14:textId="77777777" w:rsidR="004322B1" w:rsidRPr="00AD2F44" w:rsidRDefault="004322B1">
      <w:pPr>
        <w:pStyle w:val="14Footnote"/>
      </w:pPr>
      <w:r w:rsidRPr="00AD2F44">
        <w:rPr>
          <w:vertAlign w:val="superscript"/>
        </w:rPr>
        <w:footnoteRef/>
      </w:r>
      <w:r w:rsidRPr="00AD2F44">
        <w:rPr>
          <w:i/>
          <w:iCs/>
        </w:rPr>
        <w:t>Id</w:t>
      </w:r>
      <w:r w:rsidRPr="00AD2F44">
        <w:t>. at 421–25.</w:t>
      </w:r>
    </w:p>
  </w:footnote>
  <w:footnote w:id="1070">
    <w:p w14:paraId="39256D11" w14:textId="77777777" w:rsidR="004322B1" w:rsidRPr="00AD2F44" w:rsidRDefault="004322B1">
      <w:pPr>
        <w:pStyle w:val="14Footnote"/>
      </w:pPr>
      <w:r w:rsidRPr="00AD2F44">
        <w:rPr>
          <w:vertAlign w:val="superscript"/>
        </w:rPr>
        <w:footnoteRef/>
      </w:r>
      <w:r w:rsidRPr="00AD2F44">
        <w:t>545 U.S. 546 (2005).</w:t>
      </w:r>
    </w:p>
  </w:footnote>
  <w:footnote w:id="1071">
    <w:p w14:paraId="6BD5FD84" w14:textId="77777777" w:rsidR="004322B1" w:rsidRPr="00AD2F44" w:rsidRDefault="004322B1">
      <w:pPr>
        <w:pStyle w:val="14Footnote"/>
      </w:pPr>
      <w:r w:rsidRPr="00AD2F44">
        <w:rPr>
          <w:vertAlign w:val="superscript"/>
        </w:rPr>
        <w:footnoteRef/>
      </w:r>
      <w:r w:rsidRPr="00AD2F44">
        <w:rPr>
          <w:i/>
          <w:iCs/>
        </w:rPr>
        <w:t>Id</w:t>
      </w:r>
      <w:r w:rsidRPr="00AD2F44">
        <w:t>. at 549.</w:t>
      </w:r>
    </w:p>
  </w:footnote>
  <w:footnote w:id="1072">
    <w:p w14:paraId="0B6B90B7" w14:textId="77777777" w:rsidR="004322B1" w:rsidRPr="00AD2F44" w:rsidRDefault="004322B1">
      <w:pPr>
        <w:pStyle w:val="14Footnote"/>
      </w:pPr>
      <w:r w:rsidRPr="00AD2F44">
        <w:rPr>
          <w:vertAlign w:val="superscript"/>
        </w:rPr>
        <w:footnoteRef/>
      </w:r>
      <w:r w:rsidRPr="00AD2F44">
        <w:rPr>
          <w:i/>
          <w:iCs/>
        </w:rPr>
        <w:t>Id</w:t>
      </w:r>
      <w:r w:rsidRPr="00AD2F44">
        <w:t>. at 559.</w:t>
      </w:r>
    </w:p>
  </w:footnote>
  <w:footnote w:id="1073">
    <w:p w14:paraId="389B755A"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74">
    <w:p w14:paraId="3EF1D25D" w14:textId="77777777" w:rsidR="004322B1" w:rsidRPr="00AD2F44" w:rsidRDefault="004322B1">
      <w:pPr>
        <w:pStyle w:val="14Footnote"/>
      </w:pPr>
      <w:r w:rsidRPr="00AD2F44">
        <w:rPr>
          <w:vertAlign w:val="superscript"/>
        </w:rPr>
        <w:footnoteRef/>
      </w:r>
      <w:r w:rsidRPr="00AD2F44">
        <w:t xml:space="preserve">Lindsay v. Government Emps. Ins. Co., 448 F.3d 416, 424 (D.C. Cir. 2006) (quoting </w:t>
      </w:r>
      <w:r w:rsidRPr="00AD2F44">
        <w:rPr>
          <w:i/>
          <w:iCs/>
        </w:rPr>
        <w:t>Exxon Mobil</w:t>
      </w:r>
      <w:r w:rsidRPr="00AD2F44">
        <w:t>, 545 U.S. at 559).</w:t>
      </w:r>
    </w:p>
  </w:footnote>
  <w:footnote w:id="1075">
    <w:p w14:paraId="5E201D5D"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76">
    <w:p w14:paraId="111361FD"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077">
    <w:p w14:paraId="2FA2DB49" w14:textId="77777777" w:rsidR="004322B1" w:rsidRPr="00AD2F44" w:rsidRDefault="004322B1">
      <w:pPr>
        <w:pStyle w:val="14Footnote"/>
      </w:pPr>
      <w:r w:rsidRPr="00AD2F44">
        <w:rPr>
          <w:vertAlign w:val="superscript"/>
        </w:rPr>
        <w:footnoteRef/>
      </w:r>
      <w:r w:rsidRPr="00AD2F44">
        <w:t>342 F.3d 301 (3d Cir. 2003).</w:t>
      </w:r>
    </w:p>
  </w:footnote>
  <w:footnote w:id="1078">
    <w:p w14:paraId="15C35816" w14:textId="77777777" w:rsidR="004322B1" w:rsidRPr="00AD2F44" w:rsidRDefault="004322B1">
      <w:pPr>
        <w:pStyle w:val="14Footnote"/>
      </w:pPr>
      <w:r w:rsidRPr="00AD2F44">
        <w:rPr>
          <w:vertAlign w:val="superscript"/>
        </w:rPr>
        <w:footnoteRef/>
      </w:r>
      <w:r w:rsidRPr="00AD2F44">
        <w:rPr>
          <w:i/>
          <w:iCs/>
        </w:rPr>
        <w:t>Id</w:t>
      </w:r>
      <w:r w:rsidRPr="00AD2F44">
        <w:t>. at 307–08, 310–11 (upholding district court’s conclusion that it had supplemental jurisdiction over all state law claimants, including those who did not opt in to FLSA action, and then finding it was an abuse of discretion not to decline to exercise that jurisdiction under circumstances presented, including because there were substantially more state law class members than FLSA collective action members).</w:t>
      </w:r>
    </w:p>
  </w:footnote>
  <w:footnote w:id="1079">
    <w:p w14:paraId="0217124C" w14:textId="77777777" w:rsidR="004322B1" w:rsidRPr="00AD2F44" w:rsidRDefault="004322B1">
      <w:pPr>
        <w:pStyle w:val="14Footnote"/>
      </w:pPr>
      <w:r w:rsidRPr="00AD2F44">
        <w:rPr>
          <w:vertAlign w:val="superscript"/>
        </w:rPr>
        <w:footnoteRef/>
      </w:r>
      <w:r w:rsidRPr="00AD2F44">
        <w:rPr>
          <w:i/>
          <w:iCs/>
        </w:rPr>
        <w:t>Id</w:t>
      </w:r>
      <w:r w:rsidRPr="00AD2F44">
        <w:t>. at 308–09.</w:t>
      </w:r>
    </w:p>
  </w:footnote>
  <w:footnote w:id="1080">
    <w:p w14:paraId="4A2599F7" w14:textId="77777777" w:rsidR="004322B1" w:rsidRPr="00AD2F44" w:rsidRDefault="004322B1">
      <w:pPr>
        <w:pStyle w:val="14Footnote"/>
      </w:pPr>
      <w:r w:rsidRPr="00AD2F44">
        <w:rPr>
          <w:vertAlign w:val="superscript"/>
        </w:rPr>
        <w:footnoteRef/>
      </w:r>
      <w:r w:rsidRPr="00AD2F44">
        <w:rPr>
          <w:i/>
          <w:iCs/>
        </w:rPr>
        <w:t>Id</w:t>
      </w:r>
      <w:r w:rsidRPr="00AD2F44">
        <w:t>. at 308–13.</w:t>
      </w:r>
    </w:p>
  </w:footnote>
  <w:footnote w:id="1081">
    <w:p w14:paraId="1F9086F4" w14:textId="77777777" w:rsidR="004322B1" w:rsidRPr="00AD2F44" w:rsidRDefault="004322B1">
      <w:pPr>
        <w:pStyle w:val="14Footnote"/>
      </w:pPr>
      <w:r w:rsidRPr="00AD2F44">
        <w:rPr>
          <w:vertAlign w:val="superscript"/>
        </w:rPr>
        <w:footnoteRef/>
      </w:r>
      <w:r w:rsidRPr="00AD2F44">
        <w:t xml:space="preserve">632 F.3d 971 (7th Cir. 2011). </w:t>
      </w:r>
    </w:p>
  </w:footnote>
  <w:footnote w:id="1082">
    <w:p w14:paraId="0696108B" w14:textId="77777777" w:rsidR="004322B1" w:rsidRPr="00AD2F44" w:rsidRDefault="004322B1">
      <w:pPr>
        <w:pStyle w:val="14Footnote"/>
      </w:pPr>
      <w:r w:rsidRPr="00AD2F44">
        <w:rPr>
          <w:vertAlign w:val="superscript"/>
        </w:rPr>
        <w:footnoteRef/>
      </w:r>
      <w:r w:rsidRPr="00AD2F44">
        <w:rPr>
          <w:i/>
          <w:iCs/>
        </w:rPr>
        <w:t xml:space="preserve">Id. </w:t>
      </w:r>
      <w:r w:rsidRPr="00AD2F44">
        <w:t>at 979–81.</w:t>
      </w:r>
    </w:p>
  </w:footnote>
  <w:footnote w:id="1083">
    <w:p w14:paraId="46054610" w14:textId="77777777" w:rsidR="004322B1" w:rsidRPr="00AD2F44" w:rsidRDefault="004322B1">
      <w:pPr>
        <w:pStyle w:val="14Footnote"/>
      </w:pPr>
      <w:r w:rsidRPr="00AD2F44">
        <w:rPr>
          <w:vertAlign w:val="superscript"/>
        </w:rPr>
        <w:footnoteRef/>
      </w:r>
      <w:r w:rsidRPr="00AD2F44">
        <w:rPr>
          <w:i/>
          <w:iCs/>
        </w:rPr>
        <w:t>Second Circuit:</w:t>
      </w:r>
      <w:r w:rsidRPr="00AD2F44">
        <w:t xml:space="preserve"> Levy v. HSBC Bank, USA, N.A., 2011 WL 5978656 (W.D.N.Y. Nov. 27, 2011) (denying employer’s motion to dismiss or strike state law claim as premature in determining whether state class members will predominate and because procedural conflict does not preclude exercising supplemental jurisdiction); Hart v. Rick’s Cabaret Int’l Inc., 2010 WL 5297221, at *8 (S.D.N.Y. Dec. 20, 2010) (rejecting employer’s motion to not certify state law claims because there were substantially more members than for the FLSA claims); Scholtisek v. Eldre Corp., 229 F.R.D. 381, 394–95 (W.D.N.Y. 2005) (rejecting argument that Rule 23 class would have to be limited to FLSA opt-in plaintiffs, reasoning in part that state law claims “unquestionably form part of the same case or controversy as the FLSA claims”); Scott v. Aetna Servs., Inc., 210 F.R.D. 261, 263–64 (D. Conn. 2002) (noting court’s earlier decision that it was appropriate to exercise supplemental jurisdiction over non-opt-in plaintiffs’ state law claims because they arose from the same employment relationship that gave rise to FLSA claims); Ansoumana v. Gristede’s Operating Corp., 201 F.R.D. 81, 89–94 (S.D.N.Y. 2001) (interpreting scope of pendent party jurisdiction conferred by §1367(a) as encompassing putative state law class members whose state claims were closely related to federal claims giving rise to court’s original jurisdiction, even if those individuals had not opted in to FLSA action).</w:t>
      </w:r>
    </w:p>
    <w:p w14:paraId="535DBC09" w14:textId="77777777" w:rsidR="004322B1" w:rsidRPr="00AD2F44" w:rsidRDefault="004322B1">
      <w:pPr>
        <w:pStyle w:val="14Footnote"/>
      </w:pPr>
      <w:r w:rsidRPr="00AD2F44">
        <w:rPr>
          <w:i/>
          <w:iCs/>
        </w:rPr>
        <w:t>Fifth Circuit:</w:t>
      </w:r>
      <w:r w:rsidRPr="00AD2F44">
        <w:t xml:space="preserve"> Jackson v. City of San Antonio, 220 F.R.D. 55, 58–59 (W.D. Tex. 2003) (relying on expansion of supplemental jurisdiction under §1367(a) to encompass claims arising from same operative facts, even if party is claiming only under state law).</w:t>
      </w:r>
    </w:p>
    <w:p w14:paraId="4E039882" w14:textId="77777777" w:rsidR="004322B1" w:rsidRPr="00AD2F44" w:rsidRDefault="004322B1">
      <w:pPr>
        <w:pStyle w:val="14Footnote"/>
      </w:pPr>
      <w:r w:rsidRPr="00AD2F44">
        <w:rPr>
          <w:i/>
          <w:iCs/>
        </w:rPr>
        <w:t>Sixth Circuit:</w:t>
      </w:r>
      <w:r w:rsidRPr="00AD2F44">
        <w:t xml:space="preserve"> Carnevale v. GE Aircraft Engines, 492 F. Supp. 2d 763, 768–70 (S.D. Ohio 2003) (rejecting proposition that supplemental jurisdiction cannot be exercised over state law claims of employees who do not opt in to FLSA action); Hasken v. City of Louisville, 213 F.R.D. 280, 283 (W.D. Ky. 2003) (holding state law claims of non-opt-in plaintiffs are part of same case or controversy and court has jurisdiction over them).</w:t>
      </w:r>
    </w:p>
    <w:p w14:paraId="7AFE9B00" w14:textId="77777777" w:rsidR="004322B1" w:rsidRPr="00AD2F44" w:rsidRDefault="004322B1">
      <w:pPr>
        <w:pStyle w:val="14Footnote"/>
      </w:pPr>
      <w:r w:rsidRPr="00AD2F44">
        <w:rPr>
          <w:i/>
          <w:iCs/>
        </w:rPr>
        <w:t>Eighth Circuit:</w:t>
      </w:r>
      <w:r w:rsidRPr="00AD2F44">
        <w:t xml:space="preserve"> Nerland v. Caribou Coffee Co., Inc., 564 F. Supp. 2d 1010, 1027–28 (D. Minn. 2007) (relying on </w:t>
      </w:r>
      <w:r w:rsidRPr="00AD2F44">
        <w:rPr>
          <w:i/>
          <w:iCs/>
        </w:rPr>
        <w:t>Exxon Mobil Corp. v. Allapattah Servs., Inc</w:t>
      </w:r>
      <w:r w:rsidRPr="00AD2F44">
        <w:t>., 545 U.S. 546 (2005), and citing decisions concluding that supplemental jurisdiction reaches state law overtime claims of Rule 23 class members who did not join FLSA collective action); Salazar v. Agriprocessors, Inc., 527 F. Supp. 2d 873, 877, 880 (N.D. Iowa 2007) (employer argued that court could only exercise supplemental jurisdiction over claims of those who opted in to the FLSA action; finding there was supplemental jurisdiction over all claims because they arose out of a common nucleus of operative fact).</w:t>
      </w:r>
    </w:p>
    <w:p w14:paraId="148D3ECC" w14:textId="77777777" w:rsidR="004322B1" w:rsidRPr="00AD2F44" w:rsidRDefault="004322B1">
      <w:pPr>
        <w:pStyle w:val="14Footnote"/>
      </w:pPr>
      <w:r w:rsidRPr="00AD2F44">
        <w:rPr>
          <w:i/>
          <w:iCs/>
        </w:rPr>
        <w:t>Ninth Circuit: In re</w:t>
      </w:r>
      <w:r w:rsidRPr="00AD2F44">
        <w:t xml:space="preserve"> Farmers Ins. Exch. Claims Reps. Overtime Pay Litig., 2003 WL 23669376, at *2 (D. Or. May 19, 2003) (holding supplemental jurisdiction over state law claims of non-opt-in plaintiffs); Chavez v. IBP Corp., 2002 WL 31662302, at *1 (E.D. Wash. Oct. 28, 2002).</w:t>
      </w:r>
    </w:p>
    <w:p w14:paraId="09AECBE3" w14:textId="77777777" w:rsidR="004322B1" w:rsidRPr="00AD2F44" w:rsidRDefault="004322B1">
      <w:pPr>
        <w:pStyle w:val="14Footnote"/>
      </w:pPr>
      <w:r w:rsidRPr="00AD2F44">
        <w:rPr>
          <w:i/>
        </w:rPr>
        <w:t>See also</w:t>
      </w:r>
    </w:p>
    <w:p w14:paraId="11D08AA6" w14:textId="77777777" w:rsidR="004322B1" w:rsidRPr="00AD2F44" w:rsidRDefault="004322B1">
      <w:pPr>
        <w:pStyle w:val="14Footnote"/>
      </w:pPr>
      <w:r w:rsidRPr="00AD2F44">
        <w:rPr>
          <w:i/>
          <w:iCs/>
        </w:rPr>
        <w:t>Second Circuit:</w:t>
      </w:r>
      <w:r w:rsidRPr="00AD2F44">
        <w:t xml:space="preserve"> Chen v. Street Beat Sportswear, Inc., 364 F. Supp. 2d 269, 276–77 (E.D.N.Y. 2005) (rejecting defendant’s argument that court should refuse to exercise jurisdiction over state law claims of proposed class members whose FLSA claims were barred by statute of limitations, reasoning that their state law claims and FLSA claims derived from common nucleus of operative fact).</w:t>
      </w:r>
    </w:p>
    <w:p w14:paraId="0863CB37" w14:textId="77777777" w:rsidR="004322B1" w:rsidRPr="00AD2F44" w:rsidRDefault="004322B1">
      <w:pPr>
        <w:pStyle w:val="14Footnote"/>
      </w:pPr>
      <w:r w:rsidRPr="00AD2F44">
        <w:rPr>
          <w:i/>
          <w:iCs/>
        </w:rPr>
        <w:t>Oregon:</w:t>
      </w:r>
      <w:r w:rsidRPr="00AD2F44">
        <w:t xml:space="preserve"> Aguirre v. Albertson’s, Inc., 117 P.3d 1012, 1020 (Or. Ct. App. 2005) (finding that “[t]he clear weight of federal authority holds that federal courts </w:t>
      </w:r>
      <w:r w:rsidRPr="00AD2F44">
        <w:rPr>
          <w:i/>
          <w:iCs/>
        </w:rPr>
        <w:t>can</w:t>
      </w:r>
      <w:r w:rsidRPr="00AD2F44">
        <w:t xml:space="preserve"> exercise jurisdiction over the state law claims of persons who do not or cannot opt into the federal representative action”).</w:t>
      </w:r>
    </w:p>
  </w:footnote>
  <w:footnote w:id="1084">
    <w:p w14:paraId="7777A656" w14:textId="77777777" w:rsidR="004322B1" w:rsidRPr="00AD2F44" w:rsidRDefault="004322B1">
      <w:pPr>
        <w:pStyle w:val="14Footnote"/>
      </w:pPr>
      <w:r w:rsidRPr="00AD2F44">
        <w:rPr>
          <w:vertAlign w:val="superscript"/>
        </w:rPr>
        <w:footnoteRef/>
      </w:r>
      <w:r w:rsidRPr="00AD2F44">
        <w:t xml:space="preserve">Veerkamp v. United States Sec. Assocs., Inc., 2006 WL 2850020, at *8 (S.D. Ind. Sept. 29, 2006); Bartleson v. Winnebago Indus., Inc., 219 F.R.D. 629, 635–37 (N.D. Iowa 2003) (relying on </w:t>
      </w:r>
      <w:r w:rsidRPr="00AD2F44">
        <w:rPr>
          <w:i/>
          <w:iCs/>
        </w:rPr>
        <w:t>Fielder v. Credit Acceptance Corp</w:t>
      </w:r>
      <w:r w:rsidRPr="00AD2F44">
        <w:t xml:space="preserve">., 188 F.3d 1031 (8th Cir. 1999), for proposition that where federal jurisdiction is premised on federal law class claim, supplemental jurisdiction over companion state law class claim extends only to those members of state law class who also have federal class claim); </w:t>
      </w:r>
      <w:r w:rsidRPr="00AD2F44">
        <w:rPr>
          <w:i/>
          <w:iCs/>
        </w:rPr>
        <w:t>see also</w:t>
      </w:r>
      <w:r w:rsidRPr="00AD2F44">
        <w:t xml:space="preserve"> Riddle v. National Sec. Agency, Inc., 2007 WL 2746597, at *9 n.3 (N.D. Ill. Sept. 13, 2007) (taking note of the issue and some of the authority but declining to reach the issue); Zelaya v. J.M. Macias, Inc., 999 F. Supp. 778, 782–83 (E.D.N.C. 1998) (finding arguments against exercising jurisdiction over state law class action “more persuasive” because Supreme Court had not considered constitutionality of pendent plaintiff jurisdiction, the court was not aware of cases in which §1367(a) had been interpreted to allow pendent plaintiff jurisdiction, and FLSA and state law class claims were not claims that would be expected to be tried in one proceeding because they would involve separate sets of plaintiffs, but resting final decision on ground that court would exercise its discretion under 28 U.S.C. §1367(c) to decline jurisdiction); Rodriguez v. The Texan, Inc., 2001 WL 1829490, at *2 (N.D. Ill. Mar. 7, 2001) (doubting whether §1367(a) extends to absent class members, as opposed to plaintiffs who intervene in or join the action); McLain v. Leona’s Pizzeria, Inc., 222 F.R.D. 574, 577 (N.D. Ill. 2004) (holding that “while Section 1367(a) allows parties to join their state claims to federal claims where appropriate, it does not contemplate a plaintiff using supplemental jurisdiction as a rake to drag as many members as possible into what would otherwise be a federal collective action”).</w:t>
      </w:r>
    </w:p>
  </w:footnote>
  <w:footnote w:id="1085">
    <w:p w14:paraId="44353BA3" w14:textId="77777777" w:rsidR="004322B1" w:rsidRPr="00AD2F44" w:rsidRDefault="004322B1">
      <w:pPr>
        <w:pStyle w:val="14Footnote"/>
      </w:pPr>
      <w:r w:rsidRPr="00AD2F44">
        <w:rPr>
          <w:vertAlign w:val="superscript"/>
        </w:rPr>
        <w:footnoteRef/>
      </w:r>
      <w:r w:rsidRPr="00AD2F44">
        <w:rPr>
          <w:i/>
          <w:iCs/>
        </w:rPr>
        <w:t>See</w:t>
      </w:r>
      <w:r w:rsidRPr="00AD2F44">
        <w:t xml:space="preserve"> Nerland v. Caribou Coffee Co., Inc., 564 F. Supp. 2d 1010, 1027–28 (D. Minn. 2007) (observing that </w:t>
      </w:r>
      <w:r w:rsidRPr="00AD2F44">
        <w:rPr>
          <w:i/>
          <w:iCs/>
        </w:rPr>
        <w:t>Exxon Mobil</w:t>
      </w:r>
      <w:r w:rsidRPr="00AD2F44">
        <w:t xml:space="preserve"> “implicitly overruled” </w:t>
      </w:r>
      <w:r w:rsidRPr="00AD2F44">
        <w:rPr>
          <w:i/>
          <w:iCs/>
        </w:rPr>
        <w:t>Fielder</w:t>
      </w:r>
      <w:r w:rsidRPr="00AD2F44">
        <w:t>, 188 F.3d 1031).</w:t>
      </w:r>
    </w:p>
  </w:footnote>
  <w:footnote w:id="1086">
    <w:p w14:paraId="493DA293" w14:textId="77777777" w:rsidR="004322B1" w:rsidRPr="00AD2F44" w:rsidRDefault="004322B1">
      <w:pPr>
        <w:pStyle w:val="14Footnote"/>
      </w:pPr>
      <w:r w:rsidRPr="00AD2F44">
        <w:rPr>
          <w:vertAlign w:val="superscript"/>
        </w:rPr>
        <w:footnoteRef/>
      </w:r>
      <w:r w:rsidRPr="00AD2F44">
        <w:t>28 U.S.C. §1367(c)(1).</w:t>
      </w:r>
    </w:p>
  </w:footnote>
  <w:footnote w:id="1087">
    <w:p w14:paraId="5C92AA62" w14:textId="77777777" w:rsidR="004322B1" w:rsidRPr="00AD2F44" w:rsidRDefault="004322B1">
      <w:pPr>
        <w:pStyle w:val="14Footnote"/>
      </w:pPr>
      <w:r w:rsidRPr="00AD2F44">
        <w:rPr>
          <w:vertAlign w:val="superscript"/>
        </w:rPr>
        <w:footnoteRef/>
      </w:r>
      <w:r w:rsidRPr="00AD2F44">
        <w:rPr>
          <w:i/>
          <w:iCs/>
        </w:rPr>
        <w:t>Id</w:t>
      </w:r>
      <w:r w:rsidRPr="00AD2F44">
        <w:t>. §1367(c)(2).</w:t>
      </w:r>
    </w:p>
  </w:footnote>
  <w:footnote w:id="1088">
    <w:p w14:paraId="019F484C" w14:textId="77777777" w:rsidR="004322B1" w:rsidRPr="00AD2F44" w:rsidRDefault="004322B1">
      <w:pPr>
        <w:pStyle w:val="14Footnote"/>
      </w:pPr>
      <w:r w:rsidRPr="00AD2F44">
        <w:rPr>
          <w:vertAlign w:val="superscript"/>
        </w:rPr>
        <w:footnoteRef/>
      </w:r>
      <w:r w:rsidRPr="00AD2F44">
        <w:rPr>
          <w:i/>
          <w:iCs/>
        </w:rPr>
        <w:t>Id</w:t>
      </w:r>
      <w:r w:rsidRPr="00AD2F44">
        <w:t>. §1367(c)(3).</w:t>
      </w:r>
    </w:p>
  </w:footnote>
  <w:footnote w:id="1089">
    <w:p w14:paraId="56A54527" w14:textId="77777777" w:rsidR="004322B1" w:rsidRPr="00AD2F44" w:rsidRDefault="004322B1">
      <w:pPr>
        <w:pStyle w:val="14Footnote"/>
      </w:pPr>
      <w:r w:rsidRPr="00AD2F44">
        <w:rPr>
          <w:vertAlign w:val="superscript"/>
        </w:rPr>
        <w:footnoteRef/>
      </w:r>
      <w:r w:rsidRPr="00AD2F44">
        <w:rPr>
          <w:i/>
          <w:iCs/>
        </w:rPr>
        <w:t>Id</w:t>
      </w:r>
      <w:r w:rsidRPr="00AD2F44">
        <w:t>. §1367(c)(4).</w:t>
      </w:r>
    </w:p>
  </w:footnote>
  <w:footnote w:id="1090">
    <w:p w14:paraId="1D5AD631" w14:textId="77777777" w:rsidR="004322B1" w:rsidRPr="00AD2F44" w:rsidRDefault="004322B1">
      <w:pPr>
        <w:pStyle w:val="14Footnote"/>
      </w:pPr>
      <w:r w:rsidRPr="00AD2F44">
        <w:rPr>
          <w:vertAlign w:val="superscript"/>
        </w:rPr>
        <w:footnoteRef/>
      </w:r>
      <w:r w:rsidRPr="00AD2F44">
        <w:rPr>
          <w:i/>
          <w:iCs/>
        </w:rPr>
        <w:t>Id</w:t>
      </w:r>
      <w:r w:rsidRPr="00AD2F44">
        <w:t xml:space="preserve">. §1367(c) (“The district courts </w:t>
      </w:r>
      <w:r w:rsidRPr="00AD2F44">
        <w:rPr>
          <w:i/>
          <w:iCs/>
        </w:rPr>
        <w:t>may</w:t>
      </w:r>
      <w:r w:rsidRPr="00AD2F44">
        <w:t xml:space="preserve"> decline to exercise supplemental jurisdiction … .”) (emphasis added); </w:t>
      </w:r>
      <w:r w:rsidRPr="00AD2F44">
        <w:rPr>
          <w:i/>
          <w:iCs/>
        </w:rPr>
        <w:t>see, e.g</w:t>
      </w:r>
      <w:r w:rsidRPr="00AD2F44">
        <w:t xml:space="preserve">., City of Chi. v. International Coll. of Surgeons, 522 U.S. 156, 174 (1997). Some circuits have expressly held that where §1367(a) is satisfied, the district court is required to exercise supplemental jurisdiction unless one of the factors set forth in §1367(c) is present. </w:t>
      </w:r>
      <w:r w:rsidRPr="00AD2F44">
        <w:rPr>
          <w:i/>
          <w:iCs/>
        </w:rPr>
        <w:t>See, e.g</w:t>
      </w:r>
      <w:r w:rsidRPr="00AD2F44">
        <w:t>.,</w:t>
      </w:r>
    </w:p>
    <w:p w14:paraId="40D7DFC1" w14:textId="77777777" w:rsidR="004322B1" w:rsidRPr="00AD2F44" w:rsidRDefault="004322B1">
      <w:pPr>
        <w:pStyle w:val="14Footnote"/>
      </w:pPr>
      <w:r w:rsidRPr="00AD2F44">
        <w:rPr>
          <w:i/>
          <w:iCs/>
        </w:rPr>
        <w:t xml:space="preserve">Eighth Circuit: </w:t>
      </w:r>
      <w:r w:rsidRPr="00AD2F44">
        <w:t>Innovative Home Health Care, Inc. v. P.T.-O.T. Assocs. of the Black Hills, 141 F.3d 1284, 1287 (8th Cir. 1998).</w:t>
      </w:r>
    </w:p>
    <w:p w14:paraId="34AFD3AB" w14:textId="77777777" w:rsidR="004322B1" w:rsidRPr="00AD2F44" w:rsidRDefault="004322B1">
      <w:pPr>
        <w:pStyle w:val="14Footnote"/>
      </w:pPr>
      <w:r w:rsidRPr="00AD2F44">
        <w:rPr>
          <w:i/>
          <w:iCs/>
        </w:rPr>
        <w:t xml:space="preserve">Eleventh Circuit: </w:t>
      </w:r>
      <w:r w:rsidRPr="00AD2F44">
        <w:t>Palmer v. Hospital Auth. of Randolph Cnty., 22 F.3d 1559, 1569 (11th Cir. 1994).</w:t>
      </w:r>
    </w:p>
    <w:p w14:paraId="585817D1" w14:textId="77777777" w:rsidR="004322B1" w:rsidRPr="00AD2F44" w:rsidRDefault="004322B1">
      <w:pPr>
        <w:pStyle w:val="14Footnote"/>
      </w:pPr>
      <w:r w:rsidRPr="00AD2F44">
        <w:rPr>
          <w:i/>
          <w:iCs/>
        </w:rPr>
        <w:t xml:space="preserve">D.C. Circuit: </w:t>
      </w:r>
      <w:r w:rsidRPr="00AD2F44">
        <w:t>Lindsay v. Government Emps. Ins. Co., 448 F.3d 416, 421 (D.C. Cir. 2006).</w:t>
      </w:r>
    </w:p>
  </w:footnote>
  <w:footnote w:id="1091">
    <w:p w14:paraId="46969ED1" w14:textId="77777777" w:rsidR="004322B1" w:rsidRPr="00AD2F44" w:rsidRDefault="004322B1">
      <w:pPr>
        <w:pStyle w:val="14Footnote"/>
      </w:pPr>
      <w:r w:rsidRPr="00AD2F44">
        <w:rPr>
          <w:vertAlign w:val="superscript"/>
        </w:rPr>
        <w:footnoteRef/>
      </w:r>
      <w:r w:rsidRPr="00AD2F44">
        <w:rPr>
          <w:i/>
          <w:iCs/>
        </w:rPr>
        <w:t>International College of Surgeons</w:t>
      </w:r>
      <w:r w:rsidRPr="00AD2F44">
        <w:t>, 522 U.S. at 172–73; United Mine Workers of Am. v. Gibbs, 383 U.S. 715, 726 (1966).</w:t>
      </w:r>
    </w:p>
  </w:footnote>
  <w:footnote w:id="1092">
    <w:p w14:paraId="1B57955D" w14:textId="77777777" w:rsidR="004322B1" w:rsidRPr="00AD2F44" w:rsidRDefault="004322B1">
      <w:pPr>
        <w:pStyle w:val="14Footnote"/>
      </w:pPr>
      <w:r w:rsidRPr="00AD2F44">
        <w:rPr>
          <w:vertAlign w:val="superscript"/>
        </w:rPr>
        <w:footnoteRef/>
      </w:r>
      <w:r w:rsidRPr="00AD2F44">
        <w:t>International College of Surgeons, 522 U.S. at 173.</w:t>
      </w:r>
    </w:p>
  </w:footnote>
  <w:footnote w:id="1093">
    <w:p w14:paraId="0A09D7AC" w14:textId="77777777" w:rsidR="004322B1" w:rsidRPr="00AD2F44" w:rsidRDefault="004322B1">
      <w:pPr>
        <w:pStyle w:val="14Footnote"/>
      </w:pPr>
      <w:r w:rsidRPr="00AD2F44">
        <w:rPr>
          <w:vertAlign w:val="superscript"/>
        </w:rPr>
        <w:footnoteRef/>
      </w:r>
      <w:r w:rsidRPr="00AD2F44">
        <w:t xml:space="preserve">Bamonte v. City of Mesa, 2007 WL 2022011, at *4 (D. Ariz. July 10, 2007) (citations omitted). </w:t>
      </w:r>
      <w:r w:rsidRPr="00AD2F44">
        <w:rPr>
          <w:i/>
          <w:iCs/>
        </w:rPr>
        <w:t>See</w:t>
      </w:r>
      <w:r w:rsidRPr="00AD2F44">
        <w:t xml:space="preserve"> Gessele v. Jack in the Box, Inc., 2013 WL 1326563 (D. Or. Jan 28, 2013), adopted by 2013 WL 1326538 (D. Or. Apr. 1, 2013) (rejecting defendant’s argument that court should conditionally certify FLSA class and postpone addressing propriety of Rule 23 certification until after opt-in period closed; holding that supplemental jurisdiction over plaintiffs’ state law claims was proper because (1) plaintiffs’ FLSA and state law claims were substantially similar factually and legally; (2) case did not present novel issues of state law; and (3) court did not otherwise believe that state law claims would predominate over FLSA claims); McLaurin v. Prestage Foods, Inc., 271 F.R.D. 465, 473 (E.D.N.C. 2010) (quoting </w:t>
      </w:r>
      <w:r w:rsidRPr="00AD2F44">
        <w:rPr>
          <w:i/>
          <w:iCs/>
        </w:rPr>
        <w:t>Bamonte</w:t>
      </w:r>
      <w:r w:rsidRPr="00AD2F44">
        <w:t>).</w:t>
      </w:r>
    </w:p>
  </w:footnote>
  <w:footnote w:id="1094">
    <w:p w14:paraId="36A38E84" w14:textId="77777777" w:rsidR="004322B1" w:rsidRPr="00AD2F44" w:rsidRDefault="004322B1">
      <w:pPr>
        <w:pStyle w:val="14Footnote"/>
      </w:pPr>
      <w:r w:rsidRPr="00AD2F44">
        <w:rPr>
          <w:vertAlign w:val="superscript"/>
        </w:rPr>
        <w:footnoteRef/>
      </w:r>
      <w:r w:rsidRPr="00AD2F44">
        <w:t>28 U.S.C. §1367(c)(1).</w:t>
      </w:r>
    </w:p>
  </w:footnote>
  <w:footnote w:id="1095">
    <w:p w14:paraId="3B9F3E29" w14:textId="77777777" w:rsidR="004322B1" w:rsidRPr="00AD2F44" w:rsidRDefault="004322B1">
      <w:pPr>
        <w:pStyle w:val="14Footnote"/>
      </w:pPr>
      <w:r w:rsidRPr="00AD2F44">
        <w:rPr>
          <w:vertAlign w:val="superscript"/>
        </w:rPr>
        <w:footnoteRef/>
      </w:r>
      <w:r w:rsidRPr="00AD2F44">
        <w:rPr>
          <w:i/>
        </w:rPr>
        <w:t>See</w:t>
      </w:r>
    </w:p>
    <w:p w14:paraId="67208D6C" w14:textId="77777777" w:rsidR="004322B1" w:rsidRPr="00AD2F44" w:rsidRDefault="004322B1">
      <w:pPr>
        <w:pStyle w:val="14Footnote"/>
      </w:pPr>
      <w:r w:rsidRPr="00AD2F44">
        <w:rPr>
          <w:i/>
          <w:iCs/>
        </w:rPr>
        <w:t>Third Circuit:</w:t>
      </w:r>
      <w:r w:rsidRPr="00AD2F44">
        <w:t xml:space="preserve"> De Asencio v. Tyson Foods, Inc., 342 F.3d 301, 311 (3d Cir. 2003) (involving questions of whether Pennsylvania Wage Payment and Collection Law claim can rest on implied employment contract based on verbal representations by managers and whether statute applied to at-will, non-collective bargaining employees; finding that state law claims would substantially predominate and that state law claims were added to action long after FLSA opt-in period had closed).</w:t>
      </w:r>
    </w:p>
    <w:p w14:paraId="66DE62F7" w14:textId="77777777" w:rsidR="004322B1" w:rsidRPr="00AD2F44" w:rsidRDefault="004322B1">
      <w:pPr>
        <w:pStyle w:val="14Footnote"/>
      </w:pPr>
      <w:r w:rsidRPr="00AD2F44">
        <w:rPr>
          <w:i/>
          <w:iCs/>
        </w:rPr>
        <w:t>Sixth Circuit:</w:t>
      </w:r>
      <w:r w:rsidRPr="00AD2F44">
        <w:t xml:space="preserve"> Aguilera v. Michigan Turkey Processors Coop., Inc., 2009 WL 3585722, at *2 (W.D. Mich. Oct. 28, 2009) (reasoning that novel or complex issues of state law were presented where parties disputed interpretation and impact of amendment to Michigan Minimum Wage Law, each party’s interpretation was “central to its theory of the case,” and there was no Michigan decision resolving questions raised).</w:t>
      </w:r>
    </w:p>
    <w:p w14:paraId="7C878BCC" w14:textId="77777777" w:rsidR="004322B1" w:rsidRPr="00AD2F44" w:rsidRDefault="004322B1">
      <w:pPr>
        <w:pStyle w:val="14Footnote"/>
      </w:pPr>
      <w:r w:rsidRPr="00AD2F44">
        <w:rPr>
          <w:i/>
          <w:iCs/>
        </w:rPr>
        <w:t>Ninth Circuit:</w:t>
      </w:r>
      <w:r w:rsidRPr="00AD2F44">
        <w:t xml:space="preserve"> Wiley v. Trendwest Resorts, Inc., 2005 WL 1030220, at *4 (N.D. Cal. May 3, 2005) (holding that unlawful deductions claim presented novel issue of law because there were no reported California state court decisions on point).</w:t>
      </w:r>
    </w:p>
    <w:p w14:paraId="770B0ACA" w14:textId="77777777" w:rsidR="004322B1" w:rsidRPr="00AD2F44" w:rsidRDefault="004322B1">
      <w:pPr>
        <w:pStyle w:val="14Footnote"/>
        <w:rPr>
          <w:i/>
          <w:iCs/>
        </w:rPr>
      </w:pPr>
      <w:r w:rsidRPr="00AD2F44">
        <w:rPr>
          <w:i/>
          <w:iCs/>
        </w:rPr>
        <w:t>Cf.</w:t>
      </w:r>
    </w:p>
    <w:p w14:paraId="7DA9E6FB" w14:textId="77777777" w:rsidR="004322B1" w:rsidRPr="00AD2F44" w:rsidRDefault="004322B1">
      <w:pPr>
        <w:pStyle w:val="14Footnote"/>
      </w:pPr>
      <w:r w:rsidRPr="00AD2F44">
        <w:rPr>
          <w:i/>
          <w:iCs/>
        </w:rPr>
        <w:t xml:space="preserve">Third Circuit: </w:t>
      </w:r>
      <w:r w:rsidRPr="00AD2F44">
        <w:t xml:space="preserve">Shah v. Hyatt Corp., 2010 WL 365632, at *3 (E.D. Pa. Feb. 1, 2010) (finding novel and complex issues of state law regarding application of Pennsylvania Wage Payment Collection Law also presented novel and complex issue as described in </w:t>
      </w:r>
      <w:r w:rsidRPr="00AD2F44">
        <w:rPr>
          <w:i/>
          <w:iCs/>
        </w:rPr>
        <w:t>De Asencio</w:t>
      </w:r>
      <w:r w:rsidRPr="00AD2F44">
        <w:t>),</w:t>
      </w:r>
      <w:r w:rsidRPr="00AD2F44">
        <w:rPr>
          <w:i/>
          <w:iCs/>
        </w:rPr>
        <w:t xml:space="preserve"> rev’d on other grounds</w:t>
      </w:r>
      <w:r w:rsidRPr="00AD2F44">
        <w:t>, 425 F. App’x 121 (3d Cir. 2011) (holding that district court could not decline to exercise jurisdiction over claims over which original jurisdiction under 28 U.S.C. §1332 existed).</w:t>
      </w:r>
    </w:p>
    <w:p w14:paraId="7A0F3845" w14:textId="77777777" w:rsidR="004322B1" w:rsidRPr="00AD2F44" w:rsidRDefault="004322B1">
      <w:pPr>
        <w:pStyle w:val="14Footnote"/>
      </w:pPr>
      <w:r w:rsidRPr="00AD2F44">
        <w:rPr>
          <w:i/>
          <w:iCs/>
        </w:rPr>
        <w:t xml:space="preserve">Ninth Circuit: </w:t>
      </w:r>
      <w:r w:rsidRPr="00AD2F44">
        <w:t>Brigham v. Eugene Water and Elec. Bd., 357 F.3d 931, 942 n.19 (9th Cir. 2004) (instructing district court on remand to consider whether supplemental jurisdiction should be exercised over employees’ state law claim that their on-call time was compensable “given the paucity of state law authority on the precise topic at issue in this litigation”).</w:t>
      </w:r>
    </w:p>
  </w:footnote>
  <w:footnote w:id="1096">
    <w:p w14:paraId="34EEB078" w14:textId="77777777" w:rsidR="004322B1" w:rsidRPr="00AD2F44" w:rsidRDefault="004322B1">
      <w:pPr>
        <w:pStyle w:val="14Footnote"/>
      </w:pPr>
      <w:r w:rsidRPr="00AD2F44">
        <w:rPr>
          <w:vertAlign w:val="superscript"/>
        </w:rPr>
        <w:footnoteRef/>
      </w:r>
      <w:r w:rsidRPr="00AD2F44">
        <w:t xml:space="preserve">Ortegon v. Staffing Network Holdings, LLC, 2007 WL 541911, at *2 (N.D. Ill. Feb. 15, 2007) (finding that, to resolve state law claims presented, court would have to construe recently enacted state law, which would include construing it in relation to other state law wage and hour statutes, with potentially significant consequences for large group of employers and employees; interplay of statute at issue with other state laws was best left to state court to hasten binding interpretation of statutory language); </w:t>
      </w:r>
      <w:r w:rsidRPr="00AD2F44">
        <w:rPr>
          <w:i/>
          <w:iCs/>
        </w:rPr>
        <w:t>see also</w:t>
      </w:r>
      <w:r w:rsidRPr="00AD2F44">
        <w:t xml:space="preserve"> Wong v. HSBC Mortg. Corp. (USA), 2009 WL 151014, at *2–3 (N.D. Cal. Jan. 21, 2009) (involving state law claims that raised novel issue of whether agreements to have deductions made from paychecks were enforceable under state law).</w:t>
      </w:r>
    </w:p>
  </w:footnote>
  <w:footnote w:id="1097">
    <w:p w14:paraId="43F4B9BE" w14:textId="77777777" w:rsidR="004322B1" w:rsidRPr="00AD2F44" w:rsidRDefault="004322B1">
      <w:pPr>
        <w:pStyle w:val="14Footnote"/>
      </w:pPr>
      <w:r w:rsidRPr="00AD2F44">
        <w:rPr>
          <w:vertAlign w:val="superscript"/>
        </w:rPr>
        <w:footnoteRef/>
      </w:r>
      <w:r w:rsidRPr="00AD2F44">
        <w:rPr>
          <w:i/>
          <w:iCs/>
        </w:rPr>
        <w:t>In re</w:t>
      </w:r>
      <w:r w:rsidRPr="00AD2F44">
        <w:t xml:space="preserve"> American Family Mut. Ins. Co. Overtime Pay Litig., 638 F. Supp. 2d 1290 (D. Colo. July 28, 2009); Letouzel v. Eastman Kodak Co., 2006 WL 1455478, at *4 (W.D.N.Y. May 25, 2006).</w:t>
      </w:r>
    </w:p>
  </w:footnote>
  <w:footnote w:id="1098">
    <w:p w14:paraId="1E86992C" w14:textId="77777777" w:rsidR="004322B1" w:rsidRPr="00AD2F44" w:rsidRDefault="004322B1">
      <w:pPr>
        <w:pStyle w:val="14Footnote"/>
      </w:pPr>
      <w:r w:rsidRPr="00AD2F44">
        <w:rPr>
          <w:vertAlign w:val="superscript"/>
        </w:rPr>
        <w:footnoteRef/>
      </w:r>
      <w:r w:rsidRPr="00AD2F44">
        <w:t>Glewwe v. Eastman Kodak Co., 2006 WL 1455476, at *4 (W.D.N.Y. May 25, 2006) (assuming based on large number of different states’ laws at issue that there would be novel or complex issues); Letouzel v. Eastman Kodak Co., 2006 WL 1455478, at *4 (W.D.N.Y. May 25, 2006); Neary v. Metropolitan Prop. &amp; Cas. Ins. Co., 472 F. Supp. 2d 247, 252–53 (D. Conn. 2007) (finding novel or complex issues under two states’ laws and predicting that there would be novel or complex issues raised by other state law claims as well).</w:t>
      </w:r>
    </w:p>
  </w:footnote>
  <w:footnote w:id="1099">
    <w:p w14:paraId="2CAEFD16" w14:textId="77777777" w:rsidR="004322B1" w:rsidRPr="00AD2F44" w:rsidRDefault="004322B1">
      <w:pPr>
        <w:pStyle w:val="14Footnote"/>
      </w:pPr>
      <w:r w:rsidRPr="00AD2F44">
        <w:rPr>
          <w:vertAlign w:val="superscript"/>
        </w:rPr>
        <w:footnoteRef/>
      </w:r>
      <w:r w:rsidRPr="00AD2F44">
        <w:rPr>
          <w:i/>
        </w:rPr>
        <w:t>See</w:t>
      </w:r>
    </w:p>
    <w:p w14:paraId="502FEF23" w14:textId="77777777" w:rsidR="004322B1" w:rsidRPr="00AD2F44" w:rsidRDefault="004322B1">
      <w:pPr>
        <w:pStyle w:val="14Footnote"/>
      </w:pPr>
      <w:r w:rsidRPr="00AD2F44">
        <w:rPr>
          <w:i/>
          <w:iCs/>
        </w:rPr>
        <w:t xml:space="preserve">Second Circuit: </w:t>
      </w:r>
      <w:r w:rsidRPr="00AD2F44">
        <w:t>Whitehorn v. Wolfgang’s Steakhouse, Inc., 275 F.R.D. 193 (S.D.N.Y. 2011) (arguing claim involving tip distribution did not raise novel issue of New York state law); Lynch v. United States Auto. Ass’n, 2007 WL 3355506, at *3 (S.D.N.Y. Nov. 8, 2007) (finding that a distinction in the exemption analysis required by California and federal law does not, without more, establish that there is a novel or complex issue of state law in action involving exemption misclassification and recordkeeping claims where employer failed to show any nuances of California law that were not also implicated by the federal claim).</w:t>
      </w:r>
    </w:p>
    <w:p w14:paraId="59F5E9C1" w14:textId="77777777" w:rsidR="004322B1" w:rsidRPr="00AD2F44" w:rsidRDefault="004322B1">
      <w:pPr>
        <w:pStyle w:val="14Footnote"/>
      </w:pPr>
      <w:r w:rsidRPr="00AD2F44">
        <w:rPr>
          <w:i/>
          <w:iCs/>
        </w:rPr>
        <w:t xml:space="preserve">Third Circuit: </w:t>
      </w:r>
      <w:r w:rsidRPr="00AD2F44">
        <w:t>Bates v. Delaware Health Corp., 874 F. Supp. 2d 405 (D. Del. 2012) (finding state law claim did not appear to involve complex legal issues and, in any event, Delaware Supreme Court provides prompt rulings on questions certified by federal courts).</w:t>
      </w:r>
    </w:p>
    <w:p w14:paraId="4A157B5C" w14:textId="77777777" w:rsidR="004322B1" w:rsidRPr="00AD2F44" w:rsidRDefault="004322B1">
      <w:pPr>
        <w:pStyle w:val="14Footnote"/>
      </w:pPr>
      <w:r w:rsidRPr="00AD2F44">
        <w:rPr>
          <w:i/>
          <w:iCs/>
        </w:rPr>
        <w:t xml:space="preserve">Ninth Circuit: </w:t>
      </w:r>
      <w:r w:rsidRPr="00AD2F44">
        <w:t>Wang v. Chinese Daily News, Inc., 623 F.3d 743, 761 (9th Cir. 2010) (finding state law unfair competition claim predicated on failure to pay overtime or provide meal periods did not pose novel questions of state law where state law claims closely related),</w:t>
      </w:r>
      <w:r w:rsidRPr="00AD2F44">
        <w:rPr>
          <w:i/>
          <w:iCs/>
        </w:rPr>
        <w:t xml:space="preserve"> vacated on other grounds</w:t>
      </w:r>
      <w:r w:rsidRPr="00AD2F44">
        <w:t>, 132 S. Ct. 74 (2011).</w:t>
      </w:r>
    </w:p>
    <w:p w14:paraId="352A67FE" w14:textId="77777777" w:rsidR="004322B1" w:rsidRPr="00AD2F44" w:rsidRDefault="004322B1">
      <w:pPr>
        <w:pStyle w:val="14Footnote"/>
      </w:pPr>
      <w:r w:rsidRPr="00AD2F44">
        <w:rPr>
          <w:i/>
          <w:iCs/>
        </w:rPr>
        <w:t xml:space="preserve">D.C. Circuit: </w:t>
      </w:r>
      <w:r w:rsidRPr="00AD2F44">
        <w:t>Lindsay v. Government Emps. Ins. Co., 448 F.3d 416, 424 (D.C. Cir. 2006) (agreeing that exemption misclassification claim under New York law did not raise novel or complex issue of state law); Cryer v. InterSolutions, Inc., 2007 WL 1191928, at *4 (D.D.C. Apr. 20, 2007) (finding FLSA and Maryland wage and hour statute similar, that employees all worked for same employer performing same work, and claims were exactly the same).</w:t>
      </w:r>
    </w:p>
  </w:footnote>
  <w:footnote w:id="1100">
    <w:p w14:paraId="36E44082" w14:textId="77777777" w:rsidR="004322B1" w:rsidRPr="00AD2F44" w:rsidRDefault="004322B1">
      <w:pPr>
        <w:pStyle w:val="14Footnote"/>
      </w:pPr>
      <w:r w:rsidRPr="00AD2F44">
        <w:rPr>
          <w:vertAlign w:val="superscript"/>
        </w:rPr>
        <w:footnoteRef/>
      </w:r>
      <w:r w:rsidRPr="00AD2F44">
        <w:rPr>
          <w:i/>
        </w:rPr>
        <w:t>See</w:t>
      </w:r>
    </w:p>
    <w:p w14:paraId="6D8B8EC5" w14:textId="77777777" w:rsidR="004322B1" w:rsidRPr="00AD2F44" w:rsidRDefault="004322B1">
      <w:pPr>
        <w:pStyle w:val="14Footnote"/>
      </w:pPr>
      <w:r w:rsidRPr="00AD2F44">
        <w:rPr>
          <w:i/>
          <w:iCs/>
        </w:rPr>
        <w:t xml:space="preserve">Second Circuit: </w:t>
      </w:r>
      <w:r w:rsidRPr="00AD2F44">
        <w:t>Hamelin v. Faxton-St. Luke’s Healthcare, 274 F.R.D. 385, 401 (N.D.N.Y. 2011) (state law meal break and off-the-clock claims); Ouedraogo v. Durso Assocs., Inc., 2005 WL 1423308, at *2 (S.D.N.Y. June 16, 2005) (grocery store deliverymen sought to recover unpaid minimum wages and overtime wages under the FLSA and the New York Labor Law).</w:t>
      </w:r>
    </w:p>
    <w:p w14:paraId="1DF109B7" w14:textId="77777777" w:rsidR="004322B1" w:rsidRPr="00AD2F44" w:rsidRDefault="004322B1">
      <w:pPr>
        <w:pStyle w:val="14Footnote"/>
      </w:pPr>
      <w:r w:rsidRPr="00AD2F44">
        <w:rPr>
          <w:i/>
          <w:iCs/>
        </w:rPr>
        <w:t xml:space="preserve">Fourth Circuit: </w:t>
      </w:r>
      <w:r w:rsidRPr="00AD2F44">
        <w:t>McLaurin v. Prestage Foods, Inc., 271 F.R.D. 465, 471 (E.D.N.C. 2010) (holding that action under North Carolina wage statute for unpaid wages for time spent donning, doffing, and maintaining protective gear and traveling to and waiting at production line “involve[d] standard claims for regular and overtime pay that do not raise a novel or complex issue of North Carolina law”).</w:t>
      </w:r>
    </w:p>
    <w:p w14:paraId="430E658E" w14:textId="77777777" w:rsidR="004322B1" w:rsidRPr="00AD2F44" w:rsidRDefault="004322B1">
      <w:pPr>
        <w:pStyle w:val="14Footnote"/>
      </w:pPr>
      <w:r w:rsidRPr="00AD2F44">
        <w:rPr>
          <w:i/>
          <w:iCs/>
        </w:rPr>
        <w:t>Fifth Circuit:</w:t>
      </w:r>
      <w:r w:rsidRPr="00AD2F44">
        <w:t xml:space="preserve"> Lang v. DirecTV, Inc., 735 F. Supp. 2d 421, 428 (E.D. La. 2010) (state law wage and hour and tort claims not novel or complex).</w:t>
      </w:r>
    </w:p>
    <w:p w14:paraId="1A5ADBA5" w14:textId="77777777" w:rsidR="004322B1" w:rsidRPr="00AD2F44" w:rsidRDefault="004322B1">
      <w:pPr>
        <w:pStyle w:val="14Footnote"/>
      </w:pPr>
      <w:r w:rsidRPr="00AD2F44">
        <w:rPr>
          <w:i/>
          <w:iCs/>
        </w:rPr>
        <w:t xml:space="preserve">Seventh Circuit: </w:t>
      </w:r>
      <w:r w:rsidRPr="00AD2F44">
        <w:t>Ervin v. OS Rest. Servs., Inc., 632 F.3d 971, 980 (7th Cir. 2011) (claims that employer violated Illinois statutes by requiring tipped employees to perform tasks for which they could not earn tips, using money that tipped employees were required to deposit into tip pool to make up for shortages in cash registers, and demanding that tipped employees deposit an excessive amount of their tips to tip pool did not present any complex state law issues); Kuhl v. Guitar Ctr. Stores, Inc., 2008 WL 656049, at *5 (N.D. Ill. Mar. 5, 2008) (Illinois law claims for breach of contract, violation of wage payment statutes, and unjust enrichment arising from unpaid wages).</w:t>
      </w:r>
    </w:p>
    <w:p w14:paraId="2AA9015D" w14:textId="77777777" w:rsidR="004322B1" w:rsidRPr="00AD2F44" w:rsidRDefault="004322B1">
      <w:pPr>
        <w:pStyle w:val="14Footnote"/>
      </w:pPr>
      <w:r w:rsidRPr="00AD2F44">
        <w:rPr>
          <w:i/>
          <w:iCs/>
        </w:rPr>
        <w:t xml:space="preserve">Eighth Circuit: </w:t>
      </w:r>
      <w:r w:rsidRPr="00AD2F44">
        <w:t>Morales v. Greater Omaha Packing Co., Inc., 2008 WL 5255807, at *2–3 (D. Neb. Dec. 15, 2008) (claims under Nebraska statutes for unpaid time spent donning, doffing, and sanitizing clothing and equipment); Burch v. Qwest Commc’ns Int’l, Inc., 2007 WL 5307978, at *4 (D. Minn. Apr. 10, 2007) (claims under Minnesota law for unpaid time spent performing activities before and after their scheduled shifts); Salazar v. Agriprocessors, Inc., 527 F. Supp. 2d 873, 884 (N.D. Iowa 2007) (claim under Iowa Wage Payment Collection Law seeking unpaid wages and overtime wages for time spent donning and doffing protective gear, walking, and obtaining necessary tools, supplies, and equipment; “[t]here are no issues of first impression in the IWPCL claim that the Iowa courts would be better suited to answer”).</w:t>
      </w:r>
    </w:p>
    <w:p w14:paraId="30A61E02" w14:textId="77777777" w:rsidR="004322B1" w:rsidRPr="00AD2F44" w:rsidRDefault="004322B1">
      <w:pPr>
        <w:pStyle w:val="14Footnote"/>
      </w:pPr>
      <w:r w:rsidRPr="00AD2F44">
        <w:rPr>
          <w:i/>
          <w:iCs/>
        </w:rPr>
        <w:t xml:space="preserve">Ninth Circuit: </w:t>
      </w:r>
      <w:r w:rsidRPr="00AD2F44">
        <w:t>Bamonte v. City of Mesa, 2007 WL 2022011, at *3 (D. Ariz. July 10, 2007) (claims under Arizona wage and hour statutes for time spent donning and doffing clothing and equipment).</w:t>
      </w:r>
    </w:p>
    <w:p w14:paraId="6FDA08AB" w14:textId="77777777" w:rsidR="004322B1" w:rsidRPr="00AD2F44" w:rsidRDefault="004322B1">
      <w:pPr>
        <w:pStyle w:val="14Footnote"/>
      </w:pPr>
      <w:r w:rsidRPr="00AD2F44">
        <w:rPr>
          <w:i/>
          <w:iCs/>
        </w:rPr>
        <w:t xml:space="preserve">Eleventh Circuit: </w:t>
      </w:r>
      <w:r w:rsidRPr="00AD2F44">
        <w:t>Arriaga-Zacarias v. Lewis Taylor Farms, Inc., 2008 WL 5115005, at *5 (M.D. Ga. Dec. 4, 2008) (breach of contract claim under Georgia law for unpaid wages).</w:t>
      </w:r>
    </w:p>
  </w:footnote>
  <w:footnote w:id="1101">
    <w:p w14:paraId="1A8B6F13" w14:textId="77777777" w:rsidR="004322B1" w:rsidRPr="00AD2F44" w:rsidRDefault="004322B1">
      <w:pPr>
        <w:pStyle w:val="14Footnote"/>
      </w:pPr>
      <w:r w:rsidRPr="00AD2F44">
        <w:rPr>
          <w:vertAlign w:val="superscript"/>
        </w:rPr>
        <w:footnoteRef/>
      </w:r>
      <w:r w:rsidRPr="00AD2F44">
        <w:t>28 U.S.C. §1367(c)(2).</w:t>
      </w:r>
    </w:p>
  </w:footnote>
  <w:footnote w:id="1102">
    <w:p w14:paraId="7230F58E" w14:textId="77777777" w:rsidR="004322B1" w:rsidRPr="00AD2F44" w:rsidRDefault="004322B1">
      <w:pPr>
        <w:pStyle w:val="14Footnote"/>
      </w:pPr>
      <w:r w:rsidRPr="00AD2F44">
        <w:rPr>
          <w:vertAlign w:val="superscript"/>
        </w:rPr>
        <w:footnoteRef/>
      </w:r>
      <w:r w:rsidRPr="00AD2F44">
        <w:t>United Mine Workers of Am. v. Gibbs, 383 U.S. 715, 726 (1966).</w:t>
      </w:r>
    </w:p>
  </w:footnote>
  <w:footnote w:id="1103">
    <w:p w14:paraId="5B4937A1" w14:textId="77777777" w:rsidR="004322B1" w:rsidRPr="00AD2F44" w:rsidRDefault="004322B1">
      <w:pPr>
        <w:pStyle w:val="14Footnote"/>
      </w:pPr>
      <w:r w:rsidRPr="00AD2F44">
        <w:rPr>
          <w:vertAlign w:val="superscript"/>
        </w:rPr>
        <w:footnoteRef/>
      </w:r>
      <w:r w:rsidRPr="00AD2F44">
        <w:t xml:space="preserve">De Asencio v. Tyson Foods, Inc., 342 F.3d 301, 312 (3d Cir. 2003); </w:t>
      </w:r>
      <w:r w:rsidRPr="00AD2F44">
        <w:rPr>
          <w:i/>
          <w:iCs/>
        </w:rPr>
        <w:t>see</w:t>
      </w:r>
      <w:r w:rsidRPr="00AD2F44">
        <w:t xml:space="preserve"> Ruffin v. Entertainment of the E. Panhandle, 2012 WL 5472165 (N.D. W. Va. Nov. 9, 2012) (finding that because substance and basis of FLSA and state law claims were virtually indistinguishable, state law claims did not predominate); White v. Rick Bus Co., 743 F. Supp. 2d 380, 385 (D.N.J. 2010) (“</w:t>
      </w:r>
      <w:r w:rsidRPr="00AD2F44">
        <w:rPr>
          <w:i/>
          <w:iCs/>
        </w:rPr>
        <w:t xml:space="preserve">De Asencio </w:t>
      </w:r>
      <w:r w:rsidRPr="00AD2F44">
        <w:t xml:space="preserve">directs courts faced with the prospect of dual certification of a[n] FLSA class and a state law based class to determine, on a case-by-case basis, whether to exercise supplemental jurisdiction over such state law claims.”); Brothers v. Portage Nat’l Bank, 2007 WL 965835, at *4 (W.D. Pa. Mar. 29, 2007) (citing </w:t>
      </w:r>
      <w:r w:rsidRPr="00AD2F44">
        <w:rPr>
          <w:i/>
          <w:iCs/>
        </w:rPr>
        <w:t>De Asencio</w:t>
      </w:r>
      <w:r w:rsidRPr="00AD2F44">
        <w:t xml:space="preserve">); Freeman v. Hoffmann-LaRoche, Inc., 2007 WL 4440875, at *2 (D.N.J. Dec. 18, 2007) (same); Hyman v. WM Fin. Servs., Inc., 2007 WL 1657392, at *5 (D.N.J. June 7, 2007) (same); </w:t>
      </w:r>
      <w:r w:rsidRPr="00AD2F44">
        <w:rPr>
          <w:i/>
          <w:iCs/>
        </w:rPr>
        <w:t>see also</w:t>
      </w:r>
      <w:r w:rsidRPr="00AD2F44">
        <w:t xml:space="preserve"> Bamonte v. City of Mesa, 2007 WL 2022011, at *3 (D. Ariz. July 10, 2007) (“In applying any of these [28 U.S.C. §1367(c)] factors, a case-specific analysis must be undertaken ‘to determine whether declining supplemental jurisdiction comports with the underlying objective of most sensibly accommodating the values of economy, convenience, fairness and comity.’”) (quoting Bahrampour v. Lampert, 356 F.3d 969, 978 (9th Cir. 2004)).</w:t>
      </w:r>
    </w:p>
  </w:footnote>
  <w:footnote w:id="1104">
    <w:p w14:paraId="22E7FCD2" w14:textId="77777777" w:rsidR="004322B1" w:rsidRPr="00AD2F44" w:rsidRDefault="004322B1">
      <w:pPr>
        <w:pStyle w:val="14Footnote"/>
      </w:pPr>
      <w:r w:rsidRPr="00AD2F44">
        <w:rPr>
          <w:vertAlign w:val="superscript"/>
        </w:rPr>
        <w:footnoteRef/>
      </w:r>
      <w:r w:rsidRPr="00AD2F44">
        <w:rPr>
          <w:i/>
          <w:iCs/>
        </w:rPr>
        <w:t>See, e.g.,</w:t>
      </w:r>
    </w:p>
    <w:p w14:paraId="38DADC41" w14:textId="77777777" w:rsidR="004322B1" w:rsidRPr="00AD2F44" w:rsidRDefault="004322B1">
      <w:pPr>
        <w:pStyle w:val="14Footnote"/>
      </w:pPr>
      <w:r w:rsidRPr="00AD2F44">
        <w:rPr>
          <w:i/>
          <w:iCs/>
        </w:rPr>
        <w:t xml:space="preserve">Second Circuit: </w:t>
      </w:r>
      <w:r w:rsidRPr="00AD2F44">
        <w:t>Patel v. Baluchi’s Indian Rest., 2009 WL 2358620, at *6 (S.D.N.Y. July 30, 2009).</w:t>
      </w:r>
    </w:p>
    <w:p w14:paraId="3F408CE5" w14:textId="77777777" w:rsidR="004322B1" w:rsidRPr="00AD2F44" w:rsidRDefault="004322B1">
      <w:pPr>
        <w:pStyle w:val="14Footnote"/>
      </w:pPr>
      <w:r w:rsidRPr="00AD2F44">
        <w:rPr>
          <w:i/>
          <w:iCs/>
        </w:rPr>
        <w:t xml:space="preserve">Third Circuit: </w:t>
      </w:r>
      <w:r w:rsidRPr="00AD2F44">
        <w:t>Dare v. Comcast Corp., 2010 WL 2557678, at *2–3 (D.N.J. Jun. 23, 2010); Farhy v. Janney Montgomery Scott, LLC, 2007 WL 1455764, at *1 (E.D. Pa. Apr. 26, 2007); Freeman v. Hoffmann-La Roche, Inc., 2007 WL 4440875, at *3 &amp; nn.12, 13 (D.N.J. Dec. 18, 2007).</w:t>
      </w:r>
    </w:p>
    <w:p w14:paraId="2A69FA85" w14:textId="77777777" w:rsidR="004322B1" w:rsidRPr="00AD2F44" w:rsidRDefault="004322B1">
      <w:pPr>
        <w:pStyle w:val="14Footnote"/>
      </w:pPr>
      <w:r w:rsidRPr="00AD2F44">
        <w:rPr>
          <w:i/>
          <w:iCs/>
        </w:rPr>
        <w:t xml:space="preserve">Seventh Circuit: </w:t>
      </w:r>
      <w:r w:rsidRPr="00AD2F44">
        <w:t>Kuhl v. Guitar Ctr. Stores, Inc., 2008 WL 656049, at *5 (N.D. Ill. Mar. 5, 2008); Marquez v. Partylite Worldwide, Inc., 2007 WL 2461667, at *6 &amp; n.5 (N.D. Ill. Aug. 27, 2007).</w:t>
      </w:r>
    </w:p>
    <w:p w14:paraId="3EBC852D" w14:textId="77777777" w:rsidR="004322B1" w:rsidRPr="00AD2F44" w:rsidRDefault="004322B1">
      <w:pPr>
        <w:pStyle w:val="14Footnote"/>
      </w:pPr>
      <w:r w:rsidRPr="00AD2F44">
        <w:rPr>
          <w:i/>
          <w:iCs/>
        </w:rPr>
        <w:t xml:space="preserve">Eighth Circuit: </w:t>
      </w:r>
      <w:r w:rsidRPr="00AD2F44">
        <w:t>Burch v. Qwest Commc’ns Int’l, Inc., 2007 WL 5307978, at *4 (D. Minn. Apr. 10, 2007).</w:t>
      </w:r>
    </w:p>
    <w:p w14:paraId="614DE66A" w14:textId="77777777" w:rsidR="004322B1" w:rsidRPr="00AD2F44" w:rsidRDefault="004322B1">
      <w:pPr>
        <w:pStyle w:val="14Footnote"/>
      </w:pPr>
      <w:r w:rsidRPr="00AD2F44">
        <w:rPr>
          <w:i/>
          <w:iCs/>
        </w:rPr>
        <w:t xml:space="preserve">Ninth Circuit: </w:t>
      </w:r>
      <w:r w:rsidRPr="00AD2F44">
        <w:t>Silverman v. Smithkline Beecham Corp., 2007 WL 3072274, at *3 (C.D. Cal. Oct. 16, 2007); Hoffman v. Construction Prot. Servs., 2004 WL 5642136, at *7 (C.D. Cal. July 13, 2004).</w:t>
      </w:r>
    </w:p>
    <w:p w14:paraId="048D4CE6" w14:textId="77777777" w:rsidR="004322B1" w:rsidRPr="00AD2F44" w:rsidRDefault="004322B1">
      <w:pPr>
        <w:pStyle w:val="14Footnote"/>
      </w:pPr>
      <w:r w:rsidRPr="00AD2F44">
        <w:rPr>
          <w:i/>
          <w:iCs/>
        </w:rPr>
        <w:t>See also</w:t>
      </w:r>
      <w:r w:rsidRPr="00AD2F44">
        <w:t xml:space="preserve"> Lehman v. Legg Mason, Inc., 532 F. Supp. 2d 726, 732 (M.D. Pa. 2007); Chemi v. Champion Mortg., 2006 WL 454363, at *2–3 (D.N.J. Feb. 23, 2006); </w:t>
      </w:r>
      <w:r w:rsidRPr="00AD2F44">
        <w:rPr>
          <w:i/>
          <w:iCs/>
        </w:rPr>
        <w:t>cf</w:t>
      </w:r>
      <w:r w:rsidRPr="00AD2F44">
        <w:t>. Oetinger v. First Residential Mortg. Network, 2007 WL 734859, at *2 (W.D. Ky. Mar. 6, 2007) (deferring consideration of potential difficulties of hybrid action until motion for class certification was filed).</w:t>
      </w:r>
    </w:p>
  </w:footnote>
  <w:footnote w:id="1105">
    <w:p w14:paraId="3BCBC59B" w14:textId="77777777" w:rsidR="004322B1" w:rsidRPr="00AD2F44" w:rsidRDefault="004322B1">
      <w:pPr>
        <w:pStyle w:val="14Footnote"/>
      </w:pPr>
      <w:r w:rsidRPr="00AD2F44">
        <w:rPr>
          <w:vertAlign w:val="superscript"/>
        </w:rPr>
        <w:footnoteRef/>
      </w:r>
      <w:r w:rsidRPr="00AD2F44">
        <w:rPr>
          <w:i/>
          <w:iCs/>
        </w:rPr>
        <w:t xml:space="preserve">Third Circuit: </w:t>
      </w:r>
      <w:r w:rsidRPr="00AD2F44">
        <w:t>Warner v. Orleans Home Builders, Inc., 550 F. Supp. 2d 583, 589–90 (E.D. Pa. 2008) (plaintiffs’ state law claim sought to establish right to overtime pay under state law based on implied contract theory); Ramsey v. Ryan Beck &amp; Co., Inc., 2007 WL 2234567, at *4 (E.D. Pa. Aug. 1, 2007) (overtime pay action arising under FLSA and several Pennsylvania statutes; state law claims involved different legal issues and remedies from FLSA claim); Hyman v. WM Fin. Servs., Inc., 2007 WL 1657392, at *5 (D.N.J. June 7, 2007) (state law claims for impermissible deductions, commission charge-backs, late wage payments, failure to keep and maintain records, and breach of contract would predominate over FLSA claim for unpaid overtime because they involved factual and legal issues distinct from FLSA claim); Evans v. Lowe’s Home Ctrs., Inc., 2006 WL 1371073, at *6–7 (M.D. Pa. May 18, 2006) (state law claims would predominate because there were 499 FLSA opt-in plaintiffs and potentially 1,317 state law class members, and state law claims required resolution of two issues FLSA claims did not—whether there was subjective agreement to particular method of compensation, and whether any agreement was reached before work at issue was performed).</w:t>
      </w:r>
    </w:p>
    <w:p w14:paraId="1368B20A" w14:textId="77777777" w:rsidR="004322B1" w:rsidRPr="00AD2F44" w:rsidRDefault="004322B1">
      <w:pPr>
        <w:pStyle w:val="14Footnote"/>
      </w:pPr>
      <w:r w:rsidRPr="00AD2F44">
        <w:rPr>
          <w:i/>
          <w:iCs/>
        </w:rPr>
        <w:t>Fifth Circuit:</w:t>
      </w:r>
      <w:r w:rsidRPr="00AD2F44">
        <w:t xml:space="preserve"> Ridley v. Regency Vill., Inc., 2018 WL 1334813 (S.D. Tex. Mar. 15, 2018) (declining to exercise supplemental jurisdiction over Rule 23 class claims, finding quantum of proof required to assess state law contract claims substantially predominated over and exceeded that required under FLSA; holding claims should be tried separately).</w:t>
      </w:r>
    </w:p>
    <w:p w14:paraId="3282DE3C" w14:textId="77777777" w:rsidR="004322B1" w:rsidRPr="00AD2F44" w:rsidRDefault="004322B1">
      <w:pPr>
        <w:pStyle w:val="14Footnote"/>
      </w:pPr>
      <w:r w:rsidRPr="00AD2F44">
        <w:rPr>
          <w:i/>
          <w:iCs/>
        </w:rPr>
        <w:t xml:space="preserve">Ninth Circuit: </w:t>
      </w:r>
      <w:r w:rsidRPr="00AD2F44">
        <w:t>Wong v. HSBC Mortg. Corp., 2009 WL 151014, at *2–3 (N.D. Cal. Jan. 21, 2009) (plaintiffs brought 10 state law claims under laws of 3 states together with FLSA overtime claim; state law overtime claims involved exemption standards that differed from FLSA exemption standard; state law claims included claim for missed meal periods that required resolution of numerous legal and factual issues not implicated by FLSA claim, and state law claims for unlawful deductions from commissions presented a number of issues not presented by FLSA claim).</w:t>
      </w:r>
    </w:p>
    <w:p w14:paraId="61946AE7" w14:textId="77777777" w:rsidR="004322B1" w:rsidRPr="00AD2F44" w:rsidRDefault="004322B1">
      <w:pPr>
        <w:pStyle w:val="14Footnote"/>
      </w:pPr>
      <w:r w:rsidRPr="00AD2F44">
        <w:rPr>
          <w:i/>
          <w:iCs/>
        </w:rPr>
        <w:t xml:space="preserve">Tenth Circuit: In re </w:t>
      </w:r>
      <w:r w:rsidRPr="00AD2F44">
        <w:t>American Family Mut. Ins. Co. Overtime Pay Litig., 638 F. Supp. 2d 1290, 1299–1301 (D. Colo. 2009) (holding that state law claims would substantially predominate given difference in class sizes, that plaintiffs were asserting overtime claims under three different states’ overtime pay statutes, that different findings required by the state law claims could potentially cause confusion for fact finder, that plaintiffs sought injunctive relief under state laws, and that issue of entitlement to injunctive relief under different state laws was unsettled and would be best decided by those states’ own courts).</w:t>
      </w:r>
    </w:p>
    <w:p w14:paraId="15D60839" w14:textId="77777777" w:rsidR="004322B1" w:rsidRPr="00AD2F44" w:rsidRDefault="004322B1">
      <w:pPr>
        <w:pStyle w:val="14Footnote"/>
      </w:pPr>
      <w:r w:rsidRPr="00AD2F44">
        <w:rPr>
          <w:i/>
        </w:rPr>
        <w:t>See also</w:t>
      </w:r>
    </w:p>
    <w:p w14:paraId="4F062030" w14:textId="77777777" w:rsidR="004322B1" w:rsidRPr="00AD2F44" w:rsidRDefault="004322B1">
      <w:pPr>
        <w:pStyle w:val="14Footnote"/>
      </w:pPr>
      <w:r w:rsidRPr="00AD2F44">
        <w:rPr>
          <w:i/>
          <w:iCs/>
        </w:rPr>
        <w:t xml:space="preserve">Third Circuit: </w:t>
      </w:r>
      <w:r w:rsidRPr="00AD2F44">
        <w:t>Hickton v. Enterprise Rent-A-Car Co., Inc., 2008 WL 4279818, at *3 (W.D. Pa. Sept. 12, 2008) (comprehensiveness of remedies between FLSA and state claims might be different “because there may be different individuals subject to the different claims” and exercising jurisdiction would implicate Congress’ intent to limit FLSA claims to individuals who opt in).</w:t>
      </w:r>
    </w:p>
    <w:p w14:paraId="390DB518" w14:textId="77777777" w:rsidR="004322B1" w:rsidRPr="00AD2F44" w:rsidRDefault="004322B1">
      <w:pPr>
        <w:pStyle w:val="14Footnote"/>
      </w:pPr>
      <w:r w:rsidRPr="00AD2F44">
        <w:rPr>
          <w:i/>
          <w:iCs/>
        </w:rPr>
        <w:t xml:space="preserve">Sixth Circuit: </w:t>
      </w:r>
      <w:r w:rsidRPr="00AD2F44">
        <w:t>Aguilera v. Michigan Turkey Processors Coop., Inc., 2009 WL 3585722, at *2 (W.D. Mich. Oct. 28, 2009) (“Plaintiff’s breach of contract and unjust enrichment claims will require substantial proofs different from its FLSA claim. Few, if any, of the proofs required for the breach of contract and unjust enrichment claims overlap with those required for the FLSA claim.”).</w:t>
      </w:r>
    </w:p>
    <w:p w14:paraId="5DE92386" w14:textId="77777777" w:rsidR="004322B1" w:rsidRPr="00AD2F44" w:rsidRDefault="004322B1">
      <w:pPr>
        <w:pStyle w:val="14Footnote"/>
      </w:pPr>
      <w:r w:rsidRPr="00AD2F44">
        <w:rPr>
          <w:i/>
          <w:iCs/>
        </w:rPr>
        <w:t xml:space="preserve">Ninth Circuit: </w:t>
      </w:r>
      <w:r w:rsidRPr="00AD2F44">
        <w:t>Wiley v. Trendwest Resorts, Inc., 2005 WL 1030220, at *5 (N.D. Cal. May 3, 2005) (claims for unlawful deductions from commissions, failure to reimburse business expenses, and unjust enrichment would predominate because they were unrelated to FLSA overtime claim).</w:t>
      </w:r>
    </w:p>
  </w:footnote>
  <w:footnote w:id="1106">
    <w:p w14:paraId="5404A24C" w14:textId="77777777" w:rsidR="004322B1" w:rsidRPr="00AD2F44" w:rsidRDefault="004322B1">
      <w:pPr>
        <w:pStyle w:val="14Footnote"/>
      </w:pPr>
      <w:r w:rsidRPr="00AD2F44">
        <w:rPr>
          <w:vertAlign w:val="superscript"/>
        </w:rPr>
        <w:footnoteRef/>
      </w:r>
      <w:r w:rsidRPr="00AD2F44">
        <w:t>342 F.3d 301 (3d Cir. 2003).</w:t>
      </w:r>
    </w:p>
  </w:footnote>
  <w:footnote w:id="1107">
    <w:p w14:paraId="50D3168C" w14:textId="77777777" w:rsidR="004322B1" w:rsidRPr="00AD2F44" w:rsidRDefault="004322B1">
      <w:pPr>
        <w:pStyle w:val="14Footnote"/>
      </w:pPr>
      <w:r w:rsidRPr="00AD2F44">
        <w:rPr>
          <w:vertAlign w:val="superscript"/>
        </w:rPr>
        <w:footnoteRef/>
      </w:r>
      <w:r w:rsidRPr="00AD2F44">
        <w:rPr>
          <w:i/>
          <w:iCs/>
        </w:rPr>
        <w:t>Id</w:t>
      </w:r>
      <w:r w:rsidRPr="00AD2F44">
        <w:t>. at 309.</w:t>
      </w:r>
    </w:p>
  </w:footnote>
  <w:footnote w:id="1108">
    <w:p w14:paraId="4D14EA00" w14:textId="77777777" w:rsidR="004322B1" w:rsidRPr="00AD2F44" w:rsidRDefault="004322B1">
      <w:pPr>
        <w:pStyle w:val="14Footnote"/>
      </w:pPr>
      <w:r w:rsidRPr="00AD2F44">
        <w:rPr>
          <w:vertAlign w:val="superscript"/>
        </w:rPr>
        <w:footnoteRef/>
      </w:r>
      <w:r w:rsidRPr="00AD2F44">
        <w:rPr>
          <w:i/>
          <w:iCs/>
        </w:rPr>
        <w:t>Id</w:t>
      </w:r>
      <w:r w:rsidRPr="00AD2F44">
        <w:t>. at 309–10 (footnote omitted).</w:t>
      </w:r>
    </w:p>
  </w:footnote>
  <w:footnote w:id="1109">
    <w:p w14:paraId="3661E67B" w14:textId="77777777" w:rsidR="004322B1" w:rsidRPr="00AD2F44" w:rsidRDefault="004322B1">
      <w:pPr>
        <w:pStyle w:val="14Footnote"/>
      </w:pPr>
      <w:r w:rsidRPr="00AD2F44">
        <w:rPr>
          <w:vertAlign w:val="superscript"/>
        </w:rPr>
        <w:footnoteRef/>
      </w:r>
      <w:r w:rsidRPr="00AD2F44">
        <w:rPr>
          <w:i/>
          <w:iCs/>
        </w:rPr>
        <w:t>Id</w:t>
      </w:r>
      <w:r w:rsidRPr="00AD2F44">
        <w:t>. at 310–11.</w:t>
      </w:r>
    </w:p>
  </w:footnote>
  <w:footnote w:id="1110">
    <w:p w14:paraId="64D3C669" w14:textId="77777777" w:rsidR="004322B1" w:rsidRPr="00AD2F44" w:rsidRDefault="004322B1">
      <w:pPr>
        <w:pStyle w:val="14Footnote"/>
      </w:pPr>
      <w:r w:rsidRPr="00AD2F44">
        <w:rPr>
          <w:vertAlign w:val="superscript"/>
        </w:rPr>
        <w:footnoteRef/>
      </w:r>
      <w:r w:rsidRPr="00AD2F44">
        <w:rPr>
          <w:i/>
          <w:iCs/>
        </w:rPr>
        <w:t>Id</w:t>
      </w:r>
      <w:r w:rsidRPr="00AD2F44">
        <w:t>. at 311.</w:t>
      </w:r>
    </w:p>
  </w:footnote>
  <w:footnote w:id="1111">
    <w:p w14:paraId="2B6FA028" w14:textId="77777777" w:rsidR="004322B1" w:rsidRPr="00AD2F44" w:rsidRDefault="004322B1">
      <w:pPr>
        <w:pStyle w:val="14Footnote"/>
      </w:pPr>
      <w:r w:rsidRPr="00AD2F44">
        <w:rPr>
          <w:vertAlign w:val="superscript"/>
        </w:rPr>
        <w:footnoteRef/>
      </w:r>
      <w:r w:rsidRPr="00AD2F44">
        <w:rPr>
          <w:i/>
          <w:iCs/>
        </w:rPr>
        <w:t>Id</w:t>
      </w:r>
      <w:r w:rsidRPr="00AD2F44">
        <w:t>. at 310 (internal quotes omitted).</w:t>
      </w:r>
    </w:p>
  </w:footnote>
  <w:footnote w:id="1112">
    <w:p w14:paraId="745FFB97" w14:textId="77777777" w:rsidR="004322B1" w:rsidRPr="00CA6DD8" w:rsidRDefault="004322B1">
      <w:pPr>
        <w:pStyle w:val="14Footnote"/>
      </w:pPr>
      <w:r w:rsidRPr="00AD2F44">
        <w:rPr>
          <w:vertAlign w:val="superscript"/>
        </w:rPr>
        <w:footnoteRef/>
      </w:r>
      <w:r w:rsidRPr="00CA6DD8">
        <w:t>De Asencio v. Tyson Foods, Inc., 342 F.3d 301, 310–11 (3d Cir. 2003).</w:t>
      </w:r>
    </w:p>
  </w:footnote>
  <w:footnote w:id="1113">
    <w:p w14:paraId="2143C0A0" w14:textId="77777777" w:rsidR="004322B1" w:rsidRPr="00AD2F44" w:rsidRDefault="004322B1">
      <w:pPr>
        <w:pStyle w:val="14Footnote"/>
      </w:pPr>
      <w:r w:rsidRPr="00AD2F44">
        <w:rPr>
          <w:vertAlign w:val="superscript"/>
        </w:rPr>
        <w:footnoteRef/>
      </w:r>
      <w:r w:rsidRPr="00AD2F44">
        <w:rPr>
          <w:i/>
          <w:iCs/>
        </w:rPr>
        <w:t xml:space="preserve">Id. </w:t>
      </w:r>
      <w:r w:rsidRPr="00AD2F44">
        <w:t xml:space="preserve">at 310. </w:t>
      </w:r>
    </w:p>
  </w:footnote>
  <w:footnote w:id="1114">
    <w:p w14:paraId="3F417BD6" w14:textId="77777777" w:rsidR="004322B1" w:rsidRPr="00AD2F44" w:rsidRDefault="004322B1">
      <w:pPr>
        <w:pStyle w:val="14Footnote"/>
      </w:pPr>
      <w:r w:rsidRPr="00AD2F44">
        <w:rPr>
          <w:vertAlign w:val="superscript"/>
        </w:rPr>
        <w:footnoteRef/>
      </w:r>
      <w:r w:rsidRPr="00AD2F44">
        <w:rPr>
          <w:i/>
          <w:iCs/>
        </w:rPr>
        <w:t>Id</w:t>
      </w:r>
      <w:r w:rsidRPr="00AD2F44">
        <w:t>. at 311.</w:t>
      </w:r>
    </w:p>
  </w:footnote>
  <w:footnote w:id="1115">
    <w:p w14:paraId="4E38A60B" w14:textId="77777777" w:rsidR="004322B1" w:rsidRPr="00AD2F44" w:rsidRDefault="004322B1">
      <w:pPr>
        <w:pStyle w:val="14Footnote"/>
      </w:pPr>
      <w:r w:rsidRPr="00AD2F44">
        <w:rPr>
          <w:vertAlign w:val="superscript"/>
        </w:rPr>
        <w:footnoteRef/>
      </w:r>
      <w:r w:rsidRPr="00AD2F44">
        <w:rPr>
          <w:i/>
          <w:iCs/>
        </w:rPr>
        <w:t>Id</w:t>
      </w:r>
      <w:r w:rsidRPr="00AD2F44">
        <w:t>. at 312.</w:t>
      </w:r>
    </w:p>
  </w:footnote>
  <w:footnote w:id="1116">
    <w:p w14:paraId="6E46E403" w14:textId="77777777" w:rsidR="004322B1" w:rsidRPr="00AD2F44" w:rsidRDefault="004322B1">
      <w:pPr>
        <w:pStyle w:val="14Footnote"/>
      </w:pPr>
      <w:r w:rsidRPr="00AD2F44">
        <w:rPr>
          <w:vertAlign w:val="superscript"/>
        </w:rPr>
        <w:footnoteRef/>
      </w:r>
      <w:r w:rsidRPr="00AD2F44">
        <w:rPr>
          <w:i/>
          <w:iCs/>
        </w:rPr>
        <w:t>Id</w:t>
      </w:r>
      <w:r w:rsidRPr="00AD2F44">
        <w:t>. at 304–05, 311–12.</w:t>
      </w:r>
    </w:p>
  </w:footnote>
  <w:footnote w:id="1117">
    <w:p w14:paraId="30A63623" w14:textId="77777777" w:rsidR="004322B1" w:rsidRPr="00AD2F44" w:rsidRDefault="004322B1">
      <w:pPr>
        <w:pStyle w:val="14Footnote"/>
      </w:pPr>
      <w:r w:rsidRPr="00AD2F44">
        <w:rPr>
          <w:vertAlign w:val="superscript"/>
        </w:rPr>
        <w:footnoteRef/>
      </w:r>
      <w:r w:rsidRPr="00AD2F44">
        <w:rPr>
          <w:i/>
          <w:iCs/>
        </w:rPr>
        <w:t>Id</w:t>
      </w:r>
      <w:r w:rsidRPr="00AD2F44">
        <w:t xml:space="preserve">. at 312. The Third Circuit also noted that the PWPCL claim came with broader remedies than the FLSA, which provides only for unpaid overtime, and that this factor too supported a finding that the state claims substantially predominated. But the court stated that it was limiting its focus to “the terms of proof and scope of the issues raised” as discussed above. </w:t>
      </w:r>
      <w:r w:rsidRPr="00AD2F44">
        <w:rPr>
          <w:i/>
          <w:iCs/>
        </w:rPr>
        <w:t>Id</w:t>
      </w:r>
      <w:r w:rsidRPr="00AD2F44">
        <w:t>. at 309 n.13.</w:t>
      </w:r>
    </w:p>
  </w:footnote>
  <w:footnote w:id="1118">
    <w:p w14:paraId="737797AE" w14:textId="77777777" w:rsidR="004322B1" w:rsidRPr="00AD2F44" w:rsidRDefault="004322B1">
      <w:pPr>
        <w:pStyle w:val="14Footnote"/>
      </w:pPr>
      <w:r w:rsidRPr="00AD2F44">
        <w:rPr>
          <w:vertAlign w:val="superscript"/>
        </w:rPr>
        <w:footnoteRef/>
      </w:r>
      <w:r w:rsidRPr="00AD2F44">
        <w:rPr>
          <w:i/>
          <w:iCs/>
        </w:rPr>
        <w:t>See</w:t>
      </w:r>
      <w:r w:rsidRPr="00AD2F44">
        <w:t xml:space="preserve"> Hasken v. City of Louisville, 213 F.R.D. 280, 283 (W.D. Ky. 2003) (involving 1,000 state law class members and 20 FLSA class members); Jackson v. City of San Antonio, 220 F.R.D. 55, 60–61 (W.D. Tex. 2003) (finding that state law class would dwarf number of individuals expected to opt in to FLSA claim, retaining jurisdiction would contradict congressional intent requiring individuals to opt in to FLSA claims, and remanding state claims was “the superior means to economy, convenience, fairness, and comity”); </w:t>
      </w:r>
      <w:r w:rsidRPr="00AD2F44">
        <w:rPr>
          <w:i/>
          <w:iCs/>
        </w:rPr>
        <w:t>cf</w:t>
      </w:r>
      <w:r w:rsidRPr="00AD2F44">
        <w:t>. Riddle v. National Sec. Agency, Inc., 2007 WL 2746597, at *3 (N.D. Ill. Sept. 13, 2007) (finding that “in the extremely likely event that the number of employees who choose to opt-in to the FLSA class is significantly smaller than the Rule 23 class, the rationale for exercising supplemental jurisdiction over the state claims disappears”); Leuthold v. Destination Am., Inc., 224 F.R.D. 462, 470 (N.D. Cal. 2004) (noting that request for Rule 23 class certification implicated substantial predominance issue in event Rule 23 class encompassed significantly larger number of individuals than FLSA claim).</w:t>
      </w:r>
    </w:p>
  </w:footnote>
  <w:footnote w:id="1119">
    <w:p w14:paraId="4E02EC8A" w14:textId="77777777" w:rsidR="004322B1" w:rsidRPr="00AD2F44" w:rsidRDefault="004322B1">
      <w:pPr>
        <w:pStyle w:val="14Footnote"/>
      </w:pPr>
      <w:r w:rsidRPr="00AD2F44">
        <w:rPr>
          <w:vertAlign w:val="superscript"/>
        </w:rPr>
        <w:footnoteRef/>
      </w:r>
      <w:r w:rsidRPr="00AD2F44">
        <w:rPr>
          <w:i/>
          <w:iCs/>
        </w:rPr>
        <w:t>See, e.g</w:t>
      </w:r>
      <w:r w:rsidRPr="00AD2F44">
        <w:t>., Bartleson v. Winnebago Indus., Inc., 219 F.R.D. 629, 635–37 (N.D. Iowa 2003); Zelaya v. J.M. Macias, Inc., 999 F. Supp. 778, 782–83 (E.D.N.C. 1998).</w:t>
      </w:r>
    </w:p>
  </w:footnote>
  <w:footnote w:id="1120">
    <w:p w14:paraId="61394D90" w14:textId="77777777" w:rsidR="004322B1" w:rsidRPr="00AD2F44" w:rsidRDefault="004322B1">
      <w:pPr>
        <w:pStyle w:val="14Footnote"/>
      </w:pPr>
      <w:r w:rsidRPr="00AD2F44">
        <w:rPr>
          <w:vertAlign w:val="superscript"/>
        </w:rPr>
        <w:footnoteRef/>
      </w:r>
      <w:r w:rsidRPr="00AD2F44">
        <w:rPr>
          <w:i/>
          <w:iCs/>
        </w:rPr>
        <w:t>See</w:t>
      </w:r>
      <w:r w:rsidRPr="00AD2F44">
        <w:t xml:space="preserve"> Neary v. Metropolitan Prop. &amp; Cas. Ins. Co., 472 F. Supp. 2d 247, 251–53 (D. Conn. 2007) (involving misclassification claims under all 50 states’ laws, some of which would raise novel or complex issues of state law); Aquilino v. Home Depot U.S.A., Inc., 2006 WL 2023539, at *3 (D.N.J. July 16, 2006) (involving overtime misclassification claims under 25 states’ laws).</w:t>
      </w:r>
    </w:p>
  </w:footnote>
  <w:footnote w:id="1121">
    <w:p w14:paraId="6E616893" w14:textId="77777777" w:rsidR="004322B1" w:rsidRPr="00AD2F44" w:rsidRDefault="004322B1">
      <w:pPr>
        <w:pStyle w:val="14Footnote"/>
      </w:pPr>
      <w:r w:rsidRPr="00AD2F44">
        <w:rPr>
          <w:vertAlign w:val="superscript"/>
        </w:rPr>
        <w:footnoteRef/>
      </w:r>
      <w:r w:rsidRPr="00AD2F44">
        <w:rPr>
          <w:i/>
          <w:iCs/>
        </w:rPr>
        <w:t>First Circuit:</w:t>
      </w:r>
      <w:r w:rsidRPr="00AD2F44">
        <w:t xml:space="preserve"> McLaughlin v. Liberty Mut. Ins. Co., 224 F.R.D. 304, 312–13 (D. Mass. 2004) (“sound reasons of judicial economy favor[ed]” exercise of jurisdiction; exercising jurisdiction would allow federal court to hear both federal and state claims, state law claim relied on same set of facts as FLSA claim, there was already another nationwide FLSA action before court that was larger than proposed state law class, and federal court already was familiar with the nationwide action).</w:t>
      </w:r>
    </w:p>
    <w:p w14:paraId="29F5B262" w14:textId="77777777" w:rsidR="004322B1" w:rsidRPr="00AD2F44" w:rsidRDefault="004322B1">
      <w:pPr>
        <w:pStyle w:val="14Footnote"/>
      </w:pPr>
      <w:r w:rsidRPr="00AD2F44">
        <w:rPr>
          <w:i/>
          <w:iCs/>
        </w:rPr>
        <w:t>Second Circuit:</w:t>
      </w:r>
      <w:r w:rsidRPr="00AD2F44">
        <w:t xml:space="preserve"> Shahriar v. Smith &amp; Wollensky Rest. Grp., Inc., 659 F.3d 234 (2d Cir. 2011) (state law claim does not substantially predominate over FLSA claim where FLSA and state law use similar standard to determine participation in tip pool); Colozzi v. St. Joseph’s Hosp. Health Ctr., 275 F.R.D. 75, 91 (N.D.N.Y. 2011) (FLSA and state law claims “based on same allegedly unlawful policies” support supplemental jurisdiction); Patel v. Baluchi’s Indian Rest., 2009 WL 2358620, at *5 (S.D.N.Y. July 30, 2009) (at stage when there were 18 FLSA opt-in class members with state law claims for minimum wage and overtime violations, deprivation of tips, failure to pay wages, “spread of hours” violations, and “unlawful deductions,” and FLSA claims for minimum wage and overtime violations and deprivation of tips, court could not find that state law claims would substantially predominate, even though state law claims would undoubtedly require additional discovery beyond what FLSA claims required; court also found that factors of economy, convenience, fairness, and comity dictate that the court hear claims in one action rather than forcing plaintiffs to bring parallel claims in federal and state courts); Guzman v. VLM, Inc., 2008 WL 597186, at *9 (E.D.N.Y. Mar. 2, 2008) (finding that “the values of judicial economy, convenience, and fairness all favor exercising supplemental jurisdiction,” and explaining that “[t]o the extent that employees may feel intimidated about volunteering to participate in an action as suggested by the plaintiffs, fairness counsels in favor of exercising supplemental jurisdiction to hear their claims”); Brickey v. Dolgencorp, 244 F.R.D. 176, 178 (W.D.N.Y. 2007) (concluding that state law claims would not predominate and that exercising jurisdiction over claims that were “largely parallel to the FLSA” was in interests of judicial economy, convenience, and fairness); Duchene v. Michael L. Cetta, Inc., 244 F.R.D. 202, 203 (S.D.N.Y. 2007) (court found no indication that state claims would predominate, noting that similar claims for unlawful diversion of tips had been tried together in other district courts); Chan v. Triple 8 Palace, 2004 WL 1161299, at *3 (S.D.N.Y. May 24, 2004) (“the very same acts of the defendants that are alleged to violate federal law form the basis of the state claims” and “[r]equiring separate federal and state cases to litigate these claims would be wasteful and foolish”; rejecting argument that state law claims would predominate because they had longer statutes of limitations and could yield greater recoveries than FLSA claims); Ansoumana v. Gristede’s Operating Corp., 201 F.R.D. 81, 89–90, 95 (S.D.N.Y. 2001) (reasoning that “the essential facts and issues are likely to be the same [between the state and federal claims], and pre-trial proceedings are not likely to be materially more burdensome, nor is it likely that a trial will be materially prolonged, if supplemental jurisdiction is exercised over related Minimum Wage Act claims”; court rejected argument that state law claims would predominate due to longer statute of limitations, noting that “the existence of a longer statute of limitations in a related state claim is not a unique phenomenon, and district courts commonly exercise supplemental jurisdiction in such circumstances”; further reasoning that exercising jurisdiction was warranted by considerations of efficiency and economy); Brzychnalski v. Unesco, Inc., 35 F. Supp. 2d 351, 353–54 (S.D.N.Y. 1999) (despite different statutes of limitations, and in view of overlap between claims, court found no bar to exercising jurisdiction and no reason why claims should be separately litigated in two different courts).</w:t>
      </w:r>
    </w:p>
    <w:p w14:paraId="51C9317E" w14:textId="77777777" w:rsidR="004322B1" w:rsidRPr="00AD2F44" w:rsidRDefault="004322B1">
      <w:pPr>
        <w:pStyle w:val="14Footnote"/>
      </w:pPr>
      <w:r w:rsidRPr="00AD2F44">
        <w:rPr>
          <w:i/>
          <w:iCs/>
        </w:rPr>
        <w:t>Third Circuit:</w:t>
      </w:r>
      <w:r w:rsidRPr="00AD2F44">
        <w:t xml:space="preserve"> Bates v. Delaware Health Corp., 874 F. Supp. 2d 405 (D. Del. 2012) (where number of people in FLSA class consisted of more than half of members of state law class, concluding that state law issues did not predominate over federal law issues); Goldman v. Radioshack Corp., 2003 WL 21250571, at *5 (E.D. Pa. Apr. 16, 2003) (where federal and state law claims were parallel, having state law claim litigated in state court could result in one claim having preclusive effects over the other, or alternatively, could result in conflicting outcomes on same legal issue, and declining jurisdiction would “needlessly increase litigation expenses for both parties”).</w:t>
      </w:r>
    </w:p>
    <w:p w14:paraId="2E7C8B16" w14:textId="77777777" w:rsidR="004322B1" w:rsidRPr="00AD2F44" w:rsidRDefault="004322B1">
      <w:pPr>
        <w:pStyle w:val="14Footnote"/>
      </w:pPr>
      <w:r w:rsidRPr="00AD2F44">
        <w:rPr>
          <w:i/>
          <w:iCs/>
        </w:rPr>
        <w:t>Fourth Circuit:</w:t>
      </w:r>
      <w:r w:rsidRPr="00AD2F44">
        <w:t xml:space="preserve"> Ruffin v. Entertainment of the E. Panhandle, 2012 WL 5472165 (N.D. W. Va. Nov. 9, 2012) (finding that because substance and basis of FLSA and state law claims were virtually indistinguishable, state law claims did not predominate); Calderon</w:t>
      </w:r>
      <w:r w:rsidRPr="00AD2F44">
        <w:rPr>
          <w:i/>
          <w:iCs/>
        </w:rPr>
        <w:t xml:space="preserve"> </w:t>
      </w:r>
      <w:r w:rsidRPr="00AD2F44">
        <w:t>v. GEICO Gen. Ins. Co.,</w:t>
      </w:r>
      <w:r w:rsidRPr="00AD2F44">
        <w:rPr>
          <w:i/>
          <w:iCs/>
        </w:rPr>
        <w:t xml:space="preserve"> </w:t>
      </w:r>
      <w:r w:rsidRPr="00AD2F44">
        <w:t>279 F.R.D. 337, 344 (D. Md. 2012) (finding state law claims do not predominate when there are more state class members if the state claims are predicated on the same facts supporting the FLSA claims); McLaurin v. Prestage Foods, Inc., 271 F.R.D. 465, 471–72 (E.D.N.C. 2010) (“[T]he substance and basis of the FLSA claims and the state law claims are virtually indistinguishable. Because the state law claims ‘essentially replicate the FLSA claims[,]’” the state law claims “plainly do not predominate”; efficiency, judicial economy, and convenience of parties would be served by exercise of jurisdiction given that claims were based on same facts and would likely succeed or fail together) (quoting Lindsay v. Government Emps. Ins. Co., 448 F.3d 416, 425 (D.C. Cir. 2006)); Beltran-Benitez v. Sea Safari, Ltd., 180 F. Supp. 2d 772, 774 (E.D.N.C. 2001) (court retained supplemental jurisdiction because both claims raised same basic grievance that plaintiffs were not paid amount required under FLSA or state law, and neither pretrial nor trial proceedings would be materially impacted by proceeding with both federal and state law claims).</w:t>
      </w:r>
    </w:p>
    <w:p w14:paraId="7AF09C70" w14:textId="77777777" w:rsidR="004322B1" w:rsidRPr="00AD2F44" w:rsidRDefault="004322B1">
      <w:pPr>
        <w:pStyle w:val="14Footnote"/>
      </w:pPr>
      <w:r w:rsidRPr="00AD2F44">
        <w:rPr>
          <w:i/>
          <w:iCs/>
        </w:rPr>
        <w:t xml:space="preserve">Fifth Circuit: </w:t>
      </w:r>
      <w:r w:rsidRPr="00AD2F44">
        <w:t>Lang v. DirecTV, Inc., 735 F. Supp. 2d 421, 428 (E.D. La. 2010) (state law claims did not predominate over FLSA claims where all claims involved same facts and evidence).</w:t>
      </w:r>
    </w:p>
    <w:p w14:paraId="7BAE5F88" w14:textId="77777777" w:rsidR="004322B1" w:rsidRPr="00AD2F44" w:rsidRDefault="004322B1">
      <w:pPr>
        <w:pStyle w:val="14Footnote"/>
      </w:pPr>
      <w:r w:rsidRPr="00AD2F44">
        <w:rPr>
          <w:i/>
          <w:iCs/>
        </w:rPr>
        <w:t>Seventh Circuit:</w:t>
      </w:r>
      <w:r w:rsidRPr="00AD2F44">
        <w:t xml:space="preserve"> Ervin v. OS Rest. Servs., Inc., 632 F.3d 971, 980 (7th Cir. 2011) (holding that disparate numbers of claimants does not control where the state claims virtually replicate the federal claims).</w:t>
      </w:r>
    </w:p>
    <w:p w14:paraId="6B93E581" w14:textId="77777777" w:rsidR="004322B1" w:rsidRPr="00AD2F44" w:rsidRDefault="004322B1">
      <w:pPr>
        <w:pStyle w:val="14Footnote"/>
      </w:pPr>
      <w:r w:rsidRPr="00AD2F44">
        <w:rPr>
          <w:i/>
          <w:iCs/>
        </w:rPr>
        <w:t>Eighth Circuit:</w:t>
      </w:r>
      <w:r w:rsidRPr="00AD2F44">
        <w:t xml:space="preserve"> Bass v. PJCOMN Acquisition Corp., 2011 WL 2149602 (D. Colo. June 1, 2011) (evidence relevant to FLSA and state law minimum wage claims essentially same; would be inefficient to force employees to file parallel state law action); Cortez v. Nebraska Beef, Inc., 266 F.R.D. 275, 285–86 (D. Neb. 2010) (state law claims essentially replicate FLSA claims; both sets of claims involve same pay policy or practice, and, under those circumstances, state law claims could not be found to be novel and complex in comparison to FLSA claims); Nerland v. Caribou Coffee Co., Inc., 564 F. Supp. 2d 1010, 1029 (D. Minn. 2007) (state law class would not be much larger than FLSA class and state and federal claims were very similar); Salazar v. Agriprocessors, Inc., 527 F. Supp. 2d 873, 844 &amp; n.4, 887 (N.D. Iowa 2007) (where the size of the FLSA and IWPCL classes unknown, court found that the state law claims did not predominate and that the relevant factors, namely the similarity of the claims, weighed in favor of exercising jurisdiction, as did interest in conserving judicial resources; court noted that it might later consider whether sheer difference in numbers between two classes constituted substantial predomination, but that such examination would be premature at present stage of litigation).</w:t>
      </w:r>
    </w:p>
    <w:p w14:paraId="23D884DE" w14:textId="77777777" w:rsidR="004322B1" w:rsidRPr="00AD2F44" w:rsidRDefault="004322B1">
      <w:pPr>
        <w:pStyle w:val="14Footnote"/>
      </w:pPr>
      <w:r w:rsidRPr="00AD2F44">
        <w:rPr>
          <w:i/>
          <w:iCs/>
        </w:rPr>
        <w:t>Ninth Circuit:</w:t>
      </w:r>
      <w:r w:rsidRPr="00AD2F44">
        <w:t xml:space="preserve"> Wang v. Chinese Daily News, Inc., 623 F.3d 743, 761–62 (9th Cir. 2010), </w:t>
      </w:r>
      <w:r w:rsidRPr="00AD2F44">
        <w:rPr>
          <w:i/>
          <w:iCs/>
        </w:rPr>
        <w:t>vacated on other grounds</w:t>
      </w:r>
      <w:r w:rsidRPr="00AD2F44">
        <w:t xml:space="preserve">, 132 S. Ct. 74 (2011) (“Although the number of claimants and amount of potential damages in the … [state law] claim may have been higher, as </w:t>
      </w:r>
      <w:r w:rsidRPr="00AD2F44">
        <w:rPr>
          <w:i/>
          <w:iCs/>
        </w:rPr>
        <w:t>Lindsay</w:t>
      </w:r>
      <w:r w:rsidRPr="00AD2F44">
        <w:t xml:space="preserve"> states, ‘[p]redomination under section 1367(c)(2) relates to the type of claim and here the state law claims essentially replicate the FLSA claims—they plainly do not predominate’”) (quoting </w:t>
      </w:r>
      <w:r w:rsidRPr="00AD2F44">
        <w:rPr>
          <w:i/>
          <w:iCs/>
        </w:rPr>
        <w:t>Lindsay</w:t>
      </w:r>
      <w:r w:rsidRPr="00AD2F44">
        <w:t>, 448 F.3d at 425); Gomez v. Rossi Concrete, Inc., 270 F.R.D. 579, 587 (S.D. Cal. 2010) (supplemental jurisdiction over state law overtime claims where federal ERISA claims involved largest potential recovery and plaintiffs asserting only individual FLSA claims were not using FLSA claims “merely as a jurisdictional hook to assert state law overtime claims in federal court”); Bamonte v. City of Mesa, 2007 WL 2022011, at *3 (D. Ariz. July 10, 2007) (where substance and basis of the claims are virtually indistinguishable, even though “class action on the state-law claim would involve approximately ten times as many plaintiffs as the FLSA claims … [j]udicial economy weighs against bifurcated state and federal proceedings”); Chavez v. IBP, Inc., 2002 WL 31662302, at *2 (E.D. Wash. Oct. 28, 2002) (rejecting argument that state law claims would predominate because of disparity in size between classes and finding that only difference between FLSA and state law claims was damages at issue, which did not cause the state law claims to substantially predominate); Kelley v. SBC, Inc., 1998 WL 928302, at *15 (N.D. Cal. Nov. 13, 1998) (having two classes would not alter substance of or unduly complicate litigation, and “the efficient administration of justice” supported supplemental jurisdiction since the alternative to a hybrid action would require the parties to litigate two parallel proceedings in different courts addressing virtually identical issues).</w:t>
      </w:r>
    </w:p>
    <w:p w14:paraId="446E0DFE" w14:textId="77777777" w:rsidR="004322B1" w:rsidRPr="00AD2F44" w:rsidRDefault="004322B1">
      <w:pPr>
        <w:pStyle w:val="14Footnote"/>
      </w:pPr>
      <w:r w:rsidRPr="00AD2F44">
        <w:rPr>
          <w:i/>
          <w:iCs/>
        </w:rPr>
        <w:t>D.C. Circuit:</w:t>
      </w:r>
      <w:r w:rsidRPr="00AD2F44">
        <w:t xml:space="preserve"> Lindsay v. Government Emps. Ins. Co., 448 F.3d 416, 425 (D.C. Cir. 2006) (“Predomination under section 1367(c)(2) relates to the type of claim and here the state law claims essentially replicate the FLSA claims—they plainly do not predominate.”); Cryer v. InterSolutions, Inc., 2007 WL 1191928, at *4 (D.D.C. Apr. 20, 2007) (no likelihood that there would be “a huge disparity” in numbers such that state law class members would substantially outnumber FLSA opt-ins).</w:t>
      </w:r>
    </w:p>
  </w:footnote>
  <w:footnote w:id="1122">
    <w:p w14:paraId="4D1B9ED7" w14:textId="77777777" w:rsidR="004322B1" w:rsidRPr="00AD2F44" w:rsidRDefault="004322B1">
      <w:pPr>
        <w:pStyle w:val="14Footnote"/>
      </w:pPr>
      <w:r w:rsidRPr="00AD2F44">
        <w:rPr>
          <w:vertAlign w:val="superscript"/>
        </w:rPr>
        <w:footnoteRef/>
      </w:r>
      <w:r w:rsidRPr="00AD2F44">
        <w:rPr>
          <w:i/>
          <w:iCs/>
        </w:rPr>
        <w:t>See, e.g</w:t>
      </w:r>
      <w:r w:rsidRPr="00AD2F44">
        <w:t xml:space="preserve">., </w:t>
      </w:r>
    </w:p>
    <w:p w14:paraId="37A98894" w14:textId="77777777" w:rsidR="004322B1" w:rsidRPr="00AD2F44" w:rsidRDefault="004322B1">
      <w:pPr>
        <w:pStyle w:val="14Footnote"/>
        <w:rPr>
          <w:i/>
          <w:iCs/>
        </w:rPr>
      </w:pPr>
      <w:r w:rsidRPr="00AD2F44">
        <w:rPr>
          <w:i/>
          <w:iCs/>
        </w:rPr>
        <w:t>Second Circuit:</w:t>
      </w:r>
      <w:r w:rsidRPr="00AD2F44">
        <w:t xml:space="preserve"> Lynch v. U.S. Auto. Ass’n, 614 F. Supp. 2d 398, 402 (S.D.N.Y. 2007).</w:t>
      </w:r>
    </w:p>
    <w:p w14:paraId="7DE973DF" w14:textId="77777777" w:rsidR="004322B1" w:rsidRPr="00AD2F44" w:rsidRDefault="004322B1">
      <w:pPr>
        <w:pStyle w:val="14Footnote"/>
      </w:pPr>
      <w:r w:rsidRPr="00AD2F44">
        <w:rPr>
          <w:i/>
          <w:iCs/>
        </w:rPr>
        <w:t>Eighth Circuit:</w:t>
      </w:r>
      <w:r w:rsidRPr="00AD2F44">
        <w:t xml:space="preserve"> Morales v. Greater Omaha Packing Co., Inc., 2008 BL 307805, 2008 WL 5255807, at *3 (D. Neb. Dec. 15, 2008).</w:t>
      </w:r>
    </w:p>
    <w:p w14:paraId="000F379D" w14:textId="77777777" w:rsidR="004322B1" w:rsidRPr="00AD2F44" w:rsidRDefault="004322B1">
      <w:pPr>
        <w:pStyle w:val="14Footnote"/>
      </w:pPr>
      <w:r w:rsidRPr="00AD2F44">
        <w:rPr>
          <w:i/>
          <w:iCs/>
        </w:rPr>
        <w:t xml:space="preserve">Ninth Circuit: </w:t>
      </w:r>
      <w:r w:rsidRPr="00AD2F44">
        <w:t>Garcia v. NRI USA LLC, 2018 WL 2315962, at *3 (C.D. Cal. May 21, 2018) (holding that court can exercise supplemental jurisdiction over state law wage and hour class claims when original jurisdiction is present due to FLSA claim and state law claims do not predominate over FLSA claims).</w:t>
      </w:r>
    </w:p>
  </w:footnote>
  <w:footnote w:id="1123">
    <w:p w14:paraId="62D5306A" w14:textId="77777777" w:rsidR="004322B1" w:rsidRPr="00AD2F44" w:rsidRDefault="004322B1">
      <w:pPr>
        <w:pStyle w:val="14Footnote"/>
      </w:pPr>
      <w:r w:rsidRPr="00AD2F44">
        <w:rPr>
          <w:vertAlign w:val="superscript"/>
        </w:rPr>
        <w:footnoteRef/>
      </w:r>
      <w:r w:rsidRPr="00AD2F44">
        <w:t xml:space="preserve">Oldershaw v. Davita Healthcare Partners, Inc., 255 F. Supp. 3d 1110, 1118 (D. Colo. 2017) (in hybrid FLSA and Colorado Wage Claim Act suit, holding that FLSA and state law claims should be bifurcated and that litigation of state law claims should not occur until after resolution of FLSA claims, reasoning that “proceeding with the FLSA claims prior to state law claims accomplishes several objectives”). </w:t>
      </w:r>
    </w:p>
  </w:footnote>
  <w:footnote w:id="1124">
    <w:p w14:paraId="27AF3D0F" w14:textId="77777777" w:rsidR="004322B1" w:rsidRPr="00AD2F44" w:rsidRDefault="004322B1">
      <w:pPr>
        <w:pStyle w:val="14Footnote"/>
      </w:pPr>
      <w:r w:rsidRPr="00AD2F44">
        <w:rPr>
          <w:vertAlign w:val="superscript"/>
        </w:rPr>
        <w:footnoteRef/>
      </w:r>
      <w:r w:rsidRPr="00AD2F44">
        <w:rPr>
          <w:i/>
          <w:iCs/>
        </w:rPr>
        <w:t>See, e.g.,</w:t>
      </w:r>
    </w:p>
    <w:p w14:paraId="08C634CE" w14:textId="77777777" w:rsidR="004322B1" w:rsidRPr="00AD2F44" w:rsidRDefault="004322B1">
      <w:pPr>
        <w:pStyle w:val="14Footnote"/>
      </w:pPr>
      <w:r w:rsidRPr="00AD2F44">
        <w:rPr>
          <w:i/>
          <w:iCs/>
        </w:rPr>
        <w:t xml:space="preserve">Second Circuit: </w:t>
      </w:r>
      <w:r w:rsidRPr="00AD2F44">
        <w:t>Shahriar v. Smith &amp; Wollensky Rest. Grp., Inc., 659 F.3d 234, 246 (2d Cir. 2011) (“[W]e agree with our sister circuits that the fact that there are more class members in the state law class action than those in the FLSA collective action ‘should not lead a court to the conclusion that a state claim “substantially predominates” over the FLSA action, as section 1367(c) uses that phrase’”); Davis v. 2192 Niagara St., LLC, 2021 BL 217673, 2021 WL 8322485 (W.D.N.Y. June 9, 2021) (holding state law claims did not predominate, rejecting defendant’s argument that FLSA claim had little monetary value in comparison to state law claims, reasoning that monetary value is not valid basis to decline to exercise supplemental jurisdiction); Whitehorn v. Wolfgang’s Steakhouse, Inc., 275 F.R.D. 193, 197 (S.D.N.Y. 2011) (focusing on the type of claims rather than the number of claimants to conclude that state law claims would not predominate as they presented the same issues as the FLSA claims); Damassia v. Duane Reade, Inc., 250 F.R.D. 152, 162–63 (S.D.N.Y. 2008) (“[W]hile a federal court may decline to exercise supplemental jurisdiction where a state law claim ‘substantially predominates’ over the federal claims, such predominance refers to the type of claim, not the number of claimants.”) (citations omitted); Iglesias-Mendoza v. La Belle Farm, Inc., 239 F.R.D. 363, 375 (S.D.N.Y. 2007) (“Predominance under … §1367(c)(2) relates to the type of claim being brought rather than the size of the respective classes.”) (citing cases).</w:t>
      </w:r>
    </w:p>
    <w:p w14:paraId="36E479D6" w14:textId="77777777" w:rsidR="004322B1" w:rsidRPr="00AD2F44" w:rsidRDefault="004322B1">
      <w:pPr>
        <w:pStyle w:val="14Footnote"/>
      </w:pPr>
      <w:r w:rsidRPr="00AD2F44">
        <w:rPr>
          <w:i/>
          <w:iCs/>
        </w:rPr>
        <w:t xml:space="preserve">Fourth Circuit: </w:t>
      </w:r>
      <w:r w:rsidRPr="00AD2F44">
        <w:t>Calderon v. GEICO Gen. Ins. Co., 279 F.R.D. 337, 339 (D. Md. 2012) (state law claims did not predominate even though state class outnumbered opt-ins 77 to 9).</w:t>
      </w:r>
    </w:p>
    <w:p w14:paraId="7622C6A7" w14:textId="77777777" w:rsidR="004322B1" w:rsidRPr="00AD2F44" w:rsidRDefault="004322B1">
      <w:pPr>
        <w:pStyle w:val="14Footnote"/>
      </w:pPr>
      <w:r w:rsidRPr="00AD2F44">
        <w:rPr>
          <w:i/>
          <w:iCs/>
        </w:rPr>
        <w:t xml:space="preserve">Seventh Circuit: </w:t>
      </w:r>
      <w:r w:rsidRPr="00AD2F44">
        <w:t>Hawkins v. Securitas Sec. Servs. USA, Inc., 280 F.R.D. 388 (N.D. Ill. 2011) (state law class claims did not “predominate” even though only the two named plaintiffs had FLSA claims); Garcia v. Freedom Mortg. Corp., 274 F.R.D. 513 (D.N.J. 2011) (rejecting argument that predominance test examines number of class members).</w:t>
      </w:r>
    </w:p>
    <w:p w14:paraId="2F2BF28D" w14:textId="77777777" w:rsidR="004322B1" w:rsidRPr="00AD2F44" w:rsidRDefault="004322B1">
      <w:pPr>
        <w:pStyle w:val="14Footnote"/>
      </w:pPr>
      <w:r w:rsidRPr="00AD2F44">
        <w:rPr>
          <w:i/>
          <w:iCs/>
        </w:rPr>
        <w:t xml:space="preserve">Eighth Circuit: </w:t>
      </w:r>
      <w:r w:rsidRPr="00AD2F44">
        <w:t>Cortez v. Nebraska Beef, Inc., 266 F.R.D. 275, 286 (D. Neb. 2010) (“the relevant consideration for the defendants’ motion to dismiss is the type of claims involved, rather than the potential difference in size of the two classes”; “the potential disparity in the size of the two class[es] is an insufficient ground, by itself, to decline supplemental jurisdiction pursuant to 28 U.S.C. §1367(c)(2)”).</w:t>
      </w:r>
    </w:p>
    <w:p w14:paraId="4404C4B1" w14:textId="77777777" w:rsidR="004322B1" w:rsidRPr="00AD2F44" w:rsidRDefault="004322B1">
      <w:pPr>
        <w:pStyle w:val="14Footnote"/>
      </w:pPr>
      <w:r w:rsidRPr="00AD2F44">
        <w:rPr>
          <w:i/>
        </w:rPr>
        <w:t>See also</w:t>
      </w:r>
    </w:p>
    <w:p w14:paraId="05FAA05B" w14:textId="77777777" w:rsidR="004322B1" w:rsidRPr="00AD2F44" w:rsidRDefault="004322B1">
      <w:pPr>
        <w:pStyle w:val="14Footnote"/>
      </w:pPr>
      <w:r w:rsidRPr="00AD2F44">
        <w:rPr>
          <w:i/>
          <w:iCs/>
        </w:rPr>
        <w:t xml:space="preserve">First Circuit: </w:t>
      </w:r>
      <w:r w:rsidRPr="00AD2F44">
        <w:t>McLaughlin v. Liberty Mut. Ins. Co., 224 F.R.D. 304, 313 (D. Mass. 2004) (finding that state law claims did not substantially predominate where there were 51 state law class members and 13 FLSA opt-ins).</w:t>
      </w:r>
    </w:p>
    <w:p w14:paraId="7AE685AB" w14:textId="77777777" w:rsidR="004322B1" w:rsidRPr="00AD2F44" w:rsidRDefault="004322B1">
      <w:pPr>
        <w:pStyle w:val="14Footnote"/>
      </w:pPr>
      <w:r w:rsidRPr="00AD2F44">
        <w:rPr>
          <w:i/>
          <w:iCs/>
        </w:rPr>
        <w:t xml:space="preserve">Second Circuit: </w:t>
      </w:r>
      <w:r w:rsidRPr="00AD2F44">
        <w:t>Scholtisek v. Eldre Corp., 229 F.R.D. 381, 394 (W.D.N.Y. 2005) (finding that state law claims did not substantially predominate where there were 140 state law class members and 40 FLSA class members).</w:t>
      </w:r>
    </w:p>
    <w:p w14:paraId="78A2DD50" w14:textId="77777777" w:rsidR="004322B1" w:rsidRPr="00AD2F44" w:rsidRDefault="004322B1">
      <w:pPr>
        <w:pStyle w:val="14Footnote"/>
      </w:pPr>
      <w:r w:rsidRPr="00AD2F44">
        <w:rPr>
          <w:i/>
          <w:iCs/>
        </w:rPr>
        <w:t xml:space="preserve">Ninth Circuit: </w:t>
      </w:r>
      <w:r w:rsidRPr="00AD2F44">
        <w:t>Chavez v. IBP, Inc., 2002 WL 31662302, at *2 (E.D. Wash. Oct. 28, 2002).</w:t>
      </w:r>
    </w:p>
    <w:p w14:paraId="1B11515B" w14:textId="77777777" w:rsidR="004322B1" w:rsidRPr="00AD2F44" w:rsidRDefault="004322B1">
      <w:pPr>
        <w:pStyle w:val="14Footnote"/>
        <w:rPr>
          <w:i/>
          <w:iCs/>
        </w:rPr>
      </w:pPr>
      <w:r w:rsidRPr="00AD2F44">
        <w:rPr>
          <w:i/>
          <w:iCs/>
        </w:rPr>
        <w:t>Cf.</w:t>
      </w:r>
    </w:p>
    <w:p w14:paraId="026ADD50" w14:textId="77777777" w:rsidR="004322B1" w:rsidRPr="00AD2F44" w:rsidRDefault="004322B1">
      <w:pPr>
        <w:pStyle w:val="14Footnote"/>
      </w:pPr>
      <w:r w:rsidRPr="00AD2F44">
        <w:rPr>
          <w:i/>
          <w:iCs/>
        </w:rPr>
        <w:t xml:space="preserve">Fourth Circuit: </w:t>
      </w:r>
      <w:r w:rsidRPr="00AD2F44">
        <w:t>McLaurin v. Prestage Foods, Inc., 271 F.R.D. 465, 471 &amp; n.4 (E.D.N.C. 2010) (recognizing that Rule 23 class could contain “many more plaintiffs than the collective action,” but focusing on “type of claims involved” rather than potential size difference at procedural stage of case where it would be premature to make an examination of potential sizes).</w:t>
      </w:r>
    </w:p>
    <w:p w14:paraId="58B903F4" w14:textId="77777777" w:rsidR="004322B1" w:rsidRPr="00AD2F44" w:rsidRDefault="004322B1">
      <w:pPr>
        <w:pStyle w:val="14Footnote"/>
      </w:pPr>
      <w:r w:rsidRPr="00AD2F44">
        <w:rPr>
          <w:i/>
          <w:iCs/>
        </w:rPr>
        <w:t xml:space="preserve">D.C. Circuit: </w:t>
      </w:r>
      <w:r w:rsidRPr="00AD2F44">
        <w:t>Lindsay v. Government Emps. Ins. Co., 448 F.3d 416, 425 n.12 (D.C. Cir. 2006) (noting that some courts have concluded that disparity in numbers between FLSA class and proposed state law class may be so great that it becomes dispositive of predomination issue, but concluding that, “[t]he correctness of this interpretation aside, we believe it is inapplicable here where the two classes are almost identical in size”).</w:t>
      </w:r>
    </w:p>
  </w:footnote>
  <w:footnote w:id="1125">
    <w:p w14:paraId="4CD982D5" w14:textId="77777777" w:rsidR="004322B1" w:rsidRPr="00AD2F44" w:rsidRDefault="004322B1">
      <w:pPr>
        <w:pStyle w:val="14Footnote"/>
      </w:pPr>
      <w:r w:rsidRPr="00AD2F44">
        <w:rPr>
          <w:vertAlign w:val="superscript"/>
        </w:rPr>
        <w:footnoteRef/>
      </w:r>
      <w:r w:rsidRPr="00AD2F44">
        <w:t>632 F.3d 971 (7th Cir. 2011).</w:t>
      </w:r>
    </w:p>
  </w:footnote>
  <w:footnote w:id="1126">
    <w:p w14:paraId="4F7CF208" w14:textId="77777777" w:rsidR="004322B1" w:rsidRPr="00AD2F44" w:rsidRDefault="004322B1">
      <w:pPr>
        <w:pStyle w:val="14Footnote"/>
      </w:pPr>
      <w:r w:rsidRPr="00AD2F44">
        <w:rPr>
          <w:vertAlign w:val="superscript"/>
        </w:rPr>
        <w:footnoteRef/>
      </w:r>
      <w:r w:rsidRPr="00AD2F44">
        <w:rPr>
          <w:i/>
          <w:iCs/>
        </w:rPr>
        <w:t>Id</w:t>
      </w:r>
      <w:r w:rsidRPr="00AD2F44">
        <w:t>. at 980.</w:t>
      </w:r>
    </w:p>
  </w:footnote>
  <w:footnote w:id="1127">
    <w:p w14:paraId="075DEFC8" w14:textId="77777777" w:rsidR="004322B1" w:rsidRPr="00AD2F44" w:rsidRDefault="004322B1">
      <w:pPr>
        <w:pStyle w:val="14Footnote"/>
      </w:pPr>
      <w:r w:rsidRPr="00AD2F44">
        <w:rPr>
          <w:vertAlign w:val="superscript"/>
        </w:rPr>
        <w:footnoteRef/>
      </w:r>
      <w:r w:rsidRPr="00AD2F44">
        <w:rPr>
          <w:i/>
          <w:iCs/>
        </w:rPr>
        <w:t>Id</w:t>
      </w:r>
      <w:r w:rsidRPr="00AD2F44">
        <w:t>. at 980–81.</w:t>
      </w:r>
    </w:p>
  </w:footnote>
  <w:footnote w:id="1128">
    <w:p w14:paraId="39C47B16" w14:textId="77777777" w:rsidR="004322B1" w:rsidRPr="00AD2F44" w:rsidRDefault="004322B1">
      <w:pPr>
        <w:pStyle w:val="14Footnote"/>
      </w:pPr>
      <w:r w:rsidRPr="00AD2F44">
        <w:rPr>
          <w:vertAlign w:val="superscript"/>
        </w:rPr>
        <w:footnoteRef/>
      </w:r>
      <w:r w:rsidRPr="00AD2F44">
        <w:rPr>
          <w:i/>
          <w:iCs/>
        </w:rPr>
        <w:t>Id</w:t>
      </w:r>
      <w:r w:rsidRPr="00AD2F44">
        <w:t>.</w:t>
      </w:r>
    </w:p>
  </w:footnote>
  <w:footnote w:id="1129">
    <w:p w14:paraId="41B2D402" w14:textId="77777777" w:rsidR="004322B1" w:rsidRPr="00AD2F44" w:rsidRDefault="004322B1">
      <w:pPr>
        <w:pStyle w:val="14Footnote"/>
      </w:pPr>
      <w:r w:rsidRPr="00AD2F44">
        <w:rPr>
          <w:vertAlign w:val="superscript"/>
        </w:rPr>
        <w:footnoteRef/>
      </w:r>
      <w:r w:rsidRPr="00AD2F44">
        <w:rPr>
          <w:i/>
          <w:iCs/>
        </w:rPr>
        <w:t>Id</w:t>
      </w:r>
      <w:r w:rsidRPr="00AD2F44">
        <w:t>. at 981.</w:t>
      </w:r>
    </w:p>
  </w:footnote>
  <w:footnote w:id="1130">
    <w:p w14:paraId="047C227A" w14:textId="77777777" w:rsidR="004322B1" w:rsidRPr="00AD2F44" w:rsidRDefault="004322B1">
      <w:pPr>
        <w:pStyle w:val="14Footnote"/>
      </w:pPr>
      <w:r w:rsidRPr="00AD2F44">
        <w:rPr>
          <w:vertAlign w:val="superscript"/>
        </w:rPr>
        <w:footnoteRef/>
      </w:r>
      <w:r w:rsidRPr="00AD2F44">
        <w:t>28 U.S.C. §1367(c)(3).</w:t>
      </w:r>
    </w:p>
  </w:footnote>
  <w:footnote w:id="1131">
    <w:p w14:paraId="29435C51" w14:textId="77777777" w:rsidR="004322B1" w:rsidRPr="00AD2F44" w:rsidRDefault="004322B1">
      <w:pPr>
        <w:pStyle w:val="14Footnote"/>
      </w:pPr>
      <w:r w:rsidRPr="00AD2F44">
        <w:rPr>
          <w:vertAlign w:val="superscript"/>
        </w:rPr>
        <w:footnoteRef/>
      </w:r>
      <w:r w:rsidRPr="00AD2F44">
        <w:t xml:space="preserve">Lundy v. Catholic Health Sys. of Long Island, Inc., 711 F.3d 106, 118 (2d Cir. 2013). </w:t>
      </w:r>
    </w:p>
  </w:footnote>
  <w:footnote w:id="1132">
    <w:p w14:paraId="18395988" w14:textId="77777777" w:rsidR="004322B1" w:rsidRPr="00AD2F44" w:rsidRDefault="004322B1">
      <w:pPr>
        <w:pStyle w:val="14Footnote"/>
      </w:pPr>
      <w:r w:rsidRPr="00AD2F44">
        <w:rPr>
          <w:vertAlign w:val="superscript"/>
        </w:rPr>
        <w:footnoteRef/>
      </w:r>
      <w:r w:rsidRPr="00AD2F44">
        <w:t xml:space="preserve">Trujillo v. Winco Foods, LLC, 2007 WL 3054001, at *2 (E.D. Cal. Oct. 19, 2007). </w:t>
      </w:r>
    </w:p>
  </w:footnote>
  <w:footnote w:id="1133">
    <w:p w14:paraId="6B2C8288" w14:textId="77777777" w:rsidR="004322B1" w:rsidRPr="00AD2F44" w:rsidRDefault="004322B1">
      <w:pPr>
        <w:pStyle w:val="14Footnote"/>
      </w:pPr>
      <w:r w:rsidRPr="00AD2F44">
        <w:rPr>
          <w:vertAlign w:val="superscript"/>
        </w:rPr>
        <w:footnoteRef/>
      </w:r>
      <w:r w:rsidRPr="00AD2F44">
        <w:t>Musarra v. Digital Dish, Inc., 454 F. Supp. 2d 692 (S.D. Ohio 2006) (dismissing FLSA claims because plaintiffs fell under Motor Carrier Act exemption); Alfonso v. Mougis Logistics Corp., 2021 BL 464822, 2021 WL 5771769 (S.D.N.Y. Dec. 6, 2021) (district court declined to exercise supplemental jurisdiction over remaining state law claims after dismissing plaintiff’s FLSA claims for failure to plausibly allege that wages fell below federal minimum wage).</w:t>
      </w:r>
    </w:p>
  </w:footnote>
  <w:footnote w:id="1134">
    <w:p w14:paraId="25988A3A" w14:textId="77777777" w:rsidR="004322B1" w:rsidRPr="00AD2F44" w:rsidRDefault="004322B1" w:rsidP="007571ED">
      <w:pPr>
        <w:pStyle w:val="14Footnote"/>
      </w:pPr>
      <w:r w:rsidRPr="00AD2F44">
        <w:rPr>
          <w:rStyle w:val="FootnoteReference"/>
        </w:rPr>
        <w:footnoteRef/>
      </w:r>
      <w:r w:rsidRPr="00AD2F44">
        <w:t xml:space="preserve">454 F. Supp. 2d 692. </w:t>
      </w:r>
    </w:p>
  </w:footnote>
  <w:footnote w:id="1135">
    <w:p w14:paraId="67FB9F6C" w14:textId="77777777" w:rsidR="004322B1" w:rsidRPr="00AD2F44" w:rsidRDefault="004322B1">
      <w:pPr>
        <w:pStyle w:val="14Footnote"/>
      </w:pPr>
      <w:r w:rsidRPr="00AD2F44">
        <w:rPr>
          <w:vertAlign w:val="superscript"/>
        </w:rPr>
        <w:footnoteRef/>
      </w:r>
      <w:r w:rsidRPr="00AD2F44">
        <w:rPr>
          <w:i/>
          <w:iCs/>
        </w:rPr>
        <w:t>Id</w:t>
      </w:r>
      <w:r w:rsidRPr="00AD2F44">
        <w:t>. at 699, 723–24.</w:t>
      </w:r>
    </w:p>
  </w:footnote>
  <w:footnote w:id="1136">
    <w:p w14:paraId="3B1FCF98" w14:textId="77777777" w:rsidR="004322B1" w:rsidRPr="00AD2F44" w:rsidRDefault="004322B1">
      <w:pPr>
        <w:pStyle w:val="14Footnote"/>
      </w:pPr>
      <w:r w:rsidRPr="00AD2F44">
        <w:rPr>
          <w:rStyle w:val="FootnoteReference"/>
        </w:rPr>
        <w:footnoteRef/>
      </w:r>
      <w:r w:rsidRPr="00AD2F44">
        <w:t xml:space="preserve">Verma v. 3001 Castor, Inc., 937 F.3d 221, 224 (3d Cir. 2019). </w:t>
      </w:r>
      <w:r w:rsidRPr="00AD2F44">
        <w:rPr>
          <w:i/>
          <w:iCs/>
        </w:rPr>
        <w:t>See also</w:t>
      </w:r>
      <w:r w:rsidRPr="00AD2F44">
        <w:t xml:space="preserve"> Green v. Platinum Rests. Mid-Am., LLC, 2020 WL 1452724 (W.D. Ky. Mar. 25, 2020) (retaining jurisdiction over state law claims after dismissal of named plaintiffs’ FLSA claims because claims arose from same conduct and were intertwined with FLSA action). </w:t>
      </w:r>
    </w:p>
  </w:footnote>
  <w:footnote w:id="1137">
    <w:p w14:paraId="4E6BE07F" w14:textId="77777777" w:rsidR="004322B1" w:rsidRPr="00AD2F44" w:rsidRDefault="004322B1">
      <w:pPr>
        <w:pStyle w:val="14Footnote"/>
      </w:pPr>
      <w:r w:rsidRPr="00AD2F44">
        <w:rPr>
          <w:vertAlign w:val="superscript"/>
        </w:rPr>
        <w:footnoteRef/>
      </w:r>
      <w:r w:rsidRPr="00AD2F44">
        <w:t>28 U.S.C. §1367(c)(4).</w:t>
      </w:r>
    </w:p>
  </w:footnote>
  <w:footnote w:id="1138">
    <w:p w14:paraId="1B903FA8" w14:textId="77777777" w:rsidR="004322B1" w:rsidRPr="00AD2F44" w:rsidRDefault="004322B1">
      <w:pPr>
        <w:pStyle w:val="14Footnote"/>
      </w:pPr>
      <w:r w:rsidRPr="00AD2F44">
        <w:rPr>
          <w:vertAlign w:val="superscript"/>
        </w:rPr>
        <w:footnoteRef/>
      </w:r>
      <w:r w:rsidRPr="00AD2F44">
        <w:t>This argument and the courts’ analysis are very similar to the incompat</w:t>
      </w:r>
      <w:r>
        <w:t>i</w:t>
      </w:r>
      <w:r w:rsidRPr="00AD2F44">
        <w:t>bility arguments addressed in §XI.C.1 [Hybrid FLSA/State Law Class Actions; Legal Challenges to Hybrid Actions; “Incompatibility”] of this chapter.</w:t>
      </w:r>
    </w:p>
  </w:footnote>
  <w:footnote w:id="1139">
    <w:p w14:paraId="07E6C981" w14:textId="77777777" w:rsidR="004322B1" w:rsidRPr="00AD2F44" w:rsidRDefault="004322B1">
      <w:pPr>
        <w:pStyle w:val="14Footnote"/>
        <w:rPr>
          <w:i/>
          <w:iCs/>
        </w:rPr>
      </w:pPr>
      <w:r w:rsidRPr="00AD2F44">
        <w:rPr>
          <w:vertAlign w:val="superscript"/>
        </w:rPr>
        <w:footnoteRef/>
      </w:r>
      <w:r w:rsidRPr="00AD2F44">
        <w:t xml:space="preserve">Lindsay v. Government Emps. Ins. Co., 448 F.3d 416, 424–25 (D.C. Cir. 2006). </w:t>
      </w:r>
      <w:r w:rsidRPr="00AD2F44">
        <w:rPr>
          <w:i/>
          <w:iCs/>
        </w:rPr>
        <w:t>Accord</w:t>
      </w:r>
    </w:p>
    <w:p w14:paraId="3BCD198E" w14:textId="77777777" w:rsidR="004322B1" w:rsidRPr="00AD2F44" w:rsidRDefault="004322B1">
      <w:pPr>
        <w:pStyle w:val="14Footnote"/>
      </w:pPr>
      <w:r w:rsidRPr="00AD2F44">
        <w:rPr>
          <w:i/>
          <w:iCs/>
        </w:rPr>
        <w:t xml:space="preserve">Second Circuit: </w:t>
      </w:r>
      <w:r w:rsidRPr="00AD2F44">
        <w:t xml:space="preserve">Shahriar v. Smith &amp; Wollensky Rest. Grp., Inc., 659 F.3d 234, 247–49 (2d Cir. 2011) (agreeing with </w:t>
      </w:r>
      <w:r w:rsidRPr="00AD2F44">
        <w:rPr>
          <w:i/>
          <w:iCs/>
        </w:rPr>
        <w:t>Ervin v. OS Rest. Servs., Inc</w:t>
      </w:r>
      <w:r w:rsidRPr="00AD2F44">
        <w:t>., 632 F.3d 971 (7th Cir. 2011)).</w:t>
      </w:r>
    </w:p>
    <w:p w14:paraId="465A1F32" w14:textId="77777777" w:rsidR="004322B1" w:rsidRPr="00AD2F44" w:rsidRDefault="004322B1">
      <w:pPr>
        <w:pStyle w:val="14Footnote"/>
      </w:pPr>
      <w:r w:rsidRPr="00AD2F44">
        <w:rPr>
          <w:i/>
          <w:iCs/>
        </w:rPr>
        <w:t xml:space="preserve">Third Circuit: </w:t>
      </w:r>
      <w:r w:rsidRPr="00AD2F44">
        <w:t xml:space="preserve">Troncone v. Velahos, 2012 WL 3018061, at *3 (D.N.J. July 23, 2012) (granting reconsideration of dismissal of state law claims due to conflict based on finding that Third Circuit in </w:t>
      </w:r>
      <w:r w:rsidRPr="00AD2F44">
        <w:rPr>
          <w:i/>
          <w:iCs/>
        </w:rPr>
        <w:t>Knepper v. Rite Aid Corp</w:t>
      </w:r>
      <w:r w:rsidRPr="00AD2F44">
        <w:t>., 675 F.3d 249 (3d Cir. 2012), held that there was no such conflict).</w:t>
      </w:r>
    </w:p>
    <w:p w14:paraId="0A6BAD5D" w14:textId="77777777" w:rsidR="004322B1" w:rsidRPr="00AD2F44" w:rsidRDefault="004322B1">
      <w:pPr>
        <w:pStyle w:val="14Footnote"/>
      </w:pPr>
      <w:r w:rsidRPr="00AD2F44">
        <w:rPr>
          <w:i/>
          <w:iCs/>
        </w:rPr>
        <w:t>Seventh Circuit: Ervin</w:t>
      </w:r>
      <w:r w:rsidRPr="00AD2F44">
        <w:t>,</w:t>
      </w:r>
      <w:r w:rsidRPr="00AD2F44">
        <w:rPr>
          <w:i/>
          <w:iCs/>
        </w:rPr>
        <w:t xml:space="preserve"> </w:t>
      </w:r>
      <w:r w:rsidRPr="00AD2F44">
        <w:t>632 F.3d at 980 (recognizing that “while there may in some cases be exceptional circumstances or compelling reasons for declining jurisdiction, the ‘conflict’ between the opt-in procedure under the FLSA and the opt-out procedure under Rule 23 is not a proper reason to decline jurisdiction under section 1367(c)(4)”).</w:t>
      </w:r>
    </w:p>
    <w:p w14:paraId="5FE68759" w14:textId="77777777" w:rsidR="004322B1" w:rsidRPr="00AD2F44" w:rsidRDefault="004322B1">
      <w:pPr>
        <w:pStyle w:val="14Footnote"/>
      </w:pPr>
      <w:r w:rsidRPr="00AD2F44">
        <w:rPr>
          <w:i/>
          <w:iCs/>
        </w:rPr>
        <w:t>See also</w:t>
      </w:r>
      <w:r w:rsidRPr="00AD2F44">
        <w:t xml:space="preserve"> </w:t>
      </w:r>
      <w:r w:rsidRPr="00AD2F44">
        <w:rPr>
          <w:i/>
          <w:iCs/>
        </w:rPr>
        <w:t>Knepper</w:t>
      </w:r>
      <w:r w:rsidRPr="00AD2F44">
        <w:t>, 675 F.3d at 258, 260–61 (holding no inherent incompatibility and agreeing with Seventh Circuit that “the ‘conflict’ between the opt-in procedure under the FLSA and the opt-out procedure under Rule 23 is not a proper reason to decline jurisdiction”).</w:t>
      </w:r>
    </w:p>
  </w:footnote>
  <w:footnote w:id="1140">
    <w:p w14:paraId="29E354E0" w14:textId="77777777" w:rsidR="004322B1" w:rsidRPr="00AD2F44" w:rsidRDefault="004322B1">
      <w:pPr>
        <w:pStyle w:val="14Footnote"/>
      </w:pPr>
      <w:r w:rsidRPr="00AD2F44">
        <w:rPr>
          <w:vertAlign w:val="superscript"/>
        </w:rPr>
        <w:footnoteRef/>
      </w:r>
      <w:r w:rsidRPr="00AD2F44">
        <w:rPr>
          <w:i/>
        </w:rPr>
        <w:t>See</w:t>
      </w:r>
    </w:p>
    <w:p w14:paraId="113BCC4D" w14:textId="77777777" w:rsidR="004322B1" w:rsidRPr="00AD2F44" w:rsidRDefault="004322B1">
      <w:pPr>
        <w:pStyle w:val="14Footnote"/>
      </w:pPr>
      <w:r w:rsidRPr="00AD2F44">
        <w:rPr>
          <w:i/>
          <w:iCs/>
        </w:rPr>
        <w:t xml:space="preserve">Third Circuit: </w:t>
      </w:r>
      <w:r w:rsidRPr="00AD2F44">
        <w:t xml:space="preserve">Gibbons v. Office Depot, Inc., 2013 WL 1890265, at *4 (D.N.J. Feb. 22, 2013) (observing conflict between FLSA’s “opt-in” and Rule 23’s “opt-out” mechanisms and finding it presented a “compelling reason” for the court to decline to exercise supplemental jurisdiction over state law claims under 28 U.S.C. </w:t>
      </w:r>
      <w:r w:rsidRPr="00AD2F44">
        <w:br/>
        <w:t>§1367(c)(4); dismissing plaintiff’s state wage claim but allowing plaintiff’s FLSA claim to proceed); Barnello v. AGC Chems. Ams., Inc., 2009 WL 234142, at *4–5 (D.N.J. Jan. 29, 2009) (holding that §1367(c)(4) criteria satisfied because state law claims mirrored FLSA claims, employer would have to defend in federal court against plaintiffs with no real interest in FLSA suit, and this tactic would defeat Congress’ intent to avoid opt-out collective actions); Hickton v. Enterprise Rent-A-Car Co., Inc., 2008 WL 4279818, at *4 (W.D. Pa. Sept. 12, 2008) (holding that, when the principal claim is under FLSA opt-in procedure, “incompatibility” between opt-in and opt-out claims is “compelling reason” for declining jurisdiction within meaning of §1367(c)(4)); Hyman v. WM Fin. Servs., 2007 WL 1657392, at *6 (D.N.J. June 7, 2007) (holding that, where state law claim mimicked FLSA claim except that former was opt-out claim and latter was opt-in claim, allowing plaintiffs to proceed with state law opt-out claim would circumvent Congress’ intent to ensure that only those plaintiffs with vested interest in outcome of suit actually proceed with action, therefore making it appropriate to decline jurisdiction under §1367(c)(4)).</w:t>
      </w:r>
    </w:p>
    <w:p w14:paraId="3E195EEB" w14:textId="77777777" w:rsidR="004322B1" w:rsidRPr="00AD2F44" w:rsidRDefault="004322B1">
      <w:pPr>
        <w:pStyle w:val="14Footnote"/>
      </w:pPr>
      <w:r w:rsidRPr="00AD2F44">
        <w:rPr>
          <w:i/>
          <w:iCs/>
        </w:rPr>
        <w:t xml:space="preserve">Fifth Circuit: </w:t>
      </w:r>
      <w:r w:rsidRPr="00AD2F44">
        <w:t>Jackson v. City of San Antonio, 220 F.R.D. 55, 59–60 (W.D. Tex. 2003) (finding compelling reasons for declining jurisdiction because propriety of jurisdiction over non-FLSA opt-in plaintiffs was “murky,” and simultaneous management of two opposite procedures of class formation would detract from efficient resolution of substantive dispute and be frowned on by Fifth Circuit).</w:t>
      </w:r>
    </w:p>
    <w:p w14:paraId="6E5B3902" w14:textId="77777777" w:rsidR="004322B1" w:rsidRPr="00AD2F44" w:rsidRDefault="004322B1">
      <w:pPr>
        <w:pStyle w:val="14Footnote"/>
      </w:pPr>
      <w:r w:rsidRPr="00AD2F44">
        <w:rPr>
          <w:i/>
          <w:iCs/>
        </w:rPr>
        <w:t xml:space="preserve">Tenth Circuit: In re </w:t>
      </w:r>
      <w:r w:rsidRPr="00AD2F44">
        <w:t>American Family Mut. Ins. Co. Overtime Pay Litig., 638 F. Supp. 2d 1290, 1297–99, 1301–02 (D. Colo. 2009).</w:t>
      </w:r>
    </w:p>
    <w:p w14:paraId="3CA6E130" w14:textId="77777777" w:rsidR="004322B1" w:rsidRPr="00AD2F44" w:rsidRDefault="004322B1">
      <w:pPr>
        <w:pStyle w:val="14Footnote"/>
        <w:rPr>
          <w:i/>
          <w:iCs/>
        </w:rPr>
      </w:pPr>
      <w:r w:rsidRPr="00AD2F44">
        <w:rPr>
          <w:i/>
          <w:iCs/>
        </w:rPr>
        <w:t>Cf.</w:t>
      </w:r>
    </w:p>
    <w:p w14:paraId="6919B1CC" w14:textId="77777777" w:rsidR="004322B1" w:rsidRPr="00AD2F44" w:rsidRDefault="004322B1">
      <w:pPr>
        <w:pStyle w:val="14Footnote"/>
      </w:pPr>
      <w:r w:rsidRPr="00AD2F44">
        <w:rPr>
          <w:i/>
          <w:iCs/>
        </w:rPr>
        <w:t xml:space="preserve">Third Circuit: </w:t>
      </w:r>
      <w:r w:rsidRPr="00AD2F44">
        <w:t>Shah v. Hyatt Corp. 2010 WL 365632, at *3 (E.D. Pa. Feb. 1, 2010) (where the removing defendant had invoked supplemental jurisdiction over Rule 23 state law class action on ground that named plaintiff was diverse from defendant and seeking to recover more than $75,000, court opined that a “compelling reason” not to exercise supplemental jurisdiction was that allowing action to proceed in federal court would give federal venue for claims that “implicat[ed] rights under the FLSA,” which would be “affront to congressional intent” in imposing an opt-in requirement for FLSA collective actions),</w:t>
      </w:r>
      <w:r w:rsidRPr="00AD2F44">
        <w:rPr>
          <w:i/>
          <w:iCs/>
        </w:rPr>
        <w:t xml:space="preserve"> rev’d on other grounds</w:t>
      </w:r>
      <w:r w:rsidRPr="00AD2F44">
        <w:t>, 425 F. App’x 121 (3d Cir. 2011).</w:t>
      </w:r>
    </w:p>
    <w:p w14:paraId="19C6C444" w14:textId="77777777" w:rsidR="004322B1" w:rsidRPr="00AD2F44" w:rsidRDefault="004322B1">
      <w:pPr>
        <w:pStyle w:val="14Footnote"/>
      </w:pPr>
      <w:r w:rsidRPr="00AD2F44">
        <w:rPr>
          <w:i/>
          <w:iCs/>
        </w:rPr>
        <w:t xml:space="preserve">Eighth Circuit: </w:t>
      </w:r>
      <w:r w:rsidRPr="00AD2F44">
        <w:t>Bartleson v. Winnebago Indus., Inc., 219 F.R.D. 629, 637 (N.D. Iowa 2003) (suggesting that there would be compelling reason for declining jurisdiction under §1367(c)(4) if class members and factual bases for two different claims were not same, because then possibility would arise that opt-out class for state law claim would “circumvent” opt-in limitation for FLSA claim).</w:t>
      </w:r>
    </w:p>
  </w:footnote>
  <w:footnote w:id="1141">
    <w:p w14:paraId="7964206B" w14:textId="77777777" w:rsidR="004322B1" w:rsidRPr="00AD2F44" w:rsidRDefault="004322B1">
      <w:pPr>
        <w:pStyle w:val="14Footnote"/>
      </w:pPr>
      <w:r w:rsidRPr="00AD2F44">
        <w:rPr>
          <w:vertAlign w:val="superscript"/>
        </w:rPr>
        <w:footnoteRef/>
      </w:r>
      <w:r w:rsidRPr="00AD2F44">
        <w:rPr>
          <w:i/>
        </w:rPr>
        <w:t>See</w:t>
      </w:r>
    </w:p>
    <w:p w14:paraId="113CA029" w14:textId="77777777" w:rsidR="004322B1" w:rsidRPr="00AD2F44" w:rsidRDefault="004322B1">
      <w:pPr>
        <w:pStyle w:val="14Footnote"/>
      </w:pPr>
      <w:r w:rsidRPr="00AD2F44">
        <w:rPr>
          <w:i/>
          <w:iCs/>
        </w:rPr>
        <w:t xml:space="preserve">First Circuit: </w:t>
      </w:r>
      <w:r w:rsidRPr="00AD2F44">
        <w:t>McCormick v. Festiva Dev. Group, LLC, 2010 WL 582218, at *7–8 (D. Me. Feb. 11, 2010) (concluding that “a perceived tension between opt-in and opt-out class action mechanisms” does not present exceptional circumstances and compelling reasons for declining to exercise jurisdiction).</w:t>
      </w:r>
    </w:p>
    <w:p w14:paraId="5DD8FEF6" w14:textId="77777777" w:rsidR="004322B1" w:rsidRPr="00AD2F44" w:rsidRDefault="004322B1">
      <w:pPr>
        <w:pStyle w:val="14Footnote"/>
      </w:pPr>
      <w:r w:rsidRPr="00AD2F44">
        <w:rPr>
          <w:i/>
          <w:iCs/>
        </w:rPr>
        <w:t xml:space="preserve">Third Circuit: </w:t>
      </w:r>
      <w:r w:rsidRPr="00AD2F44">
        <w:t>Scott v. Bimbo Bakeries, USA Inc., 2012 WL 645905, at *12 (E.D. Pa. Feb. 29, 2012) (exercising supplemental jurisdiction because neither language nor legislative history of FLSA prohibits such jurisdiction).</w:t>
      </w:r>
    </w:p>
    <w:p w14:paraId="68BA1ACD" w14:textId="77777777" w:rsidR="004322B1" w:rsidRPr="00AD2F44" w:rsidRDefault="004322B1">
      <w:pPr>
        <w:pStyle w:val="14Footnote"/>
      </w:pPr>
      <w:r w:rsidRPr="00AD2F44">
        <w:rPr>
          <w:i/>
          <w:iCs/>
        </w:rPr>
        <w:t xml:space="preserve">Fourth Circuit: </w:t>
      </w:r>
      <w:r w:rsidRPr="00AD2F44">
        <w:t xml:space="preserve">McLaurin v. Prestage Foods, Inc., 271 F.R.D. 465, 471–74 (E.D.N.C. 2010) (reviewing authority and following </w:t>
      </w:r>
      <w:r w:rsidRPr="00AD2F44">
        <w:rPr>
          <w:i/>
          <w:iCs/>
        </w:rPr>
        <w:t>Lindsay</w:t>
      </w:r>
      <w:r w:rsidRPr="00AD2F44">
        <w:t xml:space="preserve">, 448 F.3d 416, and </w:t>
      </w:r>
      <w:r w:rsidRPr="00AD2F44">
        <w:rPr>
          <w:i/>
          <w:iCs/>
        </w:rPr>
        <w:t>Wang v</w:t>
      </w:r>
      <w:r w:rsidRPr="00AD2F44">
        <w:t>.</w:t>
      </w:r>
      <w:r w:rsidRPr="00AD2F44">
        <w:rPr>
          <w:i/>
          <w:iCs/>
        </w:rPr>
        <w:t xml:space="preserve"> Chinese Daily News</w:t>
      </w:r>
      <w:r w:rsidRPr="00AD2F44">
        <w:t>, 623 F.3d 743 (9th Cir. 2010),</w:t>
      </w:r>
      <w:r w:rsidRPr="00AD2F44">
        <w:rPr>
          <w:i/>
          <w:iCs/>
        </w:rPr>
        <w:t xml:space="preserve"> </w:t>
      </w:r>
      <w:r w:rsidRPr="00AD2F44">
        <w:t>to conclude that exercising supplemental jurisdiction would be proper); Beltran-Benitez v. Sea Safari, Ltd., 180 F. Supp. 2d 772, 773–74 (E.D.N.C. 2001) (rejecting argument that “the purported conflict between 29 U.S.C. §216(b) and Fed. R. Civ. P. 23” constitutes “an exceptional circumstance” under §1367(c)(4); FLSA does not prohibit application of Rule 23 to separate cause of action in same complaint and resolving similar federal and state law claims in same action is encouraged by Supreme Court precedent).</w:t>
      </w:r>
    </w:p>
    <w:p w14:paraId="46A318D8" w14:textId="77777777" w:rsidR="004322B1" w:rsidRPr="00AD2F44" w:rsidRDefault="004322B1">
      <w:pPr>
        <w:pStyle w:val="14Footnote"/>
      </w:pPr>
      <w:r w:rsidRPr="00AD2F44">
        <w:rPr>
          <w:i/>
          <w:iCs/>
        </w:rPr>
        <w:t xml:space="preserve">Fifth Circuit: </w:t>
      </w:r>
      <w:r w:rsidRPr="00AD2F44">
        <w:t>Lang v. DirecTV, Inc., 735 F. Supp. 2d 421, 427–28 (E.D. La. 2010) (differences between opt-in and opt-out procedures no basis for remanding state law claims).</w:t>
      </w:r>
    </w:p>
    <w:p w14:paraId="79FCDF4C" w14:textId="77777777" w:rsidR="004322B1" w:rsidRPr="00AD2F44" w:rsidRDefault="004322B1">
      <w:pPr>
        <w:pStyle w:val="14Footnote"/>
      </w:pPr>
      <w:r w:rsidRPr="00AD2F44">
        <w:rPr>
          <w:i/>
          <w:iCs/>
        </w:rPr>
        <w:t xml:space="preserve">Eighth Circuit: </w:t>
      </w:r>
      <w:r w:rsidRPr="00AD2F44">
        <w:t xml:space="preserve">Cortez v. Nebraska Beef, 266 F.R.D. 275, 286–87 (D. Neb. 2010) (adopting rationale of </w:t>
      </w:r>
      <w:r w:rsidRPr="00AD2F44">
        <w:rPr>
          <w:i/>
          <w:iCs/>
        </w:rPr>
        <w:t>Lindsay</w:t>
      </w:r>
      <w:r w:rsidRPr="00AD2F44">
        <w:t xml:space="preserve">, 448 F.3d 416, and </w:t>
      </w:r>
      <w:r w:rsidRPr="00AD2F44">
        <w:rPr>
          <w:i/>
          <w:iCs/>
        </w:rPr>
        <w:t>Salazar v. Agriprocessors, Inc.</w:t>
      </w:r>
      <w:r w:rsidRPr="00AD2F44">
        <w:t xml:space="preserve">, 527 F. Supp. 2d 873 (N.D. Iowa 2007) (issue of congressional intent behind FLSA opt-in requirement is not issue of judicial economy, convenience, fairness, or comity, and “values of judicial economy, convenience and fairness all favor exercising supplemental jurisdiction”)); </w:t>
      </w:r>
      <w:r w:rsidRPr="00AD2F44">
        <w:rPr>
          <w:i/>
          <w:iCs/>
        </w:rPr>
        <w:t>Salazar</w:t>
      </w:r>
      <w:r w:rsidRPr="00AD2F44">
        <w:t>, 527 F. Supp. 2d at 884–85 (finding decisions rejecting the congressional “conflict” argument more persuasive and reasoning further that “[s]ince 1947, Congress has done nothing to add language to the FLSA to expressly prohibit the exercise of supplemental jurisdiction over claims based on state wage and hour laws”).</w:t>
      </w:r>
    </w:p>
    <w:p w14:paraId="750F55BA" w14:textId="77777777" w:rsidR="004322B1" w:rsidRPr="00AD2F44" w:rsidRDefault="004322B1">
      <w:pPr>
        <w:pStyle w:val="14Footnote"/>
      </w:pPr>
      <w:r w:rsidRPr="00AD2F44">
        <w:rPr>
          <w:i/>
          <w:iCs/>
        </w:rPr>
        <w:t xml:space="preserve">Ninth Circuit: </w:t>
      </w:r>
      <w:r w:rsidRPr="00AD2F44">
        <w:t>Bamonte v. City of Mesa, 2007 WL 2022011, at *4–5 (D. Ariz. July 10, 2007) (“The issue of congressional intent with respect to the FLSA is not an issue of judicial economy, convenience, fairness to the parties, or federal-state comity. As a result, it may not serve as a ‘compelling reason’ for declining supplemental jurisdiction”; “the values of economy, convenience, fairness, and comity on balance favor retaining supplemental jurisdiction.”).</w:t>
      </w:r>
    </w:p>
    <w:p w14:paraId="6858A8CB" w14:textId="77777777" w:rsidR="004322B1" w:rsidRPr="00AD2F44" w:rsidRDefault="004322B1">
      <w:pPr>
        <w:pStyle w:val="14Footnote"/>
      </w:pPr>
      <w:r w:rsidRPr="00AD2F44">
        <w:rPr>
          <w:i/>
          <w:iCs/>
        </w:rPr>
        <w:t xml:space="preserve">See also </w:t>
      </w:r>
      <w:r w:rsidRPr="00AD2F44">
        <w:t>Espenscheid v. DirectSAT USA, LLC, 708 F. Supp. 2d 781, 789, 791–92 (W.D. Wis. 2010) (addressing argument that Rule 23 opt-out procedure “interferes irreconcilably” with FLSA opt-in procedure and concluding that exercise of supplemental jurisdiction is appropriate: “The parties agree that state and federal claims are closely related. Thus, they are exactly the types of claims that Congress intended to be brought in the same case.”).</w:t>
      </w:r>
    </w:p>
  </w:footnote>
  <w:footnote w:id="1142">
    <w:p w14:paraId="2C506710" w14:textId="77777777" w:rsidR="004322B1" w:rsidRPr="00AD2F44" w:rsidRDefault="004322B1">
      <w:pPr>
        <w:pStyle w:val="14Footnote"/>
      </w:pPr>
      <w:r w:rsidRPr="00AD2F44">
        <w:rPr>
          <w:vertAlign w:val="superscript"/>
        </w:rPr>
        <w:footnoteRef/>
      </w:r>
      <w:r w:rsidRPr="00AD2F44">
        <w:rPr>
          <w:i/>
          <w:iCs/>
        </w:rPr>
        <w:t>See</w:t>
      </w:r>
      <w:r w:rsidRPr="00AD2F44">
        <w:t xml:space="preserve"> Aguilera v. Michigan Turkey Processors Coop., Inc., 2009 WL 3585722, at *2 (W.D. Mich. Oct. 28, 2009) (“Managing a class action under a state law theory, and a collective action under federal law with divergent procedural postures would place administrative demands on the Court and create the possibility of confusion among potential collective action participants and potential class members. Whether viewed as another way in which state claims predominate, or as an exceptional circumstance, the difference between the opt-in and opt-out mechanisms, and the demands the difference would place on the litigants as well as the Court, strengthen the Court’s decision to decline to exercise supplemental jurisdiction over the state law claims.”); Zelaya v. J.M. Macias, Inc., 999 F. Supp. 778, 783 (E.D.N.C. 1998) (“The distinct possibility of two separate sets of plaintiffs is such an exceptional circumstance. The inclusion of a state law claim involving over 100 plaintiffs with a separate federal law claim involving a separate, distinct and smaller class cannot be permitted. Such claims would undoubtedly confuse a jury, and such confusion is another valid reason to decline supplemental jurisdiction.”). </w:t>
      </w:r>
      <w:r w:rsidRPr="00AD2F44">
        <w:rPr>
          <w:i/>
          <w:iCs/>
        </w:rPr>
        <w:t>Zelaya</w:t>
      </w:r>
      <w:r w:rsidRPr="00AD2F44">
        <w:t xml:space="preserve"> has now been explicitly rejected by the district judge who authored it—</w:t>
      </w:r>
      <w:r w:rsidRPr="00AD2F44">
        <w:rPr>
          <w:i/>
          <w:iCs/>
        </w:rPr>
        <w:t>see</w:t>
      </w:r>
      <w:r w:rsidRPr="00AD2F44">
        <w:t xml:space="preserve"> </w:t>
      </w:r>
      <w:r w:rsidRPr="00AD2F44">
        <w:rPr>
          <w:i/>
          <w:iCs/>
        </w:rPr>
        <w:t>McLaurin v. Prestage Foods, Inc</w:t>
      </w:r>
      <w:r w:rsidRPr="00AD2F44">
        <w:t>., 271 F.R.D. 465 (E.D.N.C. 2010)—as well as by other courts within that district</w:t>
      </w:r>
      <w:r w:rsidRPr="00AD2F44">
        <w:rPr>
          <w:i/>
          <w:iCs/>
        </w:rPr>
        <w:t>—see</w:t>
      </w:r>
      <w:r w:rsidRPr="00AD2F44">
        <w:rPr>
          <w:b/>
          <w:bCs/>
          <w:i/>
          <w:iCs/>
        </w:rPr>
        <w:t xml:space="preserve"> </w:t>
      </w:r>
      <w:r w:rsidRPr="00AD2F44">
        <w:rPr>
          <w:i/>
          <w:iCs/>
        </w:rPr>
        <w:t>Romero v. Mountaire Farms</w:t>
      </w:r>
      <w:r w:rsidRPr="00AD2F44">
        <w:t>, 796 F. Supp. 2d 700, 711–12 (E.D.N.C. 2011).</w:t>
      </w:r>
    </w:p>
  </w:footnote>
  <w:footnote w:id="1143">
    <w:p w14:paraId="238E9932" w14:textId="77777777" w:rsidR="004322B1" w:rsidRPr="00AD2F44" w:rsidRDefault="004322B1">
      <w:pPr>
        <w:pStyle w:val="14Footnote"/>
      </w:pPr>
      <w:r w:rsidRPr="00AD2F44">
        <w:rPr>
          <w:vertAlign w:val="superscript"/>
        </w:rPr>
        <w:footnoteRef/>
      </w:r>
      <w:r w:rsidRPr="00AD2F44">
        <w:rPr>
          <w:i/>
        </w:rPr>
        <w:t>See</w:t>
      </w:r>
    </w:p>
    <w:p w14:paraId="3097D879" w14:textId="77777777" w:rsidR="004322B1" w:rsidRPr="00AD2F44" w:rsidRDefault="004322B1">
      <w:pPr>
        <w:pStyle w:val="14Footnote"/>
      </w:pPr>
      <w:r w:rsidRPr="00AD2F44">
        <w:rPr>
          <w:i/>
          <w:iCs/>
        </w:rPr>
        <w:t>Second Circuit:</w:t>
      </w:r>
      <w:r w:rsidRPr="00AD2F44">
        <w:t xml:space="preserve"> Brickey v. Dolgencorp, 244 F.R.D. 176, 179 (W.D.N.Y. 2007) (“Nor do the discrepancies between the Rule 23 and FLSA opt-in/opt-out procedures present ‘compelling reasons’ to decline jurisdiction. Rule 23 and FLSA actions are routinely prosecuted together, and the complexities of Rule 23 and FLSA hybrid actions are a challenge that the federal judiciary, and properly instructed juries, are generally well-equipped to meet.”); Lynch v. United States Auto. Ass’n, 2007 WL 3355506, at *5 (S.D.N.Y. Nov. 8, 2007) (“The defendant failed to explain why the instant case represents an exceptional circumstance or why the potential for jury confusion is sufficiently compelling that it warrants the court in declining to exercise supplemental jurisdiction. A conclusory assertion of potential jury confusion, without more, does not amount to a compelling reason for declining to exercise supplemental jurisdiction”); Ansoumana v. Gristede’s Operating Corp., 201 F.R.D. 81, 96 (S.D.N.Y. 2001) (“Here, as in many such cases, state and federal claims are similar and arise from the same operative facts. There is no reason why competent counsel, such as those in the case before me, will lack the ability to present the issues to the jury cogently and understandably, or why federal jurors will not be able to understand the issues that will be presented to them.”).</w:t>
      </w:r>
    </w:p>
    <w:p w14:paraId="4C587478" w14:textId="77777777" w:rsidR="004322B1" w:rsidRPr="00AD2F44" w:rsidRDefault="004322B1">
      <w:pPr>
        <w:pStyle w:val="14Footnote"/>
      </w:pPr>
      <w:r w:rsidRPr="00AD2F44">
        <w:rPr>
          <w:i/>
          <w:iCs/>
        </w:rPr>
        <w:t xml:space="preserve">Fourth Circuit: </w:t>
      </w:r>
      <w:r w:rsidRPr="00AD2F44">
        <w:t>Beltran-Benitez v. Sea Safari, Ltd., 180 F. Supp. 2d 772, 773–74 (E.D.N.C. 2001) (holding that allowing Rule 23 class action and FLSA collective action would not prohibit the orderly disposition of the litigation or be unduly burdensome; both claims arose from the same basic grievance and the essential facts and issues were likely to be the same).</w:t>
      </w:r>
    </w:p>
    <w:p w14:paraId="7879099D" w14:textId="77777777" w:rsidR="004322B1" w:rsidRPr="00AD2F44" w:rsidRDefault="004322B1">
      <w:pPr>
        <w:pStyle w:val="14Footnote"/>
      </w:pPr>
      <w:r w:rsidRPr="00AD2F44">
        <w:rPr>
          <w:i/>
          <w:iCs/>
        </w:rPr>
        <w:t>Fifth Circuit:</w:t>
      </w:r>
      <w:r w:rsidRPr="00AD2F44">
        <w:t xml:space="preserve"> </w:t>
      </w:r>
      <w:r w:rsidRPr="00AD2F44">
        <w:rPr>
          <w:i/>
          <w:iCs/>
        </w:rPr>
        <w:t xml:space="preserve">Lang, </w:t>
      </w:r>
      <w:r w:rsidRPr="00AD2F44">
        <w:t>735 F. Supp. 2d at 430 (holding that action can be better and more efficiently managed in one court than by dividing the claims into state and federal court).</w:t>
      </w:r>
    </w:p>
    <w:p w14:paraId="5672CD10" w14:textId="77777777" w:rsidR="004322B1" w:rsidRPr="00AD2F44" w:rsidRDefault="004322B1">
      <w:pPr>
        <w:pStyle w:val="14Footnote"/>
      </w:pPr>
      <w:r w:rsidRPr="00AD2F44">
        <w:rPr>
          <w:i/>
          <w:iCs/>
        </w:rPr>
        <w:t>Eighth Circuit:</w:t>
      </w:r>
      <w:r w:rsidRPr="00AD2F44">
        <w:t xml:space="preserve"> </w:t>
      </w:r>
      <w:r w:rsidRPr="00AD2F44">
        <w:rPr>
          <w:i/>
          <w:iCs/>
        </w:rPr>
        <w:t>Salazar</w:t>
      </w:r>
      <w:r w:rsidRPr="00AD2F44">
        <w:t>, 527 F. Supp. 2d at 885–86 (recognizing “unique procedural challenges” but finding that “[t]he court is well-equipped to manage a case involving a FLSA collective action and a state-law class action”).</w:t>
      </w:r>
    </w:p>
  </w:footnote>
  <w:footnote w:id="1144">
    <w:p w14:paraId="0D31B090" w14:textId="77777777" w:rsidR="004322B1" w:rsidRPr="00AD2F44" w:rsidRDefault="004322B1">
      <w:pPr>
        <w:pStyle w:val="14Footnote"/>
        <w:rPr>
          <w:i/>
          <w:iCs/>
        </w:rPr>
      </w:pPr>
      <w:r w:rsidRPr="00AD2F44">
        <w:rPr>
          <w:vertAlign w:val="superscript"/>
        </w:rPr>
        <w:footnoteRef/>
      </w:r>
      <w:r w:rsidRPr="00AD2F44">
        <w:rPr>
          <w:i/>
          <w:iCs/>
        </w:rPr>
        <w:t>See</w:t>
      </w:r>
      <w:r w:rsidRPr="00AD2F44">
        <w:t xml:space="preserve"> Bamonte v. City of Mesa, 2007 WL 2022011, at *5 (D. Ariz. July 10, 2007) (“Defendant is likely correct that simultaneous proceedings under Rule 23 and 29 U.S.C. §216(b) will create some confusion for litigants. … However, the retention of the state-law class action would avoid the more substantial problem of duplication of much of this court’s work at the state level and thereby prevent a significant waste of state judicial resources. It is also far more convenient for the parties to have all of their closely related claims resolved in one forum.”); Ansoumana v. Gristede’s Operating Corp., 201 F.R.D. 81, 96 (S.D.N.Y. 2001) (“Competent counsel will be able to draft appropriate notices, and they and the court should be able to manage this case fairly and efficiently.”); </w:t>
      </w:r>
      <w:r w:rsidRPr="00AD2F44">
        <w:rPr>
          <w:i/>
          <w:iCs/>
        </w:rPr>
        <w:t>see also</w:t>
      </w:r>
    </w:p>
    <w:p w14:paraId="464F3E4F" w14:textId="77777777" w:rsidR="004322B1" w:rsidRPr="00AD2F44" w:rsidRDefault="004322B1">
      <w:pPr>
        <w:pStyle w:val="14Footnote"/>
      </w:pPr>
      <w:r w:rsidRPr="00AD2F44">
        <w:rPr>
          <w:i/>
          <w:iCs/>
        </w:rPr>
        <w:t xml:space="preserve">Fourth Circuit: </w:t>
      </w:r>
      <w:r w:rsidRPr="00AD2F44">
        <w:t>McLaurin v. Prestage Foods, Inc., 271 F.R.D. 465, 474 (E.D.N.C. 2010) (noting that some courts have declined to exercise supplemental jurisdiction because using opt-in and opt-out procedures in same action “could confuse the class,” but concluding that it would be appropriate to exercise supplemental jurisdiction in view of interests of efficiency and judicial economy, “despite the logistical problems inherent in such a lawsuit”).</w:t>
      </w:r>
    </w:p>
    <w:p w14:paraId="691626CD" w14:textId="77777777" w:rsidR="004322B1" w:rsidRPr="00AD2F44" w:rsidRDefault="004322B1">
      <w:pPr>
        <w:pStyle w:val="14Footnote"/>
      </w:pPr>
      <w:r w:rsidRPr="00AD2F44">
        <w:rPr>
          <w:i/>
          <w:iCs/>
        </w:rPr>
        <w:t xml:space="preserve">Seventh Circuit: </w:t>
      </w:r>
      <w:r w:rsidRPr="00AD2F44">
        <w:t>Ervin v. OS Rest. Servs., Inc., 632 F.3d 971, 978 (7th Cir. 2011) (rejecting potential for class member confusion as basis for concluding that hybrid actions are not permissible, noting in part that problem is not any worse than countless other case-management considerations under Rule 23).</w:t>
      </w:r>
    </w:p>
    <w:p w14:paraId="11DB78F7" w14:textId="77777777" w:rsidR="004322B1" w:rsidRPr="00AD2F44" w:rsidRDefault="004322B1">
      <w:pPr>
        <w:pStyle w:val="14Footnote"/>
      </w:pPr>
      <w:r w:rsidRPr="00AD2F44">
        <w:rPr>
          <w:i/>
          <w:iCs/>
        </w:rPr>
        <w:t xml:space="preserve">Ninth Circuit: </w:t>
      </w:r>
      <w:r w:rsidRPr="00AD2F44">
        <w:t>Gomez v. Rossi Concrete, Inc., 270 F.R.D. 579, 587 (S.D. Cal. 2010) (rejecting “confusion” argument because plaintiffs only asserted individual FLSA and ERISA claims and were not seeking to certify FLSA as a collective action).</w:t>
      </w:r>
    </w:p>
  </w:footnote>
  <w:footnote w:id="1145">
    <w:p w14:paraId="2BBC6430" w14:textId="77777777" w:rsidR="004322B1" w:rsidRPr="00AD2F44" w:rsidRDefault="004322B1">
      <w:pPr>
        <w:pStyle w:val="14Footnote"/>
      </w:pPr>
      <w:r w:rsidRPr="00AD2F44">
        <w:rPr>
          <w:vertAlign w:val="superscript"/>
        </w:rPr>
        <w:footnoteRef/>
      </w:r>
      <w:r w:rsidRPr="00AD2F44">
        <w:rPr>
          <w:i/>
          <w:iCs/>
        </w:rPr>
        <w:t>Fifth Circuit:</w:t>
      </w:r>
      <w:r w:rsidRPr="00AD2F44">
        <w:t xml:space="preserve"> Lang v. DirecTV, Inc., 735 F. Supp. 2d 421, 430 (E.D. La. 2010) (“Some courts have ruled that proceeding with both an opt-in and an opt-out class action would result in notices that would be confusing to potential class members. While the Court is aware of this possibility, the danger of confusion would also exist if opt-in and opt-out actions were to proceed simultaneously in federal and state court.”).</w:t>
      </w:r>
    </w:p>
    <w:p w14:paraId="755C51B6" w14:textId="77777777" w:rsidR="004322B1" w:rsidRPr="00AD2F44" w:rsidRDefault="004322B1">
      <w:pPr>
        <w:pStyle w:val="14Footnote"/>
      </w:pPr>
      <w:r w:rsidRPr="00AD2F44">
        <w:rPr>
          <w:i/>
          <w:iCs/>
        </w:rPr>
        <w:t>Seventh Circuit:</w:t>
      </w:r>
      <w:r w:rsidRPr="00AD2F44">
        <w:t xml:space="preserve"> Villanueva v. Davis Bancorp, Inc., 2011 WL 2745936, at *3 (N.D. Ill. July 8, 2011) (finding that adequate notice procedures will alleviate confusion and noting that litigating claims separately would create even more confusion); Espenscheid v. DirectSAT USA, LLC, 708 F. Supp. 2d 781, 788, 789, 792 (W.D. Wis. 2010) (“The inherent challenges [in maintaining both actions in one suit], however, are not a reason to deny, dismiss or limit plaintiffs’ state law claims. After all, plaintiffs would still be in the same opt-in versus opt-out predicament even if they brought their state law claims in another court or action”; “requiring the parties to litigate similar claims in different courts could cause confusion to potential class members”).</w:t>
      </w:r>
    </w:p>
    <w:p w14:paraId="71B7AFDF" w14:textId="77777777" w:rsidR="004322B1" w:rsidRPr="00AD2F44" w:rsidRDefault="004322B1">
      <w:pPr>
        <w:pStyle w:val="14Footnote"/>
      </w:pPr>
      <w:r w:rsidRPr="00AD2F44">
        <w:rPr>
          <w:i/>
          <w:iCs/>
        </w:rPr>
        <w:t>Eighth Circuit:</w:t>
      </w:r>
      <w:r w:rsidRPr="00AD2F44">
        <w:t xml:space="preserve"> Ondes v. Monsanto Co., 2011 WL 6152858 (E.D. Mo. Dec. 12, 2011) (finding that adequate notice procedures will alleviate confusion and noting that litigating claims separately would create even more confusion).</w:t>
      </w:r>
    </w:p>
    <w:p w14:paraId="2EE2E87C" w14:textId="77777777" w:rsidR="004322B1" w:rsidRPr="00AD2F44" w:rsidRDefault="004322B1">
      <w:pPr>
        <w:pStyle w:val="14Footnote"/>
      </w:pPr>
      <w:r w:rsidRPr="00AD2F44">
        <w:rPr>
          <w:i/>
          <w:iCs/>
        </w:rPr>
        <w:t>D.C. Circuit:</w:t>
      </w:r>
      <w:r w:rsidRPr="00AD2F44">
        <w:t xml:space="preserve"> Cryer v. InterSolutions, Inc., 2007 WL 1191928, at *3 (D.D.C. Apr. 20, 2007) (“This Court is not persuaded that having the FLSA claims and the state law claims in the same lawsuit will inject unacceptable complexities into the lawsuit that cannot be overcome with a well drafted class action notice explaining to potential class members their rights. Moreover, the Court finds that there is even greater cause for concern about confusion of class members if the state law claims proceed in a separate court and class members thereby receive class action notices from two different courts.”).</w:t>
      </w:r>
    </w:p>
  </w:footnote>
  <w:footnote w:id="1146">
    <w:p w14:paraId="51FDBB3B" w14:textId="77777777" w:rsidR="004322B1" w:rsidRPr="00AD2F44" w:rsidRDefault="004322B1">
      <w:pPr>
        <w:pStyle w:val="14Footnote"/>
      </w:pPr>
      <w:r w:rsidRPr="00AD2F44">
        <w:rPr>
          <w:vertAlign w:val="superscript"/>
        </w:rPr>
        <w:footnoteRef/>
      </w:r>
      <w:r w:rsidRPr="00AD2F44">
        <w:t xml:space="preserve">Ervin v. OS Rest. Servs., Inc., 632 F.3d 971, 978 (7th Cir. 2011) (internal citations omitted); </w:t>
      </w:r>
      <w:r w:rsidRPr="00AD2F44">
        <w:rPr>
          <w:i/>
          <w:iCs/>
        </w:rPr>
        <w:t>see also</w:t>
      </w:r>
      <w:r w:rsidRPr="00AD2F44">
        <w:t xml:space="preserve"> Busk v. Integrity Staffing Sols., Inc., 713 F.3d 525, 530 (9th Cir. 2013) (agreeing with </w:t>
      </w:r>
      <w:r w:rsidRPr="00AD2F44">
        <w:rPr>
          <w:i/>
          <w:iCs/>
        </w:rPr>
        <w:t>Ervin</w:t>
      </w:r>
      <w:r w:rsidRPr="00AD2F44">
        <w:t>), </w:t>
      </w:r>
      <w:r w:rsidRPr="00AD2F44">
        <w:rPr>
          <w:i/>
          <w:iCs/>
        </w:rPr>
        <w:t>rev’d on other grounds,</w:t>
      </w:r>
      <w:r w:rsidRPr="00AD2F44">
        <w:t> 574 U.S. 27 (2014).</w:t>
      </w:r>
    </w:p>
  </w:footnote>
  <w:footnote w:id="1147">
    <w:p w14:paraId="0E04ACA4" w14:textId="77777777" w:rsidR="004322B1" w:rsidRPr="00AD2F44" w:rsidRDefault="004322B1">
      <w:pPr>
        <w:pStyle w:val="14Footnote"/>
      </w:pPr>
      <w:r w:rsidRPr="00AD2F44">
        <w:rPr>
          <w:vertAlign w:val="superscript"/>
        </w:rPr>
        <w:footnoteRef/>
      </w:r>
      <w:r w:rsidRPr="00AD2F44">
        <w:rPr>
          <w:i/>
          <w:iCs/>
        </w:rPr>
        <w:t>See</w:t>
      </w:r>
      <w:r w:rsidRPr="00AD2F44">
        <w:t xml:space="preserve"> De Luna-Guerrero v. North Carolina Grower’s Ass’n, 338 F. Supp. 2d 649, 653 (E.D.N.C. 2004) (finding existence of three different types and sizes of classes would cause too much confusion: many class members did not speak English or understand the legal system, multiple notifications would be required, and confusion would be compounded by dual use of opt-in and opt-out procedures; judicial efficiency would be better promoted by dismissing state law claims so court could properly and efficiently administer the FLSA collective action); </w:t>
      </w:r>
      <w:r w:rsidRPr="00AD2F44">
        <w:rPr>
          <w:i/>
          <w:iCs/>
        </w:rPr>
        <w:t>cf</w:t>
      </w:r>
      <w:r w:rsidRPr="00AD2F44">
        <w:t>. Salazar v. Agriprocessors, Inc., 527 F. Supp. 2d 873, 885–86 (N.D. Iowa 2007) (recognizing that “the class notices may be confusing to potential class members if care is not taken in crafting the notice language” but finding that the court was “well-equipped” to manage the action).</w:t>
      </w:r>
    </w:p>
  </w:footnote>
  <w:footnote w:id="1148">
    <w:p w14:paraId="645FB9C3" w14:textId="77777777" w:rsidR="004322B1" w:rsidRPr="00AD2F44" w:rsidRDefault="004322B1">
      <w:pPr>
        <w:pStyle w:val="14Footnote"/>
      </w:pPr>
      <w:r w:rsidRPr="00AD2F44">
        <w:rPr>
          <w:vertAlign w:val="superscript"/>
        </w:rPr>
        <w:footnoteRef/>
      </w:r>
      <w:r w:rsidRPr="00AD2F44">
        <w:rPr>
          <w:i/>
          <w:iCs/>
        </w:rPr>
        <w:t>See, e.g.,</w:t>
      </w:r>
    </w:p>
    <w:p w14:paraId="476651CB" w14:textId="77777777" w:rsidR="004322B1" w:rsidRPr="00AD2F44" w:rsidRDefault="004322B1">
      <w:pPr>
        <w:pStyle w:val="14Footnote"/>
      </w:pPr>
      <w:r w:rsidRPr="00AD2F44">
        <w:rPr>
          <w:i/>
          <w:iCs/>
        </w:rPr>
        <w:t xml:space="preserve">Second Circuit: </w:t>
      </w:r>
      <w:r w:rsidRPr="00AD2F44">
        <w:t>Parks v. Dick’s Sporting Goods, Inc., 2006 WL 1704477, at *1–3 (W.D.N.Y. June 15, 2006) (dismissing claims under laws of states where named plaintiff did not work; disagreeing that courts must wait until motion for class certification stage).</w:t>
      </w:r>
    </w:p>
    <w:p w14:paraId="3B5CBE6D" w14:textId="77777777" w:rsidR="004322B1" w:rsidRPr="00AD2F44" w:rsidRDefault="004322B1">
      <w:pPr>
        <w:pStyle w:val="14Footnote"/>
      </w:pPr>
      <w:r w:rsidRPr="00AD2F44">
        <w:rPr>
          <w:i/>
          <w:iCs/>
        </w:rPr>
        <w:t xml:space="preserve">Sixth Circuit: </w:t>
      </w:r>
      <w:r w:rsidRPr="00AD2F44">
        <w:t>Carnevale v. GE Aircraft Engines, 492 F. Supp. 2d 763, 765 (S.D. Ohio 2003).</w:t>
      </w:r>
    </w:p>
    <w:p w14:paraId="700221BA" w14:textId="77777777" w:rsidR="004322B1" w:rsidRPr="00AD2F44" w:rsidRDefault="004322B1">
      <w:pPr>
        <w:pStyle w:val="14Footnote"/>
      </w:pPr>
      <w:r w:rsidRPr="00AD2F44">
        <w:rPr>
          <w:i/>
          <w:iCs/>
        </w:rPr>
        <w:t xml:space="preserve">Seventh Circuit: </w:t>
      </w:r>
      <w:r w:rsidRPr="00AD2F44">
        <w:t>Schultz v. American Family Mut. Ins. Co., 2005 WL 5909003, at *6 (N.D. Ill. Nov. 1, 2005) (rejecting argument that standing did not need to be examined until motion for class certification, citing rule that standing must be determined at time suit is filed).</w:t>
      </w:r>
    </w:p>
    <w:p w14:paraId="1CD4DD60" w14:textId="77777777" w:rsidR="004322B1" w:rsidRPr="00AD2F44" w:rsidRDefault="004322B1">
      <w:pPr>
        <w:pStyle w:val="14Footnote"/>
      </w:pPr>
      <w:r w:rsidRPr="00AD2F44">
        <w:rPr>
          <w:i/>
          <w:iCs/>
        </w:rPr>
        <w:t xml:space="preserve">Ninth Circuit: </w:t>
      </w:r>
      <w:r w:rsidRPr="00AD2F44">
        <w:t>Self v. TPUSA, Inc., 2009 WL 273326, at *2 (D. Utah. Feb. 4, 2009) (dismissing state law claim for state for which there was no named plaintiff); Ross v. United States Bank Nat’l Ass’n, 542 F. Supp. 2d 1014, 1023 (N.D. Cal. 2008) (dismissing Washington claim because none of named plaintiffs worked in Washington and dismissing California claim because neither of California plaintiffs alleged any injury relating to claim).</w:t>
      </w:r>
    </w:p>
    <w:p w14:paraId="2D3D68A5" w14:textId="77777777" w:rsidR="004322B1" w:rsidRPr="00AD2F44" w:rsidRDefault="004322B1">
      <w:pPr>
        <w:pStyle w:val="14Footnote"/>
      </w:pPr>
      <w:r w:rsidRPr="00AD2F44">
        <w:rPr>
          <w:i/>
        </w:rPr>
        <w:t>See also</w:t>
      </w:r>
    </w:p>
    <w:p w14:paraId="27E44155" w14:textId="77777777" w:rsidR="004322B1" w:rsidRPr="00AD2F44" w:rsidRDefault="004322B1">
      <w:pPr>
        <w:pStyle w:val="14Footnote"/>
      </w:pPr>
      <w:r w:rsidRPr="00AD2F44">
        <w:rPr>
          <w:i/>
          <w:iCs/>
        </w:rPr>
        <w:t xml:space="preserve">Eighth Circuit: </w:t>
      </w:r>
      <w:r w:rsidRPr="00AD2F44">
        <w:t>Burch v. Qwest Commc’ns Int’l, Inc., 677 F. Supp. 2d 1101, 1125 (D. Minn. 2009) (agreeing that pertinent question is whether, for each state law count, at least one named plaintiff has alleged a claim).</w:t>
      </w:r>
    </w:p>
    <w:p w14:paraId="7AAB26FA" w14:textId="77777777" w:rsidR="004322B1" w:rsidRPr="00AD2F44" w:rsidRDefault="004322B1">
      <w:pPr>
        <w:pStyle w:val="14Footnote"/>
      </w:pPr>
      <w:r w:rsidRPr="00AD2F44">
        <w:rPr>
          <w:i/>
          <w:iCs/>
        </w:rPr>
        <w:t xml:space="preserve">Ninth Circuit: </w:t>
      </w:r>
      <w:r w:rsidRPr="00AD2F44">
        <w:t>Fichtner v. American Family Mut. Ins. Co., 2004 WL 3106753, at *7 n.2 (D. Or. Mar. 1, 2004).</w:t>
      </w:r>
    </w:p>
  </w:footnote>
  <w:footnote w:id="1149">
    <w:p w14:paraId="13034181" w14:textId="77777777" w:rsidR="004322B1" w:rsidRPr="00AD2F44" w:rsidRDefault="004322B1">
      <w:pPr>
        <w:pStyle w:val="14Footnote"/>
      </w:pPr>
      <w:r w:rsidRPr="00AD2F44">
        <w:rPr>
          <w:vertAlign w:val="superscript"/>
        </w:rPr>
        <w:footnoteRef/>
      </w:r>
      <w:r w:rsidRPr="00AD2F44">
        <w:t xml:space="preserve">Helm v. Alderwoods Grp., Inc. v. Service Corp. Int’l, 2009 WL 2337529, at *16 (N.D. Cal. July 29, 2009) (denying motion to dismiss without prejudice and stating that court would decide issue at class certification “when the Court will be better positioned to determine whether employees in California share the same interests and suffered the same injuries as employees in other jurisdictions”); Kuhl v. Guitar Ctr. Stores, Inc., 2008 WL 656049, at *1–3 (N.D. Ill. Mar. 5, 2008) (plaintiffs brought claims for unpaid time under laws of states where they did not work and employer moved to dismiss on ground that they lacked standing; court held that standing issue is more appropriately addressed at time of class certification, when it could be determined whether there were sufficient similarities between different state law claims to give plaintiffs standing; relying in part on </w:t>
      </w:r>
      <w:r w:rsidRPr="00AD2F44">
        <w:rPr>
          <w:i/>
          <w:iCs/>
        </w:rPr>
        <w:t>Ortiz v. Fibreboard Corp</w:t>
      </w:r>
      <w:r w:rsidRPr="00AD2F44">
        <w:t>., 527 U.S. 815 (1999), wherein the Supreme Court stated that a court may determine class certification before standing in certain circumstances where class certification issues are logically antecedent to Article III concerns and themselves pertain to statutory standing).</w:t>
      </w:r>
    </w:p>
  </w:footnote>
  <w:footnote w:id="1150">
    <w:p w14:paraId="7EF4AEED" w14:textId="77777777" w:rsidR="004322B1" w:rsidRPr="00AD2F44" w:rsidRDefault="004322B1">
      <w:pPr>
        <w:pStyle w:val="14Footnote"/>
      </w:pPr>
      <w:r w:rsidRPr="00AD2F44">
        <w:rPr>
          <w:vertAlign w:val="superscript"/>
        </w:rPr>
        <w:footnoteRef/>
      </w:r>
      <w:r w:rsidRPr="00AD2F44">
        <w:rPr>
          <w:i/>
          <w:iCs/>
        </w:rPr>
        <w:t>See, e.g</w:t>
      </w:r>
      <w:r w:rsidRPr="00AD2F44">
        <w:t>., Self v. TPUSA, Inc., 2009 WL 273326, at *2 (D. Utah. Feb. 4, 2009); Carnevale v. GE Aircraft Engines, 492 F. Supp. 2d 763, 765 (S.D. Ohio 2003).</w:t>
      </w:r>
    </w:p>
  </w:footnote>
  <w:footnote w:id="1151">
    <w:p w14:paraId="0BE7BBBA" w14:textId="77777777" w:rsidR="004322B1" w:rsidRPr="00AD2F44" w:rsidRDefault="004322B1">
      <w:pPr>
        <w:pStyle w:val="14Footnote"/>
      </w:pPr>
      <w:r w:rsidRPr="00AD2F44">
        <w:rPr>
          <w:vertAlign w:val="superscript"/>
        </w:rPr>
        <w:footnoteRef/>
      </w:r>
      <w:r w:rsidRPr="00AD2F44">
        <w:rPr>
          <w:smallCaps/>
        </w:rPr>
        <w:t>Fed. R. Civ. Proc.</w:t>
      </w:r>
      <w:r w:rsidRPr="00AD2F44">
        <w:t xml:space="preserve"> 23(a) &amp; 23(b)(3). This chapter is focused on class actions that are predominantly actions for damages, which are generally governed by Rule 23(a) and (b)(3), as opposed to actions that are predominantly for injunctive relief, which are generally governed by Rule 23(a) and (b)(2).</w:t>
      </w:r>
    </w:p>
  </w:footnote>
  <w:footnote w:id="1152">
    <w:p w14:paraId="54198B56" w14:textId="77777777" w:rsidR="004322B1" w:rsidRPr="00AD2F44" w:rsidRDefault="004322B1">
      <w:pPr>
        <w:pStyle w:val="14Footnote"/>
      </w:pPr>
      <w:r w:rsidRPr="00AD2F44">
        <w:rPr>
          <w:vertAlign w:val="superscript"/>
        </w:rPr>
        <w:footnoteRef/>
      </w:r>
      <w:r w:rsidRPr="00AD2F44">
        <w:rPr>
          <w:smallCaps/>
        </w:rPr>
        <w:t xml:space="preserve">Fed. R. Civ. P. </w:t>
      </w:r>
      <w:r w:rsidRPr="00AD2F44">
        <w:t>23(a)(1).</w:t>
      </w:r>
    </w:p>
  </w:footnote>
  <w:footnote w:id="1153">
    <w:p w14:paraId="730347FE" w14:textId="77777777" w:rsidR="004322B1" w:rsidRPr="00AD2F44" w:rsidRDefault="004322B1">
      <w:pPr>
        <w:pStyle w:val="14Footnote"/>
      </w:pPr>
      <w:r w:rsidRPr="00AD2F44">
        <w:rPr>
          <w:vertAlign w:val="superscript"/>
        </w:rPr>
        <w:footnoteRef/>
      </w:r>
      <w:r w:rsidRPr="00AD2F44">
        <w:t xml:space="preserve">Hamelin v. Faxton-St. Luke’s Healthcare, 274 F.R.D. 385, 393–94 (N.D.N.Y. 2011) (rejecting employer’s argument that number of opt-ins should govern numerosity analysis rather than the approximately 2,700 potential Rule 23 members); Colozzi v. St. Joseph’s Hospital Health Ctr., 275 F.R.D. 75, 83 (N.D.N.Y. 2011) (holding that numerosity is based on number of proposed class members rather than number of opt-ins and certified a subclass based on a uniform policy regarding automatic meal breaks deductions, but denied a second subclass that was based on a uniform policy for which the evidence was limited as to how many employees were affected); Meyers v. Crouse Health Sys., Inc., 274 F.R.D. 404, 414 (N.D.N.Y. 2011) (same). </w:t>
      </w:r>
      <w:r w:rsidRPr="00AD2F44">
        <w:rPr>
          <w:i/>
          <w:iCs/>
        </w:rPr>
        <w:t>But see</w:t>
      </w:r>
      <w:r w:rsidRPr="00AD2F44">
        <w:t xml:space="preserve"> McDermott v. Federal Sav. Bank, 2020 BL 307604, 2020 WL 6295058 (E.D.N.Y. Aug. 12, 2020) (denying class certification of state law claims, holding numerosity was not met because it was not impracticable to join 49 members who are geographically concentrated with known addresses). </w:t>
      </w:r>
    </w:p>
  </w:footnote>
  <w:footnote w:id="1154">
    <w:p w14:paraId="5FEDCEBC" w14:textId="77777777" w:rsidR="004322B1" w:rsidRPr="00AD2F44" w:rsidRDefault="004322B1">
      <w:pPr>
        <w:pStyle w:val="14Footnote"/>
      </w:pPr>
      <w:r w:rsidRPr="00AD2F44">
        <w:rPr>
          <w:vertAlign w:val="superscript"/>
        </w:rPr>
        <w:footnoteRef/>
      </w:r>
      <w:r w:rsidRPr="00AD2F44">
        <w:rPr>
          <w:i/>
        </w:rPr>
        <w:t>See</w:t>
      </w:r>
    </w:p>
    <w:p w14:paraId="4120FF0D" w14:textId="77777777" w:rsidR="004322B1" w:rsidRPr="00AD2F44" w:rsidRDefault="004322B1">
      <w:pPr>
        <w:pStyle w:val="14Footnote"/>
      </w:pPr>
      <w:r w:rsidRPr="00AD2F44">
        <w:rPr>
          <w:i/>
          <w:iCs/>
        </w:rPr>
        <w:t xml:space="preserve">First Circuit: </w:t>
      </w:r>
      <w:r w:rsidRPr="00AD2F44">
        <w:t>McLaughlin v. Liberty Mut. Ins. Co., 224 F.R.D. 304, 308 (D. Mass. 2004) (because numerosity question “must be answered within the analytical framework provided by Rule 23,” the fact that only 13 of 51 potential state law class members had opted in to separate claim under FLSA claim was not material; state law claim provided separate rights from FLSA claim and those separate rights should not be disregarded because an employee did not opt in to FLSA claim).</w:t>
      </w:r>
    </w:p>
    <w:p w14:paraId="29E5801F" w14:textId="77777777" w:rsidR="004322B1" w:rsidRPr="00AD2F44" w:rsidRDefault="004322B1">
      <w:pPr>
        <w:pStyle w:val="14Footnote"/>
      </w:pPr>
      <w:r w:rsidRPr="00AD2F44">
        <w:rPr>
          <w:i/>
          <w:iCs/>
        </w:rPr>
        <w:t xml:space="preserve">Second Circuit: </w:t>
      </w:r>
      <w:r w:rsidRPr="00AD2F44">
        <w:t>Colozzi v. St. Joseph’s Hosp. Health Ctr., 275 F.R.D. 75, 83 (N.D.N.Y. 2011) (rejecting argument that because only 55 out of 2,360 eligible employees opted in to FLSA action, numerosity not satisfied for Rule 23 state law claims; courts in Second Circuit assess numerosity based on number of proposed class members rather than number of opt-ins); Meyers v. Crouse Health Sys., Inc., 274 F.R.D. 404, 414 (N.D.N.Y. 2011); Hamelin v. Faxton-St. Luke’s Healthcare, 274 F.R.D. 385, 393–94 (N.D.N.Y. 2011) (rejecting argument that number of FLSA opt-ins should govern number of proposed state law class members in determining numerosity); Shabazz v. Morgan Funding Corp., 269 F.R.D. 245, 249 (S.D.N.Y. 2010) (where 79 of 355 potential Rule 23 state law class members had opted in to FLSA action, court rejected argument that numerosity requirement was not satisfied, reasoning, in part, that defendants were asking court to speculate that a similarly small fraction of the class would choose to be part of Rule 23 action); Guzman v. VLM, Inc., 2008 WL 597186, at *5 (E.D.N.Y. Mar. 2, 2008) (disagreeing that class should be limited to individuals who opted in for purposes of numerosity analysis; relying on decisions rejecting similar arguments on ground that non-FLSA opt-in plaintiffs may have decided not to opt in due to possibility of intimidation or retaliation by their employers); Jankowski v. Castaldi, 2006 WL 118973, at *2 (E.D.N.Y. Jan. 13, 2006) (holding that, although only 40 out of the 450 potential state law class members had opted in to FLSA action, potential class members might not have opted in to FLSA action due to fear of reprisal, particularly given their citizenship status); Scott v. Aetna Servs., Inc., 210 F.R.D. 261, 267 (D. Conn. 2002) (holding that, despite small number of FLSA opt-ins, proposed Rule 23 class was still sufficiently numerous; “Moreover, especially in light of the evidence that potential class members failed to join the FLSA class action because they feared reprisal, the Court declines to find that every Systems Engineer who desires to participate in this litigation has already joined.”).</w:t>
      </w:r>
    </w:p>
    <w:p w14:paraId="6470FC67" w14:textId="77777777" w:rsidR="004322B1" w:rsidRPr="00AD2F44" w:rsidRDefault="004322B1">
      <w:pPr>
        <w:pStyle w:val="14Footnote"/>
      </w:pPr>
      <w:r w:rsidRPr="00AD2F44">
        <w:rPr>
          <w:i/>
          <w:iCs/>
        </w:rPr>
        <w:t xml:space="preserve">Seventh Circuit: </w:t>
      </w:r>
      <w:r w:rsidRPr="00AD2F44">
        <w:t>Chavez v. Don Stolzner Mason Contractor, Inc., 272 F.R.D. 450, 454 (N.D. Ill. 2011) (rejecting challenge to numerosity for state law claims where FLSA claims brought only on behalf of named plaintiffs and evidence showed potential state law class of at least 40 individuals).</w:t>
      </w:r>
    </w:p>
    <w:p w14:paraId="5D8FDEC5" w14:textId="77777777" w:rsidR="004322B1" w:rsidRPr="00AD2F44" w:rsidRDefault="004322B1">
      <w:pPr>
        <w:pStyle w:val="14Footnote"/>
      </w:pPr>
      <w:r w:rsidRPr="00AD2F44">
        <w:rPr>
          <w:i/>
          <w:iCs/>
        </w:rPr>
        <w:t>Eighth Circuit:</w:t>
      </w:r>
      <w:r w:rsidRPr="00AD2F44">
        <w:t xml:space="preserve"> Tinsley v. Covenant Care Serv., LLC, 2016 WL 393577, at *8 (E.D. Mo. Feb. 2, 2016) (“[t]he size of the FLSA opt-in class is irrelevant to the Rule 23 determination” on numerosity).</w:t>
      </w:r>
    </w:p>
  </w:footnote>
  <w:footnote w:id="1155">
    <w:p w14:paraId="73622639" w14:textId="77777777" w:rsidR="004322B1" w:rsidRPr="00AD2F44" w:rsidRDefault="004322B1" w:rsidP="000B6C5F">
      <w:pPr>
        <w:pStyle w:val="FootnoteText"/>
      </w:pPr>
      <w:r w:rsidRPr="00AD2F44">
        <w:rPr>
          <w:rStyle w:val="FootnoteReference"/>
        </w:rPr>
        <w:footnoteRef/>
      </w:r>
      <w:r w:rsidRPr="00AD2F44">
        <w:rPr>
          <w:i/>
          <w:iCs/>
        </w:rPr>
        <w:t xml:space="preserve">See, e.g., </w:t>
      </w:r>
      <w:r w:rsidRPr="00AD2F44">
        <w:t xml:space="preserve">Martin v. BMW of N. Am., LLC, 687 F.3d 583 (3d Cir. 2012). </w:t>
      </w:r>
    </w:p>
  </w:footnote>
  <w:footnote w:id="1156">
    <w:p w14:paraId="17613FD0" w14:textId="77777777" w:rsidR="004322B1" w:rsidRPr="00AD2F44" w:rsidRDefault="004322B1" w:rsidP="000B6C5F">
      <w:pPr>
        <w:pStyle w:val="FootnoteText"/>
      </w:pPr>
      <w:r w:rsidRPr="00AD2F44">
        <w:rPr>
          <w:rStyle w:val="FootnoteReference"/>
        </w:rPr>
        <w:footnoteRef/>
      </w:r>
      <w:r w:rsidRPr="00AD2F44">
        <w:t xml:space="preserve">Hargrove v. Sleepy’s LLC, 974 F.3d 467 (3d Cir. 2020) (citing Tyson Foods, Inc. v. Bouaphakeo, 136 S. Ct. 1036 (2016) and Anderson v. Mt. Clemens Pottery Co., 328 U.S. 680 (1946)). </w:t>
      </w:r>
    </w:p>
  </w:footnote>
  <w:footnote w:id="1157">
    <w:p w14:paraId="08D9BFA5" w14:textId="77777777" w:rsidR="004322B1" w:rsidRPr="00AD2F44" w:rsidRDefault="004322B1">
      <w:pPr>
        <w:pStyle w:val="14Footnote"/>
      </w:pPr>
      <w:r w:rsidRPr="00AD2F44">
        <w:rPr>
          <w:vertAlign w:val="superscript"/>
        </w:rPr>
        <w:footnoteRef/>
      </w:r>
      <w:r w:rsidRPr="00AD2F44">
        <w:rPr>
          <w:smallCaps/>
        </w:rPr>
        <w:t>Fed. R. Civ. P.</w:t>
      </w:r>
      <w:r w:rsidRPr="00AD2F44">
        <w:t xml:space="preserve"> 23(b)(3). Matters pertinent to this finding include: “(A) the class members’ interests in individually controlling the prosecution or defense of separate actions; (B) the extent and nature of any litigation concerning the controversy already begun by or against class members; (C) the desirability or undesirability of concentrating the litigation of the claims in the particular forum; and (D) the likely difficulties in managing a class action.” </w:t>
      </w:r>
      <w:r w:rsidRPr="00AD2F44">
        <w:rPr>
          <w:i/>
          <w:iCs/>
        </w:rPr>
        <w:t>Id</w:t>
      </w:r>
      <w:r w:rsidRPr="00AD2F44">
        <w:t>.</w:t>
      </w:r>
    </w:p>
  </w:footnote>
  <w:footnote w:id="1158">
    <w:p w14:paraId="2499CF72" w14:textId="77777777" w:rsidR="004322B1" w:rsidRPr="00AD2F44" w:rsidRDefault="004322B1">
      <w:pPr>
        <w:pStyle w:val="14Footnote"/>
      </w:pPr>
      <w:r w:rsidRPr="00AD2F44">
        <w:rPr>
          <w:vertAlign w:val="superscript"/>
        </w:rPr>
        <w:footnoteRef/>
      </w:r>
      <w:r w:rsidRPr="00AD2F44">
        <w:rPr>
          <w:i/>
          <w:iCs/>
        </w:rPr>
        <w:t xml:space="preserve">See </w:t>
      </w:r>
      <w:r w:rsidRPr="00AD2F44">
        <w:t>Garcia v. Freedom Mortg. Corp., 274 F.R.D. 513, 516–18 (D.N.J. June 10, 2011) (denying motion to certify class action as to New Jersey state law wage and hour claims because notice of FLSA action had been issued to putative class and a high percentage of putative plaintiffs chose not to opt in to the action; the court explained that it would be “unfair to certify an NJWHL class and drag the putative class members into this Court when they have already demonstrated an interest to not be involved in this litigation”).</w:t>
      </w:r>
    </w:p>
  </w:footnote>
  <w:footnote w:id="1159">
    <w:p w14:paraId="3BB80C3A" w14:textId="77777777" w:rsidR="004322B1" w:rsidRPr="00AD2F44" w:rsidRDefault="004322B1">
      <w:pPr>
        <w:pStyle w:val="14Footnote"/>
      </w:pPr>
      <w:r w:rsidRPr="00AD2F44">
        <w:rPr>
          <w:vertAlign w:val="superscript"/>
        </w:rPr>
        <w:footnoteRef/>
      </w:r>
      <w:r w:rsidRPr="00AD2F44">
        <w:rPr>
          <w:i/>
        </w:rPr>
        <w:t>See</w:t>
      </w:r>
    </w:p>
    <w:p w14:paraId="1EB9CF4F" w14:textId="77777777" w:rsidR="004322B1" w:rsidRPr="00AD2F44" w:rsidRDefault="004322B1">
      <w:pPr>
        <w:pStyle w:val="14Footnote"/>
      </w:pPr>
      <w:r w:rsidRPr="00AD2F44">
        <w:rPr>
          <w:i/>
          <w:iCs/>
        </w:rPr>
        <w:t xml:space="preserve">First Circuit: </w:t>
      </w:r>
      <w:r w:rsidRPr="00AD2F44">
        <w:t>McLaughlin v. Liberty Mut. Ins. Co., 224 F.R.D. 304, 308, 312 (D. Mass. 2004) (rejecting argument that potential Rule 23 class members’ unwillingness to join the FLSA litigation suggested that class action would not be superior: a low opt-in rate “suggests that many of the class members lack the individual incentive to bring suit, making a class action superior”; the court “will not infer a forfeiture of state remedies, including pursuit of a class action, from the failure to join in the pursuit of federal relief”; “[t]he alternative [to a class action] would be either individual suits brought as pendent claims in the opt-in FLSA litigation or a class action in state court,” and “[t]he former option would result in no relief in this court for those who have not opted in”).</w:t>
      </w:r>
    </w:p>
    <w:p w14:paraId="5952D30E" w14:textId="77777777" w:rsidR="004322B1" w:rsidRPr="00AD2F44" w:rsidRDefault="004322B1">
      <w:pPr>
        <w:pStyle w:val="14Footnote"/>
      </w:pPr>
      <w:r w:rsidRPr="00AD2F44">
        <w:rPr>
          <w:i/>
          <w:iCs/>
        </w:rPr>
        <w:t xml:space="preserve">Second Circuit: </w:t>
      </w:r>
      <w:r w:rsidRPr="00AD2F44">
        <w:t>Damassia v. Duane Reade, Inc., 250 F.R.D. 152, 163 (S.D.N.Y. 2008) (“[T]he concern about including class members who do not really want to participate in the class deserves little weight in assessing whether a class action is superior to other available methods of adjudication” because there is essentially an equal likelihood that individuals will fail to opt in or fail to opt out for reasons such as not receiving or understanding the notice, there is no reason to assume that individuals who affirmatively do not want to participate will fail to opt out, and the opt-out feature of a Rule 23 class action may be valuable in the wage context insofar as many employees may be reluctant to participate in an FLSA action due to fears of retaliation.); Guzman v. VLM, Inc., 2008 WL 597186, at *8 (E.D.N.Y. Mar. 2, 2008) (rejecting argument that class action would not be superior because it would not lead to judicial economy in light of fact that FLSA provides employees with easy mechanism to join lawsuit; employees may fear opting in to FLSA claim and Rule 23 opt-out procedure provides better mechanism for employees to participate in lawsuit); Scott v. Aetna Servs., Inc., 210 F.R.D. 261, 266–67, 268 (D. Conn. 2002) (finding that class action was superior method because class members might fear reprisal and not pursue individual actions, cost of individual litigation was prohibitive, and class action would eliminate risk of same question of law being decided differently in different cases, and rejecting argument that class certification was unnecessary because class members had been given opportunity to opt in to FLSA claim).</w:t>
      </w:r>
    </w:p>
    <w:p w14:paraId="59779341" w14:textId="77777777" w:rsidR="004322B1" w:rsidRPr="00AD2F44" w:rsidRDefault="004322B1">
      <w:pPr>
        <w:pStyle w:val="14Footnote"/>
      </w:pPr>
      <w:r w:rsidRPr="00AD2F44">
        <w:rPr>
          <w:i/>
          <w:iCs/>
        </w:rPr>
        <w:t>Sixth Circuit</w:t>
      </w:r>
      <w:r w:rsidRPr="00AD2F44">
        <w:t>: Green v. Platinum Rests. Mid-Am., LLC, 2020 WL 1452724 (W.D. Ky. Mar. 25, 2020) (determining that class certification under Rule 23 was superior method for adjudication, acknowledging that class members have no interest in prosecuting individual cases for small amount of individual damages).</w:t>
      </w:r>
    </w:p>
    <w:p w14:paraId="5B591647" w14:textId="77777777" w:rsidR="004322B1" w:rsidRPr="00AD2F44" w:rsidRDefault="004322B1">
      <w:pPr>
        <w:pStyle w:val="14Footnote"/>
      </w:pPr>
      <w:r w:rsidRPr="00AD2F44">
        <w:rPr>
          <w:i/>
          <w:iCs/>
        </w:rPr>
        <w:t xml:space="preserve">Eighth Circuit: </w:t>
      </w:r>
      <w:r w:rsidRPr="00AD2F44">
        <w:t>Cortez v. Nebraska Beef, Inc., 266 F.R.D. 275, 293–94 (D. Neb. 2010) (rejecting argument that FLSA collective action was superior procedure for adjudicating class members’ claims because class members who believed they were aggrieved and wanted to join action had already opted in to FLSA action: “[T]here may be a number of reasons why the [other] employees failed to opt-in to the action that had nothing to do with a belief they were not actually aggrieved.”) (discussing Damassia v. Duane Reade, Inc., 250 F.R.D. 152, 161–64 (S.D.N.Y. 2008)).</w:t>
      </w:r>
    </w:p>
    <w:p w14:paraId="03B890B1" w14:textId="77777777" w:rsidR="004322B1" w:rsidRPr="00AD2F44" w:rsidRDefault="004322B1">
      <w:pPr>
        <w:pStyle w:val="14Footnote"/>
      </w:pPr>
      <w:r w:rsidRPr="00AD2F44">
        <w:rPr>
          <w:i/>
          <w:iCs/>
        </w:rPr>
        <w:t xml:space="preserve">Ninth Circuit: </w:t>
      </w:r>
      <w:r w:rsidRPr="00AD2F44">
        <w:t>Harris v. Vector Mktg. Corp., 753 F. Supp. 2d 996, 1017–18 (N.D. Cal. 2010) (rejecting argument that superior procedure would be to prosecute state law claims of only those potential class members who had opted in to FLSA action, reasoning in part that “inadvertence, as opposed to a conscious decision not to participate, is a likely factor in opt-in situations. Fear of retaliation is another possibility.”); Ramirez v. RDO-BOS Farms, LLC, 2007 WL 273604, at *2 (D. Or. Jan. 23, 2007) (“I find that a class action is appropriate given the background of class members and that class members may have been fearful to join the FLSA collective action.”).</w:t>
      </w:r>
    </w:p>
    <w:p w14:paraId="5A93832E" w14:textId="77777777" w:rsidR="004322B1" w:rsidRPr="00AD2F44" w:rsidRDefault="004322B1">
      <w:pPr>
        <w:pStyle w:val="14Footnote"/>
      </w:pPr>
      <w:r w:rsidRPr="00AD2F44">
        <w:rPr>
          <w:i/>
          <w:iCs/>
        </w:rPr>
        <w:t>See also</w:t>
      </w:r>
      <w:r w:rsidRPr="00AD2F44">
        <w:t xml:space="preserve"> Ganci v. MBF Inspection Servs. Inc., 323 F.R.D. 249 (S.D. Ohio 2017) (finding Rule 23 class superior; acknowledging that opt-out nature of Rule 23 class is important tool for employees who wish to continue working for their employer while avoiding any reprisal that may arise from affirmatively joining collective action or commencing individual action); Lindsay v. Government Emps. Ins. Co., 251 F.R.D. 51, 56–57 (D.D.C. 2008) (holding that, although Congress viewed opt-in suits as superior for FLSA claims, there is no evidence that Congress has made similar determination with respect to state law claims brought in conjunction with FLSA claims; Rule 23 certification would prevent duplicative, wasteful, and inefficient litigation, and would eliminate risk of common questions being decided differently in different suits). </w:t>
      </w:r>
      <w:r w:rsidRPr="00AD2F44">
        <w:rPr>
          <w:i/>
          <w:iCs/>
        </w:rPr>
        <w:t>Cf</w:t>
      </w:r>
      <w:r w:rsidRPr="00AD2F44">
        <w:t>.</w:t>
      </w:r>
      <w:r w:rsidRPr="00AD2F44">
        <w:rPr>
          <w:i/>
          <w:iCs/>
        </w:rPr>
        <w:t xml:space="preserve"> </w:t>
      </w:r>
      <w:r w:rsidRPr="00AD2F44">
        <w:t>McLaughlin v. Harbor Cruises LLC, 2009 WL 890099, at *2 (D. Mass. Mar. 31, 2009) (adjudication of opt-out classes’ state law claims was not incompatible with adjudication of opt-in classes’ claims where construction of relevant state law would follow construction of parallel FLSA provision).</w:t>
      </w:r>
    </w:p>
  </w:footnote>
  <w:footnote w:id="1160">
    <w:p w14:paraId="681C7458" w14:textId="77777777" w:rsidR="004322B1" w:rsidRPr="00AD2F44" w:rsidRDefault="004322B1">
      <w:pPr>
        <w:pStyle w:val="14Footnote"/>
      </w:pPr>
      <w:r w:rsidRPr="00AD2F44">
        <w:rPr>
          <w:vertAlign w:val="superscript"/>
        </w:rPr>
        <w:footnoteRef/>
      </w:r>
      <w:r w:rsidRPr="00AD2F44">
        <w:t>632 F.3d 971 (7th Cir. 2011).</w:t>
      </w:r>
    </w:p>
  </w:footnote>
  <w:footnote w:id="1161">
    <w:p w14:paraId="26A83EBE" w14:textId="77777777" w:rsidR="004322B1" w:rsidRPr="00AD2F44" w:rsidRDefault="004322B1">
      <w:pPr>
        <w:pStyle w:val="14Footnote"/>
      </w:pPr>
      <w:r w:rsidRPr="00AD2F44">
        <w:rPr>
          <w:vertAlign w:val="superscript"/>
        </w:rPr>
        <w:footnoteRef/>
      </w:r>
      <w:r w:rsidRPr="00AD2F44">
        <w:rPr>
          <w:i/>
          <w:iCs/>
        </w:rPr>
        <w:t>Id</w:t>
      </w:r>
      <w:r w:rsidRPr="00AD2F44">
        <w:t>. at 975.</w:t>
      </w:r>
    </w:p>
  </w:footnote>
  <w:footnote w:id="1162">
    <w:p w14:paraId="1F7BD2A5" w14:textId="77777777" w:rsidR="004322B1" w:rsidRPr="00AD2F44" w:rsidRDefault="004322B1">
      <w:pPr>
        <w:pStyle w:val="14Footnote"/>
      </w:pPr>
      <w:r w:rsidRPr="00AD2F44">
        <w:rPr>
          <w:vertAlign w:val="superscript"/>
        </w:rPr>
        <w:footnoteRef/>
      </w:r>
      <w:r w:rsidRPr="00AD2F44">
        <w:rPr>
          <w:i/>
          <w:iCs/>
        </w:rPr>
        <w:t>Id</w:t>
      </w:r>
      <w:r w:rsidRPr="00AD2F44">
        <w:t>. at 975–78.</w:t>
      </w:r>
    </w:p>
  </w:footnote>
  <w:footnote w:id="1163">
    <w:p w14:paraId="6C4CD2B0" w14:textId="77777777" w:rsidR="004322B1" w:rsidRPr="00AD2F44" w:rsidRDefault="004322B1">
      <w:pPr>
        <w:pStyle w:val="14Footnote"/>
      </w:pPr>
      <w:r w:rsidRPr="00AD2F44">
        <w:rPr>
          <w:vertAlign w:val="superscript"/>
        </w:rPr>
        <w:footnoteRef/>
      </w:r>
      <w:r w:rsidRPr="00AD2F44">
        <w:rPr>
          <w:i/>
          <w:iCs/>
        </w:rPr>
        <w:t>Id</w:t>
      </w:r>
      <w:r w:rsidRPr="00AD2F44">
        <w:t>. at 979.</w:t>
      </w:r>
    </w:p>
  </w:footnote>
  <w:footnote w:id="1164">
    <w:p w14:paraId="5A3BA678" w14:textId="77777777" w:rsidR="004322B1" w:rsidRPr="00AD2F44" w:rsidRDefault="004322B1">
      <w:pPr>
        <w:pStyle w:val="14Footnote"/>
      </w:pPr>
      <w:r w:rsidRPr="00AD2F44">
        <w:rPr>
          <w:vertAlign w:val="superscript"/>
        </w:rPr>
        <w:footnoteRef/>
      </w:r>
      <w:r w:rsidRPr="00AD2F44">
        <w:rPr>
          <w:i/>
        </w:rPr>
        <w:t>See</w:t>
      </w:r>
    </w:p>
    <w:p w14:paraId="3D6E1F3D" w14:textId="77777777" w:rsidR="004322B1" w:rsidRPr="00AD2F44" w:rsidRDefault="004322B1">
      <w:pPr>
        <w:pStyle w:val="14Footnote"/>
      </w:pPr>
      <w:r w:rsidRPr="00AD2F44">
        <w:rPr>
          <w:i/>
          <w:iCs/>
        </w:rPr>
        <w:t xml:space="preserve">Second Circuit: </w:t>
      </w:r>
      <w:r w:rsidRPr="00AD2F44">
        <w:t>Spencer v. No Parking Today, Inc., 2013 WL 1040052 (S.D.N.Y. Mar. 15, 2013) (finding class action procedure was superior because it was desirable to concentrate state statutory class claims in same forum as parallel FLSA claim so that claims could be collectively litigated in one forum); Gortat v. Capala Bros., Inc., 2012 WL 1116495, at *3 (E.D.N.Y. Apr. 3, 2012) (relying, in part, on finding that members had inadequate resources and small claims that would make proceeding individually unlikely); Alonso v. GEICO Gen. Ins. Co., 2011 WL 4389636, at *5 (S.D.N.Y. Sept. 21, 2011) (finding FLSA and state law claims were nearly identical and exercising jurisdiction over state law claims was preferable to allowing hundreds of individual claims to be filed in state court); Aponte v. Comprehensive Health Mgmt., Inc., 2011 WL 2207586, at *11 (S.D.N.Y. June 2, 2011) (finding Rule 23 certification superior as alternative to multiple state actions, which might render inconsistent results and provide modest recoveries in individual lawsuits).</w:t>
      </w:r>
    </w:p>
    <w:p w14:paraId="44B1323D" w14:textId="77777777" w:rsidR="004322B1" w:rsidRPr="00AD2F44" w:rsidRDefault="004322B1">
      <w:pPr>
        <w:pStyle w:val="14Footnote"/>
      </w:pPr>
      <w:r w:rsidRPr="00AD2F44">
        <w:rPr>
          <w:i/>
          <w:iCs/>
        </w:rPr>
        <w:t xml:space="preserve">Fourth Circuit: </w:t>
      </w:r>
      <w:r w:rsidRPr="00AD2F44">
        <w:t>Harris v. Vector Mktg. Corp., 753 F. Supp. 2d 996, 1018 (N.D. Cal. 2010) (employer argued that superior procedure would be to prosecute state law claims of those who opted in to FLSA action alongside their FLSA claims, but not state law claims of those employees who did not opt in to FLSA action; court rejected argument, reasoning in part that “the rights of the class as a whole to prosecute the state claims would be substantially diminished were Rule 23 class certification denied,” as the likely practical effect of denying Rule 23 class certification would be that state law wage claims would be dropped).</w:t>
      </w:r>
    </w:p>
    <w:p w14:paraId="5CE12826" w14:textId="77777777" w:rsidR="004322B1" w:rsidRPr="00AD2F44" w:rsidRDefault="004322B1">
      <w:pPr>
        <w:pStyle w:val="14Footnote"/>
      </w:pPr>
      <w:r w:rsidRPr="00AD2F44">
        <w:rPr>
          <w:i/>
          <w:iCs/>
        </w:rPr>
        <w:t xml:space="preserve">Seventh Circuit: </w:t>
      </w:r>
      <w:r w:rsidRPr="00AD2F44">
        <w:t>O’Brien v. Encotech Constr. Servs., Inc., 203 F.R.D. 346, 352 (N.D. Ill. 2001) (holding that employer’s argument “does not address the central question of where plaintiffs would be able to file their state claims. If they are denied the opportunity of filing a class suit for their state claims in this court, they could file a suit for these claims in state court. That result, however, would be inefficient. It would be desirable to concentrate all litigation related to plaintiffs’ common set of facts in this forum.”).</w:t>
      </w:r>
    </w:p>
    <w:p w14:paraId="44CE196A" w14:textId="77777777" w:rsidR="004322B1" w:rsidRPr="00AD2F44" w:rsidRDefault="004322B1">
      <w:pPr>
        <w:pStyle w:val="14Footnote"/>
      </w:pPr>
      <w:r w:rsidRPr="00AD2F44">
        <w:rPr>
          <w:i/>
          <w:iCs/>
        </w:rPr>
        <w:t>See also</w:t>
      </w:r>
      <w:r w:rsidRPr="00AD2F44">
        <w:t xml:space="preserve"> Ladegaard v. Hard Rock Concrete Cutters, Inc., 2000 WL 1774091, at *7 (N.D. Ill. Dec. 1, 2000) (“[E]ven with the presence of the FLSA action, individual plaintiffs could bring an action in state court on the state claims. To avoid this result, and to further judicial economy, it is desirable to concentrate the litigation in one forum.”).</w:t>
      </w:r>
    </w:p>
  </w:footnote>
  <w:footnote w:id="1165">
    <w:p w14:paraId="31B1C8A8" w14:textId="77777777" w:rsidR="004322B1" w:rsidRPr="00AD2F44" w:rsidRDefault="004322B1">
      <w:pPr>
        <w:pStyle w:val="14Footnote"/>
      </w:pPr>
      <w:r w:rsidRPr="00AD2F44">
        <w:rPr>
          <w:vertAlign w:val="superscript"/>
        </w:rPr>
        <w:footnoteRef/>
      </w:r>
      <w:r w:rsidRPr="00AD2F44">
        <w:rPr>
          <w:i/>
        </w:rPr>
        <w:t>See</w:t>
      </w:r>
    </w:p>
    <w:p w14:paraId="0C6BA402" w14:textId="77777777" w:rsidR="004322B1" w:rsidRPr="00AD2F44" w:rsidRDefault="004322B1">
      <w:pPr>
        <w:pStyle w:val="14Footnote"/>
      </w:pPr>
      <w:r w:rsidRPr="00AD2F44">
        <w:rPr>
          <w:i/>
          <w:iCs/>
        </w:rPr>
        <w:t xml:space="preserve">Third Circuit: </w:t>
      </w:r>
      <w:r w:rsidRPr="00AD2F44">
        <w:t>Garcia v. Freedom Mortg. Corp., 274 F.R.D. 513, 517 (D.N.J. 2011) (state law class action not superior because significant percentage of putative class members did not opt in to FLSA collective action, demonstrating that a “large number” of potential class members had interest in individual control of FLSA claims; this is important because asserted federal and state law claims were substantively similar and thus it was fair to conclude that such potential class members have interest in the individual control of their state claim as well).</w:t>
      </w:r>
    </w:p>
    <w:p w14:paraId="187FA570" w14:textId="77777777" w:rsidR="004322B1" w:rsidRPr="00AD2F44" w:rsidRDefault="004322B1">
      <w:pPr>
        <w:pStyle w:val="14Footnote"/>
      </w:pPr>
      <w:r w:rsidRPr="00AD2F44">
        <w:rPr>
          <w:i/>
          <w:iCs/>
        </w:rPr>
        <w:t xml:space="preserve">Seventh Circuit: </w:t>
      </w:r>
      <w:r w:rsidRPr="00AD2F44">
        <w:t>Dorman v. DHL Express (USA), Inc., 2010 WL 446071, at *5 (W.D. Wis. Feb. 3, 2010) (finding that class action would not be superior method; “The superior method in which to address the Wisconsin labor law overtime wage claim applicable to other Consolidated drivers is to have the plaintiffs who opt in to the FLSA portion of this case assert the state law claim as well.”); Muecke v. A-Reliable Auto Parts and Wreckers, 2002 WL 1359411, at *2 (N.D. Ill. June 21, 2002) (seeking to avoid “incongruous situation” that would arise if court certified class action that included all of employer’s current and former employees, but only a few members decided to participate in lawsuit by opting in to FLSA claim).</w:t>
      </w:r>
    </w:p>
    <w:p w14:paraId="73FA82D1" w14:textId="77777777" w:rsidR="004322B1" w:rsidRPr="00AD2F44" w:rsidRDefault="004322B1">
      <w:pPr>
        <w:pStyle w:val="14Footnote"/>
      </w:pPr>
      <w:r w:rsidRPr="00AD2F44">
        <w:rPr>
          <w:i/>
          <w:iCs/>
        </w:rPr>
        <w:t xml:space="preserve">Ninth Circuit: </w:t>
      </w:r>
      <w:r w:rsidRPr="00AD2F44">
        <w:t xml:space="preserve">McDonald v. Ricardo’s on the Beach, Inc., 2013 WL 228334 (C.D. Cal. Jan. 22, 2013) (concluding that plaintiffs had failed to satisfy superiority requirement, citing </w:t>
      </w:r>
      <w:r w:rsidRPr="00AD2F44">
        <w:rPr>
          <w:i/>
          <w:iCs/>
        </w:rPr>
        <w:t>Leuthold v. Destination America, Inc.</w:t>
      </w:r>
      <w:r w:rsidRPr="00AD2F44">
        <w:t xml:space="preserve">, 224 F.R.D. 462 (N.D. Cal. 2004), for proposition that class action not superior where plaintiffs can opt in to FLSA collective action); Campanelli v. Hershey Co., 2010 WL 3219501, at *5 (N.D. Cal. Aug. 13, 2010) (state law class action not superior where 90 FLSA opt-ins could resolve state and federal claims in FLSA collective action); Khadera v. ABM Indus. Inc., 701 F. Supp. 2d 1190, 1195–96 (W.D. Wash. 2010) (finding that class action would not be superior method; class members’ interests would be better served by having FLSA opt-ins pursue their state law claims as pendent to their FLSA claims, reasoning that class members who did not opt in to FLSA action could have their FLSA claims precluded if a Rule 23 class was certified for state law claims and they did opt out of that class); </w:t>
      </w:r>
      <w:r w:rsidRPr="00AD2F44">
        <w:rPr>
          <w:i/>
          <w:iCs/>
        </w:rPr>
        <w:t>Leuthold</w:t>
      </w:r>
      <w:r w:rsidRPr="00AD2F44">
        <w:t>, 224 F.R.D. at 469–70 (holding that, given evidence that some employees were hostile to lawsuit, it made more sense to allow employees to opt in to FLSA collective action and litigate their state law claims alongside their FLSA claims, rather than to require them to opt out of class action for their state law claims).</w:t>
      </w:r>
    </w:p>
  </w:footnote>
  <w:footnote w:id="1166">
    <w:p w14:paraId="6C79708D" w14:textId="77777777" w:rsidR="004322B1" w:rsidRPr="00AD2F44" w:rsidRDefault="004322B1">
      <w:pPr>
        <w:pStyle w:val="14Footnote"/>
      </w:pPr>
      <w:r w:rsidRPr="00AD2F44">
        <w:rPr>
          <w:vertAlign w:val="superscript"/>
        </w:rPr>
        <w:footnoteRef/>
      </w:r>
      <w:r w:rsidRPr="00AD2F44">
        <w:t>Shoots v. iQor Holdings, Inc.,</w:t>
      </w:r>
      <w:r w:rsidRPr="00AD2F44">
        <w:rPr>
          <w:b/>
          <w:bCs/>
        </w:rPr>
        <w:t xml:space="preserve"> </w:t>
      </w:r>
      <w:r w:rsidRPr="00AD2F44">
        <w:t xml:space="preserve">325 F.R.D. 253 (D. Minn. 2018) (denying Rule 23 certification based on differences in eight different state laws, noting that proposed class action would create jury confusion and difficulties in managing unified action); Khadera v. ABM Indus. Inc., 701 F. Supp. 2d 1190, 1195–96 (W.D. Wash. 2010); De La Cruz v. Gill Corn Farms, Inc., 2005 WL 5419056, at *7 (N.D.N.Y. Jan. 25, 2005); </w:t>
      </w:r>
      <w:r w:rsidRPr="00AD2F44">
        <w:rPr>
          <w:i/>
          <w:iCs/>
        </w:rPr>
        <w:t>Leuthold</w:t>
      </w:r>
      <w:r w:rsidRPr="00AD2F44">
        <w:t xml:space="preserve">, 224 F.R.D. at 469–70; </w:t>
      </w:r>
      <w:r w:rsidRPr="00AD2F44">
        <w:rPr>
          <w:i/>
          <w:iCs/>
        </w:rPr>
        <w:t>accord</w:t>
      </w:r>
      <w:r w:rsidRPr="00AD2F44">
        <w:t xml:space="preserve"> Edwards v. City of Long Beach, 467 F. Supp. 2d 986, 992–93 (C.D. Cal. 2006); </w:t>
      </w:r>
      <w:r w:rsidRPr="00AD2F44">
        <w:rPr>
          <w:i/>
          <w:iCs/>
        </w:rPr>
        <w:t>cf</w:t>
      </w:r>
      <w:r w:rsidRPr="00AD2F44">
        <w:t>. Riddle v. National Sec. Agency, Inc., 2007 WL 2746597, at *3 (N.D. Ill. Sept. 13, 2007) (reasoning, as part of discussion of superiority requirement, that rationale for exercising supplemental jurisdiction over state law class claim would disappear if, as was likely, state law class were much larger than FLSA class).</w:t>
      </w:r>
    </w:p>
  </w:footnote>
  <w:footnote w:id="1167">
    <w:p w14:paraId="09DFCF55" w14:textId="77777777" w:rsidR="004322B1" w:rsidRPr="00AD2F44" w:rsidRDefault="004322B1">
      <w:pPr>
        <w:pStyle w:val="14Footnote"/>
      </w:pPr>
      <w:r w:rsidRPr="00AD2F44">
        <w:rPr>
          <w:vertAlign w:val="superscript"/>
        </w:rPr>
        <w:footnoteRef/>
      </w:r>
      <w:r w:rsidRPr="00AD2F44">
        <w:rPr>
          <w:i/>
          <w:iCs/>
        </w:rPr>
        <w:t>See, e.g.,</w:t>
      </w:r>
    </w:p>
    <w:p w14:paraId="6A2197F7" w14:textId="77777777" w:rsidR="004322B1" w:rsidRPr="00AD2F44" w:rsidRDefault="004322B1">
      <w:pPr>
        <w:pStyle w:val="14Footnote"/>
      </w:pPr>
      <w:r w:rsidRPr="00AD2F44">
        <w:rPr>
          <w:i/>
          <w:iCs/>
        </w:rPr>
        <w:t xml:space="preserve">Second Circuit: </w:t>
      </w:r>
      <w:r w:rsidRPr="00AD2F44">
        <w:t>Meyers v. Crouse Health Sys., Inc., 274 F.R.D. 404, 418, 420–22 (N.D.N.Y. 2011); Colozzi v. St. Joseph’s Hosp. Health Ctr., 275 F.R.D. 75, 92 (N.D.N.Y. 2011); Hamelin v. Faxton-St. Luke’s Healthcare, 274 F.R.D. 385, 401 (N.D.N.Y. 2011).</w:t>
      </w:r>
    </w:p>
    <w:p w14:paraId="25CFBF64" w14:textId="77777777" w:rsidR="004322B1" w:rsidRPr="00AD2F44" w:rsidRDefault="004322B1">
      <w:pPr>
        <w:pStyle w:val="14Footnote"/>
      </w:pPr>
      <w:r w:rsidRPr="00AD2F44">
        <w:rPr>
          <w:i/>
          <w:iCs/>
        </w:rPr>
        <w:t xml:space="preserve">Third Circuit: </w:t>
      </w:r>
      <w:r w:rsidRPr="00AD2F44">
        <w:t xml:space="preserve">Knepper v. Rite Aid Corp., 675 F.3d 249, 258 (3d Cir. 2012) </w:t>
      </w:r>
      <w:r w:rsidRPr="00AD2F44">
        <w:br/>
        <w:t>(“[T]he plain text of §216(b) provides no support for the concept of ‘inherent incompatibility.’ … The references to state law in the FLSA manifest only congressional intent not to preempt state standards.”).</w:t>
      </w:r>
    </w:p>
    <w:p w14:paraId="2DEE1EF2" w14:textId="77777777" w:rsidR="004322B1" w:rsidRPr="00AD2F44" w:rsidRDefault="004322B1">
      <w:pPr>
        <w:pStyle w:val="14Footnote"/>
      </w:pPr>
      <w:r w:rsidRPr="00AD2F44">
        <w:rPr>
          <w:i/>
          <w:iCs/>
        </w:rPr>
        <w:t xml:space="preserve">Fourth Circuit: </w:t>
      </w:r>
      <w:r w:rsidRPr="00AD2F44">
        <w:t>Gaxiola v. Williams Seafood of Arapahoe, Inc., 776 F. Supp. 2d 117, 131 (E.D.N.C. 2011).</w:t>
      </w:r>
    </w:p>
    <w:p w14:paraId="2325E58F" w14:textId="77777777" w:rsidR="004322B1" w:rsidRPr="00AD2F44" w:rsidRDefault="004322B1">
      <w:pPr>
        <w:pStyle w:val="14Footnote"/>
      </w:pPr>
      <w:r w:rsidRPr="00AD2F44">
        <w:rPr>
          <w:i/>
          <w:iCs/>
        </w:rPr>
        <w:t xml:space="preserve">Seventh Circuit: </w:t>
      </w:r>
      <w:r w:rsidRPr="00AD2F44">
        <w:t>Ervin v. OS Rest. Servs., Inc., 632 F.3d 971, 977 (7th Cir. 2011) (alleged congressional intent no bar to superiority finding for state law class).</w:t>
      </w:r>
    </w:p>
    <w:p w14:paraId="7FE468E6" w14:textId="77777777" w:rsidR="004322B1" w:rsidRPr="00AD2F44" w:rsidRDefault="004322B1">
      <w:pPr>
        <w:pStyle w:val="14Footnote"/>
      </w:pPr>
      <w:r w:rsidRPr="00AD2F44">
        <w:rPr>
          <w:i/>
          <w:iCs/>
        </w:rPr>
        <w:t xml:space="preserve">Eighth Circuit: </w:t>
      </w:r>
      <w:r w:rsidRPr="00AD2F44">
        <w:t>Cortez v. Nebraska Beef, Inc., 266 F.R.D. 275, 293–94 (D. Neb. 2010); Damassia v. Duane Reade, Inc., 250 F.R.D. 152, 161–64 (S.D.N.Y. 2008).</w:t>
      </w:r>
    </w:p>
    <w:p w14:paraId="78994A78" w14:textId="77777777" w:rsidR="004322B1" w:rsidRPr="00AD2F44" w:rsidRDefault="004322B1">
      <w:pPr>
        <w:pStyle w:val="14Footnote"/>
      </w:pPr>
      <w:r w:rsidRPr="00AD2F44">
        <w:rPr>
          <w:i/>
          <w:iCs/>
        </w:rPr>
        <w:t xml:space="preserve">See also </w:t>
      </w:r>
      <w:r w:rsidRPr="00AD2F44">
        <w:t>Espenscheid v. DirectSAT USA, LLC, 708 F. Supp. 2d 781, 791–92 (W.D. Wis. 2010) (noting in context of supplemental jurisdiction discussion that there is no evidence of congressional intent to preclude Rule 23 state law class actions and that closely related FLSA and state law claims “are exactly the types of claims that Congress intended to be brought in the same case”).</w:t>
      </w:r>
    </w:p>
  </w:footnote>
  <w:footnote w:id="1168">
    <w:p w14:paraId="2BCAD4CE" w14:textId="77777777" w:rsidR="004322B1" w:rsidRPr="00AD2F44" w:rsidRDefault="004322B1">
      <w:pPr>
        <w:pStyle w:val="14Footnote"/>
      </w:pPr>
      <w:r w:rsidRPr="00AD2F44">
        <w:rPr>
          <w:vertAlign w:val="superscript"/>
        </w:rPr>
        <w:footnoteRef/>
      </w:r>
      <w:r w:rsidRPr="00AD2F44">
        <w:t xml:space="preserve">See §XI.D.1 [Hybrid FLSA/State Law Class Actions; Federal Jurisdiction Over State Law Claims in Hybrid Actions; Diversity Jurisdiction Under the Class Action Fairness Act] of this chapter. </w:t>
      </w:r>
    </w:p>
  </w:footnote>
  <w:footnote w:id="1169">
    <w:p w14:paraId="1F52BC61" w14:textId="77777777" w:rsidR="004322B1" w:rsidRPr="00AD2F44" w:rsidRDefault="004322B1">
      <w:pPr>
        <w:pStyle w:val="14Footnote"/>
      </w:pPr>
      <w:r w:rsidRPr="00AD2F44">
        <w:rPr>
          <w:vertAlign w:val="superscript"/>
        </w:rPr>
        <w:footnoteRef/>
      </w:r>
      <w:r w:rsidRPr="00AD2F44">
        <w:rPr>
          <w:i/>
        </w:rPr>
        <w:t>See</w:t>
      </w:r>
    </w:p>
    <w:p w14:paraId="44118B09" w14:textId="77777777" w:rsidR="004322B1" w:rsidRPr="00AD2F44" w:rsidRDefault="004322B1">
      <w:pPr>
        <w:pStyle w:val="14Footnote"/>
      </w:pPr>
      <w:r w:rsidRPr="00AD2F44">
        <w:rPr>
          <w:i/>
          <w:iCs/>
        </w:rPr>
        <w:t xml:space="preserve">Second Circuit: </w:t>
      </w:r>
      <w:r w:rsidRPr="00AD2F44">
        <w:t>Colozzi v. St. Joseph’s Hosp. Health Ctr., 275 F.R.D. 75, 92 (N.D.N.Y. 2011) (no indication that potential class members could not read English); Meyers v. Crouse Health Sys., Inc., 274 F.R.D. 404, 418, 422 (N.D.N.Y. 2011); Hamelin v. Faxton-St. Luke’s Healthcare, 274 F.R.D. 385, 402 (N.D.N.Y. 2011).</w:t>
      </w:r>
    </w:p>
    <w:p w14:paraId="700FC224" w14:textId="77777777" w:rsidR="004322B1" w:rsidRPr="00AD2F44" w:rsidRDefault="004322B1">
      <w:pPr>
        <w:pStyle w:val="14Footnote"/>
      </w:pPr>
      <w:r w:rsidRPr="00AD2F44">
        <w:rPr>
          <w:i/>
          <w:iCs/>
        </w:rPr>
        <w:t xml:space="preserve">Sixth Circuit: </w:t>
      </w:r>
      <w:r w:rsidRPr="00AD2F44">
        <w:t>Peterson v. Cleveland Inst. of Art, 2011 WL 1297097, at *5 (N.D. Ohio Mar. 31, 2011).</w:t>
      </w:r>
    </w:p>
    <w:p w14:paraId="2797D22B" w14:textId="77777777" w:rsidR="004322B1" w:rsidRPr="00AD2F44" w:rsidRDefault="004322B1">
      <w:pPr>
        <w:pStyle w:val="14Footnote"/>
      </w:pPr>
      <w:r w:rsidRPr="00AD2F44">
        <w:rPr>
          <w:i/>
          <w:iCs/>
        </w:rPr>
        <w:t xml:space="preserve">Seventh Circuit: </w:t>
      </w:r>
      <w:r w:rsidRPr="00AD2F44">
        <w:t>O’Brien v. Encotech Constr. Servs., Inc., 203 F.R.D. 346, 352 (N.D. Ill. 2001) (determining that need to notify potential class members about procedures for both opting in to and opting out of respective actions could be addressed by appropriate notice); Ladegaard v. Hard Rock Concrete Cutters, Inc., 2000 WL 1774091, at *7 (N.D. Ill. Dec. 1, 2000) (plaintiff would likely be able to contact potential members, and counsel had drafted joint opt-in/opt-out notices under court supervision before).</w:t>
      </w:r>
    </w:p>
  </w:footnote>
  <w:footnote w:id="1170">
    <w:p w14:paraId="06669577" w14:textId="77777777" w:rsidR="004322B1" w:rsidRPr="00AD2F44" w:rsidRDefault="004322B1">
      <w:pPr>
        <w:pStyle w:val="14Footnote"/>
      </w:pPr>
      <w:r w:rsidRPr="00AD2F44">
        <w:rPr>
          <w:vertAlign w:val="superscript"/>
        </w:rPr>
        <w:footnoteRef/>
      </w:r>
      <w:r w:rsidRPr="00AD2F44">
        <w:t>Gandhi v. Dell, Inc., 2009 WL 1940144, at *8 (W.D. Tex. July 2, 2009).</w:t>
      </w:r>
    </w:p>
  </w:footnote>
  <w:footnote w:id="1171">
    <w:p w14:paraId="2880A18A" w14:textId="77777777" w:rsidR="004322B1" w:rsidRPr="00AD2F44" w:rsidRDefault="004322B1">
      <w:pPr>
        <w:pStyle w:val="14Footnote"/>
      </w:pPr>
      <w:r w:rsidRPr="00AD2F44">
        <w:rPr>
          <w:vertAlign w:val="superscript"/>
        </w:rPr>
        <w:footnoteRef/>
      </w:r>
      <w:r w:rsidRPr="00AD2F44">
        <w:t>Duchene v. Michael L. Cetta, Inc., 244 F.R.D. 202, 204 (S.D.N.Y. June 18, 2007); Ramirez v. RDO-BOS Farms, LLC, 2007 WL 273604, at *2 (D. Or. Jan. 23, 2007).</w:t>
      </w:r>
    </w:p>
  </w:footnote>
  <w:footnote w:id="1172">
    <w:p w14:paraId="69C20485" w14:textId="77777777" w:rsidR="004322B1" w:rsidRPr="00AD2F44" w:rsidRDefault="004322B1">
      <w:pPr>
        <w:pStyle w:val="14Footnote"/>
      </w:pPr>
      <w:r w:rsidRPr="00AD2F44">
        <w:rPr>
          <w:vertAlign w:val="superscript"/>
        </w:rPr>
        <w:footnoteRef/>
      </w:r>
      <w:r w:rsidRPr="00AD2F44">
        <w:rPr>
          <w:i/>
        </w:rPr>
        <w:t>See</w:t>
      </w:r>
    </w:p>
    <w:p w14:paraId="533456E7" w14:textId="77777777" w:rsidR="004322B1" w:rsidRPr="00AD2F44" w:rsidRDefault="004322B1">
      <w:pPr>
        <w:pStyle w:val="14Footnote"/>
      </w:pPr>
      <w:r w:rsidRPr="00AD2F44">
        <w:rPr>
          <w:i/>
          <w:iCs/>
        </w:rPr>
        <w:t xml:space="preserve">Second Circuit: </w:t>
      </w:r>
      <w:r w:rsidRPr="00AD2F44">
        <w:t>Guzman v. VLM, Inc., 2008 WL 597186, at *10 (E.D.N.Y. Mar. 2, 2008) (downplaying risk of confusion and finding that dual opt-in/opt-out notice would not undermine superiority).</w:t>
      </w:r>
    </w:p>
    <w:p w14:paraId="19F6CE09" w14:textId="77777777" w:rsidR="004322B1" w:rsidRPr="00AD2F44" w:rsidRDefault="004322B1">
      <w:pPr>
        <w:pStyle w:val="14Footnote"/>
      </w:pPr>
      <w:r w:rsidRPr="00AD2F44">
        <w:rPr>
          <w:i/>
          <w:iCs/>
        </w:rPr>
        <w:t xml:space="preserve">Fourth Circuit: </w:t>
      </w:r>
      <w:r w:rsidRPr="00AD2F44">
        <w:t>Calderon v. GEICO Gen. Ins. Co., 279 F.R.D. 337, 347 (D. Md. 2012).</w:t>
      </w:r>
    </w:p>
    <w:p w14:paraId="2C4AFB40" w14:textId="77777777" w:rsidR="004322B1" w:rsidRPr="00AD2F44" w:rsidRDefault="004322B1">
      <w:pPr>
        <w:pStyle w:val="14Footnote"/>
      </w:pPr>
      <w:r w:rsidRPr="00AD2F44">
        <w:rPr>
          <w:i/>
          <w:iCs/>
        </w:rPr>
        <w:t xml:space="preserve">Sixth Circuit: </w:t>
      </w:r>
      <w:r w:rsidRPr="00AD2F44">
        <w:t>Wade v. Werner Trucking Co., 2011 WL 320233, at *2 (S.D. Ohio Jan 28, 2011).</w:t>
      </w:r>
    </w:p>
    <w:p w14:paraId="539580C5" w14:textId="77777777" w:rsidR="004322B1" w:rsidRPr="00AD2F44" w:rsidRDefault="004322B1">
      <w:pPr>
        <w:pStyle w:val="14Footnote"/>
      </w:pPr>
      <w:r w:rsidRPr="00AD2F44">
        <w:rPr>
          <w:i/>
          <w:iCs/>
        </w:rPr>
        <w:t xml:space="preserve">Seventh Circuit: </w:t>
      </w:r>
      <w:r w:rsidRPr="00AD2F44">
        <w:t>Ervin v. OS Rest. Servs., Inc., 632 F.3d 971, 978 (7th Cir. 2011) (recognizing that notice informing employees of their right to opt in to FLSA action and to opt out of state law action had potential to confuse class members and was valid superiority concern but finding “no indication that the problem is any worse than countless others that district courts face with class actions”).</w:t>
      </w:r>
    </w:p>
    <w:p w14:paraId="2979DA16" w14:textId="77777777" w:rsidR="004322B1" w:rsidRPr="00AD2F44" w:rsidRDefault="004322B1">
      <w:pPr>
        <w:pStyle w:val="14Footnote"/>
      </w:pPr>
      <w:r w:rsidRPr="00AD2F44">
        <w:rPr>
          <w:i/>
          <w:iCs/>
        </w:rPr>
        <w:t xml:space="preserve">Ninth Circuit: </w:t>
      </w:r>
      <w:r w:rsidRPr="00AD2F44">
        <w:t>Guifu Li v. A Perfect Franchise, Inc., 2011 WL 4635198, at *1–11 (N.D. Cal. Oct. 5, 2011).</w:t>
      </w:r>
    </w:p>
    <w:p w14:paraId="42B053A3" w14:textId="77777777" w:rsidR="004322B1" w:rsidRPr="00AD2F44" w:rsidRDefault="004322B1">
      <w:pPr>
        <w:pStyle w:val="14Footnote"/>
        <w:rPr>
          <w:i/>
          <w:iCs/>
        </w:rPr>
      </w:pPr>
      <w:r w:rsidRPr="00AD2F44">
        <w:rPr>
          <w:i/>
          <w:iCs/>
        </w:rPr>
        <w:t>Accord</w:t>
      </w:r>
    </w:p>
    <w:p w14:paraId="01855F4C" w14:textId="77777777" w:rsidR="004322B1" w:rsidRPr="00AD2F44" w:rsidRDefault="004322B1">
      <w:pPr>
        <w:pStyle w:val="14Footnote"/>
      </w:pPr>
      <w:r w:rsidRPr="00AD2F44">
        <w:rPr>
          <w:i/>
          <w:iCs/>
        </w:rPr>
        <w:t xml:space="preserve">Second Circuit: </w:t>
      </w:r>
      <w:r w:rsidRPr="00AD2F44">
        <w:t>Damassia v. Duane Reade, Inc., 250 F.R.D. 152, 163 (S.D.N.Y. 2008).</w:t>
      </w:r>
    </w:p>
    <w:p w14:paraId="74A59A3B" w14:textId="77777777" w:rsidR="004322B1" w:rsidRPr="00AD2F44" w:rsidRDefault="004322B1">
      <w:pPr>
        <w:pStyle w:val="14Footnote"/>
      </w:pPr>
      <w:r w:rsidRPr="00AD2F44">
        <w:rPr>
          <w:i/>
          <w:iCs/>
        </w:rPr>
        <w:t xml:space="preserve">Seventh Circuit: </w:t>
      </w:r>
      <w:r w:rsidRPr="00AD2F44">
        <w:t>Musch v. Domtar Indus., Inc., 252 F.R.D. 456, 463 (W.D. Wis. 2008) (acknowledging risk of confusion but concluding that any harm from such confusion was outweighed by factors supporting class adjudication).</w:t>
      </w:r>
    </w:p>
    <w:p w14:paraId="101ACF69" w14:textId="77777777" w:rsidR="004322B1" w:rsidRPr="00AD2F44" w:rsidRDefault="004322B1">
      <w:pPr>
        <w:pStyle w:val="14Footnote"/>
      </w:pPr>
      <w:r w:rsidRPr="00AD2F44">
        <w:t>See also §XI.D.2.c.iv [Hybrid FLSA/State Law Class Actions; Federal Jurisdiction Over State Law Claims in Hybrid Actions; Supplemental Jurisdiction Under 28 U.S.C. §1367; Whether the Court Should Decline to Exercise Supplemental Jurisdiction; “Exceptional Circumstances”/“Compelling Reasons”] of this chapter (citing cases discussing issue of potential class member confusion in contexts of deciding whether hybrid actions are lawful and/or whether there are compelling reasons for declining to exercise supplemental jurisdiction).</w:t>
      </w:r>
    </w:p>
  </w:footnote>
  <w:footnote w:id="1173">
    <w:p w14:paraId="6F93A577" w14:textId="77777777" w:rsidR="004322B1" w:rsidRPr="00AD2F44" w:rsidRDefault="004322B1">
      <w:pPr>
        <w:pStyle w:val="14Footnote"/>
      </w:pPr>
      <w:r w:rsidRPr="00AD2F44">
        <w:rPr>
          <w:vertAlign w:val="superscript"/>
        </w:rPr>
        <w:footnoteRef/>
      </w:r>
      <w:r w:rsidRPr="00AD2F44">
        <w:rPr>
          <w:i/>
        </w:rPr>
        <w:t xml:space="preserve">See </w:t>
      </w:r>
    </w:p>
    <w:p w14:paraId="0E3FBA86" w14:textId="77777777" w:rsidR="004322B1" w:rsidRPr="00AD2F44" w:rsidRDefault="004322B1">
      <w:pPr>
        <w:pStyle w:val="14Footnote"/>
      </w:pPr>
      <w:r w:rsidRPr="00AD2F44">
        <w:rPr>
          <w:i/>
          <w:iCs/>
        </w:rPr>
        <w:t>Second Circuit:</w:t>
      </w:r>
      <w:r w:rsidRPr="00AD2F44">
        <w:t xml:space="preserve"> De La Cruz v. Gill Corn Farms, Inc., 2005 WL 5419056, at *6 (N.D.N.Y. Jan. 25, 2005) (expressing concern that migrant farm workers, many of whom did not speak English or understand legal system, would be confused by having to choose between actions, which confusion would be exacerbated by having to decide whether to waive liquidated damages under New York law in order to have class action under state statute that prohibited class actions for liquidated damages).</w:t>
      </w:r>
    </w:p>
    <w:p w14:paraId="3DE3568F" w14:textId="77777777" w:rsidR="004322B1" w:rsidRPr="00AD2F44" w:rsidRDefault="004322B1">
      <w:pPr>
        <w:pStyle w:val="14Footnote"/>
      </w:pPr>
      <w:r w:rsidRPr="00AD2F44">
        <w:rPr>
          <w:i/>
          <w:iCs/>
        </w:rPr>
        <w:t xml:space="preserve">Eighth Circuit: </w:t>
      </w:r>
      <w:r w:rsidRPr="00AD2F44">
        <w:t>Murray v. Silver Dollar Cabaret, Inc., 2017 WL 514323, at *8 (W.D. Ark. Feb. 8, 2017) (denying motion to certify Rule 23(b)(3) class in hybrid action because class action was not superior method to adjudicate controversy where different notices may be “confusing” for “transient” exotic dancer class “who on average worked at one of the clubs between five minutes and one week”).</w:t>
      </w:r>
    </w:p>
    <w:p w14:paraId="557C8869" w14:textId="77777777" w:rsidR="004322B1" w:rsidRPr="00AD2F44" w:rsidRDefault="004322B1">
      <w:pPr>
        <w:pStyle w:val="14Footnote"/>
      </w:pPr>
      <w:r w:rsidRPr="00AD2F44">
        <w:rPr>
          <w:i/>
          <w:iCs/>
        </w:rPr>
        <w:t>Ninth Circuit:</w:t>
      </w:r>
      <w:r w:rsidRPr="00AD2F44">
        <w:t xml:space="preserve"> McDonald v. Ricardo’s On the Beach, Inc., 2013 WL 228334 (C.D. Cal. 2013); Campanelli v. Hershey Co., 2010 WL 3219501, at *5 (N.D. Cal. Aug. 13, 2010); Leuthold v. Destination Am., Inc., 224 F.R.D. 462, 470 (N.D. Cal. 2004) (“Confusion would likely result in asking potential plaintiffs both to opt in and to opt out of the claims in this suit.”). </w:t>
      </w:r>
    </w:p>
  </w:footnote>
  <w:footnote w:id="1174">
    <w:p w14:paraId="258A0388" w14:textId="77777777" w:rsidR="004322B1" w:rsidRPr="00AD2F44" w:rsidRDefault="004322B1">
      <w:pPr>
        <w:pStyle w:val="14Footnote"/>
      </w:pPr>
      <w:r w:rsidRPr="00AD2F44">
        <w:rPr>
          <w:vertAlign w:val="superscript"/>
        </w:rPr>
        <w:footnoteRef/>
      </w:r>
      <w:r w:rsidRPr="00AD2F44">
        <w:rPr>
          <w:smallCaps/>
        </w:rPr>
        <w:t>Fed. R. Civ. P.</w:t>
      </w:r>
      <w:r w:rsidRPr="00AD2F44">
        <w:t xml:space="preserve"> 23(b)(3)(D).</w:t>
      </w:r>
    </w:p>
  </w:footnote>
  <w:footnote w:id="1175">
    <w:p w14:paraId="3AB634A6" w14:textId="77777777" w:rsidR="004322B1" w:rsidRPr="00AD2F44" w:rsidRDefault="004322B1">
      <w:pPr>
        <w:pStyle w:val="14Footnote"/>
      </w:pPr>
      <w:r w:rsidRPr="00AD2F44">
        <w:rPr>
          <w:vertAlign w:val="superscript"/>
        </w:rPr>
        <w:footnoteRef/>
      </w:r>
      <w:r w:rsidRPr="00AD2F44">
        <w:t>Phelps v. Parsons Tech. Support, Inc., 2010 WL 4386918, at *6 (S.D. Ind. Oct. 29, 2010) (plaintiffs also failed to move for class certification within time period allowed by local rules).</w:t>
      </w:r>
    </w:p>
  </w:footnote>
  <w:footnote w:id="1176">
    <w:p w14:paraId="7B0E9FA4" w14:textId="77777777" w:rsidR="004322B1" w:rsidRPr="00AD2F44" w:rsidRDefault="004322B1">
      <w:pPr>
        <w:pStyle w:val="14Footnote"/>
      </w:pPr>
      <w:r w:rsidRPr="00AD2F44">
        <w:rPr>
          <w:vertAlign w:val="superscript"/>
        </w:rPr>
        <w:footnoteRef/>
      </w:r>
      <w:r w:rsidRPr="00AD2F44">
        <w:t>632 F.3d 971 (7th Cir. 2011).</w:t>
      </w:r>
    </w:p>
  </w:footnote>
  <w:footnote w:id="1177">
    <w:p w14:paraId="7B0F4086" w14:textId="77777777" w:rsidR="004322B1" w:rsidRPr="00AD2F44" w:rsidRDefault="004322B1">
      <w:pPr>
        <w:pStyle w:val="14Footnote"/>
      </w:pPr>
      <w:r w:rsidRPr="00AD2F44">
        <w:rPr>
          <w:vertAlign w:val="superscript"/>
        </w:rPr>
        <w:footnoteRef/>
      </w:r>
      <w:r w:rsidRPr="00AD2F44">
        <w:rPr>
          <w:i/>
          <w:iCs/>
        </w:rPr>
        <w:t>Id</w:t>
      </w:r>
      <w:r w:rsidRPr="00AD2F44">
        <w:t>. at 978 (recognizing that notice informing employees of their right to opt in to FLSA action and to opt out of state law action had potential to confuse class members and was valid superiority concern but finding “no indication that the problem is any worse than countless others that district courts face with class actions”).</w:t>
      </w:r>
    </w:p>
  </w:footnote>
  <w:footnote w:id="1178">
    <w:p w14:paraId="132B4EE4" w14:textId="77777777" w:rsidR="004322B1" w:rsidRPr="00AD2F44" w:rsidRDefault="004322B1">
      <w:pPr>
        <w:pStyle w:val="14Footnote"/>
      </w:pPr>
      <w:r w:rsidRPr="00AD2F44">
        <w:rPr>
          <w:vertAlign w:val="superscript"/>
        </w:rPr>
        <w:footnoteRef/>
      </w:r>
      <w:r w:rsidRPr="00AD2F44">
        <w:t xml:space="preserve">Murray v. Silver Dollar Cabaret, Inc., 2017 WL 514323, at *8 (W.D. Ark. Feb. 8, 2017) (denying motion to certify Rule 23(b)(3) class in hybrid action based on manageability concerns because “transient nature of the exotic dancer population and the lack of recordkeeping” could create “notice and settlement issues”).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015F0"/>
    <w:multiLevelType w:val="multilevel"/>
    <w:tmpl w:val="EA3A5614"/>
    <w:lvl w:ilvl="0">
      <w:start w:val="1"/>
      <w:numFmt w:val="bullet"/>
      <w:pStyle w:val="13AFirst-LevelBulletedLis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3"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5"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5"/>
  </w:num>
  <w:num w:numId="2" w16cid:durableId="560215516">
    <w:abstractNumId w:val="0"/>
  </w:num>
  <w:num w:numId="3" w16cid:durableId="439372092">
    <w:abstractNumId w:val="3"/>
  </w:num>
  <w:num w:numId="4" w16cid:durableId="1312754695">
    <w:abstractNumId w:val="6"/>
  </w:num>
  <w:num w:numId="5" w16cid:durableId="20286316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F9"/>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B75"/>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19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55E0"/>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2B1"/>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1F9"/>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15A"/>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4FFD"/>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0E34"/>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9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link w:val="DocIDCha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
    <w:basedOn w:val="text"/>
    <w:autoRedefine/>
    <w:uiPriority w:val="99"/>
    <w:semiHidden/>
    <w:rsid w:val="004322B1"/>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oc5a">
    <w:name w:val="toc 5(a)"/>
    <w:basedOn w:val="Normal"/>
    <w:autoRedefine/>
    <w:uiPriority w:val="99"/>
    <w:semiHidden/>
    <w:rsid w:val="004322B1"/>
    <w:pPr>
      <w:tabs>
        <w:tab w:val="left" w:pos="2100"/>
        <w:tab w:val="left" w:leader="dot" w:pos="6240"/>
        <w:tab w:val="left" w:pos="6960"/>
      </w:tabs>
      <w:suppressAutoHyphens/>
      <w:autoSpaceDE w:val="0"/>
      <w:autoSpaceDN w:val="0"/>
      <w:adjustRightInd w:val="0"/>
      <w:spacing w:before="0" w:after="0" w:line="240" w:lineRule="atLeast"/>
      <w:ind w:left="2580" w:hanging="480"/>
      <w:textAlignment w:val="center"/>
    </w:pPr>
    <w:rPr>
      <w:rFonts w:eastAsiaTheme="minorEastAsia" w:cs="ITC New Baskerville Std"/>
      <w:color w:val="000000"/>
      <w:kern w:val="0"/>
      <w:sz w:val="22"/>
      <w:szCs w:val="22"/>
      <w:lang w:bidi="ar-SA"/>
    </w:rPr>
  </w:style>
  <w:style w:type="paragraph" w:customStyle="1" w:styleId="1stlevelheadIrb">
    <w:name w:val="1st level head I._rb"/>
    <w:basedOn w:val="Normal"/>
    <w:autoRedefine/>
    <w:uiPriority w:val="99"/>
    <w:semiHidden/>
    <w:rsid w:val="004322B1"/>
    <w:pPr>
      <w:keepNext/>
      <w:widowControl w:val="0"/>
      <w:suppressAutoHyphens/>
      <w:autoSpaceDE w:val="0"/>
      <w:autoSpaceDN w:val="0"/>
      <w:adjustRightInd w:val="0"/>
      <w:spacing w:before="360" w:after="240"/>
      <w:textAlignment w:val="center"/>
    </w:pPr>
    <w:rPr>
      <w:rFonts w:eastAsiaTheme="minorEastAsia" w:cs="Times LT Std"/>
      <w:b/>
      <w:bCs/>
      <w:color w:val="000000"/>
      <w:kern w:val="0"/>
      <w:lang w:bidi="ar-SA"/>
    </w:rPr>
  </w:style>
  <w:style w:type="paragraph" w:customStyle="1" w:styleId="1stlevehead10ES">
    <w:name w:val="1st leve head 10. ES"/>
    <w:basedOn w:val="1stlevelheadIrb"/>
    <w:autoRedefine/>
    <w:semiHidden/>
    <w:qFormat/>
    <w:rsid w:val="004322B1"/>
    <w:pPr>
      <w:tabs>
        <w:tab w:val="left" w:pos="960"/>
      </w:tabs>
      <w:ind w:left="960" w:hanging="960"/>
      <w:jc w:val="center"/>
    </w:pPr>
    <w:rPr>
      <w:rFonts w:cs="Times New Roman"/>
    </w:rPr>
  </w:style>
  <w:style w:type="paragraph" w:customStyle="1" w:styleId="1stlevelheadboldcentered">
    <w:name w:val="1st level head / bold centered"/>
    <w:basedOn w:val="Normal"/>
    <w:autoRedefine/>
    <w:uiPriority w:val="99"/>
    <w:semiHidden/>
    <w:rsid w:val="004322B1"/>
    <w:pPr>
      <w:keepNext/>
      <w:widowControl w:val="0"/>
      <w:suppressAutoHyphens/>
      <w:autoSpaceDE w:val="0"/>
      <w:autoSpaceDN w:val="0"/>
      <w:adjustRightInd w:val="0"/>
      <w:spacing w:after="240"/>
      <w:jc w:val="center"/>
      <w:textAlignment w:val="center"/>
    </w:pPr>
    <w:rPr>
      <w:rFonts w:eastAsiaTheme="minorEastAsia" w:cs="ITC New Baskerville Std"/>
      <w:b/>
      <w:bCs/>
      <w:color w:val="000000"/>
      <w:kern w:val="0"/>
      <w:szCs w:val="22"/>
      <w:lang w:bidi="ar-SA"/>
    </w:rPr>
  </w:style>
  <w:style w:type="paragraph" w:customStyle="1" w:styleId="1stLevelHeadI">
    <w:name w:val="1st Level Head I."/>
    <w:basedOn w:val="Normal"/>
    <w:autoRedefine/>
    <w:uiPriority w:val="99"/>
    <w:semiHidden/>
    <w:rsid w:val="004322B1"/>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1stlevelheadI0">
    <w:name w:val="1st level head I."/>
    <w:basedOn w:val="Normal"/>
    <w:autoRedefine/>
    <w:uiPriority w:val="99"/>
    <w:semiHidden/>
    <w:rsid w:val="004322B1"/>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1stlevelheadIb">
    <w:name w:val="1st level head I._b"/>
    <w:basedOn w:val="Normal"/>
    <w:autoRedefine/>
    <w:uiPriority w:val="99"/>
    <w:semiHidden/>
    <w:qFormat/>
    <w:rsid w:val="004322B1"/>
    <w:pPr>
      <w:tabs>
        <w:tab w:val="left" w:pos="1200"/>
      </w:tabs>
      <w:spacing w:before="360" w:after="240"/>
    </w:pPr>
    <w:rPr>
      <w:rFonts w:ascii="Times New Roman Bold" w:eastAsiaTheme="minorEastAsia" w:hAnsi="Times New Roman Bold" w:cstheme="minorBidi"/>
      <w:b/>
      <w:kern w:val="0"/>
      <w:szCs w:val="22"/>
      <w:lang w:bidi="ar-SA"/>
    </w:rPr>
  </w:style>
  <w:style w:type="paragraph" w:customStyle="1" w:styleId="1stlevelheadIbfl">
    <w:name w:val="1st level head I._b_fl"/>
    <w:basedOn w:val="1stlevelheadIb"/>
    <w:autoRedefine/>
    <w:semiHidden/>
    <w:qFormat/>
    <w:rsid w:val="004322B1"/>
    <w:rPr>
      <w:rFonts w:cs="Times New Roman"/>
      <w:smallCaps/>
    </w:rPr>
  </w:style>
  <w:style w:type="paragraph" w:customStyle="1" w:styleId="1stlevelheadIr">
    <w:name w:val="1st level head I._r"/>
    <w:basedOn w:val="1stlevelheadIb"/>
    <w:autoRedefine/>
    <w:uiPriority w:val="99"/>
    <w:semiHidden/>
    <w:qFormat/>
    <w:rsid w:val="004322B1"/>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4322B1"/>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1stlevelRomanhead11pt">
    <w:name w:val="1st level_Roman head 11 pt."/>
    <w:basedOn w:val="Normal"/>
    <w:autoRedefine/>
    <w:uiPriority w:val="99"/>
    <w:semiHidden/>
    <w:rsid w:val="004322B1"/>
    <w:pPr>
      <w:keepNext/>
      <w:widowControl w:val="0"/>
      <w:suppressAutoHyphens/>
      <w:autoSpaceDE w:val="0"/>
      <w:autoSpaceDN w:val="0"/>
      <w:adjustRightInd w:val="0"/>
      <w:spacing w:after="240"/>
      <w:jc w:val="center"/>
      <w:textAlignment w:val="center"/>
    </w:pPr>
    <w:rPr>
      <w:rFonts w:eastAsiaTheme="minorEastAsia" w:cs="ITC New Baskerville Std"/>
      <w:smallCaps/>
      <w:color w:val="000000"/>
      <w:kern w:val="0"/>
      <w:szCs w:val="22"/>
      <w:lang w:bidi="ar-SA"/>
    </w:rPr>
  </w:style>
  <w:style w:type="paragraph" w:customStyle="1" w:styleId="2ndlevelheadbolditaliccentered">
    <w:name w:val="2nd level head / bold italic centered"/>
    <w:basedOn w:val="Normal"/>
    <w:autoRedefine/>
    <w:uiPriority w:val="99"/>
    <w:semiHidden/>
    <w:rsid w:val="004322B1"/>
    <w:pPr>
      <w:keepNext/>
      <w:widowControl w:val="0"/>
      <w:suppressAutoHyphens/>
      <w:autoSpaceDE w:val="0"/>
      <w:autoSpaceDN w:val="0"/>
      <w:adjustRightInd w:val="0"/>
      <w:spacing w:after="240"/>
      <w:jc w:val="center"/>
      <w:textAlignment w:val="center"/>
    </w:pPr>
    <w:rPr>
      <w:rFonts w:eastAsiaTheme="minorEastAsia" w:cs="ITC New Baskerville Std"/>
      <w:b/>
      <w:bCs/>
      <w:i/>
      <w:iCs/>
      <w:color w:val="000000"/>
      <w:kern w:val="0"/>
      <w:szCs w:val="22"/>
      <w:lang w:bidi="ar-SA"/>
    </w:rPr>
  </w:style>
  <w:style w:type="paragraph" w:customStyle="1" w:styleId="2ndLevelHeadA">
    <w:name w:val="2nd Level Head A."/>
    <w:basedOn w:val="Normal"/>
    <w:autoRedefine/>
    <w:uiPriority w:val="99"/>
    <w:semiHidden/>
    <w:rsid w:val="004322B1"/>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2ndlevelheadAb">
    <w:name w:val="2nd level head A._b"/>
    <w:basedOn w:val="Normal"/>
    <w:autoRedefine/>
    <w:uiPriority w:val="99"/>
    <w:semiHidden/>
    <w:qFormat/>
    <w:rsid w:val="004322B1"/>
    <w:pPr>
      <w:spacing w:after="240"/>
      <w:ind w:left="360"/>
    </w:pPr>
    <w:rPr>
      <w:rFonts w:ascii="Times New Roman Bold" w:eastAsiaTheme="minorEastAsia" w:hAnsi="Times New Roman Bold" w:cstheme="minorBidi"/>
      <w:b/>
      <w:kern w:val="0"/>
      <w:szCs w:val="22"/>
      <w:lang w:bidi="ar-SA"/>
    </w:rPr>
  </w:style>
  <w:style w:type="paragraph" w:customStyle="1" w:styleId="2ndlevelheadAbi">
    <w:name w:val="2nd level head A._bi"/>
    <w:basedOn w:val="2ndlevelheadAb"/>
    <w:semiHidden/>
    <w:qFormat/>
    <w:rsid w:val="004322B1"/>
    <w:rPr>
      <w:i/>
    </w:rPr>
  </w:style>
  <w:style w:type="paragraph" w:customStyle="1" w:styleId="2ndlevelheadBb">
    <w:name w:val="2nd level head B._b"/>
    <w:basedOn w:val="Normal"/>
    <w:autoRedefine/>
    <w:uiPriority w:val="99"/>
    <w:semiHidden/>
    <w:rsid w:val="004322B1"/>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2ndlevelheadBbi">
    <w:name w:val="2nd level head B._bi"/>
    <w:basedOn w:val="Normal"/>
    <w:autoRedefine/>
    <w:uiPriority w:val="99"/>
    <w:semiHidden/>
    <w:rsid w:val="004322B1"/>
    <w:pPr>
      <w:widowControl w:val="0"/>
      <w:tabs>
        <w:tab w:val="left" w:pos="360"/>
      </w:tabs>
      <w:suppressAutoHyphens/>
      <w:autoSpaceDE w:val="0"/>
      <w:autoSpaceDN w:val="0"/>
      <w:adjustRightInd w:val="0"/>
      <w:spacing w:before="480" w:after="360"/>
      <w:ind w:left="360" w:hanging="360"/>
      <w:textAlignment w:val="center"/>
    </w:pPr>
    <w:rPr>
      <w:rFonts w:eastAsiaTheme="minorEastAsia" w:cs="Times LT Std"/>
      <w:b/>
      <w:bCs/>
      <w:i/>
      <w:iCs/>
      <w:color w:val="000000"/>
      <w:kern w:val="0"/>
      <w:szCs w:val="22"/>
      <w:lang w:bidi="ar-SA"/>
    </w:rPr>
  </w:style>
  <w:style w:type="paragraph" w:customStyle="1" w:styleId="2ndlevelheadnospace">
    <w:name w:val="2nd level head no space"/>
    <w:basedOn w:val="2ndlevelheadAb"/>
    <w:autoRedefine/>
    <w:uiPriority w:val="99"/>
    <w:semiHidden/>
    <w:rsid w:val="004322B1"/>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4322B1"/>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4322B1"/>
    <w:rPr>
      <w:i/>
    </w:rPr>
  </w:style>
  <w:style w:type="paragraph" w:customStyle="1" w:styleId="2ndlevelheadnospacebi">
    <w:name w:val="2nd level head no space_bi"/>
    <w:basedOn w:val="2ndlevelheadAbi0"/>
    <w:semiHidden/>
    <w:qFormat/>
    <w:rsid w:val="004322B1"/>
  </w:style>
  <w:style w:type="paragraph" w:customStyle="1" w:styleId="2ndlevelheadnospace-b">
    <w:name w:val="2nd level head no space-b"/>
    <w:basedOn w:val="2ndlevelheadBb"/>
    <w:autoRedefine/>
    <w:uiPriority w:val="99"/>
    <w:semiHidden/>
    <w:rsid w:val="004322B1"/>
    <w:pPr>
      <w:spacing w:before="0"/>
    </w:pPr>
  </w:style>
  <w:style w:type="paragraph" w:customStyle="1" w:styleId="2ndlevelheadAb0">
    <w:name w:val="2nd level head_A._b"/>
    <w:basedOn w:val="Normal"/>
    <w:autoRedefine/>
    <w:uiPriority w:val="99"/>
    <w:semiHidden/>
    <w:rsid w:val="004322B1"/>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2ndlevelheadAbi1">
    <w:name w:val="2nd level head_A._bi"/>
    <w:basedOn w:val="Normal"/>
    <w:autoRedefine/>
    <w:uiPriority w:val="99"/>
    <w:semiHidden/>
    <w:qFormat/>
    <w:rsid w:val="004322B1"/>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lang w:bidi="ar-SA"/>
    </w:rPr>
  </w:style>
  <w:style w:type="paragraph" w:customStyle="1" w:styleId="3rdLevelHead1">
    <w:name w:val="3rd Level Head 1."/>
    <w:basedOn w:val="Normal"/>
    <w:autoRedefine/>
    <w:uiPriority w:val="99"/>
    <w:semiHidden/>
    <w:rsid w:val="004322B1"/>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3rdlevelhead10">
    <w:name w:val="3rd level head 1."/>
    <w:basedOn w:val="Normal"/>
    <w:autoRedefine/>
    <w:uiPriority w:val="99"/>
    <w:semiHidden/>
    <w:rsid w:val="004322B1"/>
    <w:pPr>
      <w:keepNext/>
      <w:widowControl w:val="0"/>
      <w:tabs>
        <w:tab w:val="left" w:pos="360"/>
      </w:tabs>
      <w:suppressAutoHyphens/>
      <w:autoSpaceDE w:val="0"/>
      <w:autoSpaceDN w:val="0"/>
      <w:adjustRightInd w:val="0"/>
      <w:spacing w:after="0" w:line="480" w:lineRule="auto"/>
      <w:ind w:left="360" w:hanging="360"/>
      <w:textAlignment w:val="center"/>
    </w:pPr>
    <w:rPr>
      <w:rFonts w:eastAsia="Times New Roman" w:cs="ITC New Baskerville Std"/>
      <w:b/>
      <w:bCs/>
      <w:i/>
      <w:iCs/>
      <w:color w:val="000000"/>
      <w:kern w:val="0"/>
      <w:szCs w:val="22"/>
      <w:lang w:bidi="ar-SA"/>
    </w:rPr>
  </w:style>
  <w:style w:type="paragraph" w:customStyle="1" w:styleId="3rdlevelhead1i">
    <w:name w:val="3rd level head 1._i"/>
    <w:basedOn w:val="Normal"/>
    <w:autoRedefine/>
    <w:uiPriority w:val="99"/>
    <w:semiHidden/>
    <w:qFormat/>
    <w:rsid w:val="004322B1"/>
    <w:pPr>
      <w:tabs>
        <w:tab w:val="left" w:pos="360"/>
      </w:tabs>
      <w:spacing w:after="240"/>
      <w:ind w:left="360" w:hanging="360"/>
    </w:pPr>
    <w:rPr>
      <w:rFonts w:eastAsiaTheme="minorEastAsia" w:cstheme="minorBidi"/>
      <w:i/>
      <w:kern w:val="0"/>
      <w:szCs w:val="22"/>
      <w:lang w:bidi="ar-SA"/>
    </w:rPr>
  </w:style>
  <w:style w:type="paragraph" w:customStyle="1" w:styleId="3rdlevelhead1bi">
    <w:name w:val="3rd level head 1._bi"/>
    <w:basedOn w:val="3rdlevelhead1i"/>
    <w:semiHidden/>
    <w:qFormat/>
    <w:rsid w:val="004322B1"/>
    <w:rPr>
      <w:b/>
    </w:rPr>
  </w:style>
  <w:style w:type="paragraph" w:customStyle="1" w:styleId="3rdlevelhead10bi">
    <w:name w:val="3rd level head 10._bi"/>
    <w:basedOn w:val="3rdlevelhead1bi"/>
    <w:autoRedefine/>
    <w:uiPriority w:val="99"/>
    <w:semiHidden/>
    <w:rsid w:val="004322B1"/>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4322B1"/>
    <w:pPr>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3rdLevelHeadfrom2">
    <w:name w:val="3rd Level Head from 2"/>
    <w:basedOn w:val="3rdLevelHead1"/>
    <w:autoRedefine/>
    <w:uiPriority w:val="99"/>
    <w:semiHidden/>
    <w:rsid w:val="004322B1"/>
    <w:pPr>
      <w:spacing w:before="0"/>
    </w:pPr>
    <w:rPr>
      <w:rFonts w:cs="Times LT Std"/>
    </w:rPr>
  </w:style>
  <w:style w:type="paragraph" w:customStyle="1" w:styleId="3rdlevelheadheadnospacei">
    <w:name w:val="3rd level head head no space_i"/>
    <w:basedOn w:val="3rdlevelhead1i"/>
    <w:autoRedefine/>
    <w:uiPriority w:val="99"/>
    <w:semiHidden/>
    <w:rsid w:val="004322B1"/>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4322B1"/>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3rdlevelheadnospace">
    <w:name w:val="3rd level head no space"/>
    <w:basedOn w:val="3rdlevelhead1bi"/>
    <w:autoRedefine/>
    <w:uiPriority w:val="99"/>
    <w:semiHidden/>
    <w:rsid w:val="004322B1"/>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uiPriority w:val="99"/>
    <w:semiHidden/>
    <w:qFormat/>
    <w:rsid w:val="004322B1"/>
    <w:pPr>
      <w:spacing w:before="0"/>
    </w:pPr>
  </w:style>
  <w:style w:type="paragraph" w:customStyle="1" w:styleId="3rdlevelheadnospacei">
    <w:name w:val="3rd level head no space_i"/>
    <w:basedOn w:val="3rdlevelhead1i"/>
    <w:autoRedefine/>
    <w:uiPriority w:val="99"/>
    <w:semiHidden/>
    <w:qFormat/>
    <w:rsid w:val="004322B1"/>
    <w:pPr>
      <w:spacing w:before="0"/>
      <w:ind w:left="799"/>
    </w:pPr>
  </w:style>
  <w:style w:type="paragraph" w:customStyle="1" w:styleId="3rdlevelhead1bi0">
    <w:name w:val="3rd level head_1._bi"/>
    <w:basedOn w:val="Normal"/>
    <w:autoRedefine/>
    <w:uiPriority w:val="99"/>
    <w:semiHidden/>
    <w:rsid w:val="004322B1"/>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3rdlevellevel1bi">
    <w:name w:val="3rd level level 1._bi"/>
    <w:basedOn w:val="Normal"/>
    <w:autoRedefine/>
    <w:uiPriority w:val="99"/>
    <w:semiHidden/>
    <w:qFormat/>
    <w:rsid w:val="004322B1"/>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lang w:bidi="ar-SA"/>
    </w:rPr>
  </w:style>
  <w:style w:type="paragraph" w:customStyle="1" w:styleId="4thHeadfrom3">
    <w:name w:val="4th Head from 3"/>
    <w:basedOn w:val="Normal"/>
    <w:autoRedefine/>
    <w:uiPriority w:val="99"/>
    <w:semiHidden/>
    <w:rsid w:val="004322B1"/>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
    <w:name w:val="4th Level Head"/>
    <w:basedOn w:val="Normal"/>
    <w:autoRedefine/>
    <w:uiPriority w:val="99"/>
    <w:semiHidden/>
    <w:qFormat/>
    <w:rsid w:val="004322B1"/>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4322B1"/>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4thlevelheadai">
    <w:name w:val="4th level head a._i"/>
    <w:basedOn w:val="Normal"/>
    <w:autoRedefine/>
    <w:uiPriority w:val="99"/>
    <w:semiHidden/>
    <w:qFormat/>
    <w:rsid w:val="004322B1"/>
    <w:pPr>
      <w:tabs>
        <w:tab w:val="left" w:pos="720"/>
      </w:tabs>
      <w:spacing w:after="240"/>
      <w:ind w:left="720" w:hanging="360"/>
    </w:pPr>
    <w:rPr>
      <w:rFonts w:eastAsiaTheme="minorEastAsia" w:cstheme="minorBidi"/>
      <w:i/>
      <w:kern w:val="0"/>
      <w:szCs w:val="22"/>
      <w:lang w:bidi="ar-SA"/>
    </w:rPr>
  </w:style>
  <w:style w:type="paragraph" w:customStyle="1" w:styleId="4thlevelheadab">
    <w:name w:val="4th level head a._b"/>
    <w:basedOn w:val="4thlevelheadai"/>
    <w:autoRedefine/>
    <w:uiPriority w:val="99"/>
    <w:semiHidden/>
    <w:qFormat/>
    <w:rsid w:val="004322B1"/>
    <w:rPr>
      <w:rFonts w:ascii="Times New Roman Bold" w:hAnsi="Times New Roman Bold"/>
      <w:b/>
      <w:i w:val="0"/>
    </w:rPr>
  </w:style>
  <w:style w:type="paragraph" w:customStyle="1" w:styleId="4thlevelheadascb">
    <w:name w:val="4th level head a._scb"/>
    <w:basedOn w:val="4thlevelheadab"/>
    <w:autoRedefine/>
    <w:semiHidden/>
    <w:qFormat/>
    <w:rsid w:val="004322B1"/>
    <w:rPr>
      <w:rFonts w:cs="Times New Roman"/>
      <w:smallCaps/>
    </w:rPr>
  </w:style>
  <w:style w:type="paragraph" w:customStyle="1" w:styleId="4thlevelheadabsc">
    <w:name w:val="4th level head a_bsc"/>
    <w:basedOn w:val="4thlevelheadab"/>
    <w:autoRedefine/>
    <w:semiHidden/>
    <w:qFormat/>
    <w:rsid w:val="004322B1"/>
    <w:rPr>
      <w:rFonts w:cs="Times New Roman"/>
      <w:smallCaps/>
    </w:rPr>
  </w:style>
  <w:style w:type="paragraph" w:customStyle="1" w:styleId="4thlevelheadnospace">
    <w:name w:val="4th level head no space"/>
    <w:basedOn w:val="4thlevelheadai"/>
    <w:autoRedefine/>
    <w:uiPriority w:val="99"/>
    <w:semiHidden/>
    <w:rsid w:val="004322B1"/>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4322B1"/>
    <w:pPr>
      <w:spacing w:before="0"/>
    </w:pPr>
  </w:style>
  <w:style w:type="paragraph" w:customStyle="1" w:styleId="4thlevelheadnospacei">
    <w:name w:val="4th level head no space_i"/>
    <w:basedOn w:val="4thlevelheadai"/>
    <w:autoRedefine/>
    <w:uiPriority w:val="99"/>
    <w:semiHidden/>
    <w:qFormat/>
    <w:rsid w:val="004322B1"/>
    <w:pPr>
      <w:spacing w:before="0"/>
    </w:pPr>
  </w:style>
  <w:style w:type="paragraph" w:customStyle="1" w:styleId="4thlevelheadai0">
    <w:name w:val="4th level head_a._i"/>
    <w:basedOn w:val="Normal"/>
    <w:autoRedefine/>
    <w:uiPriority w:val="99"/>
    <w:semiHidden/>
    <w:qFormat/>
    <w:rsid w:val="004322B1"/>
    <w:pPr>
      <w:widowControl w:val="0"/>
      <w:tabs>
        <w:tab w:val="left" w:pos="780"/>
      </w:tabs>
      <w:autoSpaceDE w:val="0"/>
      <w:autoSpaceDN w:val="0"/>
      <w:adjustRightInd w:val="0"/>
      <w:spacing w:after="240"/>
      <w:ind w:left="780" w:hanging="300"/>
      <w:textAlignment w:val="center"/>
    </w:pPr>
    <w:rPr>
      <w:rFonts w:eastAsiaTheme="minorEastAsia" w:cs="ITC New Baskerville Std"/>
      <w:i/>
      <w:iCs/>
      <w:color w:val="000000"/>
      <w:kern w:val="0"/>
      <w:lang w:bidi="ar-SA"/>
    </w:rPr>
  </w:style>
  <w:style w:type="paragraph" w:customStyle="1" w:styleId="5hlevelhead1i">
    <w:name w:val="5h level head (1)_i"/>
    <w:basedOn w:val="4thlevelheadnospacei"/>
    <w:autoRedefine/>
    <w:uiPriority w:val="99"/>
    <w:semiHidden/>
    <w:rsid w:val="004322B1"/>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4322B1"/>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5thleveheadnospacer">
    <w:name w:val="5th leve head no space_r"/>
    <w:basedOn w:val="5thlevelheadiir"/>
    <w:autoRedefine/>
    <w:uiPriority w:val="99"/>
    <w:semiHidden/>
    <w:rsid w:val="004322B1"/>
    <w:pPr>
      <w:spacing w:before="0"/>
    </w:pPr>
    <w:rPr>
      <w:rFonts w:cs="Times New Roman"/>
      <w:caps/>
      <w:spacing w:val="2"/>
    </w:rPr>
  </w:style>
  <w:style w:type="paragraph" w:customStyle="1" w:styleId="5thLevelHead">
    <w:name w:val="5th Level Head"/>
    <w:basedOn w:val="Normal"/>
    <w:autoRedefine/>
    <w:uiPriority w:val="99"/>
    <w:semiHidden/>
    <w:qFormat/>
    <w:rsid w:val="004322B1"/>
    <w:pPr>
      <w:keepNext/>
      <w:widowControl w:val="0"/>
      <w:tabs>
        <w:tab w:val="left" w:pos="1240"/>
      </w:tabs>
      <w:suppressAutoHyphens/>
      <w:autoSpaceDE w:val="0"/>
      <w:autoSpaceDN w:val="0"/>
      <w:adjustRightInd w:val="0"/>
      <w:spacing w:after="240"/>
      <w:ind w:left="1241" w:hanging="360"/>
      <w:textAlignment w:val="center"/>
    </w:pPr>
    <w:rPr>
      <w:rFonts w:eastAsiaTheme="minorEastAsia" w:cs="Times LT Std"/>
      <w:i/>
      <w:iCs/>
      <w:color w:val="000000"/>
      <w:kern w:val="0"/>
      <w:szCs w:val="22"/>
      <w:lang w:bidi="ar-SA"/>
    </w:rPr>
  </w:style>
  <w:style w:type="paragraph" w:customStyle="1" w:styleId="5thlevelhead1i">
    <w:name w:val="5th level head (1)_i"/>
    <w:basedOn w:val="Normal"/>
    <w:autoRedefine/>
    <w:uiPriority w:val="99"/>
    <w:semiHidden/>
    <w:rsid w:val="004322B1"/>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ai">
    <w:name w:val="5th level head (a)_i"/>
    <w:basedOn w:val="4thlevelheadnospacei"/>
    <w:autoRedefine/>
    <w:uiPriority w:val="99"/>
    <w:semiHidden/>
    <w:rsid w:val="004322B1"/>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4322B1"/>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4322B1"/>
    <w:pPr>
      <w:widowControl w:val="0"/>
      <w:tabs>
        <w:tab w:val="left" w:pos="1280"/>
      </w:tabs>
      <w:autoSpaceDE w:val="0"/>
      <w:autoSpaceDN w:val="0"/>
      <w:adjustRightInd w:val="0"/>
      <w:spacing w:after="240"/>
      <w:ind w:left="1279" w:hanging="360"/>
      <w:textAlignment w:val="center"/>
    </w:pPr>
    <w:rPr>
      <w:rFonts w:eastAsiaTheme="minorEastAsia" w:cs="Times LT Std"/>
      <w:i/>
      <w:iCs/>
      <w:color w:val="000000"/>
      <w:kern w:val="0"/>
      <w:szCs w:val="23"/>
      <w:lang w:bidi="ar-SA"/>
    </w:rPr>
  </w:style>
  <w:style w:type="paragraph" w:customStyle="1" w:styleId="5thlevelheadii1">
    <w:name w:val="5th level head i._i"/>
    <w:basedOn w:val="Normal"/>
    <w:autoRedefine/>
    <w:uiPriority w:val="99"/>
    <w:semiHidden/>
    <w:qFormat/>
    <w:rsid w:val="004322B1"/>
    <w:pPr>
      <w:tabs>
        <w:tab w:val="left" w:pos="960"/>
      </w:tabs>
      <w:spacing w:after="240"/>
      <w:ind w:left="960" w:hanging="480"/>
    </w:pPr>
    <w:rPr>
      <w:rFonts w:eastAsiaTheme="minorEastAsia" w:cstheme="minorBidi"/>
      <w:i/>
      <w:kern w:val="0"/>
      <w:szCs w:val="22"/>
      <w:lang w:bidi="ar-SA"/>
    </w:rPr>
  </w:style>
  <w:style w:type="paragraph" w:customStyle="1" w:styleId="5thlevelheadiii">
    <w:name w:val="5th level head ii._i"/>
    <w:basedOn w:val="Normal"/>
    <w:autoRedefine/>
    <w:uiPriority w:val="99"/>
    <w:semiHidden/>
    <w:rsid w:val="004322B1"/>
    <w:pPr>
      <w:keepNext/>
      <w:widowControl w:val="0"/>
      <w:tabs>
        <w:tab w:val="left" w:pos="102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nospace">
    <w:name w:val="5th level head no space"/>
    <w:basedOn w:val="Normal"/>
    <w:autoRedefine/>
    <w:uiPriority w:val="99"/>
    <w:semiHidden/>
    <w:rsid w:val="004322B1"/>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5thlevelheadnospacei">
    <w:name w:val="5th level head no space_i"/>
    <w:basedOn w:val="Normal"/>
    <w:autoRedefine/>
    <w:uiPriority w:val="99"/>
    <w:semiHidden/>
    <w:qFormat/>
    <w:rsid w:val="004322B1"/>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text">
    <w:name w:val="text"/>
    <w:basedOn w:val="Normal"/>
    <w:next w:val="Normal"/>
    <w:autoRedefine/>
    <w:uiPriority w:val="99"/>
    <w:semiHidden/>
    <w:qFormat/>
    <w:rsid w:val="004322B1"/>
    <w:pPr>
      <w:tabs>
        <w:tab w:val="left" w:pos="720"/>
        <w:tab w:val="left" w:pos="1440"/>
        <w:tab w:val="left" w:pos="2160"/>
        <w:tab w:val="left" w:pos="2880"/>
        <w:tab w:val="left" w:pos="3600"/>
        <w:tab w:val="left" w:pos="4320"/>
        <w:tab w:val="left" w:pos="5040"/>
        <w:tab w:val="left" w:pos="5760"/>
      </w:tabs>
      <w:spacing w:before="0" w:after="0"/>
      <w:ind w:firstLine="720"/>
    </w:pPr>
    <w:rPr>
      <w:rFonts w:eastAsia="Calibri"/>
      <w:kern w:val="0"/>
      <w:lang w:eastAsia="pt-PT" w:bidi="ar-SA"/>
    </w:rPr>
  </w:style>
  <w:style w:type="paragraph" w:customStyle="1" w:styleId="toc10">
    <w:name w:val="toc1"/>
    <w:basedOn w:val="text"/>
    <w:autoRedefine/>
    <w:uiPriority w:val="99"/>
    <w:semiHidden/>
    <w:qFormat/>
    <w:rsid w:val="004322B1"/>
    <w:pPr>
      <w:widowControl w:val="0"/>
      <w:tabs>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0"/>
    <w:autoRedefine/>
    <w:uiPriority w:val="99"/>
    <w:semiHidden/>
    <w:rsid w:val="004322B1"/>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4322B1"/>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6thlevelheadai">
    <w:name w:val="6th level head (a)_i"/>
    <w:basedOn w:val="5thlevelhead1i"/>
    <w:autoRedefine/>
    <w:uiPriority w:val="99"/>
    <w:semiHidden/>
    <w:rsid w:val="004322B1"/>
    <w:pPr>
      <w:tabs>
        <w:tab w:val="clear" w:pos="800"/>
      </w:tabs>
      <w:ind w:left="1159"/>
    </w:pPr>
  </w:style>
  <w:style w:type="paragraph" w:customStyle="1" w:styleId="6thlevelheadai0">
    <w:name w:val="6th level head (a.)_i"/>
    <w:basedOn w:val="5thlevelheadii"/>
    <w:autoRedefine/>
    <w:uiPriority w:val="99"/>
    <w:semiHidden/>
    <w:rsid w:val="004322B1"/>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4322B1"/>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6thlevelhead1r">
    <w:name w:val="6th level head 1)_r"/>
    <w:basedOn w:val="Normal"/>
    <w:autoRedefine/>
    <w:uiPriority w:val="99"/>
    <w:semiHidden/>
    <w:rsid w:val="004322B1"/>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7thLevelHeada">
    <w:name w:val="7th Level Head a)"/>
    <w:basedOn w:val="6thlevelhead1r"/>
    <w:autoRedefine/>
    <w:uiPriority w:val="99"/>
    <w:semiHidden/>
    <w:rsid w:val="004322B1"/>
    <w:pPr>
      <w:spacing w:line="240" w:lineRule="atLeast"/>
      <w:ind w:left="800"/>
    </w:pPr>
    <w:rPr>
      <w:i/>
      <w:iCs/>
    </w:rPr>
  </w:style>
  <w:style w:type="paragraph" w:customStyle="1" w:styleId="7thlevelheadnospacei">
    <w:name w:val="7th level head no space_i"/>
    <w:basedOn w:val="Normal"/>
    <w:autoRedefine/>
    <w:uiPriority w:val="99"/>
    <w:semiHidden/>
    <w:qFormat/>
    <w:rsid w:val="004322B1"/>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ITC New Baskerville Std"/>
      <w:i/>
      <w:iCs/>
      <w:color w:val="000000"/>
      <w:kern w:val="0"/>
      <w:szCs w:val="22"/>
      <w:lang w:bidi="ar-SA"/>
    </w:rPr>
  </w:style>
  <w:style w:type="paragraph" w:customStyle="1" w:styleId="appeboldhead">
    <w:name w:val="app e bold head"/>
    <w:basedOn w:val="Normal"/>
    <w:autoRedefine/>
    <w:uiPriority w:val="99"/>
    <w:semiHidden/>
    <w:rsid w:val="004322B1"/>
    <w:pPr>
      <w:widowControl w:val="0"/>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appeblditalic">
    <w:name w:val="app e bld italic"/>
    <w:basedOn w:val="appeboldhead"/>
    <w:autoRedefine/>
    <w:uiPriority w:val="99"/>
    <w:semiHidden/>
    <w:rsid w:val="004322B1"/>
    <w:rPr>
      <w:i/>
      <w:iCs/>
    </w:rPr>
  </w:style>
  <w:style w:type="paragraph" w:customStyle="1" w:styleId="appestate">
    <w:name w:val="app e state"/>
    <w:basedOn w:val="Normal"/>
    <w:autoRedefine/>
    <w:uiPriority w:val="99"/>
    <w:semiHidden/>
    <w:rsid w:val="004322B1"/>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text">
    <w:name w:val="app e text"/>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43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4322B1"/>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AuthorAffl">
    <w:name w:val="Author Affl"/>
    <w:basedOn w:val="authorname"/>
    <w:autoRedefine/>
    <w:uiPriority w:val="99"/>
    <w:semiHidden/>
    <w:qFormat/>
    <w:rsid w:val="004322B1"/>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4322B1"/>
    <w:pPr>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4322B1"/>
    <w:pPr>
      <w:spacing w:after="240"/>
      <w:jc w:val="center"/>
    </w:pPr>
    <w:rPr>
      <w:rFonts w:cs="Times New Roman"/>
      <w:i w:val="0"/>
      <w:smallCaps/>
      <w:sz w:val="24"/>
    </w:rPr>
  </w:style>
  <w:style w:type="paragraph" w:customStyle="1" w:styleId="authortitle">
    <w:name w:val="author title"/>
    <w:basedOn w:val="Normal"/>
    <w:autoRedefine/>
    <w:uiPriority w:val="99"/>
    <w:semiHidden/>
    <w:rsid w:val="004322B1"/>
    <w:pPr>
      <w:widowControl w:val="0"/>
      <w:suppressAutoHyphens/>
      <w:autoSpaceDE w:val="0"/>
      <w:autoSpaceDN w:val="0"/>
      <w:adjustRightInd w:val="0"/>
      <w:spacing w:before="0" w:after="240"/>
      <w:ind w:left="240"/>
      <w:textAlignment w:val="center"/>
    </w:pPr>
    <w:rPr>
      <w:rFonts w:eastAsiaTheme="minorEastAsia" w:cs="ITC New Baskerville Std"/>
      <w:i/>
      <w:iCs/>
      <w:color w:val="000000"/>
      <w:kern w:val="0"/>
      <w:sz w:val="22"/>
      <w:szCs w:val="22"/>
      <w:lang w:bidi="ar-SA"/>
    </w:rPr>
  </w:style>
  <w:style w:type="paragraph" w:customStyle="1" w:styleId="block">
    <w:name w:val="block"/>
    <w:basedOn w:val="Normal"/>
    <w:autoRedefine/>
    <w:semiHidden/>
    <w:qFormat/>
    <w:rsid w:val="004322B1"/>
    <w:pPr>
      <w:spacing w:after="240"/>
      <w:ind w:left="720" w:firstLine="720"/>
    </w:pPr>
    <w:rPr>
      <w:rFonts w:eastAsiaTheme="minorEastAsia" w:cstheme="minorBidi"/>
      <w:kern w:val="0"/>
      <w:sz w:val="20"/>
      <w:szCs w:val="22"/>
      <w:lang w:bidi="ar-SA"/>
    </w:rPr>
  </w:style>
  <w:style w:type="paragraph" w:customStyle="1" w:styleId="block-f--">
    <w:name w:val="block-f/-/-"/>
    <w:basedOn w:val="Normal"/>
    <w:autoRedefine/>
    <w:semiHidden/>
    <w:qFormat/>
    <w:rsid w:val="004322B1"/>
    <w:pPr>
      <w:spacing w:before="0" w:after="0"/>
      <w:ind w:left="720"/>
    </w:pPr>
    <w:rPr>
      <w:rFonts w:eastAsiaTheme="minorEastAsia" w:cstheme="minorBidi"/>
      <w:kern w:val="0"/>
      <w:sz w:val="20"/>
      <w:szCs w:val="22"/>
      <w:lang w:bidi="ar-SA"/>
    </w:rPr>
  </w:style>
  <w:style w:type="paragraph" w:customStyle="1" w:styleId="block-p">
    <w:name w:val="block-p/+/+"/>
    <w:basedOn w:val="block-f--"/>
    <w:uiPriority w:val="99"/>
    <w:semiHidden/>
    <w:qFormat/>
    <w:rsid w:val="004322B1"/>
    <w:pPr>
      <w:spacing w:before="240" w:after="240"/>
    </w:pPr>
  </w:style>
  <w:style w:type="paragraph" w:customStyle="1" w:styleId="block--">
    <w:name w:val="block- /+/-"/>
    <w:basedOn w:val="block-p"/>
    <w:autoRedefine/>
    <w:semiHidden/>
    <w:qFormat/>
    <w:rsid w:val="004322B1"/>
    <w:pPr>
      <w:spacing w:after="0"/>
      <w:ind w:firstLine="720"/>
    </w:pPr>
  </w:style>
  <w:style w:type="paragraph" w:customStyle="1" w:styleId="block---">
    <w:name w:val="block- /-/-"/>
    <w:basedOn w:val="block--"/>
    <w:autoRedefine/>
    <w:semiHidden/>
    <w:qFormat/>
    <w:rsid w:val="004322B1"/>
    <w:pPr>
      <w:spacing w:before="0"/>
    </w:pPr>
  </w:style>
  <w:style w:type="paragraph" w:customStyle="1" w:styleId="block2ndindent">
    <w:name w:val="block 2nd indent"/>
    <w:basedOn w:val="Normal"/>
    <w:autoRedefine/>
    <w:uiPriority w:val="99"/>
    <w:semiHidden/>
    <w:rsid w:val="004322B1"/>
    <w:pPr>
      <w:widowControl w:val="0"/>
      <w:autoSpaceDE w:val="0"/>
      <w:autoSpaceDN w:val="0"/>
      <w:adjustRightInd w:val="0"/>
      <w:spacing w:before="0" w:after="0"/>
      <w:ind w:left="1440"/>
      <w:textAlignment w:val="center"/>
    </w:pPr>
    <w:rPr>
      <w:rFonts w:eastAsiaTheme="minorEastAsia" w:cs="ITC New Baskerville Std"/>
      <w:color w:val="000000"/>
      <w:kern w:val="0"/>
      <w:sz w:val="20"/>
      <w:szCs w:val="20"/>
      <w:lang w:bidi="ar-SA"/>
    </w:rPr>
  </w:style>
  <w:style w:type="paragraph" w:customStyle="1" w:styleId="block2ndindent-">
    <w:name w:val="block 2nd indent -/+"/>
    <w:basedOn w:val="Normal"/>
    <w:autoRedefine/>
    <w:uiPriority w:val="99"/>
    <w:semiHidden/>
    <w:rsid w:val="004322B1"/>
    <w:pPr>
      <w:widowControl w:val="0"/>
      <w:autoSpaceDE w:val="0"/>
      <w:autoSpaceDN w:val="0"/>
      <w:adjustRightInd w:val="0"/>
      <w:spacing w:before="0" w:after="240"/>
      <w:ind w:left="1440"/>
      <w:textAlignment w:val="center"/>
    </w:pPr>
    <w:rPr>
      <w:rFonts w:cs="ITC New Baskerville Std"/>
      <w:color w:val="000000"/>
      <w:kern w:val="0"/>
      <w:sz w:val="20"/>
      <w:szCs w:val="20"/>
      <w:lang w:bidi="ar-SA"/>
    </w:rPr>
  </w:style>
  <w:style w:type="paragraph" w:customStyle="1" w:styleId="block2ndindent-6">
    <w:name w:val="block 2nd indent -/+ 6"/>
    <w:basedOn w:val="Normal"/>
    <w:autoRedefine/>
    <w:uiPriority w:val="99"/>
    <w:semiHidden/>
    <w:rsid w:val="004322B1"/>
    <w:pPr>
      <w:widowControl w:val="0"/>
      <w:autoSpaceDE w:val="0"/>
      <w:autoSpaceDN w:val="0"/>
      <w:adjustRightInd w:val="0"/>
      <w:spacing w:before="0"/>
      <w:ind w:left="1440"/>
      <w:textAlignment w:val="center"/>
    </w:pPr>
    <w:rPr>
      <w:rFonts w:eastAsiaTheme="minorEastAsia" w:cs="ITC New Baskerville Std"/>
      <w:color w:val="000000"/>
      <w:kern w:val="0"/>
      <w:sz w:val="20"/>
      <w:szCs w:val="20"/>
      <w:lang w:bidi="ar-SA"/>
    </w:rPr>
  </w:style>
  <w:style w:type="paragraph" w:customStyle="1" w:styleId="block2ndindent-space">
    <w:name w:val="block 2nd indent -/+ space"/>
    <w:basedOn w:val="block2ndindent"/>
    <w:uiPriority w:val="99"/>
    <w:semiHidden/>
    <w:rsid w:val="004322B1"/>
    <w:pPr>
      <w:spacing w:before="120"/>
    </w:pPr>
  </w:style>
  <w:style w:type="paragraph" w:customStyle="1" w:styleId="block2ndindentspace">
    <w:name w:val="block 2nd indent + space"/>
    <w:basedOn w:val="block2ndindent"/>
    <w:autoRedefine/>
    <w:uiPriority w:val="99"/>
    <w:semiHidden/>
    <w:rsid w:val="004322B1"/>
    <w:pPr>
      <w:spacing w:before="120"/>
    </w:pPr>
  </w:style>
  <w:style w:type="paragraph" w:customStyle="1" w:styleId="block2ndindentnew-">
    <w:name w:val="block 2nd indent new -/+"/>
    <w:basedOn w:val="Normal"/>
    <w:autoRedefine/>
    <w:semiHidden/>
    <w:qFormat/>
    <w:rsid w:val="004322B1"/>
    <w:pPr>
      <w:spacing w:before="0" w:after="0"/>
      <w:ind w:left="1440"/>
    </w:pPr>
    <w:rPr>
      <w:rFonts w:eastAsiaTheme="minorEastAsia"/>
      <w:kern w:val="0"/>
      <w:sz w:val="20"/>
      <w:szCs w:val="22"/>
      <w:lang w:bidi="ar-SA"/>
    </w:rPr>
  </w:style>
  <w:style w:type="paragraph" w:customStyle="1" w:styleId="block2ndindentnl">
    <w:name w:val="block 2nd indent nl"/>
    <w:basedOn w:val="block2ndindent"/>
    <w:uiPriority w:val="99"/>
    <w:semiHidden/>
    <w:rsid w:val="004322B1"/>
    <w:pPr>
      <w:tabs>
        <w:tab w:val="left" w:pos="1260"/>
      </w:tabs>
      <w:ind w:left="1920" w:hanging="480"/>
    </w:pPr>
  </w:style>
  <w:style w:type="paragraph" w:customStyle="1" w:styleId="block2ndindent0">
    <w:name w:val="block 2nd indent/+/+"/>
    <w:basedOn w:val="Normal"/>
    <w:autoRedefine/>
    <w:uiPriority w:val="99"/>
    <w:semiHidden/>
    <w:rsid w:val="004322B1"/>
    <w:pPr>
      <w:spacing w:before="0" w:after="240"/>
      <w:ind w:left="1440" w:firstLine="720"/>
    </w:pPr>
    <w:rPr>
      <w:rFonts w:cstheme="minorBidi"/>
      <w:kern w:val="0"/>
      <w:sz w:val="20"/>
      <w:lang w:bidi="ar-SA"/>
    </w:rPr>
  </w:style>
  <w:style w:type="paragraph" w:customStyle="1" w:styleId="block2ndindent-p">
    <w:name w:val="block 2nd indent-p"/>
    <w:basedOn w:val="block2ndindent"/>
    <w:autoRedefine/>
    <w:uiPriority w:val="99"/>
    <w:semiHidden/>
    <w:rsid w:val="004322B1"/>
    <w:pPr>
      <w:ind w:firstLine="720"/>
    </w:pPr>
  </w:style>
  <w:style w:type="paragraph" w:customStyle="1" w:styleId="block3rdindent">
    <w:name w:val="block 3rd indent"/>
    <w:basedOn w:val="Normal"/>
    <w:autoRedefine/>
    <w:uiPriority w:val="99"/>
    <w:semiHidden/>
    <w:qFormat/>
    <w:rsid w:val="004322B1"/>
    <w:pPr>
      <w:spacing w:before="0" w:after="240"/>
      <w:ind w:left="2160" w:firstLine="720"/>
    </w:pPr>
    <w:rPr>
      <w:rFonts w:eastAsiaTheme="minorEastAsia"/>
      <w:kern w:val="0"/>
      <w:sz w:val="20"/>
      <w:szCs w:val="22"/>
      <w:lang w:bidi="ar-SA"/>
    </w:rPr>
  </w:style>
  <w:style w:type="paragraph" w:customStyle="1" w:styleId="blockbullet">
    <w:name w:val="block bullet"/>
    <w:basedOn w:val="Normal"/>
    <w:autoRedefine/>
    <w:semiHidden/>
    <w:qFormat/>
    <w:rsid w:val="004322B1"/>
    <w:pPr>
      <w:spacing w:before="0" w:after="0"/>
      <w:ind w:left="900" w:hanging="180"/>
    </w:pPr>
    <w:rPr>
      <w:rFonts w:eastAsiaTheme="minorEastAsia" w:cstheme="minorBidi"/>
      <w:kern w:val="0"/>
      <w:sz w:val="20"/>
      <w:szCs w:val="22"/>
      <w:lang w:bidi="ar-SA"/>
    </w:rPr>
  </w:style>
  <w:style w:type="paragraph" w:customStyle="1" w:styleId="block-f">
    <w:name w:val="block-f +/+"/>
    <w:basedOn w:val="Normal"/>
    <w:autoRedefine/>
    <w:uiPriority w:val="99"/>
    <w:semiHidden/>
    <w:qFormat/>
    <w:rsid w:val="004322B1"/>
    <w:pPr>
      <w:spacing w:after="240"/>
      <w:ind w:left="720"/>
    </w:pPr>
    <w:rPr>
      <w:rFonts w:eastAsiaTheme="minorEastAsia" w:cstheme="minorBidi"/>
      <w:kern w:val="0"/>
      <w:sz w:val="20"/>
      <w:lang w:bidi="ar-SA"/>
    </w:rPr>
  </w:style>
  <w:style w:type="paragraph" w:customStyle="1" w:styleId="blocknumberlist">
    <w:name w:val="block number list"/>
    <w:basedOn w:val="block-f"/>
    <w:autoRedefine/>
    <w:uiPriority w:val="99"/>
    <w:semiHidden/>
    <w:qFormat/>
    <w:rsid w:val="004322B1"/>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4322B1"/>
    <w:pPr>
      <w:tabs>
        <w:tab w:val="left" w:pos="1400"/>
      </w:tabs>
      <w:ind w:left="2160"/>
    </w:pPr>
  </w:style>
  <w:style w:type="paragraph" w:customStyle="1" w:styleId="blocknumberlistnlii1">
    <w:name w:val="block number list nl/(ii)(1)"/>
    <w:basedOn w:val="blocknumberlistnlii"/>
    <w:autoRedefine/>
    <w:uiPriority w:val="99"/>
    <w:semiHidden/>
    <w:qFormat/>
    <w:rsid w:val="004322B1"/>
  </w:style>
  <w:style w:type="paragraph" w:customStyle="1" w:styleId="blocknumberlistal">
    <w:name w:val="block number list/al"/>
    <w:basedOn w:val="Normal"/>
    <w:autoRedefine/>
    <w:semiHidden/>
    <w:qFormat/>
    <w:rsid w:val="004322B1"/>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quotenumberliststart">
    <w:name w:val="block quote number list start"/>
    <w:basedOn w:val="Normal"/>
    <w:autoRedefine/>
    <w:semiHidden/>
    <w:qFormat/>
    <w:rsid w:val="004322B1"/>
    <w:pPr>
      <w:tabs>
        <w:tab w:val="left" w:pos="1200"/>
      </w:tabs>
      <w:spacing w:after="0"/>
      <w:ind w:left="1200" w:hanging="480"/>
    </w:pPr>
    <w:rPr>
      <w:rFonts w:eastAsiaTheme="minorEastAsia" w:cstheme="minorBidi"/>
      <w:kern w:val="0"/>
      <w:sz w:val="20"/>
      <w:szCs w:val="20"/>
      <w:lang w:bidi="ar-SA"/>
    </w:rPr>
  </w:style>
  <w:style w:type="paragraph" w:customStyle="1" w:styleId="blocknumbernl">
    <w:name w:val="block number nl"/>
    <w:basedOn w:val="blockquotenumberliststart"/>
    <w:autoRedefine/>
    <w:semiHidden/>
    <w:qFormat/>
    <w:rsid w:val="004322B1"/>
    <w:pPr>
      <w:spacing w:before="0"/>
    </w:pPr>
  </w:style>
  <w:style w:type="paragraph" w:customStyle="1" w:styleId="footnote">
    <w:name w:val="footnote"/>
    <w:basedOn w:val="Normal"/>
    <w:link w:val="footnoteChar"/>
    <w:autoRedefine/>
    <w:uiPriority w:val="99"/>
    <w:semiHidden/>
    <w:qFormat/>
    <w:rsid w:val="004322B1"/>
    <w:pPr>
      <w:widowControl w:val="0"/>
      <w:spacing w:before="0" w:after="0"/>
      <w:ind w:firstLine="720"/>
    </w:pPr>
    <w:rPr>
      <w:rFonts w:eastAsia="Times New Roman"/>
      <w:kern w:val="0"/>
      <w:sz w:val="20"/>
      <w:szCs w:val="22"/>
      <w:lang w:bidi="ar-SA"/>
    </w:rPr>
  </w:style>
  <w:style w:type="paragraph" w:customStyle="1" w:styleId="blocknumbernlstart">
    <w:name w:val="block number nl start"/>
    <w:basedOn w:val="footnote"/>
    <w:autoRedefine/>
    <w:semiHidden/>
    <w:qFormat/>
    <w:rsid w:val="004322B1"/>
    <w:pPr>
      <w:spacing w:before="240"/>
      <w:ind w:left="1200" w:hanging="480"/>
    </w:pPr>
  </w:style>
  <w:style w:type="paragraph" w:customStyle="1" w:styleId="blockp">
    <w:name w:val="block p +/+"/>
    <w:basedOn w:val="Normal"/>
    <w:autoRedefine/>
    <w:uiPriority w:val="99"/>
    <w:semiHidden/>
    <w:rsid w:val="004322B1"/>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blockquote">
    <w:name w:val="block quote"/>
    <w:basedOn w:val="Normal"/>
    <w:autoRedefine/>
    <w:uiPriority w:val="99"/>
    <w:semiHidden/>
    <w:qFormat/>
    <w:rsid w:val="004322B1"/>
    <w:pPr>
      <w:spacing w:after="240"/>
      <w:ind w:left="720"/>
    </w:pPr>
    <w:rPr>
      <w:rFonts w:eastAsiaTheme="minorEastAsia" w:cstheme="minorBidi"/>
      <w:kern w:val="0"/>
      <w:sz w:val="20"/>
      <w:szCs w:val="28"/>
      <w:lang w:bidi="ar-SA"/>
    </w:rPr>
  </w:style>
  <w:style w:type="paragraph" w:customStyle="1" w:styleId="Blockquote0">
    <w:name w:val="Block quote"/>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4322B1"/>
    <w:pPr>
      <w:widowControl w:val="0"/>
      <w:autoSpaceDE w:val="0"/>
      <w:autoSpaceDN w:val="0"/>
      <w:adjustRightInd w:val="0"/>
      <w:spacing w:after="24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semiHidden/>
    <w:rsid w:val="004322B1"/>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quote16pt">
    <w:name w:val="block quote 1/6 pt"/>
    <w:basedOn w:val="block-f-"/>
    <w:autoRedefine/>
    <w:uiPriority w:val="99"/>
    <w:semiHidden/>
    <w:rsid w:val="004322B1"/>
    <w:pPr>
      <w:spacing w:after="120"/>
    </w:pPr>
  </w:style>
  <w:style w:type="paragraph" w:customStyle="1" w:styleId="blockquote2ndindent-2pt">
    <w:name w:val="block quote 2nd indent -/2 pt"/>
    <w:basedOn w:val="Normal"/>
    <w:autoRedefine/>
    <w:uiPriority w:val="99"/>
    <w:semiHidden/>
    <w:rsid w:val="004322B1"/>
    <w:pPr>
      <w:widowControl w:val="0"/>
      <w:autoSpaceDE w:val="0"/>
      <w:autoSpaceDN w:val="0"/>
      <w:adjustRightInd w:val="0"/>
      <w:spacing w:before="0" w:after="0"/>
      <w:ind w:left="1440"/>
      <w:textAlignment w:val="center"/>
    </w:pPr>
    <w:rPr>
      <w:rFonts w:eastAsiaTheme="minorEastAsia" w:cs="Times LT Std"/>
      <w:color w:val="000000"/>
      <w:kern w:val="0"/>
      <w:sz w:val="20"/>
      <w:szCs w:val="20"/>
      <w:lang w:bidi="ar-SA"/>
    </w:rPr>
  </w:style>
  <w:style w:type="paragraph" w:customStyle="1" w:styleId="blockquote3rdindent">
    <w:name w:val="block quote 3rd indent"/>
    <w:basedOn w:val="Normal"/>
    <w:autoRedefine/>
    <w:uiPriority w:val="99"/>
    <w:semiHidden/>
    <w:rsid w:val="004322B1"/>
    <w:pPr>
      <w:widowControl w:val="0"/>
      <w:autoSpaceDE w:val="0"/>
      <w:autoSpaceDN w:val="0"/>
      <w:adjustRightInd w:val="0"/>
      <w:spacing w:before="0" w:after="0"/>
      <w:ind w:left="2160"/>
      <w:textAlignment w:val="center"/>
    </w:pPr>
    <w:rPr>
      <w:rFonts w:eastAsiaTheme="minorEastAsia" w:cs="Times LT Std"/>
      <w:color w:val="000000"/>
      <w:kern w:val="0"/>
      <w:sz w:val="20"/>
      <w:szCs w:val="20"/>
      <w:lang w:bidi="ar-SA"/>
    </w:rPr>
  </w:style>
  <w:style w:type="paragraph" w:customStyle="1" w:styleId="blockquote62">
    <w:name w:val="block quote 6/2"/>
    <w:basedOn w:val="blockquote"/>
    <w:autoRedefine/>
    <w:uiPriority w:val="99"/>
    <w:semiHidden/>
    <w:rsid w:val="004322B1"/>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4322B1"/>
    <w:pPr>
      <w:spacing w:after="240"/>
      <w:ind w:left="720"/>
    </w:pPr>
    <w:rPr>
      <w:rFonts w:eastAsiaTheme="minorEastAsia" w:cstheme="minorBidi"/>
      <w:kern w:val="0"/>
      <w:sz w:val="20"/>
      <w:szCs w:val="20"/>
      <w:lang w:bidi="ar-SA"/>
    </w:rPr>
  </w:style>
  <w:style w:type="paragraph" w:customStyle="1" w:styleId="blockquotenumberlist">
    <w:name w:val="block quote number list"/>
    <w:basedOn w:val="blockquotenumberliststart"/>
    <w:autoRedefine/>
    <w:semiHidden/>
    <w:qFormat/>
    <w:rsid w:val="004322B1"/>
    <w:pPr>
      <w:spacing w:before="0"/>
    </w:pPr>
  </w:style>
  <w:style w:type="paragraph" w:customStyle="1" w:styleId="blockquotelist1p6">
    <w:name w:val="block quote list 1p6"/>
    <w:basedOn w:val="blockquotenumberlist"/>
    <w:autoRedefine/>
    <w:uiPriority w:val="99"/>
    <w:semiHidden/>
    <w:rsid w:val="004322B1"/>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4322B1"/>
    <w:pPr>
      <w:tabs>
        <w:tab w:val="left" w:pos="1200"/>
      </w:tabs>
      <w:spacing w:before="0" w:after="240"/>
      <w:ind w:left="1200" w:hanging="480"/>
    </w:pPr>
    <w:rPr>
      <w:rFonts w:eastAsiaTheme="minorEastAsia" w:cstheme="minorBidi"/>
      <w:kern w:val="0"/>
      <w:sz w:val="20"/>
      <w:szCs w:val="20"/>
      <w:lang w:bidi="ar-SA"/>
    </w:rPr>
  </w:style>
  <w:style w:type="paragraph" w:customStyle="1" w:styleId="blockquotepara02">
    <w:name w:val="block quote para 0/2"/>
    <w:basedOn w:val="Normal"/>
    <w:autoRedefine/>
    <w:uiPriority w:val="99"/>
    <w:semiHidden/>
    <w:rsid w:val="004322B1"/>
    <w:pPr>
      <w:widowControl w:val="0"/>
      <w:autoSpaceDE w:val="0"/>
      <w:autoSpaceDN w:val="0"/>
      <w:adjustRightInd w:val="0"/>
      <w:spacing w:before="0" w:after="0"/>
      <w:ind w:left="720" w:firstLine="720"/>
      <w:textAlignment w:val="center"/>
    </w:pPr>
    <w:rPr>
      <w:rFonts w:eastAsiaTheme="minorEastAsia" w:cs="Times LT Std"/>
      <w:color w:val="000000"/>
      <w:kern w:val="0"/>
      <w:sz w:val="20"/>
      <w:szCs w:val="22"/>
      <w:lang w:bidi="ar-SA"/>
    </w:rPr>
  </w:style>
  <w:style w:type="paragraph" w:customStyle="1" w:styleId="blockquotepara06">
    <w:name w:val="block quote para 0/6"/>
    <w:basedOn w:val="Normal"/>
    <w:autoRedefine/>
    <w:uiPriority w:val="99"/>
    <w:semiHidden/>
    <w:rsid w:val="004322B1"/>
    <w:pPr>
      <w:widowControl w:val="0"/>
      <w:autoSpaceDE w:val="0"/>
      <w:autoSpaceDN w:val="0"/>
      <w:adjustRightInd w:val="0"/>
      <w:spacing w:before="0" w:after="240"/>
      <w:ind w:left="720" w:firstLine="720"/>
      <w:textAlignment w:val="center"/>
    </w:pPr>
    <w:rPr>
      <w:rFonts w:eastAsiaTheme="minorEastAsia" w:cs="Times LT Std"/>
      <w:color w:val="000000"/>
      <w:kern w:val="0"/>
      <w:sz w:val="20"/>
      <w:szCs w:val="22"/>
      <w:lang w:bidi="ar-SA"/>
    </w:rPr>
  </w:style>
  <w:style w:type="paragraph" w:customStyle="1" w:styleId="blockquotepara62">
    <w:name w:val="block quote para 6/2"/>
    <w:basedOn w:val="Normal"/>
    <w:autoRedefine/>
    <w:uiPriority w:val="99"/>
    <w:semiHidden/>
    <w:rsid w:val="004322B1"/>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block-p-">
    <w:name w:val="block-p/+/-"/>
    <w:basedOn w:val="block-p"/>
    <w:autoRedefine/>
    <w:semiHidden/>
    <w:qFormat/>
    <w:rsid w:val="004322B1"/>
    <w:pPr>
      <w:spacing w:after="0"/>
      <w:ind w:firstLine="720"/>
    </w:pPr>
  </w:style>
  <w:style w:type="paragraph" w:customStyle="1" w:styleId="block-p--">
    <w:name w:val="block-p/-/-"/>
    <w:basedOn w:val="block-p-"/>
    <w:autoRedefine/>
    <w:semiHidden/>
    <w:qFormat/>
    <w:rsid w:val="004322B1"/>
    <w:pPr>
      <w:spacing w:before="0"/>
    </w:pPr>
  </w:style>
  <w:style w:type="paragraph" w:customStyle="1" w:styleId="blockquote-f--">
    <w:name w:val="block quote-f /-/-"/>
    <w:basedOn w:val="block-p--"/>
    <w:autoRedefine/>
    <w:uiPriority w:val="99"/>
    <w:semiHidden/>
    <w:rsid w:val="004322B1"/>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4322B1"/>
    <w:pPr>
      <w:spacing w:after="240"/>
      <w:ind w:left="720" w:firstLine="720"/>
    </w:pPr>
    <w:rPr>
      <w:rFonts w:eastAsiaTheme="minorEastAsia" w:cstheme="minorBidi"/>
      <w:kern w:val="0"/>
      <w:szCs w:val="22"/>
      <w:lang w:bidi="ar-SA"/>
    </w:rPr>
  </w:style>
  <w:style w:type="paragraph" w:customStyle="1" w:styleId="blockquote-p0">
    <w:name w:val="block quote-p +/+"/>
    <w:basedOn w:val="Normal"/>
    <w:autoRedefine/>
    <w:uiPriority w:val="99"/>
    <w:semiHidden/>
    <w:rsid w:val="004322B1"/>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styleId="BlockText">
    <w:name w:val="Block Text"/>
    <w:basedOn w:val="Normal"/>
    <w:autoRedefine/>
    <w:uiPriority w:val="99"/>
    <w:semiHidden/>
    <w:rsid w:val="004322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theme="minorBidi"/>
      <w:i/>
      <w:iCs/>
      <w:kern w:val="0"/>
      <w:sz w:val="20"/>
      <w:szCs w:val="22"/>
      <w:lang w:bidi="ar-SA"/>
    </w:rPr>
  </w:style>
  <w:style w:type="paragraph" w:customStyle="1" w:styleId="block-bl">
    <w:name w:val="block-bl"/>
    <w:basedOn w:val="Normal"/>
    <w:autoRedefine/>
    <w:uiPriority w:val="99"/>
    <w:semiHidden/>
    <w:rsid w:val="004322B1"/>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f--0">
    <w:name w:val="block-f -/-"/>
    <w:basedOn w:val="Normal"/>
    <w:autoRedefine/>
    <w:uiPriority w:val="99"/>
    <w:semiHidden/>
    <w:qFormat/>
    <w:rsid w:val="004322B1"/>
    <w:pPr>
      <w:spacing w:before="0" w:after="0"/>
      <w:ind w:left="720"/>
    </w:pPr>
    <w:rPr>
      <w:rFonts w:eastAsiaTheme="minorEastAsia" w:cstheme="minorBidi"/>
      <w:kern w:val="0"/>
      <w:sz w:val="20"/>
      <w:szCs w:val="22"/>
      <w:lang w:bidi="ar-SA"/>
    </w:rPr>
  </w:style>
  <w:style w:type="paragraph" w:customStyle="1" w:styleId="block-f-0">
    <w:name w:val="block-f/+/-"/>
    <w:basedOn w:val="Normal"/>
    <w:autoRedefine/>
    <w:semiHidden/>
    <w:qFormat/>
    <w:rsid w:val="004322B1"/>
    <w:pPr>
      <w:spacing w:after="0"/>
      <w:ind w:left="720"/>
    </w:pPr>
    <w:rPr>
      <w:rFonts w:eastAsiaTheme="minorEastAsia" w:cstheme="minorBidi"/>
      <w:kern w:val="0"/>
      <w:sz w:val="20"/>
      <w:szCs w:val="22"/>
      <w:lang w:bidi="ar-SA"/>
    </w:rPr>
  </w:style>
  <w:style w:type="paragraph" w:customStyle="1" w:styleId="block-f-1">
    <w:name w:val="block-f -/+"/>
    <w:basedOn w:val="block-f-0"/>
    <w:autoRedefine/>
    <w:uiPriority w:val="99"/>
    <w:semiHidden/>
    <w:qFormat/>
    <w:rsid w:val="004322B1"/>
    <w:pPr>
      <w:spacing w:before="0" w:after="240"/>
    </w:pPr>
  </w:style>
  <w:style w:type="paragraph" w:customStyle="1" w:styleId="block-f-6">
    <w:name w:val="block-f -/6"/>
    <w:basedOn w:val="block-f-"/>
    <w:autoRedefine/>
    <w:uiPriority w:val="99"/>
    <w:semiHidden/>
    <w:rsid w:val="004322B1"/>
    <w:pPr>
      <w:spacing w:before="0" w:after="120"/>
    </w:pPr>
  </w:style>
  <w:style w:type="paragraph" w:customStyle="1" w:styleId="block-f-6pt">
    <w:name w:val="block-f -/6 pt"/>
    <w:basedOn w:val="block-f-"/>
    <w:autoRedefine/>
    <w:uiPriority w:val="99"/>
    <w:semiHidden/>
    <w:qFormat/>
    <w:rsid w:val="004322B1"/>
    <w:pPr>
      <w:spacing w:before="120"/>
      <w:ind w:left="439"/>
    </w:pPr>
    <w:rPr>
      <w:szCs w:val="21"/>
    </w:rPr>
  </w:style>
  <w:style w:type="paragraph" w:customStyle="1" w:styleId="Block-f-2">
    <w:name w:val="Block-f +/-"/>
    <w:basedOn w:val="blockquote"/>
    <w:autoRedefine/>
    <w:uiPriority w:val="99"/>
    <w:semiHidden/>
    <w:rsid w:val="004322B1"/>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4322B1"/>
    <w:pPr>
      <w:spacing w:after="240"/>
      <w:ind w:left="720"/>
    </w:pPr>
    <w:rPr>
      <w:rFonts w:eastAsiaTheme="minorEastAsia" w:cstheme="minorBidi"/>
      <w:kern w:val="0"/>
      <w:sz w:val="20"/>
      <w:szCs w:val="22"/>
      <w:lang w:bidi="ar-SA"/>
    </w:rPr>
  </w:style>
  <w:style w:type="paragraph" w:customStyle="1" w:styleId="block-f-3">
    <w:name w:val="block-f/-/+"/>
    <w:basedOn w:val="block-f-0"/>
    <w:autoRedefine/>
    <w:semiHidden/>
    <w:qFormat/>
    <w:rsid w:val="004322B1"/>
    <w:pPr>
      <w:spacing w:before="0" w:after="240"/>
    </w:pPr>
  </w:style>
  <w:style w:type="paragraph" w:customStyle="1" w:styleId="block-p-0">
    <w:name w:val="block-p -/+"/>
    <w:basedOn w:val="Normal"/>
    <w:autoRedefine/>
    <w:uiPriority w:val="99"/>
    <w:semiHidden/>
    <w:qFormat/>
    <w:rsid w:val="004322B1"/>
    <w:pPr>
      <w:spacing w:before="0" w:after="240"/>
      <w:ind w:left="720" w:firstLine="720"/>
    </w:pPr>
    <w:rPr>
      <w:rFonts w:eastAsiaTheme="minorEastAsia" w:cstheme="minorBidi"/>
      <w:kern w:val="0"/>
      <w:sz w:val="20"/>
      <w:szCs w:val="22"/>
      <w:lang w:bidi="ar-SA"/>
    </w:rPr>
  </w:style>
  <w:style w:type="paragraph" w:customStyle="1" w:styleId="block-p--0">
    <w:name w:val="block-p -/-"/>
    <w:basedOn w:val="block-p-0"/>
    <w:autoRedefine/>
    <w:uiPriority w:val="99"/>
    <w:semiHidden/>
    <w:qFormat/>
    <w:rsid w:val="004322B1"/>
    <w:pPr>
      <w:spacing w:after="0"/>
    </w:pPr>
  </w:style>
  <w:style w:type="paragraph" w:customStyle="1" w:styleId="Block-p-1">
    <w:name w:val="Block-p -/+"/>
    <w:basedOn w:val="Normal"/>
    <w:autoRedefine/>
    <w:uiPriority w:val="99"/>
    <w:semiHidden/>
    <w:rsid w:val="004322B1"/>
    <w:pPr>
      <w:widowControl w:val="0"/>
      <w:autoSpaceDE w:val="0"/>
      <w:autoSpaceDN w:val="0"/>
      <w:adjustRightInd w:val="0"/>
      <w:spacing w:before="0" w:after="240"/>
      <w:ind w:left="720" w:firstLine="720"/>
      <w:textAlignment w:val="center"/>
    </w:pPr>
    <w:rPr>
      <w:rFonts w:eastAsiaTheme="minorEastAsia" w:cs="NewCenturySchlbk"/>
      <w:color w:val="000000"/>
      <w:kern w:val="0"/>
      <w:sz w:val="20"/>
      <w:szCs w:val="20"/>
      <w:lang w:bidi="ar-SA"/>
    </w:rPr>
  </w:style>
  <w:style w:type="paragraph" w:customStyle="1" w:styleId="block-p-6">
    <w:name w:val="block-p -/6"/>
    <w:basedOn w:val="block-p-0"/>
    <w:autoRedefine/>
    <w:uiPriority w:val="99"/>
    <w:semiHidden/>
    <w:rsid w:val="004322B1"/>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4322B1"/>
    <w:pPr>
      <w:spacing w:after="0"/>
      <w:ind w:left="720" w:firstLine="720"/>
    </w:pPr>
    <w:rPr>
      <w:rFonts w:eastAsiaTheme="minorEastAsia" w:cstheme="minorBidi"/>
      <w:kern w:val="0"/>
      <w:sz w:val="20"/>
      <w:szCs w:val="22"/>
      <w:lang w:bidi="ar-SA"/>
    </w:rPr>
  </w:style>
  <w:style w:type="paragraph" w:customStyle="1" w:styleId="Block-p0">
    <w:name w:val="Block-p +/+"/>
    <w:basedOn w:val="Block-f0"/>
    <w:autoRedefine/>
    <w:semiHidden/>
    <w:qFormat/>
    <w:rsid w:val="004322B1"/>
    <w:pPr>
      <w:ind w:firstLine="720"/>
    </w:pPr>
  </w:style>
  <w:style w:type="paragraph" w:customStyle="1" w:styleId="block-p1">
    <w:name w:val="block-p +/+"/>
    <w:basedOn w:val="Normal"/>
    <w:autoRedefine/>
    <w:uiPriority w:val="99"/>
    <w:semiHidden/>
    <w:qFormat/>
    <w:rsid w:val="004322B1"/>
    <w:pPr>
      <w:spacing w:after="240"/>
      <w:ind w:left="720" w:firstLine="720"/>
    </w:pPr>
    <w:rPr>
      <w:rFonts w:eastAsiaTheme="minorEastAsia"/>
      <w:kern w:val="0"/>
      <w:sz w:val="20"/>
      <w:szCs w:val="22"/>
      <w:lang w:bidi="ar-SA"/>
    </w:rPr>
  </w:style>
  <w:style w:type="paragraph" w:customStyle="1" w:styleId="block-p16pt">
    <w:name w:val="block-p 1/6 pt"/>
    <w:basedOn w:val="Normal"/>
    <w:autoRedefine/>
    <w:uiPriority w:val="99"/>
    <w:semiHidden/>
    <w:rsid w:val="004322B1"/>
    <w:pPr>
      <w:widowControl w:val="0"/>
      <w:autoSpaceDE w:val="0"/>
      <w:autoSpaceDN w:val="0"/>
      <w:adjustRightInd w:val="0"/>
      <w:ind w:left="720" w:firstLine="72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4322B1"/>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4322B1"/>
    <w:pPr>
      <w:spacing w:before="0" w:after="240"/>
      <w:ind w:left="720" w:firstLine="720"/>
    </w:pPr>
    <w:rPr>
      <w:rFonts w:eastAsiaTheme="minorEastAsia" w:cstheme="minorBidi"/>
      <w:kern w:val="0"/>
      <w:sz w:val="20"/>
      <w:szCs w:val="22"/>
      <w:lang w:bidi="ar-SA"/>
    </w:rPr>
  </w:style>
  <w:style w:type="paragraph" w:customStyle="1" w:styleId="boldflush">
    <w:name w:val="bold flush"/>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4322B1"/>
    <w:pPr>
      <w:widowControl w:val="0"/>
      <w:tabs>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4322B1"/>
    <w:pPr>
      <w:spacing w:before="0" w:after="0"/>
    </w:pPr>
    <w:rPr>
      <w:rFonts w:eastAsia="Calibri" w:cs="ITC New Baskerville Std"/>
      <w:color w:val="000000"/>
      <w:kern w:val="0"/>
      <w:lang w:bidi="ar-SA"/>
    </w:rPr>
  </w:style>
  <w:style w:type="paragraph" w:customStyle="1" w:styleId="boldheadflush">
    <w:name w:val="bold head flush"/>
    <w:basedOn w:val="textflush"/>
    <w:autoRedefine/>
    <w:uiPriority w:val="99"/>
    <w:semiHidden/>
    <w:rsid w:val="004322B1"/>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4322B1"/>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 w:val="22"/>
      <w:szCs w:val="22"/>
      <w:lang w:bidi="ar-SA"/>
    </w:rPr>
  </w:style>
  <w:style w:type="paragraph" w:customStyle="1" w:styleId="boldnumberlist">
    <w:name w:val="bold number list"/>
    <w:basedOn w:val="textflush"/>
    <w:autoRedefine/>
    <w:uiPriority w:val="99"/>
    <w:semiHidden/>
    <w:rsid w:val="004322B1"/>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4322B1"/>
    <w:pPr>
      <w:spacing w:after="0"/>
      <w:ind w:left="619" w:hanging="180"/>
    </w:pPr>
    <w:rPr>
      <w:rFonts w:eastAsiaTheme="minorEastAsia" w:cstheme="minorBidi"/>
      <w:kern w:val="0"/>
      <w:szCs w:val="22"/>
      <w:lang w:bidi="ar-SA"/>
    </w:rPr>
  </w:style>
  <w:style w:type="paragraph" w:customStyle="1" w:styleId="bullet">
    <w:name w:val="bullet"/>
    <w:basedOn w:val="bulletliststart"/>
    <w:autoRedefine/>
    <w:uiPriority w:val="99"/>
    <w:semiHidden/>
    <w:qFormat/>
    <w:rsid w:val="004322B1"/>
    <w:pPr>
      <w:spacing w:before="0"/>
    </w:pPr>
    <w:rPr>
      <w:rFonts w:eastAsia="Times New Roman" w:cs="Times New Roman"/>
    </w:rPr>
  </w:style>
  <w:style w:type="paragraph" w:customStyle="1" w:styleId="bulletdash">
    <w:name w:val="bullet dash"/>
    <w:basedOn w:val="Normal"/>
    <w:autoRedefine/>
    <w:uiPriority w:val="99"/>
    <w:semiHidden/>
    <w:rsid w:val="004322B1"/>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end">
    <w:name w:val="bullet end"/>
    <w:basedOn w:val="Normal"/>
    <w:autoRedefine/>
    <w:uiPriority w:val="99"/>
    <w:semiHidden/>
    <w:rsid w:val="004322B1"/>
    <w:pPr>
      <w:spacing w:before="0" w:after="240"/>
      <w:ind w:left="619" w:hanging="180"/>
    </w:pPr>
    <w:rPr>
      <w:rFonts w:eastAsiaTheme="minorEastAsia"/>
      <w:kern w:val="0"/>
      <w:szCs w:val="22"/>
      <w:lang w:bidi="ar-SA"/>
    </w:rPr>
  </w:style>
  <w:style w:type="paragraph" w:customStyle="1" w:styleId="bulletlist">
    <w:name w:val="bullet list"/>
    <w:basedOn w:val="bulletliststart"/>
    <w:autoRedefine/>
    <w:uiPriority w:val="99"/>
    <w:semiHidden/>
    <w:qFormat/>
    <w:rsid w:val="004322B1"/>
    <w:pPr>
      <w:spacing w:before="0"/>
    </w:pPr>
  </w:style>
  <w:style w:type="paragraph" w:customStyle="1" w:styleId="BulletList0">
    <w:name w:val="Bullet List"/>
    <w:basedOn w:val="Normal"/>
    <w:autoRedefine/>
    <w:semiHidden/>
    <w:qFormat/>
    <w:rsid w:val="004322B1"/>
    <w:pPr>
      <w:spacing w:before="0" w:after="0"/>
      <w:ind w:left="619" w:hanging="180"/>
    </w:pPr>
    <w:rPr>
      <w:rFonts w:eastAsiaTheme="minorEastAsia" w:cstheme="minorBidi"/>
      <w:kern w:val="0"/>
      <w:szCs w:val="22"/>
      <w:lang w:bidi="ar-SA"/>
    </w:rPr>
  </w:style>
  <w:style w:type="paragraph" w:customStyle="1" w:styleId="bulletlistend">
    <w:name w:val="bullet list end"/>
    <w:basedOn w:val="bulletlist"/>
    <w:autoRedefine/>
    <w:uiPriority w:val="99"/>
    <w:semiHidden/>
    <w:qFormat/>
    <w:rsid w:val="004322B1"/>
    <w:pPr>
      <w:spacing w:after="240"/>
    </w:pPr>
  </w:style>
  <w:style w:type="paragraph" w:customStyle="1" w:styleId="bulletlistspaceabove">
    <w:name w:val="bullet list space above"/>
    <w:basedOn w:val="bulletlist"/>
    <w:autoRedefine/>
    <w:uiPriority w:val="99"/>
    <w:semiHidden/>
    <w:rsid w:val="004322B1"/>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4322B1"/>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4322B1"/>
    <w:pPr>
      <w:widowControl w:val="0"/>
      <w:tabs>
        <w:tab w:val="left" w:pos="940"/>
      </w:tabs>
      <w:autoSpaceDE w:val="0"/>
      <w:autoSpaceDN w:val="0"/>
      <w:adjustRightInd w:val="0"/>
      <w:spacing w:before="0" w:after="0"/>
      <w:ind w:left="941" w:hanging="180"/>
      <w:textAlignment w:val="center"/>
    </w:pPr>
    <w:rPr>
      <w:rFonts w:eastAsiaTheme="minorEastAsia" w:cs="Times LT Std"/>
      <w:color w:val="000000"/>
      <w:kern w:val="0"/>
      <w:sz w:val="20"/>
      <w:szCs w:val="20"/>
      <w:lang w:bidi="ar-SA"/>
    </w:rPr>
  </w:style>
  <w:style w:type="paragraph" w:customStyle="1" w:styleId="bulletspaceabove">
    <w:name w:val="bullet space above"/>
    <w:basedOn w:val="Normal"/>
    <w:autoRedefine/>
    <w:uiPriority w:val="99"/>
    <w:semiHidden/>
    <w:qFormat/>
    <w:rsid w:val="004322B1"/>
    <w:pPr>
      <w:spacing w:after="0"/>
      <w:ind w:left="619" w:hanging="180"/>
    </w:pPr>
    <w:rPr>
      <w:rFonts w:eastAsiaTheme="minorEastAsia" w:cstheme="minorBidi"/>
      <w:kern w:val="0"/>
      <w:szCs w:val="22"/>
      <w:lang w:bidi="ar-SA"/>
    </w:rPr>
  </w:style>
  <w:style w:type="paragraph" w:customStyle="1" w:styleId="bulletspacebelow">
    <w:name w:val="bullet space below"/>
    <w:basedOn w:val="bulletspaceabove"/>
    <w:autoRedefine/>
    <w:semiHidden/>
    <w:qFormat/>
    <w:rsid w:val="004322B1"/>
    <w:pPr>
      <w:spacing w:before="0" w:after="240"/>
    </w:pPr>
  </w:style>
  <w:style w:type="paragraph" w:customStyle="1" w:styleId="bulletstart">
    <w:name w:val="bullet start"/>
    <w:basedOn w:val="bullet"/>
    <w:autoRedefine/>
    <w:uiPriority w:val="99"/>
    <w:semiHidden/>
    <w:rsid w:val="004322B1"/>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4322B1"/>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4322B1"/>
    <w:pPr>
      <w:tabs>
        <w:tab w:val="left" w:pos="900"/>
      </w:tabs>
      <w:spacing w:before="0" w:after="0"/>
      <w:ind w:left="900" w:hanging="180"/>
    </w:pPr>
    <w:rPr>
      <w:rFonts w:eastAsiaTheme="minorEastAsia" w:cstheme="minorBidi"/>
      <w:kern w:val="0"/>
      <w:szCs w:val="22"/>
      <w:lang w:bidi="ar-SA"/>
    </w:rPr>
  </w:style>
  <w:style w:type="paragraph" w:customStyle="1" w:styleId="caseheadbolditalic">
    <w:name w:val="case head (bold italic)"/>
    <w:basedOn w:val="text"/>
    <w:autoRedefine/>
    <w:uiPriority w:val="99"/>
    <w:semiHidden/>
    <w:rsid w:val="004322B1"/>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4322B1"/>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4322B1"/>
    <w:pPr>
      <w:spacing w:before="240" w:after="240"/>
    </w:pPr>
  </w:style>
  <w:style w:type="paragraph" w:customStyle="1" w:styleId="chspacebelownoneabove">
    <w:name w:val="ch space below / none above"/>
    <w:basedOn w:val="Normal"/>
    <w:next w:val="Normal"/>
    <w:autoRedefine/>
    <w:uiPriority w:val="99"/>
    <w:semiHidden/>
    <w:rsid w:val="004322B1"/>
    <w:pPr>
      <w:keepNext/>
      <w:widowControl w:val="0"/>
      <w:suppressAutoHyphens/>
      <w:autoSpaceDE w:val="0"/>
      <w:autoSpaceDN w:val="0"/>
      <w:adjustRightInd w:val="0"/>
      <w:spacing w:before="0" w:after="240"/>
      <w:jc w:val="center"/>
      <w:textAlignment w:val="center"/>
    </w:pPr>
    <w:rPr>
      <w:rFonts w:eastAsiaTheme="minorEastAsia" w:cs="ITC New Baskerville Std"/>
      <w:smallCaps/>
      <w:color w:val="000000"/>
      <w:kern w:val="0"/>
      <w:lang w:bidi="ar-SA"/>
    </w:rPr>
  </w:style>
  <w:style w:type="paragraph" w:customStyle="1" w:styleId="ChapterNumber">
    <w:name w:val="Chapter Number"/>
    <w:basedOn w:val="Normal"/>
    <w:next w:val="Normal"/>
    <w:autoRedefine/>
    <w:uiPriority w:val="99"/>
    <w:semiHidden/>
    <w:qFormat/>
    <w:rsid w:val="004322B1"/>
    <w:pPr>
      <w:widowControl w:val="0"/>
      <w:suppressAutoHyphens/>
      <w:autoSpaceDE w:val="0"/>
      <w:autoSpaceDN w:val="0"/>
      <w:adjustRightInd w:val="0"/>
      <w:spacing w:before="0" w:after="240"/>
      <w:jc w:val="center"/>
      <w:textAlignment w:val="center"/>
    </w:pPr>
    <w:rPr>
      <w:rFonts w:eastAsiaTheme="minorEastAsia"/>
      <w:smallCaps/>
      <w:color w:val="000000"/>
      <w:kern w:val="0"/>
      <w:sz w:val="20"/>
      <w:szCs w:val="28"/>
      <w:lang w:bidi="ar-SA"/>
    </w:rPr>
  </w:style>
  <w:style w:type="paragraph" w:customStyle="1" w:styleId="chapternumber0">
    <w:name w:val="chapter number"/>
    <w:basedOn w:val="Normal"/>
    <w:autoRedefine/>
    <w:uiPriority w:val="99"/>
    <w:semiHidden/>
    <w:rsid w:val="004322B1"/>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ChapterTitle">
    <w:name w:val="Chapter Title"/>
    <w:basedOn w:val="ChapterNumber"/>
    <w:autoRedefine/>
    <w:uiPriority w:val="99"/>
    <w:semiHidden/>
    <w:qFormat/>
    <w:rsid w:val="004322B1"/>
    <w:pPr>
      <w:spacing w:after="720"/>
    </w:pPr>
    <w:rPr>
      <w:b/>
      <w:smallCaps w:val="0"/>
      <w:sz w:val="28"/>
      <w:szCs w:val="40"/>
    </w:rPr>
  </w:style>
  <w:style w:type="paragraph" w:customStyle="1" w:styleId="chaptertitle0">
    <w:name w:val="chapter title"/>
    <w:basedOn w:val="Normal"/>
    <w:autoRedefine/>
    <w:uiPriority w:val="99"/>
    <w:semiHidden/>
    <w:qFormat/>
    <w:rsid w:val="004322B1"/>
    <w:pPr>
      <w:spacing w:before="0" w:after="240"/>
    </w:pPr>
    <w:rPr>
      <w:rFonts w:eastAsiaTheme="minorEastAsia" w:cstheme="minorBidi"/>
      <w:kern w:val="0"/>
      <w:sz w:val="28"/>
      <w:szCs w:val="22"/>
      <w:lang w:bidi="ar-SA"/>
    </w:rPr>
  </w:style>
  <w:style w:type="paragraph" w:customStyle="1" w:styleId="ChapterTitle14ptBoldCentered">
    <w:name w:val="Chapter Title 14 pt Bold Centered"/>
    <w:basedOn w:val="Normal"/>
    <w:autoRedefine/>
    <w:semiHidden/>
    <w:qFormat/>
    <w:rsid w:val="004322B1"/>
    <w:pPr>
      <w:spacing w:before="0" w:after="480"/>
      <w:jc w:val="center"/>
    </w:pPr>
    <w:rPr>
      <w:rFonts w:eastAsiaTheme="minorEastAsia" w:cstheme="minorBidi"/>
      <w:b/>
      <w:caps/>
      <w:kern w:val="0"/>
      <w:sz w:val="28"/>
      <w:szCs w:val="22"/>
      <w:lang w:bidi="ar-SA"/>
    </w:rPr>
  </w:style>
  <w:style w:type="paragraph" w:customStyle="1" w:styleId="dhscpapertitle">
    <w:name w:val="dh s/c paper title"/>
    <w:basedOn w:val="Normal"/>
    <w:autoRedefine/>
    <w:uiPriority w:val="99"/>
    <w:semiHidden/>
    <w:rsid w:val="004322B1"/>
    <w:pPr>
      <w:widowControl w:val="0"/>
      <w:autoSpaceDE w:val="0"/>
      <w:autoSpaceDN w:val="0"/>
      <w:adjustRightInd w:val="0"/>
      <w:spacing w:before="0" w:after="240"/>
      <w:jc w:val="center"/>
      <w:textAlignment w:val="center"/>
    </w:pPr>
    <w:rPr>
      <w:rFonts w:eastAsiaTheme="minorEastAsia" w:cs="ITC New Baskerville Std"/>
      <w:smallCaps/>
      <w:color w:val="000000"/>
      <w:kern w:val="0"/>
      <w:szCs w:val="20"/>
      <w:lang w:bidi="ar-SA"/>
    </w:rPr>
  </w:style>
  <w:style w:type="paragraph" w:customStyle="1" w:styleId="flushitalichead">
    <w:name w:val="flush italic head"/>
    <w:basedOn w:val="3rdlevelhead1i"/>
    <w:autoRedefine/>
    <w:uiPriority w:val="99"/>
    <w:semiHidden/>
    <w:rsid w:val="004322B1"/>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4322B1"/>
    <w:pPr>
      <w:keepNext w:val="0"/>
      <w:suppressAutoHyphens w:val="0"/>
      <w:spacing w:before="0"/>
    </w:pPr>
  </w:style>
  <w:style w:type="paragraph" w:customStyle="1" w:styleId="footnote0">
    <w:name w:val="footnote *"/>
    <w:basedOn w:val="footnote"/>
    <w:autoRedefine/>
    <w:uiPriority w:val="99"/>
    <w:semiHidden/>
    <w:rsid w:val="004322B1"/>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4322B1"/>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footnoteindent">
    <w:name w:val="footnote indent"/>
    <w:basedOn w:val="Normal"/>
    <w:autoRedefine/>
    <w:uiPriority w:val="99"/>
    <w:semiHidden/>
    <w:rsid w:val="004322B1"/>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4322B1"/>
  </w:style>
  <w:style w:type="paragraph" w:customStyle="1" w:styleId="footnote2ndindentwpara">
    <w:name w:val="footnote 2nd indent w/para"/>
    <w:basedOn w:val="Normal"/>
    <w:autoRedefine/>
    <w:uiPriority w:val="99"/>
    <w:semiHidden/>
    <w:rsid w:val="004322B1"/>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bl">
    <w:name w:val="footnote bl"/>
    <w:basedOn w:val="Normal"/>
    <w:autoRedefine/>
    <w:uiPriority w:val="99"/>
    <w:semiHidden/>
    <w:rsid w:val="004322B1"/>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footnoteblock">
    <w:name w:val="footnote block"/>
    <w:basedOn w:val="footnote"/>
    <w:autoRedefine/>
    <w:uiPriority w:val="99"/>
    <w:semiHidden/>
    <w:qFormat/>
    <w:rsid w:val="004322B1"/>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4322B1"/>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4322B1"/>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4322B1"/>
    <w:pPr>
      <w:ind w:firstLine="720"/>
    </w:pPr>
  </w:style>
  <w:style w:type="paragraph" w:customStyle="1" w:styleId="footnoteblockwithparaindent">
    <w:name w:val="footnote block with para indent"/>
    <w:basedOn w:val="footnoteblock"/>
    <w:autoRedefine/>
    <w:uiPriority w:val="99"/>
    <w:semiHidden/>
    <w:qFormat/>
    <w:rsid w:val="004322B1"/>
    <w:pPr>
      <w:ind w:firstLine="720"/>
    </w:pPr>
  </w:style>
  <w:style w:type="paragraph" w:customStyle="1" w:styleId="footnotebulletlist">
    <w:name w:val="footnote bullet list"/>
    <w:basedOn w:val="Normal"/>
    <w:autoRedefine/>
    <w:uiPriority w:val="99"/>
    <w:semiHidden/>
    <w:rsid w:val="004322B1"/>
    <w:pPr>
      <w:widowControl w:val="0"/>
      <w:tabs>
        <w:tab w:val="left" w:pos="620"/>
      </w:tabs>
      <w:autoSpaceDE w:val="0"/>
      <w:autoSpaceDN w:val="0"/>
      <w:adjustRightInd w:val="0"/>
      <w:spacing w:before="0" w:after="0"/>
      <w:ind w:left="900" w:hanging="180"/>
      <w:textAlignment w:val="center"/>
    </w:pPr>
    <w:rPr>
      <w:rFonts w:eastAsiaTheme="minorEastAsia" w:cs="Times LT Std"/>
      <w:color w:val="000000"/>
      <w:kern w:val="0"/>
      <w:sz w:val="20"/>
      <w:szCs w:val="16"/>
      <w:lang w:bidi="ar-SA"/>
    </w:rPr>
  </w:style>
  <w:style w:type="paragraph" w:customStyle="1" w:styleId="footnotecircuit">
    <w:name w:val="footnote circuit"/>
    <w:basedOn w:val="Normal"/>
    <w:autoRedefine/>
    <w:uiPriority w:val="99"/>
    <w:semiHidden/>
    <w:rsid w:val="004322B1"/>
    <w:pPr>
      <w:widowControl w:val="0"/>
      <w:tabs>
        <w:tab w:val="left" w:pos="1680"/>
      </w:tabs>
      <w:autoSpaceDE w:val="0"/>
      <w:autoSpaceDN w:val="0"/>
      <w:adjustRightInd w:val="0"/>
      <w:spacing w:before="0" w:after="0"/>
      <w:ind w:left="2040" w:hanging="1320"/>
      <w:textAlignment w:val="center"/>
    </w:pPr>
    <w:rPr>
      <w:rFonts w:eastAsiaTheme="minorEastAsia" w:cs="Times LT Std"/>
      <w:color w:val="000000"/>
      <w:kern w:val="0"/>
      <w:sz w:val="20"/>
      <w:szCs w:val="18"/>
      <w:lang w:bidi="ar-SA"/>
    </w:rPr>
  </w:style>
  <w:style w:type="paragraph" w:customStyle="1" w:styleId="footnoteflush">
    <w:name w:val="footnote flush"/>
    <w:basedOn w:val="Normal"/>
    <w:autoRedefine/>
    <w:uiPriority w:val="99"/>
    <w:semiHidden/>
    <w:qFormat/>
    <w:rsid w:val="004322B1"/>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indentpara">
    <w:name w:val="footnote indent / para"/>
    <w:basedOn w:val="footnoteindent"/>
    <w:autoRedefine/>
    <w:uiPriority w:val="99"/>
    <w:semiHidden/>
    <w:rsid w:val="004322B1"/>
    <w:pPr>
      <w:ind w:firstLine="720"/>
    </w:pPr>
    <w:rPr>
      <w:rFonts w:cs="Times LT Std"/>
      <w:szCs w:val="19"/>
    </w:rPr>
  </w:style>
  <w:style w:type="paragraph" w:customStyle="1" w:styleId="footnoteindentflush">
    <w:name w:val="footnote indent flush"/>
    <w:basedOn w:val="Normal"/>
    <w:autoRedefine/>
    <w:uiPriority w:val="99"/>
    <w:semiHidden/>
    <w:qFormat/>
    <w:rsid w:val="004322B1"/>
    <w:pPr>
      <w:widowControl w:val="0"/>
      <w:autoSpaceDE w:val="0"/>
      <w:autoSpaceDN w:val="0"/>
      <w:adjustRightInd w:val="0"/>
      <w:spacing w:before="40" w:after="40"/>
      <w:ind w:left="720"/>
      <w:textAlignment w:val="center"/>
    </w:pPr>
    <w:rPr>
      <w:rFonts w:eastAsiaTheme="minorEastAsia" w:cs="Times LT Std"/>
      <w:color w:val="000000"/>
      <w:kern w:val="0"/>
      <w:sz w:val="20"/>
      <w:szCs w:val="18"/>
      <w:lang w:bidi="ar-SA"/>
    </w:rPr>
  </w:style>
  <w:style w:type="paragraph" w:customStyle="1" w:styleId="footnoteindentparaindent">
    <w:name w:val="footnote indent para indent"/>
    <w:basedOn w:val="Normal"/>
    <w:autoRedefine/>
    <w:uiPriority w:val="99"/>
    <w:semiHidden/>
    <w:rsid w:val="004322B1"/>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wpara">
    <w:name w:val="footnote indent w/para"/>
    <w:basedOn w:val="footnoteindent"/>
    <w:autoRedefine/>
    <w:uiPriority w:val="99"/>
    <w:semiHidden/>
    <w:rsid w:val="004322B1"/>
  </w:style>
  <w:style w:type="paragraph" w:customStyle="1" w:styleId="footnoteindentwpnospace">
    <w:name w:val="footnote indent w/p no space"/>
    <w:basedOn w:val="footnoteindentwpara"/>
    <w:autoRedefine/>
    <w:uiPriority w:val="99"/>
    <w:semiHidden/>
    <w:rsid w:val="004322B1"/>
  </w:style>
  <w:style w:type="paragraph" w:customStyle="1" w:styleId="footnoteindentwpara0">
    <w:name w:val="footnote indent/w para"/>
    <w:basedOn w:val="Normal"/>
    <w:autoRedefine/>
    <w:uiPriority w:val="99"/>
    <w:semiHidden/>
    <w:rsid w:val="004322B1"/>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p">
    <w:name w:val="footnote indent-p"/>
    <w:basedOn w:val="footnoteindent"/>
    <w:autoRedefine/>
    <w:uiPriority w:val="99"/>
    <w:semiHidden/>
    <w:rsid w:val="004322B1"/>
    <w:pPr>
      <w:ind w:firstLine="720"/>
    </w:pPr>
    <w:rPr>
      <w:rFonts w:cs="Times LT Std"/>
      <w:szCs w:val="18"/>
    </w:rPr>
  </w:style>
  <w:style w:type="paragraph" w:customStyle="1" w:styleId="footnotenl">
    <w:name w:val="footnote nl"/>
    <w:basedOn w:val="footnoteindent"/>
    <w:autoRedefine/>
    <w:uiPriority w:val="99"/>
    <w:semiHidden/>
    <w:qFormat/>
    <w:rsid w:val="004322B1"/>
    <w:pPr>
      <w:tabs>
        <w:tab w:val="left" w:pos="680"/>
      </w:tabs>
      <w:ind w:left="1032" w:hanging="312"/>
    </w:pPr>
  </w:style>
  <w:style w:type="paragraph" w:customStyle="1" w:styleId="footnotenlal">
    <w:name w:val="footnote nl/al"/>
    <w:basedOn w:val="footnotenl"/>
    <w:autoRedefine/>
    <w:uiPriority w:val="99"/>
    <w:semiHidden/>
    <w:qFormat/>
    <w:rsid w:val="004322B1"/>
    <w:pPr>
      <w:tabs>
        <w:tab w:val="left" w:pos="1040"/>
      </w:tabs>
      <w:ind w:left="1440" w:hanging="360"/>
    </w:pPr>
  </w:style>
  <w:style w:type="paragraph" w:customStyle="1" w:styleId="footnotenumberlist">
    <w:name w:val="footnote number list"/>
    <w:basedOn w:val="Normal"/>
    <w:autoRedefine/>
    <w:uiPriority w:val="99"/>
    <w:semiHidden/>
    <w:rsid w:val="004322B1"/>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footnotenumberlist2ndlevel">
    <w:name w:val="footnote number list 2nd level"/>
    <w:basedOn w:val="footnotenumberlist"/>
    <w:autoRedefine/>
    <w:uiPriority w:val="99"/>
    <w:semiHidden/>
    <w:rsid w:val="004322B1"/>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4322B1"/>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4322B1"/>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4322B1"/>
    <w:pPr>
      <w:widowControl w:val="0"/>
      <w:autoSpaceDE w:val="0"/>
      <w:autoSpaceDN w:val="0"/>
      <w:adjustRightInd w:val="0"/>
      <w:spacing w:before="0" w:after="0"/>
      <w:ind w:firstLine="720"/>
      <w:textAlignment w:val="center"/>
    </w:pPr>
    <w:rPr>
      <w:rFonts w:eastAsiaTheme="minorEastAsia" w:cs="ITC New Baskerville Std"/>
      <w:color w:val="000000"/>
      <w:kern w:val="0"/>
      <w:sz w:val="20"/>
      <w:szCs w:val="16"/>
      <w:lang w:bidi="ar-SA"/>
    </w:rPr>
  </w:style>
  <w:style w:type="paragraph" w:customStyle="1" w:styleId="footnoteregpara">
    <w:name w:val="footnote reg para"/>
    <w:basedOn w:val="footnote"/>
    <w:autoRedefine/>
    <w:uiPriority w:val="99"/>
    <w:semiHidden/>
    <w:rsid w:val="004322B1"/>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link w:val="footnoteregparaindentChar"/>
    <w:autoRedefine/>
    <w:uiPriority w:val="99"/>
    <w:semiHidden/>
    <w:rsid w:val="004322B1"/>
    <w:pPr>
      <w:widowControl/>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4322B1"/>
    <w:pPr>
      <w:widowControl w:val="0"/>
      <w:autoSpaceDE w:val="0"/>
      <w:autoSpaceDN w:val="0"/>
      <w:adjustRightInd w:val="0"/>
      <w:spacing w:before="0" w:after="0"/>
      <w:ind w:firstLine="720"/>
      <w:textAlignment w:val="center"/>
    </w:pPr>
    <w:rPr>
      <w:rFonts w:eastAsiaTheme="minorEastAsia" w:cs="Times LT Std"/>
      <w:color w:val="000000"/>
      <w:kern w:val="0"/>
      <w:sz w:val="20"/>
      <w:szCs w:val="16"/>
      <w:lang w:bidi="ar-SA"/>
    </w:rPr>
  </w:style>
  <w:style w:type="paragraph" w:customStyle="1" w:styleId="footnoteregular">
    <w:name w:val="footnote regular"/>
    <w:basedOn w:val="footnote"/>
    <w:autoRedefine/>
    <w:uiPriority w:val="99"/>
    <w:semiHidden/>
    <w:rsid w:val="004322B1"/>
    <w:pPr>
      <w:autoSpaceDE w:val="0"/>
      <w:autoSpaceDN w:val="0"/>
      <w:adjustRightInd w:val="0"/>
      <w:textAlignment w:val="center"/>
    </w:pPr>
    <w:rPr>
      <w:rFonts w:cs="ITC New Baskerville Std"/>
      <w:color w:val="000000"/>
      <w:szCs w:val="16"/>
    </w:rPr>
  </w:style>
  <w:style w:type="paragraph" w:customStyle="1" w:styleId="footnotewithpara">
    <w:name w:val="footnote with para"/>
    <w:basedOn w:val="footnote"/>
    <w:autoRedefine/>
    <w:uiPriority w:val="99"/>
    <w:semiHidden/>
    <w:rsid w:val="004322B1"/>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4322B1"/>
    <w:pPr>
      <w:ind w:firstLine="720"/>
    </w:pPr>
    <w:rPr>
      <w:rFonts w:cs="Times LT Std"/>
      <w:szCs w:val="19"/>
    </w:rPr>
  </w:style>
  <w:style w:type="paragraph" w:customStyle="1" w:styleId="hangtext">
    <w:name w:val="hang text"/>
    <w:basedOn w:val="text"/>
    <w:autoRedefine/>
    <w:uiPriority w:val="99"/>
    <w:semiHidden/>
    <w:rsid w:val="004322B1"/>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4322B1"/>
    <w:pPr>
      <w:widowControl w:val="0"/>
      <w:tabs>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4322B1"/>
    <w:pPr>
      <w:keepNext/>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4322B1"/>
    <w:pPr>
      <w:widowControl w:val="0"/>
      <w:tabs>
        <w:tab w:val="left" w:pos="480"/>
      </w:tabs>
      <w:suppressAutoHyphens/>
      <w:autoSpaceDE w:val="0"/>
      <w:autoSpaceDN w:val="0"/>
      <w:adjustRightInd w:val="0"/>
      <w:spacing w:after="240"/>
      <w:ind w:left="480" w:hanging="480"/>
      <w:textAlignment w:val="center"/>
    </w:pPr>
    <w:rPr>
      <w:rFonts w:eastAsiaTheme="minorEastAsia" w:cs="Times LT Std"/>
      <w:i/>
      <w:iCs/>
      <w:color w:val="000000"/>
      <w:kern w:val="0"/>
      <w:szCs w:val="22"/>
      <w:lang w:bidi="ar-SA"/>
    </w:rPr>
  </w:style>
  <w:style w:type="paragraph" w:customStyle="1" w:styleId="l1">
    <w:name w:val="l1"/>
    <w:basedOn w:val="Normal"/>
    <w:autoRedefine/>
    <w:uiPriority w:val="99"/>
    <w:semiHidden/>
    <w:rsid w:val="004322B1"/>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1-ct">
    <w:name w:val="l1-ct"/>
    <w:basedOn w:val="l1"/>
    <w:autoRedefine/>
    <w:uiPriority w:val="99"/>
    <w:semiHidden/>
    <w:rsid w:val="004322B1"/>
    <w:pPr>
      <w:spacing w:before="0"/>
      <w:contextualSpacing/>
    </w:pPr>
    <w:rPr>
      <w:szCs w:val="24"/>
    </w:rPr>
  </w:style>
  <w:style w:type="paragraph" w:customStyle="1" w:styleId="l2">
    <w:name w:val="l2"/>
    <w:basedOn w:val="Normal"/>
    <w:autoRedefine/>
    <w:uiPriority w:val="99"/>
    <w:semiHidden/>
    <w:rsid w:val="004322B1"/>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2-1">
    <w:name w:val="l2-1"/>
    <w:basedOn w:val="l2"/>
    <w:autoRedefine/>
    <w:uiPriority w:val="99"/>
    <w:semiHidden/>
    <w:rsid w:val="004322B1"/>
    <w:pPr>
      <w:spacing w:before="0"/>
    </w:pPr>
  </w:style>
  <w:style w:type="paragraph" w:customStyle="1" w:styleId="l3">
    <w:name w:val="l3"/>
    <w:basedOn w:val="Normal"/>
    <w:autoRedefine/>
    <w:uiPriority w:val="99"/>
    <w:semiHidden/>
    <w:rsid w:val="004322B1"/>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3-2">
    <w:name w:val="l3-2"/>
    <w:basedOn w:val="l3"/>
    <w:autoRedefine/>
    <w:uiPriority w:val="99"/>
    <w:semiHidden/>
    <w:rsid w:val="004322B1"/>
    <w:pPr>
      <w:spacing w:before="0"/>
    </w:pPr>
  </w:style>
  <w:style w:type="paragraph" w:customStyle="1" w:styleId="l4">
    <w:name w:val="l4"/>
    <w:basedOn w:val="Normal"/>
    <w:autoRedefine/>
    <w:uiPriority w:val="99"/>
    <w:semiHidden/>
    <w:rsid w:val="004322B1"/>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4-3">
    <w:name w:val="l4-3"/>
    <w:basedOn w:val="l4"/>
    <w:autoRedefine/>
    <w:uiPriority w:val="99"/>
    <w:semiHidden/>
    <w:rsid w:val="004322B1"/>
    <w:pPr>
      <w:tabs>
        <w:tab w:val="clear" w:pos="881"/>
      </w:tabs>
      <w:spacing w:before="0"/>
    </w:pPr>
  </w:style>
  <w:style w:type="paragraph" w:customStyle="1" w:styleId="l5">
    <w:name w:val="l5"/>
    <w:basedOn w:val="l4"/>
    <w:autoRedefine/>
    <w:uiPriority w:val="99"/>
    <w:semiHidden/>
    <w:rsid w:val="004322B1"/>
    <w:pPr>
      <w:tabs>
        <w:tab w:val="left" w:pos="1240"/>
      </w:tabs>
      <w:ind w:left="1241"/>
    </w:pPr>
  </w:style>
  <w:style w:type="paragraph" w:customStyle="1" w:styleId="l5-4">
    <w:name w:val="l5-4"/>
    <w:basedOn w:val="Normal"/>
    <w:autoRedefine/>
    <w:uiPriority w:val="99"/>
    <w:semiHidden/>
    <w:rsid w:val="004322B1"/>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6">
    <w:name w:val="L6"/>
    <w:basedOn w:val="l5"/>
    <w:autoRedefine/>
    <w:uiPriority w:val="99"/>
    <w:semiHidden/>
    <w:rsid w:val="004322B1"/>
    <w:pPr>
      <w:tabs>
        <w:tab w:val="clear" w:pos="881"/>
        <w:tab w:val="left" w:pos="1680"/>
      </w:tabs>
      <w:ind w:left="1680" w:hanging="480"/>
    </w:pPr>
    <w:rPr>
      <w:szCs w:val="24"/>
    </w:rPr>
  </w:style>
  <w:style w:type="paragraph" w:customStyle="1" w:styleId="l60">
    <w:name w:val="l6"/>
    <w:basedOn w:val="text"/>
    <w:autoRedefine/>
    <w:semiHidden/>
    <w:qFormat/>
    <w:rsid w:val="004322B1"/>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4322B1"/>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21">
    <w:name w:val="Level 2 / 1"/>
    <w:basedOn w:val="Normal"/>
    <w:autoRedefine/>
    <w:uiPriority w:val="99"/>
    <w:semiHidden/>
    <w:rsid w:val="004322B1"/>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4322B1"/>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4322B1"/>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32">
    <w:name w:val="Level 3 / 2"/>
    <w:basedOn w:val="Level3Head"/>
    <w:autoRedefine/>
    <w:uiPriority w:val="99"/>
    <w:semiHidden/>
    <w:rsid w:val="004322B1"/>
    <w:pPr>
      <w:spacing w:before="0"/>
    </w:pPr>
  </w:style>
  <w:style w:type="paragraph" w:customStyle="1" w:styleId="Level4Head">
    <w:name w:val="Level 4 Head"/>
    <w:basedOn w:val="text"/>
    <w:autoRedefine/>
    <w:uiPriority w:val="99"/>
    <w:semiHidden/>
    <w:rsid w:val="004322B1"/>
    <w:pPr>
      <w:keepNext/>
      <w:widowControl w:val="0"/>
      <w:tabs>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4322B1"/>
    <w:pPr>
      <w:spacing w:before="0"/>
    </w:pPr>
  </w:style>
  <w:style w:type="paragraph" w:customStyle="1" w:styleId="Level5D">
    <w:name w:val="Level 5 (D)"/>
    <w:basedOn w:val="Level4Head"/>
    <w:autoRedefine/>
    <w:uiPriority w:val="99"/>
    <w:semiHidden/>
    <w:rsid w:val="004322B1"/>
    <w:pPr>
      <w:ind w:left="1399"/>
    </w:pPr>
  </w:style>
  <w:style w:type="paragraph" w:customStyle="1" w:styleId="Level6i">
    <w:name w:val="Level 6 (i)"/>
    <w:basedOn w:val="Level5D"/>
    <w:autoRedefine/>
    <w:uiPriority w:val="99"/>
    <w:semiHidden/>
    <w:rsid w:val="004322B1"/>
    <w:pPr>
      <w:tabs>
        <w:tab w:val="left" w:pos="1880"/>
      </w:tabs>
      <w:ind w:left="1879"/>
    </w:pPr>
  </w:style>
  <w:style w:type="paragraph" w:customStyle="1" w:styleId="namecentered">
    <w:name w:val="name centered"/>
    <w:basedOn w:val="Normal"/>
    <w:autoRedefine/>
    <w:uiPriority w:val="99"/>
    <w:semiHidden/>
    <w:rsid w:val="004322B1"/>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ntblockindentnoparaindent">
    <w:name w:val="nt block indent (no para indent)"/>
    <w:basedOn w:val="footnote"/>
    <w:autoRedefine/>
    <w:uiPriority w:val="99"/>
    <w:semiHidden/>
    <w:rsid w:val="004322B1"/>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rsid w:val="004322B1"/>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rsid w:val="004322B1"/>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rsid w:val="004322B1"/>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ntpara">
    <w:name w:val="nt para"/>
    <w:basedOn w:val="ntblockindentnoparaindent"/>
    <w:autoRedefine/>
    <w:uiPriority w:val="99"/>
    <w:semiHidden/>
    <w:rsid w:val="004322B1"/>
    <w:pPr>
      <w:ind w:left="0" w:firstLine="720"/>
      <w:jc w:val="left"/>
    </w:pPr>
  </w:style>
  <w:style w:type="paragraph" w:customStyle="1" w:styleId="ntregpara">
    <w:name w:val="nt reg para"/>
    <w:basedOn w:val="Normal"/>
    <w:autoRedefine/>
    <w:uiPriority w:val="99"/>
    <w:semiHidden/>
    <w:rsid w:val="004322B1"/>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nt-indent">
    <w:name w:val="nt-indent"/>
    <w:basedOn w:val="footnote"/>
    <w:autoRedefine/>
    <w:uiPriority w:val="99"/>
    <w:semiHidden/>
    <w:rsid w:val="004322B1"/>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rsid w:val="004322B1"/>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plstart">
    <w:name w:val="number list pl_start"/>
    <w:basedOn w:val="Normal"/>
    <w:autoRedefine/>
    <w:semiHidden/>
    <w:qFormat/>
    <w:rsid w:val="004322B1"/>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
    <w:autoRedefine/>
    <w:uiPriority w:val="99"/>
    <w:semiHidden/>
    <w:qFormat/>
    <w:rsid w:val="004322B1"/>
    <w:pPr>
      <w:spacing w:before="0"/>
    </w:pPr>
  </w:style>
  <w:style w:type="paragraph" w:customStyle="1" w:styleId="numberlistplend">
    <w:name w:val="number list pl end"/>
    <w:basedOn w:val="Normal"/>
    <w:autoRedefine/>
    <w:uiPriority w:val="99"/>
    <w:semiHidden/>
    <w:rsid w:val="004322B1"/>
    <w:pPr>
      <w:tabs>
        <w:tab w:val="left" w:pos="919"/>
      </w:tabs>
      <w:spacing w:before="0" w:after="240"/>
      <w:ind w:left="919" w:hanging="480"/>
    </w:pPr>
    <w:rPr>
      <w:rFonts w:eastAsiaTheme="minorEastAsia"/>
      <w:kern w:val="0"/>
      <w:szCs w:val="22"/>
      <w:lang w:bidi="ar-SA"/>
    </w:rPr>
  </w:style>
  <w:style w:type="paragraph" w:customStyle="1" w:styleId="numberlistend">
    <w:name w:val="number list end"/>
    <w:basedOn w:val="numberlistplend"/>
    <w:autoRedefine/>
    <w:uiPriority w:val="99"/>
    <w:semiHidden/>
    <w:qFormat/>
    <w:rsid w:val="004322B1"/>
  </w:style>
  <w:style w:type="paragraph" w:customStyle="1" w:styleId="numberlistpl">
    <w:name w:val="number list pl"/>
    <w:basedOn w:val="Normal"/>
    <w:autoRedefine/>
    <w:uiPriority w:val="99"/>
    <w:semiHidden/>
    <w:qFormat/>
    <w:rsid w:val="004322B1"/>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start0">
    <w:name w:val="number list pl start"/>
    <w:basedOn w:val="Normal"/>
    <w:next w:val="numberlistplend"/>
    <w:autoRedefine/>
    <w:uiPriority w:val="99"/>
    <w:semiHidden/>
    <w:rsid w:val="004322B1"/>
    <w:pPr>
      <w:widowControl w:val="0"/>
      <w:tabs>
        <w:tab w:val="left" w:pos="920"/>
      </w:tabs>
      <w:autoSpaceDE w:val="0"/>
      <w:autoSpaceDN w:val="0"/>
      <w:adjustRightInd w:val="0"/>
      <w:spacing w:after="0"/>
      <w:ind w:left="919" w:hanging="480"/>
      <w:textAlignment w:val="center"/>
    </w:pPr>
    <w:rPr>
      <w:rFonts w:eastAsiaTheme="minorEastAsia" w:cs="ITC New Baskerville Std"/>
      <w:color w:val="000000"/>
      <w:kern w:val="0"/>
      <w:szCs w:val="22"/>
      <w:lang w:bidi="ar-SA"/>
    </w:rPr>
  </w:style>
  <w:style w:type="paragraph" w:customStyle="1" w:styleId="numberlistplal">
    <w:name w:val="number list pl / al"/>
    <w:basedOn w:val="numberlistplstart0"/>
    <w:autoRedefine/>
    <w:semiHidden/>
    <w:qFormat/>
    <w:rsid w:val="004322B1"/>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4322B1"/>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4322B1"/>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4322B1"/>
    <w:pPr>
      <w:tabs>
        <w:tab w:val="clear" w:pos="1440"/>
        <w:tab w:val="left" w:pos="1920"/>
      </w:tabs>
      <w:ind w:left="1920"/>
    </w:pPr>
  </w:style>
  <w:style w:type="paragraph" w:customStyle="1" w:styleId="numberlistplbullet">
    <w:name w:val="number list pl/bullet"/>
    <w:basedOn w:val="Normal"/>
    <w:autoRedefine/>
    <w:uiPriority w:val="99"/>
    <w:semiHidden/>
    <w:rsid w:val="004322B1"/>
    <w:pPr>
      <w:widowControl w:val="0"/>
      <w:tabs>
        <w:tab w:val="left" w:pos="1060"/>
      </w:tabs>
      <w:autoSpaceDE w:val="0"/>
      <w:autoSpaceDN w:val="0"/>
      <w:adjustRightInd w:val="0"/>
      <w:spacing w:before="0" w:after="0"/>
      <w:ind w:left="1061" w:hanging="180"/>
      <w:textAlignment w:val="center"/>
    </w:pPr>
    <w:rPr>
      <w:rFonts w:eastAsiaTheme="minorEastAsia" w:cs="Times LT Std"/>
      <w:color w:val="000000"/>
      <w:kern w:val="0"/>
      <w:szCs w:val="22"/>
      <w:lang w:bidi="ar-SA"/>
    </w:rPr>
  </w:style>
  <w:style w:type="paragraph" w:customStyle="1" w:styleId="numberlistplend0">
    <w:name w:val="number list pl_end"/>
    <w:basedOn w:val="Normal"/>
    <w:autoRedefine/>
    <w:uiPriority w:val="99"/>
    <w:semiHidden/>
    <w:rsid w:val="004322B1"/>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numberlistpnl">
    <w:name w:val="number list pnl"/>
    <w:basedOn w:val="Normal"/>
    <w:autoRedefine/>
    <w:uiPriority w:val="99"/>
    <w:semiHidden/>
    <w:qFormat/>
    <w:rsid w:val="004322B1"/>
    <w:pPr>
      <w:widowControl w:val="0"/>
      <w:tabs>
        <w:tab w:val="left" w:pos="1020"/>
      </w:tabs>
      <w:autoSpaceDE w:val="0"/>
      <w:autoSpaceDN w:val="0"/>
      <w:adjustRightInd w:val="0"/>
      <w:spacing w:before="0" w:after="0"/>
      <w:ind w:left="919" w:hanging="480"/>
      <w:textAlignment w:val="center"/>
    </w:pPr>
    <w:rPr>
      <w:rFonts w:eastAsiaTheme="minorEastAsia" w:cs="ITC New Baskerville Std"/>
      <w:color w:val="000000"/>
      <w:kern w:val="0"/>
      <w:lang w:bidi="ar-SA"/>
    </w:rPr>
  </w:style>
  <w:style w:type="paragraph" w:customStyle="1" w:styleId="numberliststart">
    <w:name w:val="number list start"/>
    <w:basedOn w:val="Normal"/>
    <w:autoRedefine/>
    <w:uiPriority w:val="99"/>
    <w:semiHidden/>
    <w:qFormat/>
    <w:rsid w:val="004322B1"/>
    <w:pPr>
      <w:spacing w:after="0"/>
      <w:ind w:left="919" w:hanging="480"/>
    </w:pPr>
    <w:rPr>
      <w:rFonts w:eastAsiaTheme="minorEastAsia" w:cstheme="minorBidi"/>
      <w:kern w:val="0"/>
      <w:szCs w:val="22"/>
      <w:lang w:bidi="ar-SA"/>
    </w:rPr>
  </w:style>
  <w:style w:type="paragraph" w:customStyle="1" w:styleId="Numberliststart0">
    <w:name w:val="Number list start"/>
    <w:basedOn w:val="Normal"/>
    <w:autoRedefine/>
    <w:uiPriority w:val="99"/>
    <w:semiHidden/>
    <w:rsid w:val="004322B1"/>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stop">
    <w:name w:val="number list stop"/>
    <w:basedOn w:val="numberliststart"/>
    <w:autoRedefine/>
    <w:uiPriority w:val="99"/>
    <w:semiHidden/>
    <w:rsid w:val="004322B1"/>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4322B1"/>
    <w:pPr>
      <w:tabs>
        <w:tab w:val="left" w:pos="1400"/>
      </w:tabs>
      <w:spacing w:before="0" w:after="0"/>
      <w:ind w:left="1399" w:hanging="480"/>
      <w:jc w:val="both"/>
    </w:pPr>
    <w:rPr>
      <w:rFonts w:eastAsiaTheme="minorEastAsia" w:cstheme="minorBidi"/>
      <w:kern w:val="0"/>
      <w:szCs w:val="22"/>
      <w:lang w:bidi="ar-SA"/>
    </w:rPr>
  </w:style>
  <w:style w:type="paragraph" w:customStyle="1" w:styleId="parttextflush">
    <w:name w:val="part text flush"/>
    <w:basedOn w:val="Normal"/>
    <w:autoRedefine/>
    <w:uiPriority w:val="99"/>
    <w:semiHidden/>
    <w:rsid w:val="004322B1"/>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partboldhead-">
    <w:name w:val="part bold head -/+"/>
    <w:basedOn w:val="parttextflush"/>
    <w:autoRedefine/>
    <w:uiPriority w:val="99"/>
    <w:semiHidden/>
    <w:rsid w:val="004322B1"/>
    <w:pPr>
      <w:spacing w:after="240"/>
    </w:pPr>
    <w:rPr>
      <w:b/>
      <w:bCs/>
      <w:i w:val="0"/>
      <w:iCs w:val="0"/>
    </w:rPr>
  </w:style>
  <w:style w:type="paragraph" w:customStyle="1" w:styleId="partbulletlist">
    <w:name w:val="part bullet list"/>
    <w:basedOn w:val="Normal"/>
    <w:autoRedefine/>
    <w:uiPriority w:val="99"/>
    <w:semiHidden/>
    <w:rsid w:val="004322B1"/>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4322B1"/>
    <w:pPr>
      <w:spacing w:before="0" w:after="0"/>
    </w:pPr>
    <w:rPr>
      <w:rFonts w:eastAsiaTheme="minorEastAsia" w:cstheme="minorBidi"/>
      <w:i/>
      <w:kern w:val="0"/>
      <w:szCs w:val="22"/>
      <w:lang w:bidi="ar-SA"/>
    </w:rPr>
  </w:style>
  <w:style w:type="paragraph" w:customStyle="1" w:styleId="PracticeTip">
    <w:name w:val="Practice Tip"/>
    <w:basedOn w:val="text"/>
    <w:autoRedefine/>
    <w:uiPriority w:val="99"/>
    <w:semiHidden/>
    <w:rsid w:val="004322B1"/>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4322B1"/>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4322B1"/>
    <w:pPr>
      <w:widowControl w:val="0"/>
      <w:pBdr>
        <w:top w:val="single" w:sz="8" w:space="18" w:color="auto"/>
      </w:pBdr>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4322B1"/>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RuleHead">
    <w:name w:val="Rule Head"/>
    <w:basedOn w:val="textflush"/>
    <w:autoRedefine/>
    <w:uiPriority w:val="99"/>
    <w:semiHidden/>
    <w:rsid w:val="004322B1"/>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4322B1"/>
    <w:rPr>
      <w:rFonts w:ascii="Times New Roman" w:hAnsi="Times New Roman" w:cs="NewCenturySchlbk LT Std"/>
      <w:caps w:val="0"/>
      <w:smallCaps/>
      <w:w w:val="70"/>
    </w:rPr>
  </w:style>
  <w:style w:type="paragraph" w:customStyle="1" w:styleId="StateBold">
    <w:name w:val="State Bold"/>
    <w:basedOn w:val="Normal"/>
    <w:uiPriority w:val="99"/>
    <w:semiHidden/>
    <w:rsid w:val="004322B1"/>
    <w:pPr>
      <w:widowControl w:val="0"/>
      <w:autoSpaceDE w:val="0"/>
      <w:autoSpaceDN w:val="0"/>
      <w:adjustRightInd w:val="0"/>
      <w:spacing w:after="240"/>
      <w:textAlignment w:val="center"/>
    </w:pPr>
    <w:rPr>
      <w:rFonts w:eastAsiaTheme="minorEastAsia" w:cs="Times LT Std"/>
      <w:b/>
      <w:bCs/>
      <w:color w:val="000000"/>
      <w:kern w:val="0"/>
      <w:lang w:bidi="ar-SA"/>
    </w:rPr>
  </w:style>
  <w:style w:type="character" w:customStyle="1" w:styleId="superscript">
    <w:name w:val="superscript"/>
    <w:uiPriority w:val="99"/>
    <w:semiHidden/>
    <w:rsid w:val="004322B1"/>
    <w:rPr>
      <w:vertAlign w:val="superscript"/>
    </w:rPr>
  </w:style>
  <w:style w:type="paragraph" w:customStyle="1" w:styleId="TableTitle">
    <w:name w:val="Table Title"/>
    <w:basedOn w:val="Normal"/>
    <w:autoRedefine/>
    <w:uiPriority w:val="99"/>
    <w:semiHidden/>
    <w:rsid w:val="004322B1"/>
    <w:pPr>
      <w:widowControl w:val="0"/>
      <w:suppressAutoHyphens/>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Text0">
    <w:name w:val="Text"/>
    <w:basedOn w:val="Normal"/>
    <w:autoRedefine/>
    <w:semiHidden/>
    <w:qFormat/>
    <w:rsid w:val="004322B1"/>
    <w:pPr>
      <w:spacing w:before="0" w:after="0"/>
    </w:pPr>
    <w:rPr>
      <w:rFonts w:eastAsiaTheme="minorEastAsia" w:cstheme="minorBidi"/>
      <w:kern w:val="0"/>
      <w:szCs w:val="22"/>
      <w:lang w:bidi="ar-SA"/>
    </w:rPr>
  </w:style>
  <w:style w:type="paragraph" w:customStyle="1" w:styleId="text-0">
    <w:name w:val="text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4322B1"/>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text16picaindent">
    <w:name w:val="text 1.6 pica indent"/>
    <w:basedOn w:val="Normal"/>
    <w:autoRedefine/>
    <w:uiPriority w:val="99"/>
    <w:semiHidden/>
    <w:rsid w:val="004322B1"/>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6emparaindent">
    <w:name w:val="text 6 em para indent"/>
    <w:basedOn w:val="Normal"/>
    <w:autoRedefine/>
    <w:uiPriority w:val="99"/>
    <w:semiHidden/>
    <w:rsid w:val="004322B1"/>
    <w:pPr>
      <w:widowControl w:val="0"/>
      <w:tabs>
        <w:tab w:val="left" w:pos="360"/>
        <w:tab w:val="left" w:pos="720"/>
        <w:tab w:val="left" w:pos="1080"/>
        <w:tab w:val="left" w:pos="1440"/>
        <w:tab w:val="left" w:pos="1800"/>
      </w:tabs>
      <w:autoSpaceDE w:val="0"/>
      <w:autoSpaceDN w:val="0"/>
      <w:adjustRightInd w:val="0"/>
      <w:spacing w:before="0" w:after="0"/>
      <w:ind w:firstLine="1320"/>
      <w:textAlignment w:val="center"/>
    </w:pPr>
    <w:rPr>
      <w:rFonts w:eastAsiaTheme="minorEastAsia" w:cs="Times LT Std"/>
      <w:b/>
      <w:bCs/>
      <w:color w:val="000000"/>
      <w:kern w:val="0"/>
      <w:szCs w:val="22"/>
      <w:lang w:bidi="ar-SA"/>
    </w:rPr>
  </w:style>
  <w:style w:type="paragraph" w:customStyle="1" w:styleId="text6ptsbelow">
    <w:name w:val="text 6 pts below"/>
    <w:basedOn w:val="Normal"/>
    <w:autoRedefine/>
    <w:uiPriority w:val="99"/>
    <w:semiHidden/>
    <w:rsid w:val="004322B1"/>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text8emparaindent">
    <w:name w:val="text 8 em para indent"/>
    <w:basedOn w:val="text6emparaindent"/>
    <w:autoRedefine/>
    <w:uiPriority w:val="99"/>
    <w:semiHidden/>
    <w:rsid w:val="004322B1"/>
    <w:pPr>
      <w:ind w:firstLine="1760"/>
    </w:pPr>
    <w:rPr>
      <w:b w:val="0"/>
    </w:rPr>
  </w:style>
  <w:style w:type="paragraph" w:customStyle="1" w:styleId="textaddbld-">
    <w:name w:val="text add bld -/+"/>
    <w:basedOn w:val="Normal"/>
    <w:autoRedefine/>
    <w:uiPriority w:val="99"/>
    <w:semiHidden/>
    <w:rsid w:val="004322B1"/>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textaddbld">
    <w:name w:val="text add bld +/+"/>
    <w:basedOn w:val="textaddbld-"/>
    <w:autoRedefine/>
    <w:uiPriority w:val="99"/>
    <w:semiHidden/>
    <w:rsid w:val="004322B1"/>
    <w:pPr>
      <w:spacing w:before="240"/>
    </w:pPr>
  </w:style>
  <w:style w:type="paragraph" w:customStyle="1" w:styleId="textbold-">
    <w:name w:val="text bold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4322B1"/>
    <w:pPr>
      <w:spacing w:before="240"/>
    </w:pPr>
    <w:rPr>
      <w:rFonts w:cs="Times LT Std"/>
      <w:szCs w:val="22"/>
    </w:rPr>
  </w:style>
  <w:style w:type="paragraph" w:customStyle="1" w:styleId="textcentered">
    <w:name w:val="text centered"/>
    <w:basedOn w:val="textflush"/>
    <w:autoRedefine/>
    <w:uiPriority w:val="99"/>
    <w:semiHidden/>
    <w:rsid w:val="004322B1"/>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4322B1"/>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4322B1"/>
    <w:pPr>
      <w:spacing w:before="240"/>
      <w:jc w:val="left"/>
    </w:pPr>
    <w:rPr>
      <w:i/>
      <w:iCs/>
    </w:rPr>
  </w:style>
  <w:style w:type="paragraph" w:customStyle="1" w:styleId="texteditorsnote">
    <w:name w:val="text editors note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4322B1"/>
    <w:pPr>
      <w:spacing w:before="0"/>
    </w:pPr>
  </w:style>
  <w:style w:type="paragraph" w:customStyle="1" w:styleId="texteditorsnote-0">
    <w:name w:val="text editors note +/-"/>
    <w:basedOn w:val="Normal"/>
    <w:autoRedefine/>
    <w:uiPriority w:val="99"/>
    <w:semiHidden/>
    <w:rsid w:val="004322B1"/>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flush-">
    <w:name w:val="text flush -/+"/>
    <w:basedOn w:val="textflush"/>
    <w:autoRedefine/>
    <w:uiPriority w:val="99"/>
    <w:semiHidden/>
    <w:rsid w:val="004322B1"/>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4322B1"/>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4322B1"/>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4322B1"/>
    <w:pPr>
      <w:spacing w:before="0"/>
      <w:contextualSpacing w:val="0"/>
    </w:pPr>
  </w:style>
  <w:style w:type="paragraph" w:customStyle="1" w:styleId="textflushbold--">
    <w:name w:val="text flush bold -/-"/>
    <w:basedOn w:val="textflushbold-"/>
    <w:autoRedefine/>
    <w:uiPriority w:val="99"/>
    <w:semiHidden/>
    <w:rsid w:val="004322B1"/>
    <w:pPr>
      <w:spacing w:after="0"/>
    </w:pPr>
  </w:style>
  <w:style w:type="paragraph" w:customStyle="1" w:styleId="textflushednote-">
    <w:name w:val="text flush ed note -/+"/>
    <w:basedOn w:val="Normal"/>
    <w:autoRedefine/>
    <w:uiPriority w:val="99"/>
    <w:semiHidden/>
    <w:qFormat/>
    <w:rsid w:val="004322B1"/>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textflushednote">
    <w:name w:val="text flush ed note +/+"/>
    <w:basedOn w:val="textflushednote-"/>
    <w:autoRedefine/>
    <w:uiPriority w:val="99"/>
    <w:semiHidden/>
    <w:rsid w:val="004322B1"/>
    <w:pPr>
      <w:spacing w:before="240"/>
    </w:pPr>
  </w:style>
  <w:style w:type="paragraph" w:customStyle="1" w:styleId="textinsert-">
    <w:name w:val="text insert -/+"/>
    <w:basedOn w:val="Normal"/>
    <w:autoRedefine/>
    <w:uiPriority w:val="99"/>
    <w:semiHidden/>
    <w:rsid w:val="004322B1"/>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0">
    <w:name w:val="text insert /+/-"/>
    <w:basedOn w:val="texteditorsnote"/>
    <w:autoRedefine/>
    <w:uiPriority w:val="99"/>
    <w:semiHidden/>
    <w:rsid w:val="004322B1"/>
    <w:pPr>
      <w:spacing w:after="0"/>
    </w:pPr>
    <w:rPr>
      <w:b/>
      <w:bCs/>
      <w:i/>
      <w:iCs/>
    </w:rPr>
  </w:style>
  <w:style w:type="paragraph" w:customStyle="1" w:styleId="textinsert-1">
    <w:name w:val="text insert +/-"/>
    <w:basedOn w:val="texteditorsnote"/>
    <w:autoRedefine/>
    <w:uiPriority w:val="99"/>
    <w:semiHidden/>
    <w:rsid w:val="004322B1"/>
    <w:pPr>
      <w:spacing w:after="0"/>
    </w:pPr>
  </w:style>
  <w:style w:type="paragraph" w:customStyle="1" w:styleId="textinsert">
    <w:name w:val="text insert +/+"/>
    <w:basedOn w:val="textflush"/>
    <w:autoRedefine/>
    <w:uiPriority w:val="99"/>
    <w:semiHidden/>
    <w:rsid w:val="004322B1"/>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4322B1"/>
    <w:pPr>
      <w:spacing w:after="240"/>
      <w:ind w:firstLine="720"/>
    </w:pPr>
    <w:rPr>
      <w:rFonts w:eastAsiaTheme="minorEastAsia" w:cstheme="minorBidi"/>
      <w:kern w:val="0"/>
      <w:szCs w:val="22"/>
      <w:lang w:bidi="ar-SA"/>
    </w:rPr>
  </w:style>
  <w:style w:type="paragraph" w:customStyle="1" w:styleId="textinsertflushbold-">
    <w:name w:val="text insert flush bold -/+"/>
    <w:basedOn w:val="Normal"/>
    <w:autoRedefine/>
    <w:uiPriority w:val="99"/>
    <w:semiHidden/>
    <w:rsid w:val="004322B1"/>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textinsertflushbold">
    <w:name w:val="text insert flush bold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4322B1"/>
  </w:style>
  <w:style w:type="paragraph" w:customStyle="1" w:styleId="textonpage-">
    <w:name w:val="text on page . . .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4322B1"/>
    <w:pPr>
      <w:widowControl w:val="0"/>
      <w:autoSpaceDE w:val="0"/>
      <w:autoSpaceDN w:val="0"/>
      <w:adjustRightInd w:val="0"/>
      <w:spacing w:before="0" w:after="240" w:line="240" w:lineRule="atLeast"/>
      <w:textAlignment w:val="center"/>
    </w:pPr>
    <w:rPr>
      <w:rFonts w:eastAsiaTheme="minorEastAsia" w:cs="Times LT Std"/>
      <w:b/>
      <w:bCs/>
      <w:color w:val="000000"/>
      <w:kern w:val="0"/>
      <w:szCs w:val="22"/>
      <w:lang w:bidi="ar-SA"/>
    </w:rPr>
  </w:style>
  <w:style w:type="paragraph" w:customStyle="1" w:styleId="textonpagebold">
    <w:name w:val="text on page bold +/+"/>
    <w:basedOn w:val="Normal"/>
    <w:autoRedefine/>
    <w:uiPriority w:val="99"/>
    <w:semiHidden/>
    <w:rsid w:val="004322B1"/>
    <w:pPr>
      <w:widowControl w:val="0"/>
      <w:autoSpaceDE w:val="0"/>
      <w:autoSpaceDN w:val="0"/>
      <w:adjustRightInd w:val="0"/>
      <w:spacing w:after="240"/>
      <w:textAlignment w:val="center"/>
    </w:pPr>
    <w:rPr>
      <w:rFonts w:eastAsiaTheme="minorEastAsia" w:cs="ITC New Baskerville Std"/>
      <w:b/>
      <w:bCs/>
      <w:color w:val="000000"/>
      <w:kern w:val="0"/>
      <w:lang w:bidi="ar-SA"/>
    </w:rPr>
  </w:style>
  <w:style w:type="paragraph" w:customStyle="1" w:styleId="textonpageboldflush">
    <w:name w:val="text on page bold +/+ flush"/>
    <w:basedOn w:val="Normal"/>
    <w:autoRedefine/>
    <w:uiPriority w:val="99"/>
    <w:semiHidden/>
    <w:rsid w:val="004322B1"/>
    <w:pPr>
      <w:widowControl w:val="0"/>
      <w:autoSpaceDE w:val="0"/>
      <w:autoSpaceDN w:val="0"/>
      <w:adjustRightInd w:val="0"/>
      <w:spacing w:after="240"/>
      <w:textAlignment w:val="center"/>
    </w:pPr>
    <w:rPr>
      <w:rFonts w:eastAsiaTheme="minorEastAsia" w:cs="Times LT Std"/>
      <w:b/>
      <w:bCs/>
      <w:color w:val="000000"/>
      <w:kern w:val="0"/>
      <w:szCs w:val="22"/>
      <w:lang w:bidi="ar-SA"/>
    </w:rPr>
  </w:style>
  <w:style w:type="paragraph" w:customStyle="1" w:styleId="textwith6ptbelow">
    <w:name w:val="text with 6 pt below"/>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4322B1"/>
    <w:pPr>
      <w:spacing w:before="240"/>
    </w:pPr>
  </w:style>
  <w:style w:type="paragraph" w:customStyle="1" w:styleId="text-flush">
    <w:name w:val="text-flush"/>
    <w:basedOn w:val="text"/>
    <w:autoRedefine/>
    <w:semiHidden/>
    <w:qFormat/>
    <w:rsid w:val="004322B1"/>
  </w:style>
  <w:style w:type="paragraph" w:customStyle="1" w:styleId="TOC1I">
    <w:name w:val="TOC1_I."/>
    <w:basedOn w:val="Normal"/>
    <w:autoRedefine/>
    <w:uiPriority w:val="99"/>
    <w:semiHidden/>
    <w:rsid w:val="004322B1"/>
    <w:pPr>
      <w:widowControl w:val="0"/>
      <w:tabs>
        <w:tab w:val="right" w:pos="420"/>
        <w:tab w:val="left" w:pos="540"/>
        <w:tab w:val="right" w:leader="dot" w:pos="6240"/>
        <w:tab w:val="right" w:pos="6960"/>
      </w:tabs>
      <w:autoSpaceDE w:val="0"/>
      <w:autoSpaceDN w:val="0"/>
      <w:adjustRightInd w:val="0"/>
      <w:spacing w:before="0" w:after="0" w:line="220" w:lineRule="atLeast"/>
      <w:ind w:left="540" w:hanging="540"/>
      <w:textAlignment w:val="center"/>
    </w:pPr>
    <w:rPr>
      <w:rFonts w:eastAsiaTheme="minorEastAsia" w:cs="Times LT Std"/>
      <w:color w:val="000000"/>
      <w:kern w:val="0"/>
      <w:sz w:val="22"/>
      <w:szCs w:val="20"/>
      <w:lang w:bidi="ar-SA"/>
    </w:rPr>
  </w:style>
  <w:style w:type="paragraph" w:customStyle="1" w:styleId="TOC1Secondary">
    <w:name w:val="TOC 1_Secondary"/>
    <w:basedOn w:val="TOC1I"/>
    <w:autoRedefine/>
    <w:uiPriority w:val="99"/>
    <w:semiHidden/>
    <w:qFormat/>
    <w:rsid w:val="004322B1"/>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4322B1"/>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chapter0">
    <w:name w:val="toc chapter #"/>
    <w:basedOn w:val="Normal"/>
    <w:autoRedefine/>
    <w:uiPriority w:val="99"/>
    <w:semiHidden/>
    <w:rsid w:val="004322B1"/>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Cs w:val="22"/>
      <w:lang w:bidi="ar-SA"/>
    </w:rPr>
  </w:style>
  <w:style w:type="paragraph" w:customStyle="1" w:styleId="tocflush">
    <w:name w:val="toc flush"/>
    <w:basedOn w:val="Normal"/>
    <w:autoRedefine/>
    <w:uiPriority w:val="99"/>
    <w:semiHidden/>
    <w:rsid w:val="004322B1"/>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Cs w:val="22"/>
      <w:lang w:bidi="ar-SA"/>
    </w:rPr>
  </w:style>
  <w:style w:type="paragraph" w:customStyle="1" w:styleId="tocI">
    <w:name w:val="toc I."/>
    <w:basedOn w:val="Normal"/>
    <w:autoRedefine/>
    <w:uiPriority w:val="99"/>
    <w:semiHidden/>
    <w:rsid w:val="004322B1"/>
    <w:pPr>
      <w:widowControl w:val="0"/>
      <w:tabs>
        <w:tab w:val="right" w:pos="600"/>
        <w:tab w:val="left" w:pos="720"/>
        <w:tab w:val="lef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szCs w:val="22"/>
      <w:lang w:bidi="ar-SA"/>
    </w:rPr>
  </w:style>
  <w:style w:type="paragraph" w:customStyle="1" w:styleId="toc11">
    <w:name w:val="toc1 1."/>
    <w:basedOn w:val="text"/>
    <w:autoRedefine/>
    <w:uiPriority w:val="99"/>
    <w:semiHidden/>
    <w:rsid w:val="004322B1"/>
    <w:pPr>
      <w:widowControl w:val="0"/>
      <w:tabs>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4322B1"/>
    <w:pPr>
      <w:widowControl w:val="0"/>
      <w:tabs>
        <w:tab w:val="left" w:pos="1080"/>
        <w:tab w:val="left" w:leader="dot" w:pos="6240"/>
        <w:tab w:val="left" w:pos="6960"/>
      </w:tabs>
      <w:suppressAutoHyphens/>
      <w:autoSpaceDE w:val="0"/>
      <w:autoSpaceDN w:val="0"/>
      <w:adjustRightInd w:val="0"/>
      <w:spacing w:before="0" w:after="0"/>
      <w:ind w:left="1080" w:hanging="360"/>
      <w:textAlignment w:val="center"/>
    </w:pPr>
    <w:rPr>
      <w:rFonts w:eastAsiaTheme="minorEastAsia" w:cs="ITC New Baskerville Std"/>
      <w:color w:val="000000"/>
      <w:kern w:val="0"/>
      <w:sz w:val="22"/>
      <w:szCs w:val="22"/>
      <w:lang w:bidi="ar-SA"/>
    </w:rPr>
  </w:style>
  <w:style w:type="paragraph" w:customStyle="1" w:styleId="TOC1ES">
    <w:name w:val="TOC1 ES"/>
    <w:basedOn w:val="toc10"/>
    <w:autoRedefine/>
    <w:semiHidden/>
    <w:qFormat/>
    <w:rsid w:val="004322B1"/>
    <w:pPr>
      <w:tabs>
        <w:tab w:val="right" w:pos="960"/>
      </w:tabs>
      <w:ind w:left="960" w:hanging="960"/>
    </w:pPr>
    <w:rPr>
      <w:rFonts w:cs="Times New Roman"/>
    </w:rPr>
  </w:style>
  <w:style w:type="paragraph" w:customStyle="1" w:styleId="TOC1ESDD">
    <w:name w:val="TOC1 ES DD"/>
    <w:basedOn w:val="toc10"/>
    <w:autoRedefine/>
    <w:semiHidden/>
    <w:qFormat/>
    <w:rsid w:val="004322B1"/>
    <w:pPr>
      <w:tabs>
        <w:tab w:val="left" w:pos="1080"/>
      </w:tabs>
      <w:ind w:left="1080" w:hanging="1080"/>
    </w:pPr>
    <w:rPr>
      <w:rFonts w:cs="Times New Roman"/>
    </w:rPr>
  </w:style>
  <w:style w:type="paragraph" w:customStyle="1" w:styleId="toc1I0">
    <w:name w:val="toc1 I."/>
    <w:basedOn w:val="text"/>
    <w:autoRedefine/>
    <w:uiPriority w:val="99"/>
    <w:semiHidden/>
    <w:qFormat/>
    <w:rsid w:val="004322B1"/>
    <w:pPr>
      <w:widowControl w:val="0"/>
      <w:tabs>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4322B1"/>
    <w:pPr>
      <w:widowControl w:val="0"/>
      <w:tabs>
        <w:tab w:val="right" w:pos="600"/>
        <w:tab w:val="left" w:pos="720"/>
        <w:tab w:val="righ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lang w:bidi="ar-SA"/>
    </w:rPr>
  </w:style>
  <w:style w:type="paragraph" w:customStyle="1" w:styleId="TOC1I2">
    <w:name w:val="TOC1_I"/>
    <w:basedOn w:val="Normal"/>
    <w:autoRedefine/>
    <w:uiPriority w:val="99"/>
    <w:semiHidden/>
    <w:rsid w:val="004322B1"/>
    <w:pPr>
      <w:widowControl w:val="0"/>
      <w:tabs>
        <w:tab w:val="right" w:pos="480"/>
        <w:tab w:val="left" w:pos="600"/>
        <w:tab w:val="right" w:leader="dot" w:pos="6240"/>
        <w:tab w:val="right" w:pos="6960"/>
      </w:tabs>
      <w:suppressAutoHyphens/>
      <w:autoSpaceDE w:val="0"/>
      <w:autoSpaceDN w:val="0"/>
      <w:adjustRightInd w:val="0"/>
      <w:spacing w:before="0" w:after="0"/>
      <w:ind w:left="600" w:hanging="600"/>
      <w:textAlignment w:val="center"/>
    </w:pPr>
    <w:rPr>
      <w:rFonts w:eastAsiaTheme="minorEastAsia" w:cs="Times LT Std"/>
      <w:color w:val="000000"/>
      <w:kern w:val="0"/>
      <w:lang w:bidi="ar-SA"/>
    </w:rPr>
  </w:style>
  <w:style w:type="paragraph" w:customStyle="1" w:styleId="toc20">
    <w:name w:val="toc2"/>
    <w:basedOn w:val="Normal"/>
    <w:autoRedefine/>
    <w:uiPriority w:val="99"/>
    <w:semiHidden/>
    <w:rsid w:val="004322B1"/>
    <w:pPr>
      <w:widowControl w:val="0"/>
      <w:tabs>
        <w:tab w:val="left" w:pos="720"/>
        <w:tab w:val="right" w:leader="dot" w:pos="6240"/>
        <w:tab w:val="left" w:pos="6960"/>
      </w:tabs>
      <w:autoSpaceDE w:val="0"/>
      <w:autoSpaceDN w:val="0"/>
      <w:adjustRightInd w:val="0"/>
      <w:spacing w:before="0" w:after="0"/>
      <w:ind w:left="1080" w:hanging="360"/>
      <w:textAlignment w:val="center"/>
    </w:pPr>
    <w:rPr>
      <w:rFonts w:eastAsiaTheme="minorEastAsia"/>
      <w:color w:val="000000"/>
      <w:kern w:val="0"/>
      <w:sz w:val="22"/>
      <w:szCs w:val="22"/>
      <w:lang w:bidi="ar-SA"/>
    </w:rPr>
  </w:style>
  <w:style w:type="paragraph" w:customStyle="1" w:styleId="toc21">
    <w:name w:val="toc2 1."/>
    <w:basedOn w:val="toc1A"/>
    <w:autoRedefine/>
    <w:uiPriority w:val="99"/>
    <w:semiHidden/>
    <w:rsid w:val="004322B1"/>
    <w:pPr>
      <w:tabs>
        <w:tab w:val="clear" w:pos="1080"/>
        <w:tab w:val="left" w:pos="1380"/>
      </w:tabs>
      <w:ind w:left="1380" w:hanging="300"/>
    </w:pPr>
  </w:style>
  <w:style w:type="paragraph" w:customStyle="1" w:styleId="toc2A">
    <w:name w:val="toc2 A."/>
    <w:basedOn w:val="Normal"/>
    <w:autoRedefine/>
    <w:uiPriority w:val="99"/>
    <w:semiHidden/>
    <w:rsid w:val="004322B1"/>
    <w:pPr>
      <w:widowControl w:val="0"/>
      <w:tabs>
        <w:tab w:val="left" w:pos="1080"/>
        <w:tab w:val="right" w:leader="dot" w:pos="6240"/>
        <w:tab w:val="right" w:pos="6960"/>
      </w:tabs>
      <w:autoSpaceDE w:val="0"/>
      <w:autoSpaceDN w:val="0"/>
      <w:adjustRightInd w:val="0"/>
      <w:spacing w:before="0" w:after="0"/>
      <w:ind w:left="1080" w:hanging="360"/>
      <w:textAlignment w:val="center"/>
    </w:pPr>
    <w:rPr>
      <w:rFonts w:eastAsiaTheme="minorEastAsia" w:cs="NewCenturySchlbk"/>
      <w:color w:val="000000"/>
      <w:kern w:val="0"/>
      <w:szCs w:val="22"/>
      <w:lang w:bidi="ar-SA"/>
    </w:rPr>
  </w:style>
  <w:style w:type="paragraph" w:customStyle="1" w:styleId="toc2dd">
    <w:name w:val="toc2 dd"/>
    <w:basedOn w:val="Normal"/>
    <w:autoRedefine/>
    <w:uiPriority w:val="99"/>
    <w:semiHidden/>
    <w:qFormat/>
    <w:rsid w:val="004322B1"/>
    <w:pPr>
      <w:widowControl w:val="0"/>
      <w:tabs>
        <w:tab w:val="left" w:pos="1200"/>
        <w:tab w:val="left" w:leader="dot" w:pos="6240"/>
        <w:tab w:val="left" w:pos="6960"/>
      </w:tabs>
      <w:suppressAutoHyphens/>
      <w:autoSpaceDE w:val="0"/>
      <w:autoSpaceDN w:val="0"/>
      <w:adjustRightInd w:val="0"/>
      <w:spacing w:before="0" w:after="0"/>
      <w:ind w:left="1200" w:hanging="480"/>
      <w:textAlignment w:val="center"/>
    </w:pPr>
    <w:rPr>
      <w:rFonts w:eastAsiaTheme="minorEastAsia" w:cs="ITC New Baskerville Std"/>
      <w:color w:val="000000"/>
      <w:kern w:val="0"/>
      <w:szCs w:val="22"/>
      <w:lang w:bidi="ar-SA"/>
    </w:rPr>
  </w:style>
  <w:style w:type="paragraph" w:customStyle="1" w:styleId="TOC2A0">
    <w:name w:val="TOC2_A."/>
    <w:basedOn w:val="TOC1I"/>
    <w:uiPriority w:val="99"/>
    <w:semiHidden/>
    <w:rsid w:val="004322B1"/>
    <w:pPr>
      <w:tabs>
        <w:tab w:val="clear" w:pos="420"/>
        <w:tab w:val="clear" w:pos="540"/>
      </w:tabs>
      <w:ind w:left="840" w:hanging="300"/>
    </w:pPr>
  </w:style>
  <w:style w:type="paragraph" w:customStyle="1" w:styleId="TOC2secondary">
    <w:name w:val="TOC2_secondary"/>
    <w:basedOn w:val="TOC2A0"/>
    <w:autoRedefine/>
    <w:uiPriority w:val="99"/>
    <w:semiHidden/>
    <w:qFormat/>
    <w:rsid w:val="004322B1"/>
    <w:pPr>
      <w:tabs>
        <w:tab w:val="left" w:pos="960"/>
      </w:tabs>
      <w:suppressAutoHyphens/>
      <w:spacing w:line="240" w:lineRule="auto"/>
      <w:ind w:left="1320" w:hanging="360"/>
    </w:pPr>
    <w:rPr>
      <w:szCs w:val="21"/>
    </w:rPr>
  </w:style>
  <w:style w:type="paragraph" w:customStyle="1" w:styleId="toc30">
    <w:name w:val="toc3"/>
    <w:basedOn w:val="toc20"/>
    <w:autoRedefine/>
    <w:uiPriority w:val="99"/>
    <w:semiHidden/>
    <w:rsid w:val="004322B1"/>
    <w:pPr>
      <w:tabs>
        <w:tab w:val="left" w:pos="1680"/>
      </w:tabs>
      <w:ind w:left="1680" w:hanging="480"/>
    </w:pPr>
  </w:style>
  <w:style w:type="paragraph" w:customStyle="1" w:styleId="toc31">
    <w:name w:val="toc3 1."/>
    <w:basedOn w:val="toc2A"/>
    <w:autoRedefine/>
    <w:uiPriority w:val="99"/>
    <w:semiHidden/>
    <w:rsid w:val="004322B1"/>
    <w:pPr>
      <w:tabs>
        <w:tab w:val="left" w:pos="1320"/>
      </w:tabs>
      <w:ind w:left="1320"/>
    </w:pPr>
  </w:style>
  <w:style w:type="paragraph" w:customStyle="1" w:styleId="toc3100">
    <w:name w:val="toc3 100."/>
    <w:basedOn w:val="toc30"/>
    <w:autoRedefine/>
    <w:uiPriority w:val="99"/>
    <w:semiHidden/>
    <w:rsid w:val="004322B1"/>
    <w:pPr>
      <w:ind w:hanging="600"/>
    </w:pPr>
    <w:rPr>
      <w:rFonts w:cs="ITC New Baskerville Std"/>
    </w:rPr>
  </w:style>
  <w:style w:type="paragraph" w:customStyle="1" w:styleId="toc3a">
    <w:name w:val="toc3 a."/>
    <w:basedOn w:val="toc21"/>
    <w:autoRedefine/>
    <w:uiPriority w:val="99"/>
    <w:semiHidden/>
    <w:rsid w:val="004322B1"/>
    <w:pPr>
      <w:tabs>
        <w:tab w:val="clear" w:pos="1380"/>
        <w:tab w:val="left" w:pos="1680"/>
      </w:tabs>
      <w:ind w:left="1680"/>
    </w:pPr>
  </w:style>
  <w:style w:type="paragraph" w:customStyle="1" w:styleId="toc3dd">
    <w:name w:val="toc3 dd"/>
    <w:basedOn w:val="toc30"/>
    <w:uiPriority w:val="99"/>
    <w:semiHidden/>
    <w:rsid w:val="004322B1"/>
    <w:pPr>
      <w:tabs>
        <w:tab w:val="left" w:pos="1500"/>
      </w:tabs>
      <w:spacing w:line="240" w:lineRule="atLeast"/>
      <w:ind w:left="1500"/>
    </w:pPr>
  </w:style>
  <w:style w:type="paragraph" w:customStyle="1" w:styleId="toc3i">
    <w:name w:val="toc3 i."/>
    <w:basedOn w:val="toc2A"/>
    <w:autoRedefine/>
    <w:uiPriority w:val="99"/>
    <w:semiHidden/>
    <w:rsid w:val="004322B1"/>
    <w:pPr>
      <w:tabs>
        <w:tab w:val="left" w:pos="1320"/>
      </w:tabs>
      <w:ind w:left="1320" w:hanging="480"/>
    </w:pPr>
  </w:style>
  <w:style w:type="paragraph" w:customStyle="1" w:styleId="TOC310">
    <w:name w:val="TOC3_1."/>
    <w:basedOn w:val="TOC2A0"/>
    <w:uiPriority w:val="99"/>
    <w:semiHidden/>
    <w:rsid w:val="004322B1"/>
    <w:pPr>
      <w:tabs>
        <w:tab w:val="left" w:pos="1200"/>
      </w:tabs>
      <w:ind w:left="1200" w:hanging="360"/>
    </w:pPr>
  </w:style>
  <w:style w:type="paragraph" w:customStyle="1" w:styleId="toc40">
    <w:name w:val="toc4"/>
    <w:basedOn w:val="toc30"/>
    <w:autoRedefine/>
    <w:uiPriority w:val="99"/>
    <w:semiHidden/>
    <w:rsid w:val="004322B1"/>
    <w:pPr>
      <w:tabs>
        <w:tab w:val="left" w:pos="2160"/>
      </w:tabs>
      <w:ind w:left="2160"/>
    </w:pPr>
  </w:style>
  <w:style w:type="paragraph" w:customStyle="1" w:styleId="toc41">
    <w:name w:val="toc4 (1)"/>
    <w:basedOn w:val="toc3a"/>
    <w:autoRedefine/>
    <w:uiPriority w:val="99"/>
    <w:semiHidden/>
    <w:rsid w:val="004322B1"/>
    <w:pPr>
      <w:tabs>
        <w:tab w:val="clear" w:pos="1680"/>
        <w:tab w:val="left" w:pos="2100"/>
      </w:tabs>
      <w:ind w:left="2100" w:hanging="420"/>
    </w:pPr>
  </w:style>
  <w:style w:type="paragraph" w:customStyle="1" w:styleId="toc4100a">
    <w:name w:val="toc4 100/a"/>
    <w:basedOn w:val="toc40"/>
    <w:autoRedefine/>
    <w:uiPriority w:val="99"/>
    <w:semiHidden/>
    <w:rsid w:val="004322B1"/>
    <w:pPr>
      <w:tabs>
        <w:tab w:val="left" w:pos="1980"/>
      </w:tabs>
      <w:ind w:left="1980" w:hanging="300"/>
    </w:pPr>
    <w:rPr>
      <w:rFonts w:cs="ITC New Baskerville Std"/>
    </w:rPr>
  </w:style>
  <w:style w:type="paragraph" w:customStyle="1" w:styleId="toc4a">
    <w:name w:val="toc4 a."/>
    <w:basedOn w:val="toc31"/>
    <w:autoRedefine/>
    <w:uiPriority w:val="99"/>
    <w:semiHidden/>
    <w:rsid w:val="004322B1"/>
    <w:pPr>
      <w:tabs>
        <w:tab w:val="clear" w:pos="1320"/>
        <w:tab w:val="left" w:pos="1680"/>
      </w:tabs>
      <w:spacing w:line="240" w:lineRule="atLeast"/>
      <w:ind w:left="1680"/>
    </w:pPr>
  </w:style>
  <w:style w:type="paragraph" w:customStyle="1" w:styleId="toc4dd">
    <w:name w:val="toc4 dd"/>
    <w:basedOn w:val="toc40"/>
    <w:autoRedefine/>
    <w:uiPriority w:val="99"/>
    <w:semiHidden/>
    <w:qFormat/>
    <w:rsid w:val="004322B1"/>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4322B1"/>
    <w:pPr>
      <w:tabs>
        <w:tab w:val="clear" w:pos="1200"/>
      </w:tabs>
      <w:ind w:left="1560"/>
    </w:pPr>
  </w:style>
  <w:style w:type="paragraph" w:customStyle="1" w:styleId="toc5">
    <w:name w:val="toc5"/>
    <w:basedOn w:val="toc40"/>
    <w:autoRedefine/>
    <w:uiPriority w:val="99"/>
    <w:semiHidden/>
    <w:rsid w:val="004322B1"/>
    <w:pPr>
      <w:tabs>
        <w:tab w:val="left" w:pos="2520"/>
      </w:tabs>
      <w:ind w:left="2520"/>
    </w:pPr>
  </w:style>
  <w:style w:type="paragraph" w:customStyle="1" w:styleId="toc5a0">
    <w:name w:val="toc5 (a)"/>
    <w:basedOn w:val="toc41"/>
    <w:autoRedefine/>
    <w:uiPriority w:val="99"/>
    <w:semiHidden/>
    <w:rsid w:val="004322B1"/>
    <w:pPr>
      <w:tabs>
        <w:tab w:val="clear" w:pos="2100"/>
        <w:tab w:val="left" w:pos="2520"/>
      </w:tabs>
      <w:ind w:left="2520"/>
    </w:pPr>
  </w:style>
  <w:style w:type="paragraph" w:customStyle="1" w:styleId="toc5ii">
    <w:name w:val="toc5 ii."/>
    <w:basedOn w:val="toc4a"/>
    <w:autoRedefine/>
    <w:uiPriority w:val="99"/>
    <w:semiHidden/>
    <w:rsid w:val="004322B1"/>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4322B1"/>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4322B1"/>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4322B1"/>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4322B1"/>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4322B1"/>
    <w:pPr>
      <w:tabs>
        <w:tab w:val="clear" w:pos="3000"/>
        <w:tab w:val="left" w:pos="3360"/>
      </w:tabs>
      <w:ind w:left="3360"/>
    </w:pPr>
  </w:style>
  <w:style w:type="paragraph" w:customStyle="1" w:styleId="toc8">
    <w:name w:val="toc8"/>
    <w:basedOn w:val="toc7"/>
    <w:autoRedefine/>
    <w:uiPriority w:val="99"/>
    <w:semiHidden/>
    <w:qFormat/>
    <w:rsid w:val="004322B1"/>
    <w:pPr>
      <w:tabs>
        <w:tab w:val="clear" w:pos="3360"/>
        <w:tab w:val="left" w:pos="3840"/>
      </w:tabs>
      <w:ind w:left="3840"/>
    </w:pPr>
  </w:style>
  <w:style w:type="paragraph" w:customStyle="1" w:styleId="toc410">
    <w:name w:val="toc4 (10)"/>
    <w:basedOn w:val="toc41"/>
    <w:uiPriority w:val="99"/>
    <w:semiHidden/>
    <w:rsid w:val="004322B1"/>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4322B1"/>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4322B1"/>
    <w:pPr>
      <w:tabs>
        <w:tab w:val="clear" w:pos="800"/>
      </w:tabs>
      <w:ind w:left="1181"/>
    </w:pPr>
  </w:style>
  <w:style w:type="paragraph" w:customStyle="1" w:styleId="3rdlevelhead10i">
    <w:name w:val="3rd level head 10._i"/>
    <w:basedOn w:val="3rdlevelhead1i"/>
    <w:autoRedefine/>
    <w:uiPriority w:val="99"/>
    <w:semiHidden/>
    <w:qFormat/>
    <w:rsid w:val="004322B1"/>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4322B1"/>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4322B1"/>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4322B1"/>
    <w:pPr>
      <w:tabs>
        <w:tab w:val="clear" w:pos="600"/>
        <w:tab w:val="clear" w:pos="720"/>
        <w:tab w:val="right" w:pos="480"/>
      </w:tabs>
      <w:ind w:left="480" w:hanging="480"/>
    </w:pPr>
  </w:style>
  <w:style w:type="paragraph" w:customStyle="1" w:styleId="tocEDa">
    <w:name w:val="toc ED a."/>
    <w:basedOn w:val="toc20"/>
    <w:autoRedefine/>
    <w:semiHidden/>
    <w:qFormat/>
    <w:rsid w:val="004322B1"/>
    <w:pPr>
      <w:tabs>
        <w:tab w:val="left" w:pos="960"/>
      </w:tabs>
    </w:pPr>
  </w:style>
  <w:style w:type="paragraph" w:customStyle="1" w:styleId="block-f2ndindent">
    <w:name w:val="block-f 2nd indent"/>
    <w:basedOn w:val="text"/>
    <w:autoRedefine/>
    <w:uiPriority w:val="99"/>
    <w:semiHidden/>
    <w:rsid w:val="004322B1"/>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4322B1"/>
    <w:pPr>
      <w:widowControl w:val="0"/>
      <w:tabs>
        <w:tab w:val="left" w:pos="960"/>
        <w:tab w:val="left" w:pos="1440"/>
      </w:tabs>
      <w:autoSpaceDE w:val="0"/>
      <w:autoSpaceDN w:val="0"/>
      <w:adjustRightInd w:val="0"/>
      <w:spacing w:after="0"/>
      <w:ind w:left="720"/>
      <w:textAlignment w:val="center"/>
    </w:pPr>
    <w:rPr>
      <w:rFonts w:eastAsiaTheme="minorEastAsia" w:cs="ITC New Baskerville Std"/>
      <w:color w:val="000000"/>
      <w:kern w:val="0"/>
      <w:lang w:bidi="ar-SA"/>
    </w:rPr>
  </w:style>
  <w:style w:type="paragraph" w:customStyle="1" w:styleId="HeadingCenter11Underscore">
    <w:name w:val="Heading Center 11 Underscore"/>
    <w:basedOn w:val="Normal"/>
    <w:autoRedefine/>
    <w:uiPriority w:val="99"/>
    <w:semiHidden/>
    <w:rsid w:val="004322B1"/>
    <w:pPr>
      <w:widowControl w:val="0"/>
      <w:tabs>
        <w:tab w:val="left" w:pos="480"/>
        <w:tab w:val="left" w:pos="960"/>
        <w:tab w:val="left" w:pos="1440"/>
        <w:tab w:val="left" w:pos="1920"/>
        <w:tab w:val="left" w:pos="2400"/>
        <w:tab w:val="left" w:pos="2880"/>
      </w:tabs>
      <w:autoSpaceDE w:val="0"/>
      <w:autoSpaceDN w:val="0"/>
      <w:adjustRightInd w:val="0"/>
      <w:jc w:val="center"/>
      <w:textAlignment w:val="center"/>
    </w:pPr>
    <w:rPr>
      <w:rFonts w:eastAsiaTheme="minorEastAsia" w:cs="ITC New Baskerville Std"/>
      <w:bCs/>
      <w:color w:val="000000"/>
      <w:kern w:val="0"/>
      <w:sz w:val="22"/>
      <w:szCs w:val="22"/>
      <w:u w:val="thick"/>
      <w:lang w:bidi="ar-SA"/>
    </w:rPr>
  </w:style>
  <w:style w:type="paragraph" w:customStyle="1" w:styleId="HeadingCenter11underscore-">
    <w:name w:val="Heading Center 11 underscore -/+"/>
    <w:basedOn w:val="HeadingCenter11Underscore"/>
    <w:autoRedefine/>
    <w:uiPriority w:val="99"/>
    <w:semiHidden/>
    <w:rsid w:val="004322B1"/>
    <w:pPr>
      <w:spacing w:before="0"/>
      <w:ind w:firstLine="480"/>
    </w:pPr>
  </w:style>
  <w:style w:type="paragraph" w:customStyle="1" w:styleId="Question">
    <w:name w:val="Question"/>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4322B1"/>
    <w:pPr>
      <w:widowControl w:val="0"/>
      <w:tabs>
        <w:tab w:val="left" w:pos="1440"/>
      </w:tabs>
      <w:autoSpaceDE w:val="0"/>
      <w:autoSpaceDN w:val="0"/>
      <w:adjustRightInd w:val="0"/>
      <w:spacing w:before="0" w:after="240" w:line="240" w:lineRule="atLeast"/>
      <w:ind w:left="1440" w:hanging="480"/>
      <w:textAlignment w:val="center"/>
    </w:pPr>
    <w:rPr>
      <w:rFonts w:eastAsiaTheme="minorEastAsia" w:cs="ITC New Baskerville Std"/>
      <w:b/>
      <w:bCs/>
      <w:color w:val="000000"/>
      <w:kern w:val="0"/>
      <w:sz w:val="22"/>
      <w:szCs w:val="22"/>
      <w:lang w:bidi="ar-SA"/>
    </w:rPr>
  </w:style>
  <w:style w:type="paragraph" w:customStyle="1" w:styleId="TOC2A1">
    <w:name w:val="TOC2 A."/>
    <w:basedOn w:val="TOC1I1"/>
    <w:autoRedefine/>
    <w:uiPriority w:val="99"/>
    <w:semiHidden/>
    <w:rsid w:val="004322B1"/>
    <w:pPr>
      <w:tabs>
        <w:tab w:val="clear" w:pos="600"/>
      </w:tabs>
      <w:ind w:left="1080" w:hanging="360"/>
    </w:pPr>
  </w:style>
  <w:style w:type="paragraph" w:customStyle="1" w:styleId="TOC311">
    <w:name w:val="TOC3 1."/>
    <w:basedOn w:val="TOC2A1"/>
    <w:autoRedefine/>
    <w:uiPriority w:val="99"/>
    <w:semiHidden/>
    <w:rsid w:val="004322B1"/>
    <w:pPr>
      <w:tabs>
        <w:tab w:val="clear" w:pos="720"/>
        <w:tab w:val="left" w:pos="1080"/>
      </w:tabs>
      <w:ind w:left="1440"/>
    </w:pPr>
  </w:style>
  <w:style w:type="paragraph" w:customStyle="1" w:styleId="textboldwp">
    <w:name w:val="text bold w/p"/>
    <w:basedOn w:val="textonpage-0"/>
    <w:autoRedefine/>
    <w:uiPriority w:val="99"/>
    <w:semiHidden/>
    <w:rsid w:val="004322B1"/>
    <w:pPr>
      <w:spacing w:before="120" w:after="120"/>
    </w:pPr>
    <w:rPr>
      <w:b/>
      <w:bCs/>
      <w:lang w:eastAsia="en-US"/>
    </w:rPr>
  </w:style>
  <w:style w:type="paragraph" w:customStyle="1" w:styleId="blocknlrl">
    <w:name w:val="block nl/rl"/>
    <w:basedOn w:val="blocknumberlist"/>
    <w:autoRedefine/>
    <w:uiPriority w:val="99"/>
    <w:semiHidden/>
    <w:rsid w:val="004322B1"/>
    <w:pPr>
      <w:tabs>
        <w:tab w:val="clear" w:pos="1080"/>
        <w:tab w:val="left" w:pos="1400"/>
      </w:tabs>
      <w:ind w:left="1920" w:hanging="480"/>
    </w:pPr>
  </w:style>
  <w:style w:type="paragraph" w:customStyle="1" w:styleId="1stlevelhead10b">
    <w:name w:val="1st level head (10)_b"/>
    <w:basedOn w:val="Normal"/>
    <w:autoRedefine/>
    <w:uiPriority w:val="99"/>
    <w:semiHidden/>
    <w:rsid w:val="004322B1"/>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footnoteintextbox">
    <w:name w:val="footnote in text box"/>
    <w:basedOn w:val="Normal"/>
    <w:autoRedefine/>
    <w:uiPriority w:val="99"/>
    <w:semiHidden/>
    <w:rsid w:val="004322B1"/>
    <w:pPr>
      <w:pBdr>
        <w:top w:val="single" w:sz="4" w:space="12" w:color="auto"/>
      </w:pBdr>
      <w:autoSpaceDE w:val="0"/>
      <w:autoSpaceDN w:val="0"/>
      <w:adjustRightInd w:val="0"/>
      <w:spacing w:before="0" w:after="0"/>
      <w:ind w:firstLine="720"/>
      <w:textAlignment w:val="center"/>
    </w:pPr>
    <w:rPr>
      <w:rFonts w:eastAsiaTheme="minorEastAsia" w:cs="ITC New Baskerville Std"/>
      <w:color w:val="000000"/>
      <w:kern w:val="0"/>
      <w:sz w:val="20"/>
      <w:szCs w:val="18"/>
      <w:lang w:bidi="ar-SA"/>
    </w:rPr>
  </w:style>
  <w:style w:type="paragraph" w:customStyle="1" w:styleId="block-fbold-">
    <w:name w:val="block-f bold +/-"/>
    <w:basedOn w:val="Normal"/>
    <w:autoRedefine/>
    <w:uiPriority w:val="99"/>
    <w:semiHidden/>
    <w:rsid w:val="004322B1"/>
    <w:pPr>
      <w:widowControl w:val="0"/>
      <w:tabs>
        <w:tab w:val="left" w:pos="960"/>
        <w:tab w:val="left" w:pos="1440"/>
      </w:tabs>
      <w:autoSpaceDE w:val="0"/>
      <w:autoSpaceDN w:val="0"/>
      <w:adjustRightInd w:val="0"/>
      <w:spacing w:after="0"/>
      <w:ind w:left="720"/>
      <w:textAlignment w:val="center"/>
    </w:pPr>
    <w:rPr>
      <w:rFonts w:ascii="Times New Roman Bold" w:eastAsiaTheme="minorEastAsia" w:hAnsi="Times New Roman Bold" w:cs="ITC New Baskerville Std"/>
      <w:b/>
      <w:bCs/>
      <w:color w:val="000000"/>
      <w:kern w:val="0"/>
      <w:sz w:val="20"/>
      <w:szCs w:val="22"/>
      <w:lang w:bidi="ar-SA"/>
    </w:rPr>
  </w:style>
  <w:style w:type="paragraph" w:customStyle="1" w:styleId="AdditionalTopicssubheadb">
    <w:name w:val="Additional Topics subhead_b +/+"/>
    <w:basedOn w:val="Normal"/>
    <w:autoRedefine/>
    <w:uiPriority w:val="99"/>
    <w:semiHidden/>
    <w:rsid w:val="004322B1"/>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60" w:lineRule="atLeast"/>
      <w:textAlignment w:val="center"/>
    </w:pPr>
    <w:rPr>
      <w:rFonts w:eastAsiaTheme="minorEastAsia" w:cs="ITC New Baskerville Std"/>
      <w:b/>
      <w:bCs/>
      <w:color w:val="000000"/>
      <w:kern w:val="0"/>
      <w:lang w:bidi="ar-SA"/>
    </w:rPr>
  </w:style>
  <w:style w:type="paragraph" w:customStyle="1" w:styleId="block-p2ndindent">
    <w:name w:val="block-p 2nd indent"/>
    <w:basedOn w:val="text"/>
    <w:autoRedefine/>
    <w:uiPriority w:val="99"/>
    <w:semiHidden/>
    <w:rsid w:val="004322B1"/>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4322B1"/>
    <w:pPr>
      <w:ind w:left="2160"/>
    </w:pPr>
  </w:style>
  <w:style w:type="paragraph" w:customStyle="1" w:styleId="bulletedparagraph-">
    <w:name w:val="bulleted paragraph +/-"/>
    <w:basedOn w:val="text"/>
    <w:autoRedefine/>
    <w:uiPriority w:val="99"/>
    <w:semiHidden/>
    <w:rsid w:val="004322B1"/>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4322B1"/>
    <w:pPr>
      <w:widowControl w:val="0"/>
      <w:tabs>
        <w:tab w:val="left" w:pos="480"/>
        <w:tab w:val="left" w:pos="960"/>
        <w:tab w:val="left" w:pos="1440"/>
        <w:tab w:val="left" w:pos="1920"/>
        <w:tab w:val="left" w:pos="2400"/>
        <w:tab w:val="left" w:pos="2880"/>
      </w:tabs>
      <w:autoSpaceDE w:val="0"/>
      <w:autoSpaceDN w:val="0"/>
      <w:adjustRightInd w:val="0"/>
      <w:spacing w:after="240"/>
      <w:ind w:left="720"/>
      <w:textAlignment w:val="center"/>
    </w:pPr>
    <w:rPr>
      <w:rFonts w:eastAsiaTheme="minorEastAsia" w:cs="ITC New Baskerville Std"/>
      <w:i/>
      <w:iCs/>
      <w:color w:val="000000"/>
      <w:kern w:val="0"/>
      <w:lang w:bidi="ar-SA"/>
    </w:rPr>
  </w:style>
  <w:style w:type="paragraph" w:customStyle="1" w:styleId="textednote-0">
    <w:name w:val="text ed note -/+"/>
    <w:basedOn w:val="Normal"/>
    <w:autoRedefine/>
    <w:uiPriority w:val="99"/>
    <w:semiHidden/>
    <w:rsid w:val="004322B1"/>
    <w:pPr>
      <w:widowControl w:val="0"/>
      <w:tabs>
        <w:tab w:val="left" w:pos="480"/>
        <w:tab w:val="left" w:pos="960"/>
        <w:tab w:val="left" w:pos="1440"/>
        <w:tab w:val="left" w:pos="1920"/>
        <w:tab w:val="left" w:pos="2400"/>
        <w:tab w:val="left" w:pos="2880"/>
      </w:tabs>
      <w:autoSpaceDE w:val="0"/>
      <w:autoSpaceDN w:val="0"/>
      <w:adjustRightInd w:val="0"/>
      <w:spacing w:before="0" w:after="240"/>
      <w:textAlignment w:val="center"/>
    </w:pPr>
    <w:rPr>
      <w:rFonts w:eastAsiaTheme="minorEastAsia" w:cs="ITC New Baskerville Std"/>
      <w:color w:val="000000"/>
      <w:kern w:val="0"/>
      <w:lang w:bidi="ar-SA"/>
    </w:rPr>
  </w:style>
  <w:style w:type="paragraph" w:customStyle="1" w:styleId="2ndlevelFormHead">
    <w:name w:val="2nd level Form Head"/>
    <w:basedOn w:val="2ndlevelheadAbi"/>
    <w:autoRedefine/>
    <w:uiPriority w:val="99"/>
    <w:semiHidden/>
    <w:rsid w:val="004322B1"/>
    <w:pPr>
      <w:keepNext/>
      <w:widowControl w:val="0"/>
      <w:tabs>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4322B1"/>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4322B1"/>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4322B1"/>
    <w:pPr>
      <w:keepNext/>
      <w:widowControl w:val="0"/>
      <w:tabs>
        <w:tab w:val="left" w:pos="840"/>
      </w:tabs>
      <w:suppressAutoHyphens/>
      <w:autoSpaceDE w:val="0"/>
      <w:autoSpaceDN w:val="0"/>
      <w:adjustRightInd w:val="0"/>
      <w:spacing w:before="360" w:after="240"/>
      <w:ind w:left="840" w:hanging="840"/>
      <w:textAlignment w:val="center"/>
    </w:pPr>
    <w:rPr>
      <w:rFonts w:eastAsiaTheme="minorEastAsia" w:cs="NewCenturySchlbk"/>
      <w:b/>
      <w:bCs/>
      <w:color w:val="000000"/>
      <w:kern w:val="0"/>
      <w:lang w:bidi="ar-SA"/>
    </w:rPr>
  </w:style>
  <w:style w:type="paragraph" w:customStyle="1" w:styleId="Blockquote2indent">
    <w:name w:val="Block quote 2 indent"/>
    <w:basedOn w:val="block-f-"/>
    <w:autoRedefine/>
    <w:uiPriority w:val="99"/>
    <w:semiHidden/>
    <w:rsid w:val="004322B1"/>
    <w:pPr>
      <w:spacing w:before="120"/>
      <w:ind w:left="1440"/>
    </w:pPr>
    <w:rPr>
      <w:rFonts w:cs="NewCenturySchlbk"/>
    </w:rPr>
  </w:style>
  <w:style w:type="paragraph" w:customStyle="1" w:styleId="appendixarticlehead">
    <w:name w:val="appendix article head"/>
    <w:basedOn w:val="Normal"/>
    <w:autoRedefine/>
    <w:uiPriority w:val="99"/>
    <w:semiHidden/>
    <w:rsid w:val="004322B1"/>
    <w:pPr>
      <w:widowControl w:val="0"/>
      <w:tabs>
        <w:tab w:val="center" w:pos="3480"/>
        <w:tab w:val="right" w:pos="6960"/>
      </w:tabs>
      <w:autoSpaceDE w:val="0"/>
      <w:autoSpaceDN w:val="0"/>
      <w:adjustRightInd w:val="0"/>
      <w:jc w:val="center"/>
      <w:textAlignment w:val="center"/>
    </w:pPr>
    <w:rPr>
      <w:rFonts w:eastAsiaTheme="minorEastAsia" w:cs="NewCenturySchlbk"/>
      <w:color w:val="000000"/>
      <w:kern w:val="0"/>
      <w:szCs w:val="22"/>
      <w:lang w:bidi="ar-SA"/>
    </w:rPr>
  </w:style>
  <w:style w:type="paragraph" w:customStyle="1" w:styleId="appendixcenteredhead">
    <w:name w:val="appendix centered head"/>
    <w:basedOn w:val="text"/>
    <w:autoRedefine/>
    <w:uiPriority w:val="99"/>
    <w:semiHidden/>
    <w:rsid w:val="004322B1"/>
    <w:pPr>
      <w:widowControl w:val="0"/>
      <w:tabs>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4322B1"/>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TOC4a1">
    <w:name w:val="TOC4 a."/>
    <w:basedOn w:val="TOC311"/>
    <w:autoRedefine/>
    <w:uiPriority w:val="99"/>
    <w:semiHidden/>
    <w:rsid w:val="004322B1"/>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4322B1"/>
    <w:pPr>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4322B1"/>
    <w:pPr>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4322B1"/>
    <w:pPr>
      <w:tabs>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4322B1"/>
    <w:pPr>
      <w:tabs>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4322B1"/>
    <w:pPr>
      <w:tabs>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4322B1"/>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4322B1"/>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4322B1"/>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4322B1"/>
    <w:pPr>
      <w:tabs>
        <w:tab w:val="left" w:pos="1080"/>
      </w:tabs>
      <w:ind w:left="1800"/>
    </w:pPr>
  </w:style>
  <w:style w:type="paragraph" w:customStyle="1" w:styleId="5thlevelheadnospaceii">
    <w:name w:val="5th level head no space (i)_i"/>
    <w:basedOn w:val="5thlevelheadii0"/>
    <w:autoRedefine/>
    <w:uiPriority w:val="99"/>
    <w:semiHidden/>
    <w:rsid w:val="004322B1"/>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4322B1"/>
    <w:pPr>
      <w:ind w:firstLine="720"/>
    </w:pPr>
    <w:rPr>
      <w:rFonts w:cs="Times LT Std"/>
      <w:szCs w:val="18"/>
    </w:rPr>
  </w:style>
  <w:style w:type="paragraph" w:customStyle="1" w:styleId="Author">
    <w:name w:val="Author"/>
    <w:basedOn w:val="text"/>
    <w:uiPriority w:val="99"/>
    <w:semiHidden/>
    <w:rsid w:val="004322B1"/>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4322B1"/>
    <w:pPr>
      <w:spacing w:after="240"/>
    </w:pPr>
    <w:rPr>
      <w:szCs w:val="22"/>
    </w:rPr>
  </w:style>
  <w:style w:type="paragraph" w:customStyle="1" w:styleId="Questiona">
    <w:name w:val="Question a."/>
    <w:basedOn w:val="Question"/>
    <w:autoRedefine/>
    <w:uiPriority w:val="99"/>
    <w:semiHidden/>
    <w:rsid w:val="004322B1"/>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4322B1"/>
    <w:pPr>
      <w:spacing w:before="0" w:after="0"/>
    </w:pPr>
    <w:rPr>
      <w:b/>
      <w:sz w:val="20"/>
      <w:u w:val="none"/>
    </w:rPr>
  </w:style>
  <w:style w:type="paragraph" w:customStyle="1" w:styleId="IndentName--">
    <w:name w:val="Indent Name -/-"/>
    <w:basedOn w:val="Indentname"/>
    <w:autoRedefine/>
    <w:uiPriority w:val="99"/>
    <w:semiHidden/>
    <w:rsid w:val="004322B1"/>
    <w:pPr>
      <w:spacing w:before="0" w:after="240"/>
    </w:pPr>
  </w:style>
  <w:style w:type="paragraph" w:customStyle="1" w:styleId="Italicheadindented-">
    <w:name w:val="Italic head indented -/+"/>
    <w:basedOn w:val="text"/>
    <w:autoRedefine/>
    <w:uiPriority w:val="99"/>
    <w:semiHidden/>
    <w:rsid w:val="004322B1"/>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4322B1"/>
    <w:pPr>
      <w:widowControl w:val="0"/>
      <w:tabs>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4322B1"/>
    <w:pPr>
      <w:widowControl w:val="0"/>
      <w:tabs>
        <w:tab w:val="left" w:pos="480"/>
        <w:tab w:val="left" w:pos="960"/>
        <w:tab w:val="left" w:pos="1440"/>
        <w:tab w:val="left" w:pos="1920"/>
        <w:tab w:val="left" w:pos="2400"/>
        <w:tab w:val="left" w:pos="2880"/>
      </w:tabs>
      <w:suppressAutoHyphens/>
      <w:autoSpaceDE w:val="0"/>
      <w:autoSpaceDN w:val="0"/>
      <w:adjustRightInd w:val="0"/>
      <w:spacing w:before="0" w:after="240"/>
      <w:textAlignment w:val="center"/>
    </w:pPr>
    <w:rPr>
      <w:rFonts w:eastAsiaTheme="minorEastAsia" w:cs="ITC New Baskerville Std"/>
      <w:b/>
      <w:bCs/>
      <w:color w:val="000000"/>
      <w:kern w:val="0"/>
      <w:lang w:bidi="ar-SA"/>
    </w:rPr>
  </w:style>
  <w:style w:type="paragraph" w:customStyle="1" w:styleId="IndentName0">
    <w:name w:val="Indent Name +/+"/>
    <w:basedOn w:val="Indentname"/>
    <w:autoRedefine/>
    <w:uiPriority w:val="99"/>
    <w:semiHidden/>
    <w:rsid w:val="004322B1"/>
    <w:pPr>
      <w:spacing w:after="240"/>
    </w:pPr>
  </w:style>
  <w:style w:type="paragraph" w:customStyle="1" w:styleId="blocknumberliststart">
    <w:name w:val="block number list start"/>
    <w:basedOn w:val="blocknumberlist"/>
    <w:autoRedefine/>
    <w:uiPriority w:val="99"/>
    <w:semiHidden/>
    <w:rsid w:val="004322B1"/>
    <w:pPr>
      <w:spacing w:before="240"/>
    </w:pPr>
    <w:rPr>
      <w:szCs w:val="22"/>
    </w:rPr>
  </w:style>
  <w:style w:type="paragraph" w:customStyle="1" w:styleId="numberlist1a">
    <w:name w:val="number list 1.a."/>
    <w:basedOn w:val="numberlist0"/>
    <w:autoRedefine/>
    <w:uiPriority w:val="99"/>
    <w:semiHidden/>
    <w:rsid w:val="004322B1"/>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4322B1"/>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footnotebullet">
    <w:name w:val="footnote bullet"/>
    <w:basedOn w:val="footnoteblock"/>
    <w:autoRedefine/>
    <w:uiPriority w:val="99"/>
    <w:semiHidden/>
    <w:rsid w:val="004322B1"/>
    <w:pPr>
      <w:tabs>
        <w:tab w:val="left" w:pos="540"/>
      </w:tabs>
      <w:ind w:left="900" w:hanging="180"/>
    </w:pPr>
    <w:rPr>
      <w:rFonts w:eastAsiaTheme="minorEastAsia"/>
    </w:rPr>
  </w:style>
  <w:style w:type="paragraph" w:customStyle="1" w:styleId="indentedboldhead">
    <w:name w:val="indented bold head"/>
    <w:basedOn w:val="text"/>
    <w:autoRedefine/>
    <w:uiPriority w:val="99"/>
    <w:semiHidden/>
    <w:rsid w:val="004322B1"/>
    <w:pPr>
      <w:keepLines/>
      <w:widowControl w:val="0"/>
      <w:tabs>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120"/>
      <w:ind w:left="720" w:firstLine="0"/>
      <w:textAlignment w:val="center"/>
    </w:pPr>
    <w:rPr>
      <w:rFonts w:eastAsiaTheme="minorEastAsia" w:cs="ITC New Baskerville Std"/>
      <w:b/>
      <w:bCs/>
      <w:color w:val="000000"/>
      <w:lang w:eastAsia="en-US"/>
    </w:rPr>
  </w:style>
  <w:style w:type="paragraph" w:customStyle="1" w:styleId="bulletnumberlist">
    <w:name w:val="bullet number list"/>
    <w:basedOn w:val="bullet"/>
    <w:autoRedefine/>
    <w:semiHidden/>
    <w:qFormat/>
    <w:rsid w:val="004322B1"/>
    <w:pPr>
      <w:tabs>
        <w:tab w:val="left" w:pos="1032"/>
      </w:tabs>
      <w:ind w:left="1032" w:hanging="480"/>
    </w:pPr>
  </w:style>
  <w:style w:type="paragraph" w:customStyle="1" w:styleId="NoParagraphStyle">
    <w:name w:val="[No Paragraph Style]"/>
    <w:rsid w:val="004322B1"/>
    <w:pPr>
      <w:widowControl w:val="0"/>
      <w:autoSpaceDE w:val="0"/>
      <w:autoSpaceDN w:val="0"/>
      <w:adjustRightInd w:val="0"/>
      <w:spacing w:before="0" w:after="0" w:line="288" w:lineRule="auto"/>
      <w:textAlignment w:val="center"/>
    </w:pPr>
    <w:rPr>
      <w:rFonts w:ascii="Times Roman" w:eastAsiaTheme="minorEastAsia" w:hAnsi="Times Roman" w:cs="Times Roman"/>
      <w:color w:val="000000"/>
      <w:kern w:val="0"/>
      <w:lang w:bidi="ar-SA"/>
    </w:rPr>
  </w:style>
  <w:style w:type="paragraph" w:customStyle="1" w:styleId="BasicParagraph">
    <w:name w:val="[Basic Paragraph]"/>
    <w:basedOn w:val="NoParagraphStyle"/>
    <w:uiPriority w:val="99"/>
    <w:semiHidden/>
    <w:rsid w:val="004322B1"/>
    <w:pPr>
      <w:spacing w:line="260" w:lineRule="atLeast"/>
    </w:pPr>
    <w:rPr>
      <w:rFonts w:ascii="ITC New Baskerville Std" w:hAnsi="ITC New Baskerville Std" w:cs="ITC New Baskerville Std"/>
    </w:rPr>
  </w:style>
  <w:style w:type="paragraph" w:customStyle="1" w:styleId="textcrossreference">
    <w:name w:val="text cross reference"/>
    <w:basedOn w:val="BasicParagraph"/>
    <w:uiPriority w:val="99"/>
    <w:semiHidden/>
    <w:rsid w:val="004322B1"/>
    <w:pPr>
      <w:ind w:firstLine="480"/>
      <w:jc w:val="both"/>
    </w:pPr>
  </w:style>
  <w:style w:type="paragraph" w:customStyle="1" w:styleId="bulletlistend0">
    <w:name w:val="bullet list / end"/>
    <w:basedOn w:val="bulletliststart0"/>
    <w:uiPriority w:val="99"/>
    <w:semiHidden/>
    <w:rsid w:val="004322B1"/>
    <w:pPr>
      <w:spacing w:before="0" w:after="240" w:line="260" w:lineRule="atLeast"/>
      <w:ind w:left="720" w:hanging="240"/>
      <w:jc w:val="both"/>
    </w:pPr>
    <w:rPr>
      <w:rFonts w:ascii="ITC New Baskerville Std" w:hAnsi="ITC New Baskerville Std"/>
    </w:rPr>
  </w:style>
  <w:style w:type="paragraph" w:customStyle="1" w:styleId="footnotecrossreference">
    <w:name w:val="footnote cross reference"/>
    <w:basedOn w:val="NoParagraphStyle"/>
    <w:uiPriority w:val="99"/>
    <w:semiHidden/>
    <w:rsid w:val="004322B1"/>
    <w:pPr>
      <w:spacing w:line="190" w:lineRule="atLeast"/>
      <w:ind w:firstLine="360"/>
      <w:jc w:val="both"/>
    </w:pPr>
    <w:rPr>
      <w:rFonts w:ascii="ITC New Baskerville Std" w:hAnsi="ITC New Baskerville Std" w:cs="ITC New Baskerville Std"/>
      <w:sz w:val="18"/>
      <w:szCs w:val="18"/>
    </w:rPr>
  </w:style>
  <w:style w:type="paragraph" w:customStyle="1" w:styleId="footnoteregparaindentcrossref">
    <w:name w:val="footnote reg para indent cross ref"/>
    <w:basedOn w:val="footnoteregparaindent"/>
    <w:uiPriority w:val="99"/>
    <w:semiHidden/>
    <w:rsid w:val="004322B1"/>
    <w:pPr>
      <w:spacing w:line="190" w:lineRule="atLeast"/>
      <w:ind w:firstLine="360"/>
      <w:jc w:val="both"/>
    </w:pPr>
    <w:rPr>
      <w:rFonts w:ascii="ITC New Baskerville Std" w:eastAsiaTheme="minorEastAsia" w:hAnsi="ITC New Baskerville Std" w:cs="ITC New Baskerville Std"/>
      <w:sz w:val="18"/>
    </w:rPr>
  </w:style>
  <w:style w:type="character" w:customStyle="1" w:styleId="footnotesuperscript">
    <w:name w:val="footnote superscript"/>
    <w:uiPriority w:val="99"/>
    <w:semiHidden/>
    <w:rsid w:val="004322B1"/>
    <w:rPr>
      <w:vertAlign w:val="superscript"/>
    </w:rPr>
  </w:style>
  <w:style w:type="character" w:customStyle="1" w:styleId="footnoteChar">
    <w:name w:val="footnote Char"/>
    <w:basedOn w:val="DefaultParagraphFont"/>
    <w:link w:val="footnote"/>
    <w:uiPriority w:val="99"/>
    <w:semiHidden/>
    <w:rsid w:val="004322B1"/>
    <w:rPr>
      <w:rFonts w:eastAsia="Times New Roman"/>
      <w:kern w:val="0"/>
      <w:sz w:val="20"/>
      <w:szCs w:val="22"/>
      <w:lang w:bidi="ar-SA"/>
    </w:rPr>
  </w:style>
  <w:style w:type="character" w:customStyle="1" w:styleId="footnoteregparaindentChar">
    <w:name w:val="footnote reg para indent Char"/>
    <w:basedOn w:val="footnoteChar"/>
    <w:link w:val="footnoteregparaindent"/>
    <w:uiPriority w:val="99"/>
    <w:semiHidden/>
    <w:rsid w:val="004322B1"/>
    <w:rPr>
      <w:rFonts w:eastAsia="Times New Roman" w:cs="Times LT Std"/>
      <w:color w:val="000000"/>
      <w:kern w:val="0"/>
      <w:sz w:val="20"/>
      <w:szCs w:val="18"/>
      <w:lang w:bidi="ar-SA"/>
    </w:rPr>
  </w:style>
  <w:style w:type="character" w:customStyle="1" w:styleId="DocIDChar">
    <w:name w:val="DocID Char"/>
    <w:basedOn w:val="footnoteregparaindentChar"/>
    <w:link w:val="DocID"/>
    <w:semiHidden/>
    <w:rsid w:val="004322B1"/>
    <w:rPr>
      <w:rFonts w:eastAsia="Times New Roman" w:cs="Times LT Std"/>
      <w:color w:val="000000"/>
      <w:kern w:val="0"/>
      <w:sz w:val="16"/>
      <w:szCs w:val="20"/>
      <w:lang w:bidi="ar-SA"/>
    </w:rPr>
  </w:style>
  <w:style w:type="paragraph" w:customStyle="1" w:styleId="01ChapterNumber">
    <w:name w:val="01 Chapter Number"/>
    <w:basedOn w:val="ChapterNumber"/>
    <w:link w:val="01ChapterNumberChar"/>
    <w:qFormat/>
    <w:rsid w:val="004322B1"/>
  </w:style>
  <w:style w:type="character" w:customStyle="1" w:styleId="01ChapterNumberChar">
    <w:name w:val="01 Chapter Number Char"/>
    <w:link w:val="01ChapterNumber"/>
    <w:rsid w:val="004322B1"/>
    <w:rPr>
      <w:rFonts w:eastAsiaTheme="minorEastAsia"/>
      <w:smallCaps/>
      <w:color w:val="000000"/>
      <w:kern w:val="0"/>
      <w:sz w:val="20"/>
      <w:szCs w:val="28"/>
      <w:lang w:bidi="ar-SA"/>
    </w:rPr>
  </w:style>
  <w:style w:type="paragraph" w:customStyle="1" w:styleId="02ChapterTitle">
    <w:name w:val="02 Chapter Title"/>
    <w:basedOn w:val="ChapterTitle"/>
    <w:link w:val="02ChapterTitleChar"/>
    <w:qFormat/>
    <w:rsid w:val="004322B1"/>
  </w:style>
  <w:style w:type="character" w:customStyle="1" w:styleId="02ChapterTitleChar">
    <w:name w:val="02 Chapter Title Char"/>
    <w:link w:val="02ChapterTitle"/>
    <w:rsid w:val="004322B1"/>
    <w:rPr>
      <w:rFonts w:eastAsiaTheme="minorEastAsia"/>
      <w:b/>
      <w:color w:val="000000"/>
      <w:kern w:val="0"/>
      <w:sz w:val="28"/>
      <w:szCs w:val="40"/>
      <w:lang w:bidi="ar-SA"/>
    </w:rPr>
  </w:style>
  <w:style w:type="paragraph" w:customStyle="1" w:styleId="03TableofContents">
    <w:name w:val="03 Table of Contents"/>
    <w:basedOn w:val="10BTextWithoutIndent"/>
    <w:link w:val="03TableofContentsChar"/>
    <w:qFormat/>
    <w:rsid w:val="004322B1"/>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4322B1"/>
    <w:rPr>
      <w:rFonts w:eastAsia="Times New Roman"/>
      <w:color w:val="000000"/>
      <w:kern w:val="0"/>
      <w:lang w:bidi="ar-SA"/>
    </w:rPr>
  </w:style>
  <w:style w:type="paragraph" w:customStyle="1" w:styleId="04First-LevelHeadIIIIII">
    <w:name w:val="04 First-Level Head I. II. III."/>
    <w:basedOn w:val="Normal"/>
    <w:link w:val="04First-LevelHeadIIIIIIChar"/>
    <w:qFormat/>
    <w:rsid w:val="004322B1"/>
    <w:pPr>
      <w:spacing w:before="48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4322B1"/>
    <w:rPr>
      <w:rFonts w:eastAsia="Times New Roman"/>
      <w:smallCaps/>
      <w:kern w:val="0"/>
      <w:lang w:bidi="ar-SA"/>
    </w:rPr>
  </w:style>
  <w:style w:type="paragraph" w:customStyle="1" w:styleId="05Second-LevelHeadABC">
    <w:name w:val="05 Second-Level Head A. B. C."/>
    <w:basedOn w:val="Normal"/>
    <w:link w:val="05Second-LevelHeadABCChar"/>
    <w:qFormat/>
    <w:rsid w:val="004322B1"/>
    <w:pPr>
      <w:spacing w:before="360" w:after="240"/>
      <w:ind w:left="720" w:hanging="720"/>
    </w:pPr>
    <w:rPr>
      <w:rFonts w:eastAsia="Times New Roman"/>
      <w:b/>
      <w:kern w:val="0"/>
      <w:lang w:bidi="ar-SA"/>
    </w:rPr>
  </w:style>
  <w:style w:type="character" w:customStyle="1" w:styleId="05Second-LevelHeadABCChar">
    <w:name w:val="05 Second-Level Head A. B. C. Char"/>
    <w:link w:val="05Second-LevelHeadABC"/>
    <w:rsid w:val="004322B1"/>
    <w:rPr>
      <w:rFonts w:eastAsia="Times New Roman"/>
      <w:b/>
      <w:kern w:val="0"/>
      <w:lang w:bidi="ar-SA"/>
    </w:rPr>
  </w:style>
  <w:style w:type="paragraph" w:customStyle="1" w:styleId="06Third-LevelHead123">
    <w:name w:val="06 Third-Level Head 1. 2. 3."/>
    <w:basedOn w:val="Normal"/>
    <w:link w:val="06Third-LevelHead123Char"/>
    <w:qFormat/>
    <w:rsid w:val="004322B1"/>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4322B1"/>
    <w:rPr>
      <w:rFonts w:eastAsia="Times New Roman"/>
      <w:b/>
      <w:i/>
      <w:kern w:val="0"/>
      <w:lang w:bidi="ar-SA"/>
    </w:rPr>
  </w:style>
  <w:style w:type="paragraph" w:customStyle="1" w:styleId="07Fourth-LevelHeadabc">
    <w:name w:val="07 Fourth-Level Head a. b. c."/>
    <w:basedOn w:val="Normal"/>
    <w:link w:val="07Fourth-LevelHeadabcChar"/>
    <w:qFormat/>
    <w:rsid w:val="004322B1"/>
    <w:pPr>
      <w:spacing w:before="360" w:after="240"/>
      <w:ind w:left="720"/>
    </w:pPr>
    <w:rPr>
      <w:rFonts w:eastAsia="Times New Roman"/>
      <w:i/>
      <w:kern w:val="0"/>
      <w:lang w:bidi="ar-SA"/>
    </w:rPr>
  </w:style>
  <w:style w:type="character" w:customStyle="1" w:styleId="07Fourth-LevelHeadabcChar">
    <w:name w:val="07 Fourth-Level Head a. b. c. Char"/>
    <w:link w:val="07Fourth-LevelHeadabc"/>
    <w:rsid w:val="004322B1"/>
    <w:rPr>
      <w:rFonts w:eastAsia="Times New Roman"/>
      <w:i/>
      <w:kern w:val="0"/>
      <w:lang w:bidi="ar-SA"/>
    </w:rPr>
  </w:style>
  <w:style w:type="paragraph" w:customStyle="1" w:styleId="08Fifth-LevelHeadi">
    <w:name w:val="08 Fifth-Level Head (i.)"/>
    <w:aliases w:val="(ii.),(iii.)"/>
    <w:basedOn w:val="Normal"/>
    <w:link w:val="08Fifth-LevelHeadiChar"/>
    <w:qFormat/>
    <w:rsid w:val="004322B1"/>
    <w:pPr>
      <w:spacing w:before="360" w:after="240"/>
      <w:ind w:left="1440"/>
    </w:pPr>
    <w:rPr>
      <w:rFonts w:eastAsia="Times New Roman"/>
      <w:i/>
      <w:kern w:val="0"/>
      <w:lang w:bidi="ar-SA"/>
    </w:rPr>
  </w:style>
  <w:style w:type="character" w:customStyle="1" w:styleId="08Fifth-LevelHeadiChar">
    <w:name w:val="08 Fifth-Level Head (i.) Char"/>
    <w:aliases w:val="(ii.) Char,(iii.) Char"/>
    <w:link w:val="08Fifth-LevelHeadi"/>
    <w:rsid w:val="004322B1"/>
    <w:rPr>
      <w:rFonts w:eastAsia="Times New Roman"/>
      <w:i/>
      <w:kern w:val="0"/>
      <w:lang w:bidi="ar-SA"/>
    </w:rPr>
  </w:style>
  <w:style w:type="paragraph" w:customStyle="1" w:styleId="09ABlockQuoteWithIndent">
    <w:name w:val="09A Block Quote With ¶ Indent"/>
    <w:basedOn w:val="Normal"/>
    <w:qFormat/>
    <w:rsid w:val="004322B1"/>
    <w:pPr>
      <w:spacing w:before="120"/>
      <w:ind w:left="720" w:firstLine="720"/>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4322B1"/>
    <w:pPr>
      <w:spacing w:before="120"/>
      <w:ind w:left="720"/>
    </w:pPr>
    <w:rPr>
      <w:rFonts w:eastAsia="Times New Roman"/>
      <w:kern w:val="0"/>
      <w:sz w:val="20"/>
      <w:lang w:bidi="ar-SA"/>
    </w:rPr>
  </w:style>
  <w:style w:type="character" w:customStyle="1" w:styleId="09BBlockQuoteWithoutIndentChar">
    <w:name w:val="09B Block Quote Without ¶ Indent Char"/>
    <w:link w:val="09BBlockQuoteWithoutIndent"/>
    <w:rsid w:val="004322B1"/>
    <w:rPr>
      <w:rFonts w:eastAsia="Times New Roman"/>
      <w:kern w:val="0"/>
      <w:sz w:val="20"/>
      <w:lang w:bidi="ar-SA"/>
    </w:rPr>
  </w:style>
  <w:style w:type="paragraph" w:customStyle="1" w:styleId="10ATextWithIndent">
    <w:name w:val="10A Text With ¶ Indent"/>
    <w:basedOn w:val="Normal"/>
    <w:link w:val="10ATextWithIndentChar"/>
    <w:qFormat/>
    <w:rsid w:val="004322B1"/>
    <w:pPr>
      <w:spacing w:before="120"/>
      <w:ind w:firstLine="720"/>
    </w:pPr>
    <w:rPr>
      <w:rFonts w:eastAsia="Times New Roman"/>
      <w:kern w:val="0"/>
      <w:lang w:bidi="ar-SA"/>
    </w:rPr>
  </w:style>
  <w:style w:type="character" w:customStyle="1" w:styleId="10ATextWithIndentChar">
    <w:name w:val="10A Text With ¶ Indent Char"/>
    <w:link w:val="10ATextWithIndent"/>
    <w:rsid w:val="004322B1"/>
    <w:rPr>
      <w:rFonts w:eastAsia="Times New Roman"/>
      <w:kern w:val="0"/>
      <w:lang w:bidi="ar-SA"/>
    </w:rPr>
  </w:style>
  <w:style w:type="paragraph" w:customStyle="1" w:styleId="10BTextWithoutIndent">
    <w:name w:val="10B Text Without ¶ Indent"/>
    <w:basedOn w:val="Normal"/>
    <w:qFormat/>
    <w:rsid w:val="004322B1"/>
    <w:pPr>
      <w:spacing w:before="120"/>
    </w:pPr>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4322B1"/>
    <w:pPr>
      <w:spacing w:before="120"/>
      <w:ind w:left="1267" w:hanging="547"/>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4322B1"/>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4322B1"/>
    <w:pPr>
      <w:spacing w:before="12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4322B1"/>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4322B1"/>
    <w:pPr>
      <w:spacing w:before="120"/>
      <w:ind w:left="1080" w:hanging="36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4322B1"/>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4322B1"/>
    <w:pPr>
      <w:spacing w:before="12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4322B1"/>
    <w:rPr>
      <w:rFonts w:eastAsia="Times New Roman"/>
      <w:kern w:val="0"/>
      <w:lang w:bidi="ar-SA"/>
    </w:rPr>
  </w:style>
  <w:style w:type="paragraph" w:customStyle="1" w:styleId="13AFirst-LevelBulletedList">
    <w:name w:val="13A First-Level Bulleted List"/>
    <w:basedOn w:val="Normal"/>
    <w:link w:val="13AFirst-LevelBulletedListChar"/>
    <w:qFormat/>
    <w:rsid w:val="004322B1"/>
    <w:pPr>
      <w:numPr>
        <w:numId w:val="5"/>
      </w:numPr>
      <w:spacing w:before="120"/>
    </w:pPr>
    <w:rPr>
      <w:rFonts w:eastAsia="Times New Roman"/>
      <w:kern w:val="0"/>
      <w:lang w:bidi="ar-SA"/>
    </w:rPr>
  </w:style>
  <w:style w:type="character" w:customStyle="1" w:styleId="13AFirst-LevelBulletedListChar">
    <w:name w:val="13A First-Level Bulleted List Char"/>
    <w:link w:val="13AFirst-LevelBulletedList"/>
    <w:rsid w:val="004322B1"/>
    <w:rPr>
      <w:rFonts w:eastAsia="Times New Roman"/>
      <w:kern w:val="0"/>
      <w:lang w:bidi="ar-SA"/>
    </w:rPr>
  </w:style>
  <w:style w:type="paragraph" w:customStyle="1" w:styleId="13BSecond-LevelBulletedList">
    <w:name w:val="13B Second-Level Bulleted List"/>
    <w:basedOn w:val="Normal"/>
    <w:link w:val="13BSecond-LevelBulletedListChar"/>
    <w:qFormat/>
    <w:rsid w:val="004322B1"/>
    <w:pPr>
      <w:spacing w:before="120"/>
    </w:pPr>
    <w:rPr>
      <w:rFonts w:eastAsia="Times New Roman"/>
      <w:kern w:val="0"/>
      <w:lang w:bidi="ar-SA"/>
    </w:rPr>
  </w:style>
  <w:style w:type="character" w:customStyle="1" w:styleId="13BSecond-LevelBulletedListChar">
    <w:name w:val="13B Second-Level Bulleted List Char"/>
    <w:link w:val="13BSecond-LevelBulletedList"/>
    <w:rsid w:val="004322B1"/>
    <w:rPr>
      <w:rFonts w:eastAsia="Times New Roman"/>
      <w:kern w:val="0"/>
      <w:lang w:bidi="ar-SA"/>
    </w:rPr>
  </w:style>
  <w:style w:type="paragraph" w:customStyle="1" w:styleId="14Footnote">
    <w:name w:val="14 Footnote"/>
    <w:basedOn w:val="Normal"/>
    <w:qFormat/>
    <w:rsid w:val="004322B1"/>
    <w:pPr>
      <w:spacing w:before="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4322B1"/>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4322B1"/>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4322B1"/>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4322B1"/>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4322B1"/>
    <w:pPr>
      <w:spacing w:before="12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4322B1"/>
    <w:pPr>
      <w:spacing w:before="120"/>
    </w:pPr>
    <w:rPr>
      <w:rFonts w:eastAsia="Times New Roman"/>
      <w:kern w:val="0"/>
      <w:sz w:val="20"/>
      <w:lang w:bidi="ar-SA"/>
    </w:rPr>
  </w:style>
  <w:style w:type="paragraph" w:customStyle="1" w:styleId="18AFirst-LevelFootnoteBulletedList">
    <w:name w:val="18A First-Level Footnote Bulleted List"/>
    <w:basedOn w:val="Normal"/>
    <w:qFormat/>
    <w:rsid w:val="004322B1"/>
    <w:pPr>
      <w:spacing w:before="120"/>
    </w:pPr>
    <w:rPr>
      <w:rFonts w:eastAsia="Times New Roman"/>
      <w:kern w:val="0"/>
      <w:sz w:val="20"/>
      <w:lang w:bidi="ar-SA"/>
    </w:rPr>
  </w:style>
  <w:style w:type="paragraph" w:customStyle="1" w:styleId="18BSecond-LevelFootnoteBulletedList">
    <w:name w:val="18B Second-Level Footnote Bulleted List"/>
    <w:basedOn w:val="Normal"/>
    <w:qFormat/>
    <w:rsid w:val="004322B1"/>
    <w:pPr>
      <w:spacing w:before="120"/>
    </w:pPr>
    <w:rPr>
      <w:rFonts w:eastAsia="Times New Roman"/>
      <w:kern w:val="0"/>
      <w:sz w:val="20"/>
      <w:lang w:bidi="ar-SA"/>
    </w:rPr>
  </w:style>
  <w:style w:type="paragraph" w:customStyle="1" w:styleId="19Table-Figure-ExhibitTitle">
    <w:name w:val="19 Table-Figure-Exhibit Title"/>
    <w:basedOn w:val="Normal"/>
    <w:qFormat/>
    <w:rsid w:val="004322B1"/>
    <w:pPr>
      <w:spacing w:before="0" w:after="0"/>
      <w:jc w:val="center"/>
    </w:pPr>
    <w:rPr>
      <w:rFonts w:eastAsia="Times New Roman"/>
      <w:b/>
      <w:kern w:val="0"/>
      <w:lang w:bidi="ar-SA"/>
    </w:rPr>
  </w:style>
  <w:style w:type="character" w:customStyle="1" w:styleId="UnresolvedMention1">
    <w:name w:val="Unresolved Mention1"/>
    <w:basedOn w:val="DefaultParagraphFont"/>
    <w:uiPriority w:val="99"/>
    <w:semiHidden/>
    <w:rsid w:val="00432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tlaw.com/en/professionals/l/long-timothy" TargetMode="External"/><Relationship Id="rId18" Type="http://schemas.openxmlformats.org/officeDocument/2006/relationships/hyperlink" Target="https://www.dykema.com/people/robert-a-boonin.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helps.com/professionals/reed-l-russell.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helps.com/professionals/reed-l-russell.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ka.com/about/our-people/matthew-c-helland/" TargetMode="External"/><Relationship Id="rId20" Type="http://schemas.openxmlformats.org/officeDocument/2006/relationships/hyperlink" Target="https://www.nka.com/about/our-people/matthew-c-hellan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onstangy.com/people-Ellen-Kearns" TargetMode="External"/><Relationship Id="rId5" Type="http://schemas.openxmlformats.org/officeDocument/2006/relationships/customXml" Target="../customXml/item5.xml"/><Relationship Id="rId15" Type="http://schemas.openxmlformats.org/officeDocument/2006/relationships/hyperlink" Target="https://law.unlv.edu/faculty/nantiya-ruan" TargetMode="External"/><Relationship Id="rId23" Type="http://schemas.openxmlformats.org/officeDocument/2006/relationships/hyperlink" Target="https://www.kgworklaw.com/aaron-kaufmann" TargetMode="External"/><Relationship Id="rId10" Type="http://schemas.openxmlformats.org/officeDocument/2006/relationships/webSettings" Target="webSettings.xml"/><Relationship Id="rId19" Type="http://schemas.openxmlformats.org/officeDocument/2006/relationships/hyperlink" Target="https://www.nka.com/about/our-people/matthew-c-hellan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selaborlaw.com/about-us/gregory-k-mcgillivary" TargetMode="External"/><Relationship Id="rId22" Type="http://schemas.openxmlformats.org/officeDocument/2006/relationships/hyperlink" Target="https://altshulerberzon.com/attorneys/eve-h-cervantez/"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9D43ED-9466-4794-9ED5-ADD4BE2A81EB}"/>
      </w:docPartPr>
      <w:docPartBody>
        <w:p w:rsidR="004B6616" w:rsidRDefault="004B6616">
          <w:r w:rsidRPr="005D77A0">
            <w:rPr>
              <w:rStyle w:val="PlaceholderText"/>
            </w:rPr>
            <w:t>Click or tap here to enter text.</w:t>
          </w:r>
        </w:p>
      </w:docPartBody>
    </w:docPart>
    <w:docPart>
      <w:docPartPr>
        <w:name w:val="81D4CFDED44742D6A50C976E4CB85E2E"/>
        <w:category>
          <w:name w:val="General"/>
          <w:gallery w:val="placeholder"/>
        </w:category>
        <w:types>
          <w:type w:val="bbPlcHdr"/>
        </w:types>
        <w:behaviors>
          <w:behavior w:val="content"/>
        </w:behaviors>
        <w:guid w:val="{975BD715-454D-4E56-9227-E402388C0E00}"/>
      </w:docPartPr>
      <w:docPartBody>
        <w:p w:rsidR="004B6616" w:rsidRDefault="004B6616">
          <w:r w:rsidRPr="005D77A0">
            <w:rPr>
              <w:rStyle w:val="PlaceholderText"/>
            </w:rPr>
            <w:t>Unit.Start</w:t>
          </w:r>
        </w:p>
      </w:docPartBody>
    </w:docPart>
    <w:docPart>
      <w:docPartPr>
        <w:name w:val="A92CE7C024BB4146816B3CD4ACF968DF"/>
        <w:category>
          <w:name w:val="General"/>
          <w:gallery w:val="placeholder"/>
        </w:category>
        <w:types>
          <w:type w:val="bbPlcHdr"/>
        </w:types>
        <w:behaviors>
          <w:behavior w:val="content"/>
        </w:behaviors>
        <w:guid w:val="{C4C88D24-A29C-4EEB-ABCE-278F80B2B996}"/>
      </w:docPartPr>
      <w:docPartBody>
        <w:p w:rsidR="004B6616" w:rsidRDefault="004B6616">
          <w:r w:rsidRPr="005D77A0">
            <w:rPr>
              <w:rStyle w:val="PlaceholderText"/>
            </w:rPr>
            <w:t>Document</w:t>
          </w:r>
        </w:p>
      </w:docPartBody>
    </w:docPart>
    <w:docPart>
      <w:docPartPr>
        <w:name w:val="BE2E0CCCE2E747AF9D266DC1E6F6E09D"/>
        <w:category>
          <w:name w:val="General"/>
          <w:gallery w:val="placeholder"/>
        </w:category>
        <w:types>
          <w:type w:val="bbPlcHdr"/>
        </w:types>
        <w:behaviors>
          <w:behavior w:val="content"/>
        </w:behaviors>
        <w:guid w:val="{EEEB5088-D8CB-4FC5-AA38-FA08F654CB51}"/>
      </w:docPartPr>
      <w:docPartBody>
        <w:p w:rsidR="004B6616" w:rsidRDefault="004B6616">
          <w:r w:rsidRPr="005D77A0">
            <w:rPr>
              <w:rStyle w:val="PlaceholderText"/>
            </w:rPr>
            <w:t>enter text</w:t>
          </w:r>
        </w:p>
      </w:docPartBody>
    </w:docPart>
    <w:docPart>
      <w:docPartPr>
        <w:name w:val="A3EAFE9085374FF8AA023957800045FC"/>
        <w:category>
          <w:name w:val="General"/>
          <w:gallery w:val="placeholder"/>
        </w:category>
        <w:types>
          <w:type w:val="bbPlcHdr"/>
        </w:types>
        <w:behaviors>
          <w:behavior w:val="content"/>
        </w:behaviors>
        <w:guid w:val="{8B13A913-53AE-4ECD-A7D5-20B054E2951E}"/>
      </w:docPartPr>
      <w:docPartBody>
        <w:p w:rsidR="004B6616" w:rsidRDefault="004B6616">
          <w:r w:rsidRPr="005D77A0">
            <w:rPr>
              <w:rStyle w:val="PlaceholderText"/>
            </w:rPr>
            <w:t>enter text</w:t>
          </w:r>
        </w:p>
      </w:docPartBody>
    </w:docPart>
    <w:docPart>
      <w:docPartPr>
        <w:name w:val="1D44E570DC5047AF9C1DE7BA578D8545"/>
        <w:category>
          <w:name w:val="General"/>
          <w:gallery w:val="placeholder"/>
        </w:category>
        <w:types>
          <w:type w:val="bbPlcHdr"/>
        </w:types>
        <w:behaviors>
          <w:behavior w:val="content"/>
        </w:behaviors>
        <w:guid w:val="{91B4529B-76DA-4FAE-A505-EA26A620F3BC}"/>
      </w:docPartPr>
      <w:docPartBody>
        <w:p w:rsidR="004B6616" w:rsidRDefault="004B6616">
          <w:r w:rsidRPr="005D77A0">
            <w:rPr>
              <w:rStyle w:val="PlaceholderText"/>
            </w:rPr>
            <w:t>enter REQUIRED text</w:t>
          </w:r>
        </w:p>
      </w:docPartBody>
    </w:docPart>
    <w:docPart>
      <w:docPartPr>
        <w:name w:val="9A47B07205C64D1FBC283419CA05919F"/>
        <w:category>
          <w:name w:val="General"/>
          <w:gallery w:val="placeholder"/>
        </w:category>
        <w:types>
          <w:type w:val="bbPlcHdr"/>
        </w:types>
        <w:behaviors>
          <w:behavior w:val="content"/>
        </w:behaviors>
        <w:guid w:val="{C83898D9-BEC0-426E-862E-08B6AB9352C7}"/>
      </w:docPartPr>
      <w:docPartBody>
        <w:p w:rsidR="004B6616" w:rsidRDefault="004B6616">
          <w:r w:rsidRPr="005D77A0">
            <w:rPr>
              <w:rStyle w:val="PlaceholderText"/>
            </w:rPr>
            <w:t>enter REQUIRED text</w:t>
          </w:r>
        </w:p>
      </w:docPartBody>
    </w:docPart>
    <w:docPart>
      <w:docPartPr>
        <w:name w:val="9A5E0A5A332947F58B6ABA625FAEA636"/>
        <w:category>
          <w:name w:val="General"/>
          <w:gallery w:val="placeholder"/>
        </w:category>
        <w:types>
          <w:type w:val="bbPlcHdr"/>
        </w:types>
        <w:behaviors>
          <w:behavior w:val="content"/>
        </w:behaviors>
        <w:guid w:val="{746B6173-624C-4E8E-A1A3-4D3B924FF5CC}"/>
      </w:docPartPr>
      <w:docPartBody>
        <w:p w:rsidR="004B6616" w:rsidRDefault="004B6616">
          <w:r w:rsidRPr="005D77A0">
            <w:rPr>
              <w:rStyle w:val="PlaceholderText"/>
            </w:rPr>
            <w:t>enter text</w:t>
          </w:r>
        </w:p>
      </w:docPartBody>
    </w:docPart>
    <w:docPart>
      <w:docPartPr>
        <w:name w:val="8918957720C34D84AF60F79AAAD3AD6A"/>
        <w:category>
          <w:name w:val="General"/>
          <w:gallery w:val="placeholder"/>
        </w:category>
        <w:types>
          <w:type w:val="bbPlcHdr"/>
        </w:types>
        <w:behaviors>
          <w:behavior w:val="content"/>
        </w:behaviors>
        <w:guid w:val="{3E4B7CE0-8398-453C-AA34-3DB541004B95}"/>
      </w:docPartPr>
      <w:docPartBody>
        <w:p w:rsidR="004B6616" w:rsidRDefault="004B6616">
          <w:r w:rsidRPr="005D77A0">
            <w:rPr>
              <w:rStyle w:val="PlaceholderText"/>
            </w:rPr>
            <w:t>enter text</w:t>
          </w:r>
        </w:p>
      </w:docPartBody>
    </w:docPart>
    <w:docPart>
      <w:docPartPr>
        <w:name w:val="65167D2CC5F743D4A1C719B71E07EAF6"/>
        <w:category>
          <w:name w:val="General"/>
          <w:gallery w:val="placeholder"/>
        </w:category>
        <w:types>
          <w:type w:val="bbPlcHdr"/>
        </w:types>
        <w:behaviors>
          <w:behavior w:val="content"/>
        </w:behaviors>
        <w:guid w:val="{5887A534-F72B-4752-B97C-6F52DDF35BED}"/>
      </w:docPartPr>
      <w:docPartBody>
        <w:p w:rsidR="004B6616" w:rsidRDefault="004B6616">
          <w:r w:rsidRPr="005D77A0">
            <w:rPr>
              <w:rStyle w:val="PlaceholderText"/>
            </w:rPr>
            <w:t>enter text</w:t>
          </w:r>
        </w:p>
      </w:docPartBody>
    </w:docPart>
    <w:docPart>
      <w:docPartPr>
        <w:name w:val="58557D3A398E49948E32CC884F34CCB8"/>
        <w:category>
          <w:name w:val="General"/>
          <w:gallery w:val="placeholder"/>
        </w:category>
        <w:types>
          <w:type w:val="bbPlcHdr"/>
        </w:types>
        <w:behaviors>
          <w:behavior w:val="content"/>
        </w:behaviors>
        <w:guid w:val="{32FC3D27-C74D-47DB-AB97-00299F2DB6E8}"/>
      </w:docPartPr>
      <w:docPartBody>
        <w:p w:rsidR="004B6616" w:rsidRDefault="004B6616">
          <w:r w:rsidRPr="005D77A0">
            <w:rPr>
              <w:rStyle w:val="PlaceholderText"/>
            </w:rPr>
            <w:t>enter text</w:t>
          </w:r>
        </w:p>
      </w:docPartBody>
    </w:docPart>
    <w:docPart>
      <w:docPartPr>
        <w:name w:val="B48EB868A9DA4C3D8AF4735278F63533"/>
        <w:category>
          <w:name w:val="General"/>
          <w:gallery w:val="placeholder"/>
        </w:category>
        <w:types>
          <w:type w:val="bbPlcHdr"/>
        </w:types>
        <w:behaviors>
          <w:behavior w:val="content"/>
        </w:behaviors>
        <w:guid w:val="{1F1C533E-F4F1-4BEF-AD2C-12F995598909}"/>
      </w:docPartPr>
      <w:docPartBody>
        <w:p w:rsidR="004B6616" w:rsidRDefault="004B6616">
          <w:r w:rsidRPr="005D77A0">
            <w:rPr>
              <w:rStyle w:val="PlaceholderText"/>
            </w:rPr>
            <w:t>enter text</w:t>
          </w:r>
        </w:p>
      </w:docPartBody>
    </w:docPart>
    <w:docPart>
      <w:docPartPr>
        <w:name w:val="869BF503091446D1979D6C18F1E90646"/>
        <w:category>
          <w:name w:val="General"/>
          <w:gallery w:val="placeholder"/>
        </w:category>
        <w:types>
          <w:type w:val="bbPlcHdr"/>
        </w:types>
        <w:behaviors>
          <w:behavior w:val="content"/>
        </w:behaviors>
        <w:guid w:val="{7DCB519A-22E7-4D32-B2FA-715907E1F028}"/>
      </w:docPartPr>
      <w:docPartBody>
        <w:p w:rsidR="004B6616" w:rsidRDefault="004B6616">
          <w:r w:rsidRPr="005D77A0">
            <w:rPr>
              <w:rStyle w:val="PlaceholderText"/>
            </w:rPr>
            <w:t>enter text</w:t>
          </w:r>
        </w:p>
      </w:docPartBody>
    </w:docPart>
    <w:docPart>
      <w:docPartPr>
        <w:name w:val="7FC1131822AB43F993905D6A077F7F00"/>
        <w:category>
          <w:name w:val="General"/>
          <w:gallery w:val="placeholder"/>
        </w:category>
        <w:types>
          <w:type w:val="bbPlcHdr"/>
        </w:types>
        <w:behaviors>
          <w:behavior w:val="content"/>
        </w:behaviors>
        <w:guid w:val="{3B6BA6C3-6A60-4BEF-8BD0-92278E42E759}"/>
      </w:docPartPr>
      <w:docPartBody>
        <w:p w:rsidR="004B6616" w:rsidRDefault="004B6616">
          <w:r w:rsidRPr="005D77A0">
            <w:rPr>
              <w:rStyle w:val="PlaceholderText"/>
            </w:rPr>
            <w:t>enter text</w:t>
          </w:r>
        </w:p>
      </w:docPartBody>
    </w:docPart>
    <w:docPart>
      <w:docPartPr>
        <w:name w:val="CEAC14DB6DE1401CB1A2ED414D3F6F4E"/>
        <w:category>
          <w:name w:val="General"/>
          <w:gallery w:val="placeholder"/>
        </w:category>
        <w:types>
          <w:type w:val="bbPlcHdr"/>
        </w:types>
        <w:behaviors>
          <w:behavior w:val="content"/>
        </w:behaviors>
        <w:guid w:val="{A3389E45-284B-4333-8DB9-F74974ABE69F}"/>
      </w:docPartPr>
      <w:docPartBody>
        <w:p w:rsidR="004B6616" w:rsidRDefault="004B6616">
          <w:r w:rsidRPr="005D77A0">
            <w:rPr>
              <w:rStyle w:val="PlaceholderText"/>
            </w:rPr>
            <w:t>enter text</w:t>
          </w:r>
        </w:p>
      </w:docPartBody>
    </w:docPart>
    <w:docPart>
      <w:docPartPr>
        <w:name w:val="53C5FB9F5EC2472C93EAF052CB037326"/>
        <w:category>
          <w:name w:val="General"/>
          <w:gallery w:val="placeholder"/>
        </w:category>
        <w:types>
          <w:type w:val="bbPlcHdr"/>
        </w:types>
        <w:behaviors>
          <w:behavior w:val="content"/>
        </w:behaviors>
        <w:guid w:val="{8226535F-A151-43D8-843D-1613CBF45A41}"/>
      </w:docPartPr>
      <w:docPartBody>
        <w:p w:rsidR="004B6616" w:rsidRDefault="004B6616">
          <w:r w:rsidRPr="005D77A0">
            <w:rPr>
              <w:rStyle w:val="PlaceholderText"/>
            </w:rPr>
            <w:t>choose an item (REQUIRED)</w:t>
          </w:r>
        </w:p>
      </w:docPartBody>
    </w:docPart>
    <w:docPart>
      <w:docPartPr>
        <w:name w:val="C73B4ED03FC8472EA502CBB0F2C34A5A"/>
        <w:category>
          <w:name w:val="General"/>
          <w:gallery w:val="placeholder"/>
        </w:category>
        <w:types>
          <w:type w:val="bbPlcHdr"/>
        </w:types>
        <w:behaviors>
          <w:behavior w:val="content"/>
        </w:behaviors>
        <w:guid w:val="{0BB66CE6-492D-47DD-B56E-89FE8894F1D3}"/>
      </w:docPartPr>
      <w:docPartBody>
        <w:p w:rsidR="004B6616" w:rsidRDefault="004B6616">
          <w:r w:rsidRPr="005D77A0">
            <w:rPr>
              <w:rStyle w:val="PlaceholderText"/>
            </w:rPr>
            <w:t>enter text</w:t>
          </w:r>
        </w:p>
      </w:docPartBody>
    </w:docPart>
    <w:docPart>
      <w:docPartPr>
        <w:name w:val="EA5928151FF2486A9E58BABA40E587AF"/>
        <w:category>
          <w:name w:val="General"/>
          <w:gallery w:val="placeholder"/>
        </w:category>
        <w:types>
          <w:type w:val="bbPlcHdr"/>
        </w:types>
        <w:behaviors>
          <w:behavior w:val="content"/>
        </w:behaviors>
        <w:guid w:val="{556FE865-B4D9-45E1-BB5E-ECDCA8DF3A8B}"/>
      </w:docPartPr>
      <w:docPartBody>
        <w:p w:rsidR="004B6616" w:rsidRDefault="004B6616">
          <w:r w:rsidRPr="005D77A0">
            <w:rPr>
              <w:rStyle w:val="PlaceholderText"/>
            </w:rPr>
            <w:t>enter text</w:t>
          </w:r>
        </w:p>
      </w:docPartBody>
    </w:docPart>
    <w:docPart>
      <w:docPartPr>
        <w:name w:val="0DF0A717D3B6470E9DF2722BF2E496B8"/>
        <w:category>
          <w:name w:val="General"/>
          <w:gallery w:val="placeholder"/>
        </w:category>
        <w:types>
          <w:type w:val="bbPlcHdr"/>
        </w:types>
        <w:behaviors>
          <w:behavior w:val="content"/>
        </w:behaviors>
        <w:guid w:val="{EB313070-A9C4-41E9-A10F-FF29E6D9D0D2}"/>
      </w:docPartPr>
      <w:docPartBody>
        <w:p w:rsidR="004B6616" w:rsidRDefault="004B6616">
          <w:r w:rsidRPr="005D77A0">
            <w:rPr>
              <w:rStyle w:val="PlaceholderText"/>
            </w:rPr>
            <w:t>enter REQUIRED text</w:t>
          </w:r>
        </w:p>
      </w:docPartBody>
    </w:docPart>
    <w:docPart>
      <w:docPartPr>
        <w:name w:val="17ED09D332C944BABF4E37BC0E72DF16"/>
        <w:category>
          <w:name w:val="General"/>
          <w:gallery w:val="placeholder"/>
        </w:category>
        <w:types>
          <w:type w:val="bbPlcHdr"/>
        </w:types>
        <w:behaviors>
          <w:behavior w:val="content"/>
        </w:behaviors>
        <w:guid w:val="{13836347-6126-47B2-BA29-D72E034020EA}"/>
      </w:docPartPr>
      <w:docPartBody>
        <w:p w:rsidR="004B6616" w:rsidRDefault="004B6616">
          <w:r w:rsidRPr="005D77A0">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16"/>
    <w:rsid w:val="00014B75"/>
    <w:rsid w:val="004B6616"/>
    <w:rsid w:val="00E64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6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nversion.options xmlns="http://www.bna.com/gateway/conversion.options">
  <ns0:tables xmlns:ns0="http://www.bna.com/gateway/conversion.options" tag="smart"/>
</conversion.option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4.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document xmlns="http://www.bna.com/gateway/unit.start">
  <ns0:unit.start xmlns:ns0="http://www.bna.com/gateway/unit.start" copyright.owner="enter text" part.name="enter text" part.num="enter text" subpart.name="enter text" unit.code="main0017" unit.name="Chapter 17. Collective Actions and &quot;Hybrid&quot; Class Actions" folio="17-1" class.code="A" class.name="Book Body" bna.id.prefix="17" pdm.name="Chap17" publication.name="The Fair Labor Standards Act Fourth Edition" acct.code="FLSA4M21" date="2025-04-04" supplement="0" volume.num="I" service.code="flsa-book"/>
</document>
</file>

<file path=customXml/itemProps1.xml><?xml version="1.0" encoding="utf-8"?>
<ds:datastoreItem xmlns:ds="http://schemas.openxmlformats.org/officeDocument/2006/customXml" ds:itemID="{DADA3C72-C4A8-40A7-A93D-753FF12AADFE}">
  <ds:schemaRefs>
    <ds:schemaRef ds:uri="http://www.bna.com/gateway/conversion.option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0A471F72-94F2-401E-A3B9-801720B75477}">
  <ds:schemaRefs>
    <ds:schemaRef ds:uri="BookServiceCodes"/>
  </ds:schemaRefs>
</ds:datastoreItem>
</file>

<file path=customXml/itemProps4.xml><?xml version="1.0" encoding="utf-8"?>
<ds:datastoreItem xmlns:ds="http://schemas.openxmlformats.org/officeDocument/2006/customXml" ds:itemID="{25203738-0C39-41F2-B232-E9DAD00FD52D}">
  <ds:schemaRefs>
    <ds:schemaRef ds:uri="PortfolioServiceCodes"/>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B04FCA99-13B0-422B-ADC9-9491644FA79D}">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43604</Words>
  <Characters>248547</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2025-04-23T18:45:00Z</dcterms:created>
  <dcterms:modified xsi:type="dcterms:W3CDTF">2025-04-23T19:37:00Z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